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6701A" w14:textId="392AB256" w:rsidR="00B60939" w:rsidRPr="00D86D87" w:rsidRDefault="00BC3260" w:rsidP="004A6040">
      <w:pPr>
        <w:pStyle w:val="1-MainHeading"/>
      </w:pPr>
      <w:bookmarkStart w:id="0" w:name="_Toc198648763"/>
      <w:r>
        <w:t>5.09</w:t>
      </w:r>
      <w:r w:rsidR="00163F66" w:rsidRPr="00D86D87">
        <w:tab/>
      </w:r>
      <w:r w:rsidR="00705557">
        <w:t>NEMOLIZUMAB</w:t>
      </w:r>
      <w:r w:rsidR="00163F66" w:rsidRPr="00D86D87">
        <w:t>,</w:t>
      </w:r>
      <w:r w:rsidR="00163F66" w:rsidRPr="00D86D87">
        <w:br/>
      </w:r>
      <w:r w:rsidR="00705557">
        <w:t>Pow</w:t>
      </w:r>
      <w:r w:rsidR="00612265">
        <w:t>d</w:t>
      </w:r>
      <w:r w:rsidR="00705557">
        <w:t xml:space="preserve">er for injection </w:t>
      </w:r>
      <w:r w:rsidR="00D9512A">
        <w:t xml:space="preserve">containing nemolizumab </w:t>
      </w:r>
      <w:r w:rsidR="00705557">
        <w:t>30 mg with diluent</w:t>
      </w:r>
      <w:r w:rsidR="00D9512A">
        <w:t xml:space="preserve"> in pre-filled dual-chamber pen</w:t>
      </w:r>
      <w:r w:rsidR="00163F66" w:rsidRPr="00D86D87">
        <w:t>,</w:t>
      </w:r>
      <w:r w:rsidR="00163F66" w:rsidRPr="00D86D87">
        <w:br/>
      </w:r>
      <w:proofErr w:type="spellStart"/>
      <w:r w:rsidR="00705557">
        <w:t>Nemluvio</w:t>
      </w:r>
      <w:proofErr w:type="spellEnd"/>
      <w:r w:rsidR="00B60939" w:rsidRPr="00D86D87">
        <w:rPr>
          <w:vertAlign w:val="superscript"/>
        </w:rPr>
        <w:t>®</w:t>
      </w:r>
      <w:r w:rsidR="004A6040" w:rsidRPr="00D86D87">
        <w:t>,</w:t>
      </w:r>
      <w:r w:rsidR="004A6040" w:rsidRPr="00D86D87">
        <w:br/>
      </w:r>
      <w:r w:rsidR="006B6D74">
        <w:t>Galderma Australia Pty Ltd</w:t>
      </w:r>
      <w:bookmarkEnd w:id="0"/>
    </w:p>
    <w:p w14:paraId="11C00795" w14:textId="3DFB6D23" w:rsidR="00B50DB8" w:rsidRPr="00D86D87" w:rsidRDefault="00B50DB8" w:rsidP="004A6040">
      <w:pPr>
        <w:pStyle w:val="2-SectionHeading"/>
      </w:pPr>
      <w:bookmarkStart w:id="1" w:name="_Toc198648765"/>
      <w:r w:rsidRPr="003136B5">
        <w:t>Purpose o</w:t>
      </w:r>
      <w:r w:rsidRPr="00D86D87">
        <w:t xml:space="preserve">f </w:t>
      </w:r>
      <w:r w:rsidR="00CD7193" w:rsidRPr="00D86D87">
        <w:t>s</w:t>
      </w:r>
      <w:r w:rsidR="00BB3A45" w:rsidRPr="00D86D87">
        <w:t>ubmission</w:t>
      </w:r>
      <w:bookmarkEnd w:id="1"/>
    </w:p>
    <w:p w14:paraId="717A27CB" w14:textId="64B91B92" w:rsidR="00107B93" w:rsidRDefault="00107B93" w:rsidP="00107B93">
      <w:pPr>
        <w:pStyle w:val="3-BodyText"/>
      </w:pPr>
      <w:r w:rsidRPr="00293348">
        <w:t xml:space="preserve">This Category 2 submission requested </w:t>
      </w:r>
      <w:bookmarkStart w:id="2" w:name="_Hlk205479284"/>
      <w:r w:rsidRPr="00293348">
        <w:t xml:space="preserve">a General Schedule Authority Required (Telephone/Online) listing of nemolizumab (NEMO) </w:t>
      </w:r>
      <w:r w:rsidR="00CC696E" w:rsidRPr="00CC696E">
        <w:t>for the treatment of patients with severe atopic dermatitis affecting the whole body, face, and/or hands.</w:t>
      </w:r>
      <w:bookmarkEnd w:id="2"/>
    </w:p>
    <w:p w14:paraId="76559034" w14:textId="6E2841C4" w:rsidR="00107B93" w:rsidRDefault="00EB3291" w:rsidP="00755C1C">
      <w:pPr>
        <w:pStyle w:val="3-BodyText"/>
      </w:pPr>
      <w:r w:rsidRPr="00EB3291">
        <w:t xml:space="preserve">Listing was requested </w:t>
      </w:r>
      <w:proofErr w:type="gramStart"/>
      <w:r w:rsidRPr="00EB3291">
        <w:t>on the basis of</w:t>
      </w:r>
      <w:proofErr w:type="gramEnd"/>
      <w:r w:rsidRPr="00EB3291">
        <w:t xml:space="preserve"> a cost-minimisation a</w:t>
      </w:r>
      <w:r w:rsidR="009E5945">
        <w:t>pproach</w:t>
      </w:r>
      <w:r w:rsidRPr="00EB3291">
        <w:t xml:space="preserve"> </w:t>
      </w:r>
      <w:r w:rsidR="003158CA">
        <w:t xml:space="preserve">(CMA) </w:t>
      </w:r>
      <w:r w:rsidRPr="00EB3291">
        <w:t>versus dupilumab (DUPI).</w:t>
      </w:r>
    </w:p>
    <w:p w14:paraId="6D7A4539" w14:textId="374265D0" w:rsidR="00107B93" w:rsidRDefault="00107B93" w:rsidP="00755C1C">
      <w:pPr>
        <w:pStyle w:val="Caption"/>
      </w:pPr>
      <w:r>
        <w:t xml:space="preserve">Table </w:t>
      </w:r>
      <w:r w:rsidR="00167892">
        <w:fldChar w:fldCharType="begin"/>
      </w:r>
      <w:r w:rsidR="00167892">
        <w:instrText xml:space="preserve"> SEQ Table \* ARABIC </w:instrText>
      </w:r>
      <w:r w:rsidR="00167892">
        <w:fldChar w:fldCharType="separate"/>
      </w:r>
      <w:r w:rsidR="00E5780E">
        <w:rPr>
          <w:noProof/>
        </w:rPr>
        <w:t>1</w:t>
      </w:r>
      <w:r w:rsidR="00167892">
        <w:rPr>
          <w:noProof/>
        </w:rPr>
        <w:fldChar w:fldCharType="end"/>
      </w:r>
      <w:r>
        <w:t xml:space="preserve">: </w:t>
      </w:r>
      <w:r w:rsidRPr="00DE4D69">
        <w:t>Key components of the clinical issue addressed by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w:tblDescription w:val="Key components of the clinical issue addressed by the submission "/>
      </w:tblPr>
      <w:tblGrid>
        <w:gridCol w:w="1196"/>
        <w:gridCol w:w="7821"/>
      </w:tblGrid>
      <w:tr w:rsidR="00CC696E" w:rsidRPr="009A5A91" w14:paraId="3CD90B44" w14:textId="77777777" w:rsidTr="008B355F">
        <w:trPr>
          <w:cantSplit/>
          <w:tblHeader/>
        </w:trPr>
        <w:tc>
          <w:tcPr>
            <w:tcW w:w="663" w:type="pct"/>
          </w:tcPr>
          <w:p w14:paraId="733DFBD9" w14:textId="77777777" w:rsidR="00CC696E" w:rsidRPr="009A5A91" w:rsidRDefault="00CC696E" w:rsidP="00E7466A">
            <w:pPr>
              <w:keepNext/>
              <w:keepLines/>
              <w:jc w:val="left"/>
              <w:rPr>
                <w:rFonts w:ascii="Arial Narrow" w:eastAsiaTheme="majorEastAsia" w:hAnsi="Arial Narrow" w:cs="Times New Roman"/>
                <w:b/>
                <w:sz w:val="20"/>
                <w:szCs w:val="20"/>
                <w:lang w:val="en-US"/>
              </w:rPr>
            </w:pPr>
            <w:r w:rsidRPr="009A5A91">
              <w:rPr>
                <w:rFonts w:ascii="Arial Narrow" w:eastAsiaTheme="majorEastAsia" w:hAnsi="Arial Narrow" w:cs="Times New Roman"/>
                <w:b/>
                <w:sz w:val="20"/>
                <w:lang w:val="en-US"/>
              </w:rPr>
              <w:t>Component</w:t>
            </w:r>
          </w:p>
        </w:tc>
        <w:tc>
          <w:tcPr>
            <w:tcW w:w="4337" w:type="pct"/>
          </w:tcPr>
          <w:p w14:paraId="2BF3A3A0" w14:textId="77777777" w:rsidR="00CC696E" w:rsidRPr="009A5A91" w:rsidRDefault="00CC696E" w:rsidP="00E7466A">
            <w:pPr>
              <w:keepNext/>
              <w:keepLines/>
              <w:jc w:val="left"/>
              <w:rPr>
                <w:rFonts w:ascii="Arial Narrow" w:eastAsiaTheme="majorEastAsia" w:hAnsi="Arial Narrow" w:cs="Times New Roman"/>
                <w:b/>
                <w:sz w:val="20"/>
                <w:lang w:val="en-US"/>
              </w:rPr>
            </w:pPr>
            <w:r w:rsidRPr="009A5A91">
              <w:rPr>
                <w:rFonts w:ascii="Arial Narrow" w:eastAsiaTheme="majorEastAsia" w:hAnsi="Arial Narrow" w:cs="Times New Roman"/>
                <w:b/>
                <w:sz w:val="20"/>
                <w:lang w:val="en-US"/>
              </w:rPr>
              <w:t>Description</w:t>
            </w:r>
          </w:p>
        </w:tc>
      </w:tr>
      <w:tr w:rsidR="00CC696E" w:rsidRPr="009A5A91" w14:paraId="41C1AB50" w14:textId="77777777" w:rsidTr="008B355F">
        <w:trPr>
          <w:cantSplit/>
        </w:trPr>
        <w:tc>
          <w:tcPr>
            <w:tcW w:w="663" w:type="pct"/>
          </w:tcPr>
          <w:p w14:paraId="6D91F6E2" w14:textId="77777777" w:rsidR="00CC696E" w:rsidRPr="009A5A91" w:rsidRDefault="00CC696E" w:rsidP="00E7466A">
            <w:pPr>
              <w:keepNext/>
              <w:keepLines/>
              <w:jc w:val="left"/>
              <w:rPr>
                <w:rFonts w:ascii="Arial Narrow" w:eastAsiaTheme="majorEastAsia" w:hAnsi="Arial Narrow" w:cstheme="majorBidi"/>
                <w:bCs/>
                <w:sz w:val="20"/>
                <w:szCs w:val="18"/>
              </w:rPr>
            </w:pPr>
            <w:r w:rsidRPr="009A5A91">
              <w:rPr>
                <w:rFonts w:ascii="Arial Narrow" w:eastAsiaTheme="majorEastAsia" w:hAnsi="Arial Narrow" w:cstheme="majorBidi"/>
                <w:bCs/>
                <w:sz w:val="20"/>
                <w:szCs w:val="18"/>
              </w:rPr>
              <w:t>Population</w:t>
            </w:r>
          </w:p>
        </w:tc>
        <w:tc>
          <w:tcPr>
            <w:tcW w:w="4337" w:type="pct"/>
          </w:tcPr>
          <w:p w14:paraId="13B92B60" w14:textId="77777777" w:rsidR="00CC696E" w:rsidRPr="009A5A91" w:rsidRDefault="00CC696E" w:rsidP="00E7466A">
            <w:pPr>
              <w:keepNext/>
              <w:keepLines/>
              <w:jc w:val="left"/>
              <w:rPr>
                <w:rFonts w:ascii="Arial Narrow" w:eastAsiaTheme="majorEastAsia" w:hAnsi="Arial Narrow" w:cstheme="majorBidi"/>
                <w:bCs/>
                <w:sz w:val="20"/>
                <w:szCs w:val="18"/>
              </w:rPr>
            </w:pPr>
            <w:r w:rsidRPr="003D5473">
              <w:rPr>
                <w:rFonts w:ascii="Arial Narrow" w:eastAsiaTheme="majorEastAsia" w:hAnsi="Arial Narrow" w:cstheme="majorBidi"/>
                <w:bCs/>
                <w:sz w:val="20"/>
                <w:szCs w:val="18"/>
              </w:rPr>
              <w:t>Patients aged 12 years or older with chronic severe AD affecting the whole body or the face and/or hands, who are inadequately controlled on topical therapies.</w:t>
            </w:r>
          </w:p>
        </w:tc>
      </w:tr>
      <w:tr w:rsidR="00CC696E" w:rsidRPr="009A5A91" w14:paraId="6BE01B2F" w14:textId="77777777" w:rsidTr="008B355F">
        <w:trPr>
          <w:cantSplit/>
        </w:trPr>
        <w:tc>
          <w:tcPr>
            <w:tcW w:w="663" w:type="pct"/>
          </w:tcPr>
          <w:p w14:paraId="3DD5E0B3" w14:textId="77777777" w:rsidR="00CC696E" w:rsidRPr="009A5A91" w:rsidRDefault="00CC696E" w:rsidP="00E7466A">
            <w:pPr>
              <w:keepNext/>
              <w:keepLines/>
              <w:jc w:val="left"/>
              <w:rPr>
                <w:rFonts w:ascii="Arial Narrow" w:eastAsiaTheme="majorEastAsia" w:hAnsi="Arial Narrow" w:cstheme="majorBidi"/>
                <w:bCs/>
                <w:sz w:val="20"/>
                <w:szCs w:val="18"/>
              </w:rPr>
            </w:pPr>
            <w:r w:rsidRPr="009A5A91">
              <w:rPr>
                <w:rFonts w:ascii="Arial Narrow" w:eastAsiaTheme="majorEastAsia" w:hAnsi="Arial Narrow" w:cstheme="majorBidi"/>
                <w:bCs/>
                <w:sz w:val="20"/>
                <w:szCs w:val="18"/>
              </w:rPr>
              <w:t>Intervention</w:t>
            </w:r>
          </w:p>
        </w:tc>
        <w:tc>
          <w:tcPr>
            <w:tcW w:w="4337" w:type="pct"/>
          </w:tcPr>
          <w:p w14:paraId="5119F530" w14:textId="5E2A9408" w:rsidR="00C735D3" w:rsidRPr="009A5A91" w:rsidRDefault="00CC696E" w:rsidP="00E7466A">
            <w:pPr>
              <w:keepNext/>
              <w:keepLines/>
              <w:jc w:val="left"/>
              <w:rPr>
                <w:rFonts w:ascii="Arial Narrow" w:eastAsiaTheme="majorEastAsia" w:hAnsi="Arial Narrow" w:cstheme="majorBidi"/>
                <w:bCs/>
                <w:sz w:val="20"/>
                <w:szCs w:val="18"/>
              </w:rPr>
            </w:pPr>
            <w:r w:rsidRPr="003D5473">
              <w:rPr>
                <w:rFonts w:ascii="Arial Narrow" w:eastAsiaTheme="majorEastAsia" w:hAnsi="Arial Narrow" w:cstheme="majorBidi"/>
                <w:bCs/>
                <w:sz w:val="20"/>
                <w:szCs w:val="18"/>
              </w:rPr>
              <w:t>Nemolizumab (NEMO) 60 mg SC as an initial dose, followed by 30 mg SC given Q4W. After 16 weeks of treatment, NEMO 30 mg SC Q8W.</w:t>
            </w:r>
          </w:p>
        </w:tc>
      </w:tr>
      <w:tr w:rsidR="00CC696E" w:rsidRPr="009A5A91" w14:paraId="40DCB9FC" w14:textId="77777777" w:rsidTr="008B355F">
        <w:trPr>
          <w:cantSplit/>
        </w:trPr>
        <w:tc>
          <w:tcPr>
            <w:tcW w:w="663" w:type="pct"/>
          </w:tcPr>
          <w:p w14:paraId="0F7FD7BB" w14:textId="77777777" w:rsidR="00CC696E" w:rsidRPr="009A5A91" w:rsidRDefault="00CC696E" w:rsidP="00E7466A">
            <w:pPr>
              <w:keepNext/>
              <w:keepLines/>
              <w:jc w:val="left"/>
              <w:rPr>
                <w:rFonts w:ascii="Arial Narrow" w:eastAsiaTheme="majorEastAsia" w:hAnsi="Arial Narrow" w:cstheme="majorBidi"/>
                <w:bCs/>
                <w:sz w:val="20"/>
                <w:szCs w:val="18"/>
              </w:rPr>
            </w:pPr>
            <w:r w:rsidRPr="009A5A91">
              <w:rPr>
                <w:rFonts w:ascii="Arial Narrow" w:eastAsiaTheme="majorEastAsia" w:hAnsi="Arial Narrow" w:cstheme="majorBidi"/>
                <w:bCs/>
                <w:sz w:val="20"/>
                <w:szCs w:val="18"/>
              </w:rPr>
              <w:t>Comparator</w:t>
            </w:r>
          </w:p>
        </w:tc>
        <w:tc>
          <w:tcPr>
            <w:tcW w:w="4337" w:type="pct"/>
          </w:tcPr>
          <w:p w14:paraId="3683EBF0" w14:textId="77777777" w:rsidR="00CC696E" w:rsidRPr="003D5473" w:rsidRDefault="00CC696E" w:rsidP="00E7466A">
            <w:pPr>
              <w:keepNext/>
              <w:keepLines/>
              <w:jc w:val="left"/>
              <w:rPr>
                <w:rFonts w:ascii="Arial Narrow" w:eastAsiaTheme="majorEastAsia" w:hAnsi="Arial Narrow" w:cstheme="majorBidi"/>
                <w:bCs/>
                <w:sz w:val="20"/>
                <w:szCs w:val="18"/>
              </w:rPr>
            </w:pPr>
            <w:r w:rsidRPr="003D5473">
              <w:rPr>
                <w:rFonts w:ascii="Arial Narrow" w:eastAsiaTheme="majorEastAsia" w:hAnsi="Arial Narrow" w:cstheme="majorBidi"/>
                <w:bCs/>
                <w:sz w:val="20"/>
                <w:szCs w:val="18"/>
              </w:rPr>
              <w:t>In adult patients</w:t>
            </w:r>
            <w:r>
              <w:rPr>
                <w:rFonts w:ascii="Arial Narrow" w:eastAsiaTheme="majorEastAsia" w:hAnsi="Arial Narrow" w:cstheme="majorBidi"/>
                <w:bCs/>
                <w:sz w:val="20"/>
                <w:szCs w:val="18"/>
              </w:rPr>
              <w:t xml:space="preserve"> and in adolescents </w:t>
            </w:r>
            <w:r w:rsidRPr="003D5473">
              <w:rPr>
                <w:rFonts w:ascii="Arial Narrow" w:eastAsiaTheme="majorEastAsia" w:hAnsi="Arial Narrow" w:cstheme="majorBidi"/>
                <w:bCs/>
                <w:sz w:val="20"/>
                <w:szCs w:val="18"/>
              </w:rPr>
              <w:t xml:space="preserve">≥ 60 kg: Dupilumab (DUPI) 600 mg SC injection as a loading dose followed by 300 mg SC injection Q2W </w:t>
            </w:r>
          </w:p>
          <w:p w14:paraId="7DFF2934" w14:textId="77777777" w:rsidR="00CC696E" w:rsidRPr="009A5A91" w:rsidRDefault="00CC696E" w:rsidP="00E7466A">
            <w:pPr>
              <w:keepNext/>
              <w:keepLines/>
              <w:jc w:val="left"/>
              <w:rPr>
                <w:rFonts w:ascii="Arial Narrow" w:eastAsiaTheme="majorEastAsia" w:hAnsi="Arial Narrow" w:cstheme="majorBidi"/>
                <w:bCs/>
                <w:sz w:val="20"/>
                <w:szCs w:val="18"/>
              </w:rPr>
            </w:pPr>
            <w:r w:rsidRPr="003D5473">
              <w:rPr>
                <w:rFonts w:ascii="Arial Narrow" w:eastAsiaTheme="majorEastAsia" w:hAnsi="Arial Narrow" w:cstheme="majorBidi"/>
                <w:bCs/>
                <w:sz w:val="20"/>
                <w:szCs w:val="18"/>
              </w:rPr>
              <w:t>In adolescents 30 kg to &lt; 60 kg: DUPI 400 mg SC injection as a loading dose, followed by 200 mg SC injection Q2W</w:t>
            </w:r>
          </w:p>
        </w:tc>
      </w:tr>
      <w:tr w:rsidR="00CC696E" w:rsidRPr="009A5A91" w14:paraId="329DB24A" w14:textId="77777777" w:rsidTr="008B355F">
        <w:trPr>
          <w:cantSplit/>
        </w:trPr>
        <w:tc>
          <w:tcPr>
            <w:tcW w:w="663" w:type="pct"/>
          </w:tcPr>
          <w:p w14:paraId="6ED7C964" w14:textId="77777777" w:rsidR="00CC696E" w:rsidRPr="009A5A91" w:rsidRDefault="00CC696E" w:rsidP="00E7466A">
            <w:pPr>
              <w:keepNext/>
              <w:keepLines/>
              <w:jc w:val="left"/>
              <w:rPr>
                <w:rFonts w:ascii="Arial Narrow" w:eastAsiaTheme="majorEastAsia" w:hAnsi="Arial Narrow" w:cstheme="majorBidi"/>
                <w:bCs/>
                <w:sz w:val="20"/>
                <w:szCs w:val="18"/>
              </w:rPr>
            </w:pPr>
            <w:r w:rsidRPr="009A5A91">
              <w:rPr>
                <w:rFonts w:ascii="Arial Narrow" w:eastAsiaTheme="majorEastAsia" w:hAnsi="Arial Narrow" w:cstheme="majorBidi"/>
                <w:bCs/>
                <w:sz w:val="20"/>
                <w:szCs w:val="18"/>
              </w:rPr>
              <w:t>Outcomes</w:t>
            </w:r>
          </w:p>
        </w:tc>
        <w:tc>
          <w:tcPr>
            <w:tcW w:w="4337" w:type="pct"/>
          </w:tcPr>
          <w:p w14:paraId="67560127" w14:textId="19D8513E" w:rsidR="00CC696E" w:rsidRPr="003D5473" w:rsidRDefault="00CC696E" w:rsidP="00E7466A">
            <w:pPr>
              <w:keepNext/>
              <w:keepLines/>
              <w:jc w:val="left"/>
              <w:rPr>
                <w:rFonts w:ascii="Arial Narrow" w:eastAsiaTheme="majorEastAsia" w:hAnsi="Arial Narrow" w:cstheme="majorBidi"/>
                <w:bCs/>
                <w:snapToGrid w:val="0"/>
                <w:sz w:val="20"/>
                <w:szCs w:val="18"/>
              </w:rPr>
            </w:pPr>
            <w:r w:rsidRPr="003D5473">
              <w:rPr>
                <w:rFonts w:ascii="Arial Narrow" w:eastAsiaTheme="majorEastAsia" w:hAnsi="Arial Narrow" w:cstheme="majorBidi"/>
                <w:bCs/>
                <w:snapToGrid w:val="0"/>
                <w:sz w:val="20"/>
                <w:szCs w:val="18"/>
              </w:rPr>
              <w:t>Primary outcomes: Proportion of patients with a 75% improvement in EASI score (EASI</w:t>
            </w:r>
            <w:r w:rsidR="00C57111">
              <w:rPr>
                <w:rFonts w:ascii="Arial Narrow" w:eastAsiaTheme="majorEastAsia" w:hAnsi="Arial Narrow" w:cstheme="majorBidi"/>
                <w:bCs/>
                <w:snapToGrid w:val="0"/>
                <w:sz w:val="20"/>
                <w:szCs w:val="18"/>
              </w:rPr>
              <w:t>-</w:t>
            </w:r>
            <w:r w:rsidRPr="003D5473">
              <w:rPr>
                <w:rFonts w:ascii="Arial Narrow" w:eastAsiaTheme="majorEastAsia" w:hAnsi="Arial Narrow" w:cstheme="majorBidi"/>
                <w:bCs/>
                <w:snapToGrid w:val="0"/>
                <w:sz w:val="20"/>
                <w:szCs w:val="18"/>
              </w:rPr>
              <w:t>75)</w:t>
            </w:r>
            <w:r>
              <w:rPr>
                <w:rFonts w:ascii="Arial Narrow" w:eastAsiaTheme="majorEastAsia" w:hAnsi="Arial Narrow" w:cstheme="majorBidi"/>
                <w:bCs/>
                <w:snapToGrid w:val="0"/>
                <w:sz w:val="20"/>
                <w:szCs w:val="18"/>
              </w:rPr>
              <w:t xml:space="preserve"> </w:t>
            </w:r>
            <w:r w:rsidRPr="003D5473">
              <w:rPr>
                <w:rFonts w:ascii="Arial Narrow" w:eastAsiaTheme="majorEastAsia" w:hAnsi="Arial Narrow" w:cstheme="majorBidi"/>
                <w:bCs/>
                <w:snapToGrid w:val="0"/>
                <w:sz w:val="20"/>
                <w:szCs w:val="18"/>
              </w:rPr>
              <w:t xml:space="preserve">at Week 16; proportion of patients achieving </w:t>
            </w:r>
            <w:r>
              <w:rPr>
                <w:rFonts w:ascii="Arial Narrow" w:eastAsiaTheme="majorEastAsia" w:hAnsi="Arial Narrow" w:cstheme="majorBidi"/>
                <w:bCs/>
                <w:snapToGrid w:val="0"/>
                <w:sz w:val="20"/>
                <w:szCs w:val="18"/>
              </w:rPr>
              <w:t>I</w:t>
            </w:r>
            <w:r w:rsidRPr="003D5473">
              <w:rPr>
                <w:rFonts w:ascii="Arial Narrow" w:eastAsiaTheme="majorEastAsia" w:hAnsi="Arial Narrow" w:cstheme="majorBidi"/>
                <w:bCs/>
                <w:snapToGrid w:val="0"/>
                <w:sz w:val="20"/>
                <w:szCs w:val="18"/>
              </w:rPr>
              <w:t>GA score of 0 or 1 with a ≥ 2-point improvement at Week 16.</w:t>
            </w:r>
          </w:p>
          <w:p w14:paraId="697730DF" w14:textId="7C102101" w:rsidR="00CC696E" w:rsidRPr="003D5473" w:rsidRDefault="00CC696E" w:rsidP="00E7466A">
            <w:pPr>
              <w:keepNext/>
              <w:keepLines/>
              <w:jc w:val="left"/>
              <w:rPr>
                <w:rFonts w:ascii="Arial Narrow" w:eastAsiaTheme="majorEastAsia" w:hAnsi="Arial Narrow" w:cstheme="majorBidi"/>
                <w:bCs/>
                <w:i/>
                <w:snapToGrid w:val="0"/>
                <w:sz w:val="20"/>
                <w:szCs w:val="18"/>
              </w:rPr>
            </w:pPr>
            <w:r w:rsidRPr="003D5473">
              <w:rPr>
                <w:rFonts w:ascii="Arial Narrow" w:eastAsiaTheme="majorEastAsia" w:hAnsi="Arial Narrow" w:cstheme="majorBidi"/>
                <w:bCs/>
                <w:snapToGrid w:val="0"/>
                <w:sz w:val="20"/>
                <w:szCs w:val="18"/>
              </w:rPr>
              <w:t>Secondary outcomes: Proportion of patients achieving a 50% improvement in EASI score (EASI</w:t>
            </w:r>
            <w:r w:rsidR="00C57111">
              <w:rPr>
                <w:rFonts w:ascii="Arial Narrow" w:eastAsiaTheme="majorEastAsia" w:hAnsi="Arial Narrow" w:cstheme="majorBidi"/>
                <w:bCs/>
                <w:snapToGrid w:val="0"/>
                <w:sz w:val="20"/>
                <w:szCs w:val="18"/>
              </w:rPr>
              <w:t>-</w:t>
            </w:r>
            <w:r w:rsidRPr="003D5473">
              <w:rPr>
                <w:rFonts w:ascii="Arial Narrow" w:eastAsiaTheme="majorEastAsia" w:hAnsi="Arial Narrow" w:cstheme="majorBidi"/>
                <w:bCs/>
                <w:snapToGrid w:val="0"/>
                <w:sz w:val="20"/>
                <w:szCs w:val="18"/>
              </w:rPr>
              <w:t xml:space="preserve"> 50); proportion of patients achieving a ≥ 4-point improvement in DLQI at Week 16; </w:t>
            </w:r>
            <w:r w:rsidRPr="003D5473">
              <w:rPr>
                <w:rFonts w:ascii="Arial Narrow" w:eastAsiaTheme="majorEastAsia" w:hAnsi="Arial Narrow" w:cstheme="majorBidi"/>
                <w:bCs/>
                <w:iCs/>
                <w:snapToGrid w:val="0"/>
                <w:sz w:val="20"/>
                <w:szCs w:val="18"/>
              </w:rPr>
              <w:t>PP-NRS at Week 16.</w:t>
            </w:r>
          </w:p>
          <w:p w14:paraId="1C9AD6F2" w14:textId="12E3AC2E" w:rsidR="00CC696E" w:rsidRPr="003D5473" w:rsidRDefault="00CC696E" w:rsidP="00E7466A">
            <w:pPr>
              <w:keepNext/>
              <w:keepLines/>
              <w:jc w:val="left"/>
              <w:rPr>
                <w:rFonts w:ascii="Arial Narrow" w:eastAsiaTheme="majorEastAsia" w:hAnsi="Arial Narrow" w:cstheme="majorBidi"/>
                <w:bCs/>
                <w:snapToGrid w:val="0"/>
                <w:sz w:val="20"/>
                <w:szCs w:val="18"/>
              </w:rPr>
            </w:pPr>
            <w:r w:rsidRPr="003D5473">
              <w:rPr>
                <w:rFonts w:ascii="Arial Narrow" w:eastAsiaTheme="majorEastAsia" w:hAnsi="Arial Narrow" w:cstheme="majorBidi"/>
                <w:bCs/>
                <w:snapToGrid w:val="0"/>
                <w:sz w:val="20"/>
                <w:szCs w:val="18"/>
              </w:rPr>
              <w:t>Post-hoc outcome: PBS response criteria: composite measure of response EASI</w:t>
            </w:r>
            <w:r w:rsidR="00723DB2">
              <w:rPr>
                <w:rFonts w:ascii="Arial Narrow" w:eastAsiaTheme="majorEastAsia" w:hAnsi="Arial Narrow" w:cstheme="majorBidi"/>
                <w:bCs/>
                <w:snapToGrid w:val="0"/>
                <w:sz w:val="20"/>
                <w:szCs w:val="18"/>
              </w:rPr>
              <w:t>-</w:t>
            </w:r>
            <w:r w:rsidRPr="003D5473">
              <w:rPr>
                <w:rFonts w:ascii="Arial Narrow" w:eastAsiaTheme="majorEastAsia" w:hAnsi="Arial Narrow" w:cstheme="majorBidi"/>
                <w:bCs/>
                <w:snapToGrid w:val="0"/>
                <w:sz w:val="20"/>
                <w:szCs w:val="18"/>
              </w:rPr>
              <w:t>50 and improvement in DLQI ≥4-points, at Week 16.</w:t>
            </w:r>
          </w:p>
          <w:p w14:paraId="7B34C605" w14:textId="77777777" w:rsidR="00CC696E" w:rsidRPr="009A5A91" w:rsidRDefault="00CC696E" w:rsidP="00E7466A">
            <w:pPr>
              <w:keepNext/>
              <w:keepLines/>
              <w:jc w:val="left"/>
              <w:rPr>
                <w:rFonts w:ascii="Arial Narrow" w:eastAsiaTheme="majorEastAsia" w:hAnsi="Arial Narrow" w:cstheme="majorBidi"/>
                <w:bCs/>
                <w:snapToGrid w:val="0"/>
                <w:sz w:val="20"/>
                <w:szCs w:val="18"/>
              </w:rPr>
            </w:pPr>
            <w:r w:rsidRPr="003D5473">
              <w:rPr>
                <w:rFonts w:ascii="Arial Narrow" w:eastAsiaTheme="majorEastAsia" w:hAnsi="Arial Narrow" w:cstheme="majorBidi"/>
                <w:bCs/>
                <w:snapToGrid w:val="0"/>
                <w:sz w:val="20"/>
                <w:szCs w:val="18"/>
              </w:rPr>
              <w:t>Safety outcomes: Proportion of patients experiencing AEs, SAEs and discontinuation of treatment due to AEs.</w:t>
            </w:r>
          </w:p>
        </w:tc>
      </w:tr>
      <w:tr w:rsidR="00CC696E" w:rsidRPr="009A5A91" w14:paraId="190357E4" w14:textId="77777777" w:rsidTr="008B355F">
        <w:trPr>
          <w:cantSplit/>
        </w:trPr>
        <w:tc>
          <w:tcPr>
            <w:tcW w:w="663" w:type="pct"/>
          </w:tcPr>
          <w:p w14:paraId="66CDA01D" w14:textId="77777777" w:rsidR="00CC696E" w:rsidRPr="009A5A91" w:rsidRDefault="00CC696E" w:rsidP="00E7466A">
            <w:pPr>
              <w:keepNext/>
              <w:keepLines/>
              <w:jc w:val="left"/>
              <w:rPr>
                <w:rFonts w:ascii="Arial Narrow" w:eastAsiaTheme="majorEastAsia" w:hAnsi="Arial Narrow" w:cstheme="majorBidi"/>
                <w:bCs/>
                <w:sz w:val="20"/>
                <w:szCs w:val="18"/>
              </w:rPr>
            </w:pPr>
            <w:r w:rsidRPr="009A5A91">
              <w:rPr>
                <w:rFonts w:ascii="Arial Narrow" w:eastAsiaTheme="majorEastAsia" w:hAnsi="Arial Narrow" w:cstheme="majorBidi"/>
                <w:bCs/>
                <w:sz w:val="20"/>
                <w:szCs w:val="18"/>
              </w:rPr>
              <w:t>Clinical claim</w:t>
            </w:r>
          </w:p>
        </w:tc>
        <w:tc>
          <w:tcPr>
            <w:tcW w:w="4337" w:type="pct"/>
          </w:tcPr>
          <w:p w14:paraId="79847390" w14:textId="77777777" w:rsidR="00CC696E" w:rsidRPr="003D5473" w:rsidRDefault="00CC696E" w:rsidP="00E7466A">
            <w:pPr>
              <w:keepNext/>
              <w:keepLines/>
              <w:jc w:val="left"/>
              <w:rPr>
                <w:rFonts w:ascii="Arial Narrow" w:eastAsiaTheme="majorEastAsia" w:hAnsi="Arial Narrow" w:cstheme="majorBidi"/>
                <w:bCs/>
                <w:snapToGrid w:val="0"/>
                <w:sz w:val="20"/>
                <w:szCs w:val="18"/>
              </w:rPr>
            </w:pPr>
            <w:r w:rsidRPr="003D5473">
              <w:rPr>
                <w:rFonts w:ascii="Arial Narrow" w:eastAsiaTheme="majorEastAsia" w:hAnsi="Arial Narrow" w:cstheme="majorBidi"/>
                <w:bCs/>
                <w:snapToGrid w:val="0"/>
                <w:sz w:val="20"/>
                <w:szCs w:val="18"/>
              </w:rPr>
              <w:t xml:space="preserve">For the treatment of patients aged 12 years or older with chronic severe AD affecting the whole body or the face and/or hands, who are inadequately controlled on topical therapies, </w:t>
            </w:r>
            <w:r>
              <w:rPr>
                <w:rFonts w:ascii="Arial Narrow" w:eastAsiaTheme="majorEastAsia" w:hAnsi="Arial Narrow" w:cstheme="majorBidi"/>
                <w:bCs/>
                <w:snapToGrid w:val="0"/>
                <w:sz w:val="20"/>
                <w:szCs w:val="18"/>
              </w:rPr>
              <w:t>NEMO</w:t>
            </w:r>
            <w:r w:rsidRPr="003D5473">
              <w:rPr>
                <w:rFonts w:ascii="Arial Narrow" w:eastAsiaTheme="majorEastAsia" w:hAnsi="Arial Narrow" w:cstheme="majorBidi"/>
                <w:bCs/>
                <w:snapToGrid w:val="0"/>
                <w:sz w:val="20"/>
                <w:szCs w:val="18"/>
              </w:rPr>
              <w:t xml:space="preserve"> is non-inferior to </w:t>
            </w:r>
            <w:r>
              <w:rPr>
                <w:rFonts w:ascii="Arial Narrow" w:eastAsiaTheme="majorEastAsia" w:hAnsi="Arial Narrow" w:cstheme="majorBidi"/>
                <w:bCs/>
                <w:snapToGrid w:val="0"/>
                <w:sz w:val="20"/>
                <w:szCs w:val="18"/>
              </w:rPr>
              <w:t>DUPI</w:t>
            </w:r>
            <w:r w:rsidRPr="003D5473">
              <w:rPr>
                <w:rFonts w:ascii="Arial Narrow" w:eastAsiaTheme="majorEastAsia" w:hAnsi="Arial Narrow" w:cstheme="majorBidi"/>
                <w:bCs/>
                <w:snapToGrid w:val="0"/>
                <w:sz w:val="20"/>
                <w:szCs w:val="18"/>
              </w:rPr>
              <w:t xml:space="preserve"> in terms of efficacy and safety, based on their recommended dosing schedules.</w:t>
            </w:r>
          </w:p>
          <w:p w14:paraId="69526541" w14:textId="77777777" w:rsidR="00CC696E" w:rsidRPr="009A5A91" w:rsidRDefault="00CC696E" w:rsidP="00E7466A">
            <w:pPr>
              <w:keepNext/>
              <w:keepLines/>
              <w:jc w:val="left"/>
              <w:rPr>
                <w:rFonts w:ascii="Arial Narrow" w:eastAsiaTheme="majorEastAsia" w:hAnsi="Arial Narrow" w:cstheme="majorBidi"/>
                <w:bCs/>
                <w:snapToGrid w:val="0"/>
                <w:sz w:val="20"/>
                <w:szCs w:val="18"/>
              </w:rPr>
            </w:pPr>
            <w:r w:rsidRPr="003D5473">
              <w:rPr>
                <w:rFonts w:ascii="Arial Narrow" w:eastAsiaTheme="majorEastAsia" w:hAnsi="Arial Narrow" w:cstheme="majorBidi"/>
                <w:bCs/>
                <w:snapToGrid w:val="0"/>
                <w:sz w:val="20"/>
                <w:szCs w:val="18"/>
              </w:rPr>
              <w:t xml:space="preserve">In addition, </w:t>
            </w:r>
            <w:r>
              <w:rPr>
                <w:rFonts w:ascii="Arial Narrow" w:eastAsiaTheme="majorEastAsia" w:hAnsi="Arial Narrow" w:cstheme="majorBidi"/>
                <w:bCs/>
                <w:snapToGrid w:val="0"/>
                <w:sz w:val="20"/>
                <w:szCs w:val="18"/>
              </w:rPr>
              <w:t>NEMO</w:t>
            </w:r>
            <w:r w:rsidRPr="003D5473">
              <w:rPr>
                <w:rFonts w:ascii="Arial Narrow" w:eastAsiaTheme="majorEastAsia" w:hAnsi="Arial Narrow" w:cstheme="majorBidi"/>
                <w:bCs/>
                <w:snapToGrid w:val="0"/>
                <w:sz w:val="20"/>
                <w:szCs w:val="18"/>
              </w:rPr>
              <w:t xml:space="preserve"> offers the benefits of fewer injections and reduced rate of conjunctivitis, compared to </w:t>
            </w:r>
            <w:r>
              <w:rPr>
                <w:rFonts w:ascii="Arial Narrow" w:eastAsiaTheme="majorEastAsia" w:hAnsi="Arial Narrow" w:cstheme="majorBidi"/>
                <w:bCs/>
                <w:snapToGrid w:val="0"/>
                <w:sz w:val="20"/>
                <w:szCs w:val="18"/>
              </w:rPr>
              <w:t>DUPI</w:t>
            </w:r>
            <w:r w:rsidRPr="003D5473">
              <w:rPr>
                <w:rFonts w:ascii="Arial Narrow" w:eastAsiaTheme="majorEastAsia" w:hAnsi="Arial Narrow" w:cstheme="majorBidi"/>
                <w:bCs/>
                <w:snapToGrid w:val="0"/>
                <w:sz w:val="20"/>
                <w:szCs w:val="18"/>
              </w:rPr>
              <w:t>.</w:t>
            </w:r>
          </w:p>
        </w:tc>
      </w:tr>
    </w:tbl>
    <w:p w14:paraId="304F812C" w14:textId="77777777" w:rsidR="00CC696E" w:rsidRPr="00397E6F" w:rsidRDefault="00CC696E" w:rsidP="00397E6F">
      <w:pPr>
        <w:pStyle w:val="TableFigureFooter"/>
      </w:pPr>
      <w:r w:rsidRPr="00397E6F">
        <w:t>Source: Table 1-1, p36 of the submission</w:t>
      </w:r>
    </w:p>
    <w:p w14:paraId="751B496D" w14:textId="55566037" w:rsidR="00CC696E" w:rsidRPr="00397E6F" w:rsidRDefault="00CC696E" w:rsidP="00397E6F">
      <w:pPr>
        <w:pStyle w:val="TableFigureFooter"/>
      </w:pPr>
      <w:r w:rsidRPr="00397E6F">
        <w:t xml:space="preserve">AD = atopic dermatitis; AEs = adverse events; DLQI = Dermatology Life Quality Index; EASI = Eczema Area and Severity Index; IGA = Investigator’s Global Assessment; </w:t>
      </w:r>
      <w:r w:rsidR="00EF16F4" w:rsidRPr="00397E6F">
        <w:rPr>
          <w:rFonts w:eastAsiaTheme="majorEastAsia"/>
        </w:rPr>
        <w:t>PP-NRS</w:t>
      </w:r>
      <w:r w:rsidR="00EF16F4" w:rsidRPr="00397E6F">
        <w:t xml:space="preserve"> = </w:t>
      </w:r>
      <w:r w:rsidR="00EF16F4" w:rsidRPr="00397E6F">
        <w:rPr>
          <w:rFonts w:eastAsiaTheme="majorEastAsia"/>
        </w:rPr>
        <w:t>Peak Pruritus Numerical Rating Score</w:t>
      </w:r>
      <w:r w:rsidR="00EF16F4" w:rsidRPr="00397E6F">
        <w:t xml:space="preserve">; </w:t>
      </w:r>
      <w:r w:rsidRPr="00397E6F">
        <w:t xml:space="preserve">Q2W = every </w:t>
      </w:r>
      <w:r w:rsidR="00EF16F4" w:rsidRPr="00397E6F">
        <w:t>2</w:t>
      </w:r>
      <w:r w:rsidRPr="00397E6F">
        <w:t xml:space="preserve"> weeks; Q4W = every 4 weeks; Q8W = every 8 weeks; SC = subcutaneous; PBS = Pharmaceutical Benefits Scheme; SAEs = serious adverse events</w:t>
      </w:r>
    </w:p>
    <w:p w14:paraId="0C9D8E3B" w14:textId="1B1950C6" w:rsidR="00CC696E" w:rsidRPr="00397E6F" w:rsidRDefault="00CC696E" w:rsidP="00397E6F">
      <w:pPr>
        <w:pStyle w:val="TableFigureFooter"/>
      </w:pPr>
      <w:r w:rsidRPr="00397E6F">
        <w:t>Note: IGA is equivalent to Physician’s Global Assessment (PGA) in the commentary</w:t>
      </w:r>
    </w:p>
    <w:p w14:paraId="6B4AB6C2" w14:textId="7F01D731" w:rsidR="005C25FF" w:rsidRPr="00D86D87" w:rsidRDefault="005C25FF" w:rsidP="004A6040">
      <w:pPr>
        <w:pStyle w:val="2-SectionHeading"/>
      </w:pPr>
      <w:bookmarkStart w:id="3" w:name="_Toc198648766"/>
      <w:r w:rsidRPr="00D86D87">
        <w:lastRenderedPageBreak/>
        <w:t>Background</w:t>
      </w:r>
      <w:bookmarkEnd w:id="3"/>
    </w:p>
    <w:p w14:paraId="2C521D6D" w14:textId="78CF03EE" w:rsidR="005C25FF" w:rsidRPr="00D86D87" w:rsidRDefault="005C25FF" w:rsidP="004A6040">
      <w:pPr>
        <w:pStyle w:val="4-SubsectionHeading"/>
      </w:pPr>
      <w:bookmarkStart w:id="4" w:name="_Toc22897638"/>
      <w:bookmarkStart w:id="5" w:name="_Toc198648767"/>
      <w:r w:rsidRPr="00D86D87">
        <w:t>Registration status</w:t>
      </w:r>
      <w:bookmarkEnd w:id="4"/>
      <w:bookmarkEnd w:id="5"/>
    </w:p>
    <w:p w14:paraId="5C3EC8D9" w14:textId="3CD71015" w:rsidR="00C57111" w:rsidRDefault="00446CC3" w:rsidP="00E7466A">
      <w:pPr>
        <w:pStyle w:val="3-BodyText"/>
      </w:pPr>
      <w:r w:rsidRPr="00F879F3">
        <w:t xml:space="preserve">TGA status at time of PBAC consideration: </w:t>
      </w:r>
      <w:r w:rsidR="00A165DE" w:rsidRPr="00F879F3">
        <w:t xml:space="preserve">registered. </w:t>
      </w:r>
      <w:r w:rsidR="00C57111" w:rsidRPr="00F879F3">
        <w:t>The submission was made under the TGA/PBAC Parallel Process</w:t>
      </w:r>
      <w:r w:rsidR="00A165DE" w:rsidRPr="00F879F3">
        <w:t xml:space="preserve">, with registration finalised </w:t>
      </w:r>
      <w:r w:rsidR="00847BDE" w:rsidRPr="00F879F3">
        <w:t xml:space="preserve">on </w:t>
      </w:r>
      <w:r w:rsidR="001F1163" w:rsidRPr="00F879F3">
        <w:t>27</w:t>
      </w:r>
      <w:r w:rsidR="00847BDE" w:rsidRPr="00F879F3">
        <w:t xml:space="preserve"> May 2025. </w:t>
      </w:r>
      <w:r w:rsidR="00C57111" w:rsidRPr="00F879F3">
        <w:t>The</w:t>
      </w:r>
      <w:r w:rsidR="00C57111" w:rsidRPr="006609EB">
        <w:t xml:space="preserve"> </w:t>
      </w:r>
      <w:r w:rsidR="00847BDE" w:rsidRPr="006609EB">
        <w:t xml:space="preserve">approved </w:t>
      </w:r>
      <w:r w:rsidR="00C57111" w:rsidRPr="006609EB">
        <w:t xml:space="preserve">TGA indication for </w:t>
      </w:r>
      <w:r w:rsidR="00BD03B5" w:rsidRPr="006609EB">
        <w:t>NEMO</w:t>
      </w:r>
      <w:r w:rsidR="00C57111" w:rsidRPr="006609EB">
        <w:t xml:space="preserve"> is</w:t>
      </w:r>
      <w:r w:rsidR="00871A41" w:rsidRPr="006609EB">
        <w:t xml:space="preserve"> “</w:t>
      </w:r>
      <w:r w:rsidR="00C57111" w:rsidRPr="006609EB">
        <w:t xml:space="preserve">for the treatment of moderate-to-severe atopic dermatitis </w:t>
      </w:r>
      <w:r w:rsidR="00F16659" w:rsidRPr="006609EB">
        <w:t xml:space="preserve">in combination with topical corticosteroids and/or topical calcineurin inhibitors in adults and </w:t>
      </w:r>
      <w:r w:rsidR="00C57111" w:rsidRPr="006609EB">
        <w:t>in patients</w:t>
      </w:r>
      <w:r w:rsidR="00C57111" w:rsidRPr="008B6D75">
        <w:t xml:space="preserve"> aged 12 years and </w:t>
      </w:r>
      <w:r w:rsidR="00EA5361" w:rsidRPr="006609EB">
        <w:t xml:space="preserve">above who weigh at least 30 kg, </w:t>
      </w:r>
      <w:r w:rsidR="00C57111" w:rsidRPr="006609EB">
        <w:t>who are candidates for systemic therapy</w:t>
      </w:r>
      <w:r w:rsidR="009B6584" w:rsidRPr="006609EB">
        <w:t>”</w:t>
      </w:r>
      <w:r w:rsidR="00C57111" w:rsidRPr="006609EB">
        <w:t>.</w:t>
      </w:r>
    </w:p>
    <w:p w14:paraId="76E4EF3C" w14:textId="2DECC110" w:rsidR="00B60939" w:rsidRPr="00D86D87" w:rsidRDefault="00B50DB8" w:rsidP="004E18E9">
      <w:pPr>
        <w:pStyle w:val="2-SectionHeading"/>
      </w:pPr>
      <w:bookmarkStart w:id="6" w:name="_Toc107902078"/>
      <w:bookmarkStart w:id="7" w:name="_Toc198648768"/>
      <w:bookmarkEnd w:id="6"/>
      <w:r w:rsidRPr="00D86D87">
        <w:t>Requested listing</w:t>
      </w:r>
      <w:bookmarkEnd w:id="7"/>
    </w:p>
    <w:p w14:paraId="378C48F9" w14:textId="77777777" w:rsidR="00E5780E" w:rsidRDefault="00002D66">
      <w:pPr>
        <w:jc w:val="left"/>
        <w:rPr>
          <w:rFonts w:asciiTheme="minorHAnsi" w:hAnsiTheme="minorHAnsi"/>
          <w:b/>
          <w:snapToGrid w:val="0"/>
          <w:sz w:val="32"/>
          <w:szCs w:val="32"/>
        </w:rPr>
      </w:pPr>
      <w:r w:rsidRPr="005C203C">
        <w:t xml:space="preserve">Suggested additions </w:t>
      </w:r>
      <w:r w:rsidR="00971C00">
        <w:t xml:space="preserve">proposed by the Secretariat </w:t>
      </w:r>
      <w:r w:rsidRPr="005C203C">
        <w:t xml:space="preserve">are </w:t>
      </w:r>
      <w:r w:rsidR="00971C00">
        <w:t xml:space="preserve">added </w:t>
      </w:r>
      <w:r w:rsidRPr="005C203C">
        <w:t xml:space="preserve">in </w:t>
      </w:r>
      <w:r w:rsidRPr="006F2D92">
        <w:t>italics</w:t>
      </w:r>
      <w:r w:rsidRPr="005C203C">
        <w:t xml:space="preserve"> and </w:t>
      </w:r>
      <w:r w:rsidR="00BB4E9E">
        <w:t xml:space="preserve">suggested </w:t>
      </w:r>
      <w:r w:rsidRPr="005C203C">
        <w:t xml:space="preserve">deletions are </w:t>
      </w:r>
      <w:r w:rsidR="00BB4E9E">
        <w:t xml:space="preserve">crossed out with </w:t>
      </w:r>
      <w:r w:rsidRPr="00555F48">
        <w:t>strikethrough</w:t>
      </w:r>
      <w:r w:rsidRPr="005C203C">
        <w:t>.</w:t>
      </w:r>
      <w:r w:rsidR="00482BFD">
        <w:t xml:space="preserve"> For brevity reasons, an abridged restriction is presented in this section. </w:t>
      </w:r>
      <w:r w:rsidR="004771D6">
        <w:t>A grandfather listing was proposed, but is not included below, also for brevity reasons.</w:t>
      </w:r>
      <w:r w:rsidR="00482BFD">
        <w:t xml:space="preserve"> </w:t>
      </w:r>
      <w:r w:rsidR="00852100">
        <w:t xml:space="preserve">Refer to </w:t>
      </w:r>
      <w:r w:rsidR="00761A71">
        <w:fldChar w:fldCharType="begin"/>
      </w:r>
      <w:r w:rsidR="00761A71">
        <w:instrText xml:space="preserve"> REF _Ref205990978 \h </w:instrText>
      </w:r>
      <w:r w:rsidR="00761A71">
        <w:fldChar w:fldCharType="separate"/>
      </w:r>
      <w:r w:rsidR="00E5780E">
        <w:br w:type="page"/>
      </w:r>
    </w:p>
    <w:p w14:paraId="7A022319" w14:textId="54390686" w:rsidR="00002D66" w:rsidRDefault="00E5780E">
      <w:pPr>
        <w:pStyle w:val="3-BodyText"/>
      </w:pPr>
      <w:r>
        <w:lastRenderedPageBreak/>
        <w:t xml:space="preserve">Appendix A: </w:t>
      </w:r>
      <w:r w:rsidRPr="00761A71">
        <w:t>Proposed</w:t>
      </w:r>
      <w:r>
        <w:t xml:space="preserve"> Restrictions</w:t>
      </w:r>
      <w:r w:rsidR="00761A71">
        <w:fldChar w:fldCharType="end"/>
      </w:r>
      <w:r w:rsidR="00F51EB1">
        <w:t xml:space="preserve"> for the </w:t>
      </w:r>
      <w:r w:rsidR="0073715E">
        <w:t xml:space="preserve">full </w:t>
      </w:r>
      <w:r w:rsidR="00F51EB1">
        <w:t>proposed restriction.</w:t>
      </w:r>
    </w:p>
    <w:p w14:paraId="3F095D1C" w14:textId="77777777" w:rsidR="00002D66" w:rsidRPr="00891FE5" w:rsidRDefault="00002D66" w:rsidP="00891FE5">
      <w:pPr>
        <w:pStyle w:val="3-BodyText"/>
        <w:numPr>
          <w:ilvl w:val="0"/>
          <w:numId w:val="0"/>
        </w:numPr>
        <w:rPr>
          <w:b/>
          <w:bCs/>
        </w:rPr>
      </w:pPr>
      <w:r w:rsidRPr="00891FE5">
        <w:rPr>
          <w:b/>
          <w:bCs/>
        </w:rPr>
        <w:t>Initial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quested listing - initial treatment"/>
      </w:tblPr>
      <w:tblGrid>
        <w:gridCol w:w="1272"/>
        <w:gridCol w:w="2668"/>
        <w:gridCol w:w="811"/>
        <w:gridCol w:w="812"/>
        <w:gridCol w:w="811"/>
        <w:gridCol w:w="812"/>
        <w:gridCol w:w="1831"/>
      </w:tblGrid>
      <w:tr w:rsidR="00002D66" w:rsidRPr="00446E53" w14:paraId="2C084496" w14:textId="77777777">
        <w:trPr>
          <w:cantSplit/>
          <w:trHeight w:val="20"/>
        </w:trPr>
        <w:tc>
          <w:tcPr>
            <w:tcW w:w="3940" w:type="dxa"/>
            <w:gridSpan w:val="2"/>
            <w:vAlign w:val="center"/>
          </w:tcPr>
          <w:p w14:paraId="6545CBB8" w14:textId="77777777" w:rsidR="00002D66" w:rsidRPr="00446E53" w:rsidRDefault="00002D66">
            <w:pPr>
              <w:keepLines/>
              <w:rPr>
                <w:rFonts w:ascii="Arial Narrow" w:hAnsi="Arial Narrow"/>
                <w:b/>
                <w:bCs/>
                <w:sz w:val="20"/>
                <w:szCs w:val="20"/>
              </w:rPr>
            </w:pPr>
            <w:r w:rsidRPr="00446E53">
              <w:rPr>
                <w:rFonts w:ascii="Arial Narrow" w:hAnsi="Arial Narrow"/>
                <w:b/>
                <w:bCs/>
                <w:sz w:val="20"/>
                <w:szCs w:val="20"/>
              </w:rPr>
              <w:t>MEDICINAL PRODUCT</w:t>
            </w:r>
          </w:p>
          <w:p w14:paraId="41A535CC" w14:textId="77777777" w:rsidR="00002D66" w:rsidRPr="00446E53" w:rsidRDefault="00002D66">
            <w:pPr>
              <w:keepLines/>
              <w:rPr>
                <w:rFonts w:ascii="Arial Narrow" w:hAnsi="Arial Narrow"/>
                <w:b/>
                <w:sz w:val="20"/>
                <w:szCs w:val="20"/>
              </w:rPr>
            </w:pPr>
            <w:r w:rsidRPr="00446E53">
              <w:rPr>
                <w:rFonts w:ascii="Arial Narrow" w:hAnsi="Arial Narrow"/>
                <w:b/>
                <w:bCs/>
                <w:sz w:val="20"/>
                <w:szCs w:val="20"/>
              </w:rPr>
              <w:t>medicinal product pack</w:t>
            </w:r>
          </w:p>
        </w:tc>
        <w:tc>
          <w:tcPr>
            <w:tcW w:w="811" w:type="dxa"/>
            <w:vAlign w:val="center"/>
          </w:tcPr>
          <w:p w14:paraId="7A0DB8C9" w14:textId="77777777" w:rsidR="00002D66" w:rsidRPr="00446E53" w:rsidRDefault="00002D66">
            <w:pPr>
              <w:keepLines/>
              <w:jc w:val="center"/>
              <w:rPr>
                <w:rFonts w:ascii="Arial Narrow" w:hAnsi="Arial Narrow"/>
                <w:b/>
                <w:sz w:val="20"/>
                <w:szCs w:val="20"/>
              </w:rPr>
            </w:pPr>
            <w:r w:rsidRPr="00446E53">
              <w:rPr>
                <w:rFonts w:ascii="Arial Narrow" w:hAnsi="Arial Narrow"/>
                <w:b/>
                <w:sz w:val="20"/>
                <w:szCs w:val="20"/>
              </w:rPr>
              <w:t>PBS item code</w:t>
            </w:r>
          </w:p>
        </w:tc>
        <w:tc>
          <w:tcPr>
            <w:tcW w:w="812" w:type="dxa"/>
            <w:vAlign w:val="center"/>
          </w:tcPr>
          <w:p w14:paraId="7B76E383" w14:textId="77777777" w:rsidR="00002D66" w:rsidRPr="00446E53" w:rsidRDefault="00002D66">
            <w:pPr>
              <w:keepLines/>
              <w:jc w:val="center"/>
              <w:rPr>
                <w:rFonts w:ascii="Arial Narrow" w:hAnsi="Arial Narrow"/>
                <w:b/>
                <w:sz w:val="20"/>
                <w:szCs w:val="20"/>
              </w:rPr>
            </w:pPr>
            <w:r w:rsidRPr="00446E53">
              <w:rPr>
                <w:rFonts w:ascii="Arial Narrow" w:hAnsi="Arial Narrow"/>
                <w:b/>
                <w:sz w:val="20"/>
                <w:szCs w:val="20"/>
              </w:rPr>
              <w:t>Max. qty packs</w:t>
            </w:r>
          </w:p>
        </w:tc>
        <w:tc>
          <w:tcPr>
            <w:tcW w:w="811" w:type="dxa"/>
            <w:vAlign w:val="center"/>
          </w:tcPr>
          <w:p w14:paraId="1B031965" w14:textId="77777777" w:rsidR="00002D66" w:rsidRPr="00446E53" w:rsidRDefault="00002D66">
            <w:pPr>
              <w:keepLines/>
              <w:jc w:val="center"/>
              <w:rPr>
                <w:rFonts w:ascii="Arial Narrow" w:hAnsi="Arial Narrow"/>
                <w:b/>
                <w:sz w:val="20"/>
                <w:szCs w:val="20"/>
              </w:rPr>
            </w:pPr>
            <w:r w:rsidRPr="00446E53">
              <w:rPr>
                <w:rFonts w:ascii="Arial Narrow" w:hAnsi="Arial Narrow"/>
                <w:b/>
                <w:sz w:val="20"/>
                <w:szCs w:val="20"/>
              </w:rPr>
              <w:t>Max. qty units</w:t>
            </w:r>
          </w:p>
        </w:tc>
        <w:tc>
          <w:tcPr>
            <w:tcW w:w="812" w:type="dxa"/>
            <w:vAlign w:val="center"/>
          </w:tcPr>
          <w:p w14:paraId="60F1F475" w14:textId="77777777" w:rsidR="00002D66" w:rsidRPr="00446E53" w:rsidRDefault="00002D66">
            <w:pPr>
              <w:keepLines/>
              <w:jc w:val="center"/>
              <w:rPr>
                <w:rFonts w:ascii="Arial Narrow" w:hAnsi="Arial Narrow"/>
                <w:b/>
                <w:sz w:val="20"/>
                <w:szCs w:val="20"/>
              </w:rPr>
            </w:pPr>
            <w:r w:rsidRPr="00446E53">
              <w:rPr>
                <w:rFonts w:ascii="Arial Narrow" w:hAnsi="Arial Narrow"/>
                <w:b/>
                <w:sz w:val="20"/>
                <w:szCs w:val="20"/>
              </w:rPr>
              <w:t>№.of</w:t>
            </w:r>
          </w:p>
          <w:p w14:paraId="3D3C1242" w14:textId="77777777" w:rsidR="00002D66" w:rsidRPr="00446E53" w:rsidRDefault="00002D66">
            <w:pPr>
              <w:keepLines/>
              <w:jc w:val="center"/>
              <w:rPr>
                <w:rFonts w:ascii="Arial Narrow" w:hAnsi="Arial Narrow"/>
                <w:b/>
                <w:sz w:val="20"/>
                <w:szCs w:val="20"/>
              </w:rPr>
            </w:pPr>
            <w:r w:rsidRPr="00446E53">
              <w:rPr>
                <w:rFonts w:ascii="Arial Narrow" w:hAnsi="Arial Narrow"/>
                <w:b/>
                <w:sz w:val="20"/>
                <w:szCs w:val="20"/>
              </w:rPr>
              <w:t>Rpts</w:t>
            </w:r>
          </w:p>
        </w:tc>
        <w:tc>
          <w:tcPr>
            <w:tcW w:w="1831" w:type="dxa"/>
            <w:vAlign w:val="center"/>
          </w:tcPr>
          <w:p w14:paraId="44953B14" w14:textId="77777777" w:rsidR="00002D66" w:rsidRPr="00446E53" w:rsidRDefault="00002D66">
            <w:pPr>
              <w:keepLines/>
              <w:rPr>
                <w:rFonts w:ascii="Arial Narrow" w:hAnsi="Arial Narrow"/>
                <w:b/>
                <w:sz w:val="20"/>
                <w:szCs w:val="20"/>
                <w:lang w:val="fr-FR"/>
              </w:rPr>
            </w:pPr>
            <w:r w:rsidRPr="00446E53">
              <w:rPr>
                <w:rFonts w:ascii="Arial Narrow" w:hAnsi="Arial Narrow"/>
                <w:b/>
                <w:sz w:val="20"/>
                <w:szCs w:val="20"/>
              </w:rPr>
              <w:t>Available brands</w:t>
            </w:r>
          </w:p>
        </w:tc>
      </w:tr>
      <w:tr w:rsidR="00002D66" w:rsidRPr="00446E53" w14:paraId="19C8A837" w14:textId="77777777">
        <w:trPr>
          <w:cantSplit/>
          <w:trHeight w:val="20"/>
        </w:trPr>
        <w:tc>
          <w:tcPr>
            <w:tcW w:w="9017" w:type="dxa"/>
            <w:gridSpan w:val="7"/>
            <w:vAlign w:val="center"/>
          </w:tcPr>
          <w:p w14:paraId="543BEB8F" w14:textId="77777777" w:rsidR="00002D66" w:rsidRPr="00446E53" w:rsidRDefault="00002D66">
            <w:pPr>
              <w:keepLines/>
              <w:rPr>
                <w:rFonts w:ascii="Arial Narrow" w:hAnsi="Arial Narrow"/>
                <w:sz w:val="20"/>
                <w:szCs w:val="20"/>
              </w:rPr>
            </w:pPr>
            <w:r>
              <w:rPr>
                <w:rFonts w:ascii="Arial Narrow" w:hAnsi="Arial Narrow"/>
                <w:sz w:val="20"/>
                <w:szCs w:val="20"/>
              </w:rPr>
              <w:t>NEMOLIZUMAB</w:t>
            </w:r>
          </w:p>
        </w:tc>
      </w:tr>
      <w:tr w:rsidR="00002D66" w:rsidRPr="00446E53" w14:paraId="2B4776B2" w14:textId="77777777">
        <w:trPr>
          <w:cantSplit/>
          <w:trHeight w:val="20"/>
        </w:trPr>
        <w:tc>
          <w:tcPr>
            <w:tcW w:w="3940" w:type="dxa"/>
            <w:gridSpan w:val="2"/>
            <w:vAlign w:val="center"/>
          </w:tcPr>
          <w:p w14:paraId="41EA0299" w14:textId="77777777" w:rsidR="00002D66" w:rsidRDefault="00002D66">
            <w:pPr>
              <w:keepLines/>
              <w:rPr>
                <w:rFonts w:ascii="Arial Narrow" w:hAnsi="Arial Narrow"/>
                <w:i/>
                <w:iCs/>
                <w:strike/>
                <w:sz w:val="20"/>
                <w:szCs w:val="20"/>
              </w:rPr>
            </w:pPr>
            <w:r w:rsidRPr="009C0970">
              <w:rPr>
                <w:rFonts w:ascii="Arial Narrow" w:hAnsi="Arial Narrow"/>
                <w:strike/>
                <w:sz w:val="20"/>
                <w:szCs w:val="20"/>
              </w:rPr>
              <w:t xml:space="preserve">nemolizumab 30 mg/0.49 mL injection, 1 x 0.49 mL pen device </w:t>
            </w:r>
          </w:p>
          <w:p w14:paraId="49727F66" w14:textId="77777777" w:rsidR="00002D66" w:rsidRPr="0063126F" w:rsidRDefault="00002D66">
            <w:pPr>
              <w:keepLines/>
              <w:rPr>
                <w:rFonts w:ascii="Arial Narrow" w:hAnsi="Arial Narrow"/>
                <w:i/>
                <w:iCs/>
                <w:sz w:val="20"/>
                <w:szCs w:val="20"/>
              </w:rPr>
            </w:pPr>
            <w:r>
              <w:rPr>
                <w:rFonts w:ascii="Arial Narrow" w:hAnsi="Arial Narrow"/>
                <w:i/>
                <w:iCs/>
                <w:sz w:val="20"/>
                <w:szCs w:val="20"/>
              </w:rPr>
              <w:t xml:space="preserve">Nemolizumab 30 mg injection [1 chamber] (&amp;) inert substance diluent [1 chamber], 1 dual chamber pen device </w:t>
            </w:r>
          </w:p>
        </w:tc>
        <w:tc>
          <w:tcPr>
            <w:tcW w:w="811" w:type="dxa"/>
            <w:vAlign w:val="center"/>
          </w:tcPr>
          <w:p w14:paraId="488E4166" w14:textId="77777777" w:rsidR="00002D66" w:rsidRPr="00E168B8" w:rsidRDefault="00002D66">
            <w:pPr>
              <w:keepLines/>
              <w:jc w:val="center"/>
              <w:rPr>
                <w:rFonts w:ascii="Arial Narrow" w:hAnsi="Arial Narrow"/>
                <w:sz w:val="20"/>
                <w:szCs w:val="20"/>
              </w:rPr>
            </w:pPr>
            <w:r w:rsidRPr="00E168B8">
              <w:rPr>
                <w:rFonts w:ascii="Arial Narrow" w:hAnsi="Arial Narrow"/>
                <w:sz w:val="20"/>
                <w:szCs w:val="20"/>
              </w:rPr>
              <w:t>NEW</w:t>
            </w:r>
          </w:p>
        </w:tc>
        <w:tc>
          <w:tcPr>
            <w:tcW w:w="812" w:type="dxa"/>
            <w:vAlign w:val="center"/>
          </w:tcPr>
          <w:p w14:paraId="146FBBA0" w14:textId="77777777" w:rsidR="00002D66" w:rsidRPr="00E168B8" w:rsidRDefault="00002D66">
            <w:pPr>
              <w:keepLines/>
              <w:jc w:val="center"/>
              <w:rPr>
                <w:rFonts w:ascii="Arial Narrow" w:hAnsi="Arial Narrow"/>
                <w:sz w:val="20"/>
                <w:szCs w:val="20"/>
              </w:rPr>
            </w:pPr>
            <w:r w:rsidRPr="00E168B8">
              <w:rPr>
                <w:rFonts w:ascii="Arial Narrow" w:hAnsi="Arial Narrow"/>
                <w:sz w:val="20"/>
                <w:szCs w:val="20"/>
              </w:rPr>
              <w:t>2</w:t>
            </w:r>
          </w:p>
        </w:tc>
        <w:tc>
          <w:tcPr>
            <w:tcW w:w="811" w:type="dxa"/>
            <w:vAlign w:val="center"/>
          </w:tcPr>
          <w:p w14:paraId="1D7DAD3D" w14:textId="77777777" w:rsidR="00002D66" w:rsidRPr="00E168B8" w:rsidRDefault="00002D66">
            <w:pPr>
              <w:keepLines/>
              <w:jc w:val="center"/>
              <w:rPr>
                <w:rFonts w:ascii="Arial Narrow" w:hAnsi="Arial Narrow"/>
                <w:sz w:val="20"/>
                <w:szCs w:val="20"/>
              </w:rPr>
            </w:pPr>
            <w:r w:rsidRPr="00E168B8">
              <w:rPr>
                <w:rFonts w:ascii="Arial Narrow" w:hAnsi="Arial Narrow"/>
                <w:sz w:val="20"/>
                <w:szCs w:val="20"/>
              </w:rPr>
              <w:t>2</w:t>
            </w:r>
          </w:p>
        </w:tc>
        <w:tc>
          <w:tcPr>
            <w:tcW w:w="812" w:type="dxa"/>
            <w:vAlign w:val="center"/>
          </w:tcPr>
          <w:p w14:paraId="796BB4E7" w14:textId="77777777" w:rsidR="00002D66" w:rsidRPr="00E168B8" w:rsidRDefault="00002D66">
            <w:pPr>
              <w:keepLines/>
              <w:jc w:val="center"/>
              <w:rPr>
                <w:rFonts w:ascii="Arial Narrow" w:hAnsi="Arial Narrow"/>
                <w:sz w:val="20"/>
                <w:szCs w:val="20"/>
              </w:rPr>
            </w:pPr>
            <w:r w:rsidRPr="00E168B8">
              <w:rPr>
                <w:rFonts w:ascii="Arial Narrow" w:hAnsi="Arial Narrow"/>
                <w:sz w:val="20"/>
                <w:szCs w:val="20"/>
              </w:rPr>
              <w:t>2</w:t>
            </w:r>
          </w:p>
        </w:tc>
        <w:tc>
          <w:tcPr>
            <w:tcW w:w="1831" w:type="dxa"/>
            <w:vAlign w:val="center"/>
          </w:tcPr>
          <w:p w14:paraId="34080784" w14:textId="77777777" w:rsidR="00002D66" w:rsidRPr="00E168B8" w:rsidRDefault="00002D66">
            <w:pPr>
              <w:keepLines/>
              <w:jc w:val="center"/>
              <w:rPr>
                <w:rFonts w:ascii="Arial Narrow" w:hAnsi="Arial Narrow"/>
                <w:sz w:val="20"/>
                <w:szCs w:val="20"/>
              </w:rPr>
            </w:pPr>
          </w:p>
          <w:p w14:paraId="331527B3" w14:textId="77777777" w:rsidR="00002D66" w:rsidRPr="00E168B8" w:rsidRDefault="00002D66">
            <w:pPr>
              <w:keepLines/>
              <w:jc w:val="center"/>
              <w:rPr>
                <w:rFonts w:ascii="Arial Narrow" w:hAnsi="Arial Narrow"/>
                <w:sz w:val="20"/>
                <w:szCs w:val="20"/>
              </w:rPr>
            </w:pPr>
            <w:proofErr w:type="spellStart"/>
            <w:r w:rsidRPr="00E168B8">
              <w:rPr>
                <w:rFonts w:ascii="Arial Narrow" w:hAnsi="Arial Narrow"/>
                <w:sz w:val="20"/>
                <w:szCs w:val="20"/>
              </w:rPr>
              <w:t>Nemluvio</w:t>
            </w:r>
            <w:proofErr w:type="spellEnd"/>
          </w:p>
          <w:p w14:paraId="4DA0C236" w14:textId="77777777" w:rsidR="00002D66" w:rsidRPr="00E168B8" w:rsidRDefault="00002D66">
            <w:pPr>
              <w:keepLines/>
              <w:rPr>
                <w:rFonts w:ascii="Arial Narrow" w:hAnsi="Arial Narrow"/>
                <w:sz w:val="20"/>
                <w:szCs w:val="20"/>
              </w:rPr>
            </w:pPr>
          </w:p>
        </w:tc>
      </w:tr>
      <w:tr w:rsidR="00002D66" w:rsidRPr="00446E53" w14:paraId="1DCA5857" w14:textId="77777777">
        <w:tblPrEx>
          <w:tblCellMar>
            <w:top w:w="15" w:type="dxa"/>
            <w:bottom w:w="15" w:type="dxa"/>
          </w:tblCellMar>
          <w:tblLook w:val="04A0" w:firstRow="1" w:lastRow="0" w:firstColumn="1" w:lastColumn="0" w:noHBand="0" w:noVBand="1"/>
        </w:tblPrEx>
        <w:trPr>
          <w:trHeight w:val="20"/>
        </w:trPr>
        <w:tc>
          <w:tcPr>
            <w:tcW w:w="9017" w:type="dxa"/>
            <w:gridSpan w:val="7"/>
            <w:tcBorders>
              <w:top w:val="single" w:sz="4" w:space="0" w:color="auto"/>
              <w:left w:val="single" w:sz="4" w:space="0" w:color="auto"/>
              <w:right w:val="single" w:sz="4" w:space="0" w:color="auto"/>
            </w:tcBorders>
            <w:vAlign w:val="center"/>
          </w:tcPr>
          <w:p w14:paraId="6FA165C6" w14:textId="77777777" w:rsidR="00002D66" w:rsidRPr="00E168B8" w:rsidRDefault="00002D66">
            <w:pPr>
              <w:rPr>
                <w:rFonts w:ascii="Arial Narrow" w:hAnsi="Arial Narrow"/>
                <w:sz w:val="20"/>
                <w:szCs w:val="20"/>
              </w:rPr>
            </w:pPr>
          </w:p>
        </w:tc>
      </w:tr>
      <w:tr w:rsidR="00002D66" w:rsidRPr="00446E53" w14:paraId="1E5F3DC9" w14:textId="77777777">
        <w:tblPrEx>
          <w:tblCellMar>
            <w:top w:w="15" w:type="dxa"/>
            <w:bottom w:w="15" w:type="dxa"/>
          </w:tblCellMar>
          <w:tblLook w:val="04A0" w:firstRow="1" w:lastRow="0" w:firstColumn="1" w:lastColumn="0" w:noHBand="0" w:noVBand="1"/>
        </w:tblPrEx>
        <w:trPr>
          <w:trHeight w:val="20"/>
        </w:trPr>
        <w:tc>
          <w:tcPr>
            <w:tcW w:w="1272" w:type="dxa"/>
            <w:vMerge w:val="restart"/>
            <w:tcBorders>
              <w:top w:val="single" w:sz="4" w:space="0" w:color="auto"/>
              <w:left w:val="single" w:sz="4" w:space="0" w:color="auto"/>
              <w:right w:val="single" w:sz="4" w:space="0" w:color="auto"/>
            </w:tcBorders>
          </w:tcPr>
          <w:p w14:paraId="76ABBB5F" w14:textId="77777777" w:rsidR="00002D66" w:rsidRPr="00446E53" w:rsidRDefault="00002D66">
            <w:pPr>
              <w:jc w:val="center"/>
              <w:rPr>
                <w:rFonts w:ascii="Arial Narrow" w:hAnsi="Arial Narrow"/>
                <w:sz w:val="20"/>
                <w:szCs w:val="20"/>
              </w:rPr>
            </w:pPr>
            <w:r w:rsidRPr="00446E53">
              <w:rPr>
                <w:rFonts w:ascii="Arial Narrow" w:hAnsi="Arial Narrow"/>
                <w:b/>
                <w:sz w:val="20"/>
                <w:szCs w:val="20"/>
              </w:rPr>
              <w:t>Concept ID</w:t>
            </w:r>
          </w:p>
          <w:p w14:paraId="35402D70" w14:textId="77777777" w:rsidR="00002D66" w:rsidRPr="00446E53" w:rsidRDefault="00002D66">
            <w:pPr>
              <w:jc w:val="center"/>
              <w:rPr>
                <w:rFonts w:ascii="Arial Narrow" w:hAnsi="Arial Narrow"/>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A1BFA53" w14:textId="77777777" w:rsidR="00002D66" w:rsidRPr="00E168B8" w:rsidRDefault="00002D66">
            <w:pPr>
              <w:keepLines/>
              <w:jc w:val="left"/>
              <w:rPr>
                <w:rFonts w:ascii="Arial Narrow" w:hAnsi="Arial Narrow"/>
                <w:sz w:val="20"/>
                <w:szCs w:val="20"/>
              </w:rPr>
            </w:pPr>
            <w:r w:rsidRPr="00E168B8">
              <w:rPr>
                <w:rFonts w:ascii="Arial Narrow" w:hAnsi="Arial Narrow"/>
                <w:b/>
                <w:sz w:val="20"/>
                <w:szCs w:val="20"/>
              </w:rPr>
              <w:t>Category / Program:</w:t>
            </w:r>
            <w:r w:rsidRPr="00E168B8">
              <w:rPr>
                <w:rFonts w:ascii="Arial Narrow" w:hAnsi="Arial Narrow"/>
                <w:sz w:val="20"/>
                <w:szCs w:val="20"/>
              </w:rPr>
              <w:t xml:space="preserve"> </w:t>
            </w:r>
            <w:r w:rsidRPr="00E168B8">
              <w:rPr>
                <w:rFonts w:ascii="Arial Narrow" w:hAnsi="Arial Narrow"/>
                <w:sz w:val="20"/>
                <w:szCs w:val="20"/>
              </w:rPr>
              <w:fldChar w:fldCharType="begin">
                <w:ffData>
                  <w:name w:val=""/>
                  <w:enabled/>
                  <w:calcOnExit w:val="0"/>
                  <w:checkBox>
                    <w:sizeAuto/>
                    <w:default w:val="1"/>
                  </w:checkBox>
                </w:ffData>
              </w:fldChar>
            </w:r>
            <w:r w:rsidRPr="00E168B8">
              <w:rPr>
                <w:rFonts w:ascii="Arial Narrow" w:hAnsi="Arial Narrow"/>
                <w:sz w:val="20"/>
                <w:szCs w:val="20"/>
              </w:rPr>
              <w:instrText xml:space="preserve"> FORMCHECKBOX </w:instrText>
            </w:r>
            <w:r w:rsidRPr="00E168B8">
              <w:rPr>
                <w:rFonts w:ascii="Arial Narrow" w:hAnsi="Arial Narrow"/>
                <w:sz w:val="20"/>
                <w:szCs w:val="20"/>
              </w:rPr>
            </w:r>
            <w:r w:rsidRPr="00E168B8">
              <w:rPr>
                <w:rFonts w:ascii="Arial Narrow" w:hAnsi="Arial Narrow"/>
                <w:sz w:val="20"/>
                <w:szCs w:val="20"/>
              </w:rPr>
              <w:fldChar w:fldCharType="separate"/>
            </w:r>
            <w:r w:rsidRPr="00E168B8">
              <w:rPr>
                <w:rFonts w:ascii="Arial Narrow" w:hAnsi="Arial Narrow"/>
                <w:sz w:val="20"/>
                <w:szCs w:val="20"/>
              </w:rPr>
              <w:fldChar w:fldCharType="end"/>
            </w:r>
            <w:r w:rsidRPr="00E168B8">
              <w:rPr>
                <w:rFonts w:ascii="Arial Narrow" w:hAnsi="Arial Narrow"/>
                <w:sz w:val="20"/>
                <w:szCs w:val="20"/>
              </w:rPr>
              <w:t xml:space="preserve"> </w:t>
            </w:r>
            <w:r w:rsidRPr="00E168B8">
              <w:rPr>
                <w:rFonts w:ascii="Arial Narrow" w:eastAsia="Calibri" w:hAnsi="Arial Narrow"/>
                <w:sz w:val="20"/>
                <w:szCs w:val="20"/>
              </w:rPr>
              <w:t xml:space="preserve">GENERAL - General Schedule (Code GE) </w:t>
            </w:r>
          </w:p>
        </w:tc>
      </w:tr>
      <w:tr w:rsidR="00002D66" w:rsidRPr="00446E53" w14:paraId="623F56CA" w14:textId="77777777">
        <w:tblPrEx>
          <w:tblCellMar>
            <w:top w:w="15" w:type="dxa"/>
            <w:bottom w:w="15" w:type="dxa"/>
          </w:tblCellMar>
          <w:tblLook w:val="04A0" w:firstRow="1" w:lastRow="0" w:firstColumn="1" w:lastColumn="0" w:noHBand="0" w:noVBand="1"/>
        </w:tblPrEx>
        <w:trPr>
          <w:trHeight w:val="20"/>
        </w:trPr>
        <w:tc>
          <w:tcPr>
            <w:tcW w:w="1272" w:type="dxa"/>
            <w:vMerge/>
            <w:tcBorders>
              <w:left w:val="single" w:sz="4" w:space="0" w:color="auto"/>
              <w:right w:val="single" w:sz="4" w:space="0" w:color="auto"/>
            </w:tcBorders>
          </w:tcPr>
          <w:p w14:paraId="46D216C5" w14:textId="77777777" w:rsidR="00002D66" w:rsidRPr="00446E53" w:rsidRDefault="00002D66">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4C059BD" w14:textId="77777777" w:rsidR="00002D66" w:rsidRPr="00E168B8" w:rsidRDefault="00002D66">
            <w:pPr>
              <w:keepLines/>
              <w:jc w:val="left"/>
              <w:rPr>
                <w:rFonts w:ascii="Arial Narrow" w:hAnsi="Arial Narrow"/>
                <w:b/>
                <w:sz w:val="20"/>
                <w:szCs w:val="20"/>
              </w:rPr>
            </w:pPr>
            <w:r w:rsidRPr="00E168B8">
              <w:rPr>
                <w:rFonts w:ascii="Arial Narrow" w:hAnsi="Arial Narrow"/>
                <w:b/>
                <w:sz w:val="20"/>
                <w:szCs w:val="20"/>
              </w:rPr>
              <w:t xml:space="preserve">Prescriber type: </w:t>
            </w:r>
            <w:r w:rsidRPr="00E168B8">
              <w:rPr>
                <w:rFonts w:ascii="Arial Narrow" w:hAnsi="Arial Narrow"/>
                <w:sz w:val="20"/>
                <w:szCs w:val="20"/>
              </w:rPr>
              <w:fldChar w:fldCharType="begin">
                <w:ffData>
                  <w:name w:val=""/>
                  <w:enabled/>
                  <w:calcOnExit w:val="0"/>
                  <w:checkBox>
                    <w:sizeAuto/>
                    <w:default w:val="1"/>
                  </w:checkBox>
                </w:ffData>
              </w:fldChar>
            </w:r>
            <w:r w:rsidRPr="00E168B8">
              <w:rPr>
                <w:rFonts w:ascii="Arial Narrow" w:hAnsi="Arial Narrow"/>
                <w:sz w:val="20"/>
                <w:szCs w:val="20"/>
              </w:rPr>
              <w:instrText xml:space="preserve"> FORMCHECKBOX </w:instrText>
            </w:r>
            <w:r w:rsidRPr="00E168B8">
              <w:rPr>
                <w:rFonts w:ascii="Arial Narrow" w:hAnsi="Arial Narrow"/>
                <w:sz w:val="20"/>
                <w:szCs w:val="20"/>
              </w:rPr>
            </w:r>
            <w:r w:rsidRPr="00E168B8">
              <w:rPr>
                <w:rFonts w:ascii="Arial Narrow" w:hAnsi="Arial Narrow"/>
                <w:sz w:val="20"/>
                <w:szCs w:val="20"/>
              </w:rPr>
              <w:fldChar w:fldCharType="separate"/>
            </w:r>
            <w:r w:rsidRPr="00E168B8">
              <w:rPr>
                <w:rFonts w:ascii="Arial Narrow" w:hAnsi="Arial Narrow"/>
                <w:sz w:val="20"/>
                <w:szCs w:val="20"/>
              </w:rPr>
              <w:fldChar w:fldCharType="end"/>
            </w:r>
            <w:r w:rsidRPr="00E168B8">
              <w:rPr>
                <w:rFonts w:ascii="Arial Narrow" w:hAnsi="Arial Narrow"/>
                <w:sz w:val="20"/>
                <w:szCs w:val="20"/>
              </w:rPr>
              <w:t xml:space="preserve"> Medical Practitioners </w:t>
            </w:r>
          </w:p>
        </w:tc>
      </w:tr>
      <w:tr w:rsidR="00002D66" w:rsidRPr="00446E53" w14:paraId="432C2F86" w14:textId="77777777">
        <w:tblPrEx>
          <w:tblCellMar>
            <w:top w:w="15" w:type="dxa"/>
            <w:bottom w:w="15" w:type="dxa"/>
          </w:tblCellMar>
          <w:tblLook w:val="04A0" w:firstRow="1" w:lastRow="0" w:firstColumn="1" w:lastColumn="0" w:noHBand="0" w:noVBand="1"/>
        </w:tblPrEx>
        <w:trPr>
          <w:trHeight w:val="20"/>
        </w:trPr>
        <w:tc>
          <w:tcPr>
            <w:tcW w:w="1272" w:type="dxa"/>
            <w:vMerge/>
            <w:tcBorders>
              <w:left w:val="single" w:sz="4" w:space="0" w:color="auto"/>
              <w:right w:val="single" w:sz="4" w:space="0" w:color="auto"/>
            </w:tcBorders>
          </w:tcPr>
          <w:p w14:paraId="32F166E4" w14:textId="77777777" w:rsidR="00002D66" w:rsidRPr="00446E53" w:rsidRDefault="00002D66">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204F4B1" w14:textId="77777777" w:rsidR="00002D66" w:rsidRPr="00E168B8" w:rsidRDefault="00002D66">
            <w:pPr>
              <w:keepLines/>
              <w:jc w:val="left"/>
              <w:rPr>
                <w:rFonts w:ascii="Arial Narrow" w:hAnsi="Arial Narrow"/>
                <w:sz w:val="20"/>
                <w:szCs w:val="20"/>
              </w:rPr>
            </w:pPr>
            <w:r w:rsidRPr="00E168B8">
              <w:rPr>
                <w:rFonts w:ascii="Arial Narrow" w:hAnsi="Arial Narrow"/>
                <w:b/>
                <w:sz w:val="20"/>
                <w:szCs w:val="20"/>
              </w:rPr>
              <w:t xml:space="preserve">Benefit type: </w:t>
            </w:r>
            <w:r w:rsidRPr="00E168B8">
              <w:rPr>
                <w:rFonts w:ascii="Arial Narrow" w:hAnsi="Arial Narrow"/>
                <w:sz w:val="20"/>
                <w:szCs w:val="20"/>
              </w:rPr>
              <w:fldChar w:fldCharType="begin">
                <w:ffData>
                  <w:name w:val=""/>
                  <w:enabled/>
                  <w:calcOnExit w:val="0"/>
                  <w:checkBox>
                    <w:sizeAuto/>
                    <w:default w:val="1"/>
                  </w:checkBox>
                </w:ffData>
              </w:fldChar>
            </w:r>
            <w:r w:rsidRPr="00E168B8">
              <w:rPr>
                <w:rFonts w:ascii="Arial Narrow" w:hAnsi="Arial Narrow"/>
                <w:sz w:val="20"/>
                <w:szCs w:val="20"/>
              </w:rPr>
              <w:instrText xml:space="preserve"> FORMCHECKBOX </w:instrText>
            </w:r>
            <w:r w:rsidRPr="00E168B8">
              <w:rPr>
                <w:rFonts w:ascii="Arial Narrow" w:hAnsi="Arial Narrow"/>
                <w:sz w:val="20"/>
                <w:szCs w:val="20"/>
              </w:rPr>
            </w:r>
            <w:r w:rsidRPr="00E168B8">
              <w:rPr>
                <w:rFonts w:ascii="Arial Narrow" w:hAnsi="Arial Narrow"/>
                <w:sz w:val="20"/>
                <w:szCs w:val="20"/>
              </w:rPr>
              <w:fldChar w:fldCharType="separate"/>
            </w:r>
            <w:r w:rsidRPr="00E168B8">
              <w:rPr>
                <w:rFonts w:ascii="Arial Narrow" w:hAnsi="Arial Narrow"/>
                <w:sz w:val="20"/>
                <w:szCs w:val="20"/>
              </w:rPr>
              <w:fldChar w:fldCharType="end"/>
            </w:r>
            <w:r w:rsidRPr="00E168B8">
              <w:rPr>
                <w:rFonts w:ascii="Arial Narrow" w:hAnsi="Arial Narrow"/>
                <w:sz w:val="20"/>
                <w:szCs w:val="20"/>
              </w:rPr>
              <w:t xml:space="preserve"> </w:t>
            </w:r>
            <w:r w:rsidRPr="00E168B8">
              <w:rPr>
                <w:rFonts w:ascii="Arial Narrow" w:eastAsia="Calibri" w:hAnsi="Arial Narrow"/>
                <w:sz w:val="20"/>
                <w:szCs w:val="20"/>
              </w:rPr>
              <w:t>Authority Required (</w:t>
            </w:r>
            <w:r>
              <w:rPr>
                <w:rFonts w:ascii="Arial Narrow" w:eastAsia="Calibri" w:hAnsi="Arial Narrow"/>
                <w:sz w:val="20"/>
                <w:szCs w:val="20"/>
              </w:rPr>
              <w:t xml:space="preserve">telephone/electronic) </w:t>
            </w:r>
          </w:p>
        </w:tc>
      </w:tr>
      <w:tr w:rsidR="00002D66" w:rsidRPr="00446E53" w14:paraId="7517A97C" w14:textId="77777777">
        <w:tblPrEx>
          <w:tblCellMar>
            <w:top w:w="15" w:type="dxa"/>
            <w:bottom w:w="15" w:type="dxa"/>
          </w:tblCellMar>
          <w:tblLook w:val="04A0" w:firstRow="1" w:lastRow="0" w:firstColumn="1" w:lastColumn="0" w:noHBand="0" w:noVBand="1"/>
        </w:tblPrEx>
        <w:trPr>
          <w:trHeight w:val="184"/>
        </w:trPr>
        <w:tc>
          <w:tcPr>
            <w:tcW w:w="1272" w:type="dxa"/>
            <w:tcBorders>
              <w:left w:val="single" w:sz="4" w:space="0" w:color="auto"/>
              <w:bottom w:val="single" w:sz="4" w:space="0" w:color="auto"/>
              <w:right w:val="single" w:sz="4" w:space="0" w:color="auto"/>
            </w:tcBorders>
          </w:tcPr>
          <w:p w14:paraId="11280006" w14:textId="77777777" w:rsidR="00002D66" w:rsidRPr="00446E53" w:rsidRDefault="00002D66">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6959F93" w14:textId="77777777" w:rsidR="00002D66" w:rsidRPr="00446E53" w:rsidRDefault="00002D66">
            <w:pPr>
              <w:pStyle w:val="pf0"/>
              <w:spacing w:before="0" w:beforeAutospacing="0" w:after="0" w:afterAutospacing="0"/>
              <w:rPr>
                <w:rFonts w:ascii="Arial Narrow" w:hAnsi="Arial Narrow" w:cs="Arial"/>
                <w:b/>
                <w:sz w:val="20"/>
                <w:szCs w:val="20"/>
              </w:rPr>
            </w:pPr>
            <w:r w:rsidRPr="00446E53">
              <w:rPr>
                <w:rFonts w:ascii="Arial Narrow" w:hAnsi="Arial Narrow" w:cs="Arial"/>
                <w:b/>
                <w:sz w:val="20"/>
                <w:szCs w:val="20"/>
              </w:rPr>
              <w:t xml:space="preserve">Prescribing rule level:  </w:t>
            </w:r>
          </w:p>
        </w:tc>
      </w:tr>
      <w:tr w:rsidR="00002D66" w:rsidRPr="00446E53" w14:paraId="6D3F522D" w14:textId="77777777" w:rsidTr="00A71C5B">
        <w:tblPrEx>
          <w:tblCellMar>
            <w:top w:w="15" w:type="dxa"/>
            <w:bottom w:w="15" w:type="dxa"/>
          </w:tblCellMar>
          <w:tblLook w:val="04A0" w:firstRow="1" w:lastRow="0" w:firstColumn="1" w:lastColumn="0" w:noHBand="0" w:noVBand="1"/>
        </w:tblPrEx>
        <w:trPr>
          <w:cantSplit/>
          <w:trHeight w:val="20"/>
        </w:trPr>
        <w:tc>
          <w:tcPr>
            <w:tcW w:w="1272" w:type="dxa"/>
          </w:tcPr>
          <w:p w14:paraId="029E078D" w14:textId="5E2402DA" w:rsidR="00002D66" w:rsidRPr="00446E53" w:rsidRDefault="00002D66">
            <w:pPr>
              <w:keepLines/>
              <w:jc w:val="center"/>
              <w:rPr>
                <w:rFonts w:ascii="Arial Narrow" w:hAnsi="Arial Narrow"/>
                <w:color w:val="333333"/>
                <w:sz w:val="20"/>
                <w:szCs w:val="20"/>
              </w:rPr>
            </w:pPr>
          </w:p>
        </w:tc>
        <w:tc>
          <w:tcPr>
            <w:tcW w:w="7745" w:type="dxa"/>
            <w:gridSpan w:val="6"/>
            <w:vAlign w:val="center"/>
            <w:hideMark/>
          </w:tcPr>
          <w:p w14:paraId="039459A2" w14:textId="77777777" w:rsidR="00002D66" w:rsidRPr="0069367A" w:rsidRDefault="00002D66">
            <w:pPr>
              <w:keepLines/>
              <w:rPr>
                <w:rFonts w:ascii="Arial Narrow" w:hAnsi="Arial Narrow"/>
                <w:sz w:val="20"/>
                <w:szCs w:val="20"/>
              </w:rPr>
            </w:pPr>
            <w:r w:rsidRPr="0069367A">
              <w:rPr>
                <w:rFonts w:ascii="Arial Narrow" w:hAnsi="Arial Narrow"/>
                <w:b/>
                <w:bCs/>
                <w:sz w:val="20"/>
                <w:szCs w:val="20"/>
              </w:rPr>
              <w:t>Indication:</w:t>
            </w:r>
            <w:r w:rsidRPr="0069367A">
              <w:rPr>
                <w:rFonts w:ascii="Arial Narrow" w:hAnsi="Arial Narrow"/>
                <w:sz w:val="20"/>
                <w:szCs w:val="20"/>
              </w:rPr>
              <w:t xml:space="preserve"> Chronic severe atopic dermatitis </w:t>
            </w:r>
          </w:p>
        </w:tc>
      </w:tr>
      <w:tr w:rsidR="00002D66" w:rsidRPr="00446E53" w14:paraId="6E9D4B0F" w14:textId="77777777" w:rsidTr="00A71C5B">
        <w:tblPrEx>
          <w:tblCellMar>
            <w:top w:w="15" w:type="dxa"/>
            <w:bottom w:w="15" w:type="dxa"/>
          </w:tblCellMar>
          <w:tblLook w:val="04A0" w:firstRow="1" w:lastRow="0" w:firstColumn="1" w:lastColumn="0" w:noHBand="0" w:noVBand="1"/>
        </w:tblPrEx>
        <w:trPr>
          <w:cantSplit/>
          <w:trHeight w:val="20"/>
        </w:trPr>
        <w:tc>
          <w:tcPr>
            <w:tcW w:w="1272" w:type="dxa"/>
          </w:tcPr>
          <w:p w14:paraId="31406D45" w14:textId="77777777" w:rsidR="00002D66" w:rsidRPr="00446E53" w:rsidRDefault="00002D66">
            <w:pPr>
              <w:jc w:val="center"/>
              <w:rPr>
                <w:rFonts w:ascii="Arial Narrow" w:hAnsi="Arial Narrow"/>
                <w:color w:val="333333"/>
                <w:sz w:val="20"/>
                <w:szCs w:val="20"/>
              </w:rPr>
            </w:pPr>
          </w:p>
        </w:tc>
        <w:tc>
          <w:tcPr>
            <w:tcW w:w="7745" w:type="dxa"/>
            <w:gridSpan w:val="6"/>
            <w:vAlign w:val="center"/>
            <w:hideMark/>
          </w:tcPr>
          <w:p w14:paraId="0FACAE09" w14:textId="77777777" w:rsidR="00002D66" w:rsidRPr="0069367A" w:rsidRDefault="00002D66">
            <w:pPr>
              <w:rPr>
                <w:rFonts w:ascii="Arial Narrow" w:hAnsi="Arial Narrow"/>
                <w:sz w:val="20"/>
                <w:szCs w:val="20"/>
              </w:rPr>
            </w:pPr>
            <w:r w:rsidRPr="0069367A">
              <w:rPr>
                <w:rFonts w:ascii="Arial Narrow" w:hAnsi="Arial Narrow"/>
                <w:b/>
                <w:bCs/>
                <w:sz w:val="20"/>
                <w:szCs w:val="20"/>
              </w:rPr>
              <w:t>Treatment Phase:</w:t>
            </w:r>
            <w:r w:rsidRPr="0069367A">
              <w:rPr>
                <w:rFonts w:ascii="Arial Narrow" w:hAnsi="Arial Narrow"/>
                <w:sz w:val="20"/>
                <w:szCs w:val="20"/>
              </w:rPr>
              <w:t xml:space="preserve"> Initial treatment of the whole body </w:t>
            </w:r>
          </w:p>
        </w:tc>
      </w:tr>
      <w:tr w:rsidR="00002D66" w:rsidRPr="00446E53" w14:paraId="40EB67B5" w14:textId="77777777">
        <w:tblPrEx>
          <w:tblCellMar>
            <w:top w:w="15" w:type="dxa"/>
            <w:bottom w:w="15" w:type="dxa"/>
          </w:tblCellMar>
          <w:tblLook w:val="04A0" w:firstRow="1" w:lastRow="0" w:firstColumn="1" w:lastColumn="0" w:noHBand="0" w:noVBand="1"/>
        </w:tblPrEx>
        <w:trPr>
          <w:cantSplit/>
          <w:trHeight w:val="20"/>
        </w:trPr>
        <w:tc>
          <w:tcPr>
            <w:tcW w:w="1272" w:type="dxa"/>
          </w:tcPr>
          <w:p w14:paraId="23557CB5" w14:textId="268E3AB1" w:rsidR="00002D66" w:rsidRPr="00446E53" w:rsidRDefault="00002D66">
            <w:pPr>
              <w:jc w:val="center"/>
              <w:rPr>
                <w:rFonts w:ascii="Arial Narrow" w:hAnsi="Arial Narrow"/>
                <w:color w:val="333333"/>
                <w:sz w:val="20"/>
                <w:szCs w:val="20"/>
              </w:rPr>
            </w:pPr>
          </w:p>
        </w:tc>
        <w:tc>
          <w:tcPr>
            <w:tcW w:w="7745" w:type="dxa"/>
            <w:gridSpan w:val="6"/>
            <w:vAlign w:val="center"/>
            <w:hideMark/>
          </w:tcPr>
          <w:p w14:paraId="219DE1C8" w14:textId="77777777" w:rsidR="00002D66" w:rsidRPr="00446E53" w:rsidRDefault="00002D66">
            <w:pPr>
              <w:rPr>
                <w:rFonts w:ascii="Arial Narrow" w:hAnsi="Arial Narrow"/>
                <w:sz w:val="20"/>
                <w:szCs w:val="20"/>
              </w:rPr>
            </w:pPr>
            <w:r w:rsidRPr="00446E53">
              <w:rPr>
                <w:rFonts w:ascii="Arial Narrow" w:hAnsi="Arial Narrow"/>
                <w:b/>
                <w:bCs/>
                <w:color w:val="333333"/>
                <w:sz w:val="20"/>
                <w:szCs w:val="20"/>
              </w:rPr>
              <w:t xml:space="preserve">Clinical criteria: </w:t>
            </w:r>
          </w:p>
        </w:tc>
      </w:tr>
      <w:tr w:rsidR="00002D66" w:rsidRPr="00446E53" w14:paraId="0544E56A" w14:textId="77777777">
        <w:tblPrEx>
          <w:tblCellMar>
            <w:top w:w="15" w:type="dxa"/>
            <w:bottom w:w="15" w:type="dxa"/>
          </w:tblCellMar>
          <w:tblLook w:val="04A0" w:firstRow="1" w:lastRow="0" w:firstColumn="1" w:lastColumn="0" w:noHBand="0" w:noVBand="1"/>
        </w:tblPrEx>
        <w:trPr>
          <w:cantSplit/>
          <w:trHeight w:val="20"/>
        </w:trPr>
        <w:tc>
          <w:tcPr>
            <w:tcW w:w="1272" w:type="dxa"/>
          </w:tcPr>
          <w:p w14:paraId="21F6717C" w14:textId="396E5571" w:rsidR="00002D66" w:rsidRPr="00446E53" w:rsidRDefault="00002D66">
            <w:pPr>
              <w:jc w:val="center"/>
              <w:rPr>
                <w:rFonts w:ascii="Arial Narrow" w:hAnsi="Arial Narrow"/>
                <w:color w:val="333333"/>
                <w:sz w:val="20"/>
                <w:szCs w:val="20"/>
              </w:rPr>
            </w:pPr>
          </w:p>
        </w:tc>
        <w:tc>
          <w:tcPr>
            <w:tcW w:w="7745" w:type="dxa"/>
            <w:gridSpan w:val="6"/>
            <w:hideMark/>
          </w:tcPr>
          <w:p w14:paraId="066C56A6" w14:textId="77777777" w:rsidR="00002D66" w:rsidRPr="00EB5ECC" w:rsidRDefault="00002D66">
            <w:pPr>
              <w:rPr>
                <w:rFonts w:ascii="Arial Narrow" w:eastAsia="Calibri" w:hAnsi="Arial Narrow"/>
                <w:i/>
                <w:iCs/>
                <w:sz w:val="20"/>
                <w:szCs w:val="20"/>
              </w:rPr>
            </w:pPr>
            <w:r w:rsidRPr="00D801D8">
              <w:rPr>
                <w:rFonts w:ascii="Arial Narrow" w:eastAsia="Calibri" w:hAnsi="Arial Narrow"/>
                <w:sz w:val="20"/>
                <w:szCs w:val="20"/>
              </w:rPr>
              <w:t>Patient must have a Physicians Global Assessment (PGA) (5-point scale) baseline score of at least 4 as evidence of severe disease despite treatment with daily topical therapy (corticosteroid of medium to high potency/calcineurin inhibitor), for at least 28 day</w:t>
            </w:r>
            <w:r>
              <w:rPr>
                <w:rFonts w:ascii="Arial Narrow" w:eastAsia="Calibri" w:hAnsi="Arial Narrow"/>
                <w:i/>
                <w:iCs/>
                <w:sz w:val="20"/>
                <w:szCs w:val="20"/>
              </w:rPr>
              <w:t>s</w:t>
            </w:r>
          </w:p>
        </w:tc>
      </w:tr>
      <w:tr w:rsidR="00002D66" w:rsidRPr="00446E53" w14:paraId="5C5BA9A1" w14:textId="77777777" w:rsidTr="00A71C5B">
        <w:tblPrEx>
          <w:tblCellMar>
            <w:top w:w="15" w:type="dxa"/>
            <w:bottom w:w="15" w:type="dxa"/>
          </w:tblCellMar>
          <w:tblLook w:val="04A0" w:firstRow="1" w:lastRow="0" w:firstColumn="1" w:lastColumn="0" w:noHBand="0" w:noVBand="1"/>
        </w:tblPrEx>
        <w:trPr>
          <w:cantSplit/>
          <w:trHeight w:val="20"/>
        </w:trPr>
        <w:tc>
          <w:tcPr>
            <w:tcW w:w="1272" w:type="dxa"/>
          </w:tcPr>
          <w:p w14:paraId="3F21D572" w14:textId="77777777" w:rsidR="00002D66" w:rsidRPr="00446E53" w:rsidRDefault="00002D66">
            <w:pPr>
              <w:jc w:val="center"/>
              <w:rPr>
                <w:rFonts w:ascii="Arial Narrow" w:hAnsi="Arial Narrow"/>
                <w:color w:val="333333"/>
                <w:sz w:val="20"/>
                <w:szCs w:val="20"/>
              </w:rPr>
            </w:pPr>
          </w:p>
        </w:tc>
        <w:tc>
          <w:tcPr>
            <w:tcW w:w="7745" w:type="dxa"/>
            <w:gridSpan w:val="6"/>
            <w:vAlign w:val="center"/>
            <w:hideMark/>
          </w:tcPr>
          <w:p w14:paraId="10064A43" w14:textId="77777777" w:rsidR="00002D66" w:rsidRPr="00446E53" w:rsidRDefault="00002D66">
            <w:pPr>
              <w:rPr>
                <w:rFonts w:ascii="Arial Narrow" w:hAnsi="Arial Narrow"/>
                <w:color w:val="333333"/>
                <w:sz w:val="20"/>
                <w:szCs w:val="20"/>
              </w:rPr>
            </w:pPr>
            <w:r w:rsidRPr="00446E53">
              <w:rPr>
                <w:rFonts w:ascii="Arial Narrow" w:hAnsi="Arial Narrow"/>
                <w:b/>
                <w:bCs/>
                <w:color w:val="333333"/>
                <w:sz w:val="20"/>
                <w:szCs w:val="20"/>
              </w:rPr>
              <w:t>AND</w:t>
            </w:r>
          </w:p>
        </w:tc>
      </w:tr>
      <w:tr w:rsidR="00002D66" w:rsidRPr="00446E53" w14:paraId="6E22AD3E" w14:textId="77777777">
        <w:tblPrEx>
          <w:tblCellMar>
            <w:top w:w="15" w:type="dxa"/>
            <w:bottom w:w="15" w:type="dxa"/>
          </w:tblCellMar>
          <w:tblLook w:val="04A0" w:firstRow="1" w:lastRow="0" w:firstColumn="1" w:lastColumn="0" w:noHBand="0" w:noVBand="1"/>
        </w:tblPrEx>
        <w:trPr>
          <w:cantSplit/>
          <w:trHeight w:val="20"/>
        </w:trPr>
        <w:tc>
          <w:tcPr>
            <w:tcW w:w="1272" w:type="dxa"/>
          </w:tcPr>
          <w:p w14:paraId="438775A8" w14:textId="58D0B248" w:rsidR="00002D66" w:rsidRPr="00D801D8" w:rsidRDefault="00002D66">
            <w:pPr>
              <w:jc w:val="center"/>
              <w:rPr>
                <w:rFonts w:ascii="Arial Narrow" w:hAnsi="Arial Narrow"/>
                <w:sz w:val="20"/>
                <w:szCs w:val="20"/>
              </w:rPr>
            </w:pPr>
          </w:p>
        </w:tc>
        <w:tc>
          <w:tcPr>
            <w:tcW w:w="7745" w:type="dxa"/>
            <w:gridSpan w:val="6"/>
            <w:vAlign w:val="center"/>
            <w:hideMark/>
          </w:tcPr>
          <w:p w14:paraId="3EB984A6" w14:textId="77777777" w:rsidR="00002D66" w:rsidRPr="00446E53" w:rsidRDefault="00002D66">
            <w:pPr>
              <w:rPr>
                <w:rFonts w:ascii="Arial Narrow" w:hAnsi="Arial Narrow"/>
                <w:color w:val="333333"/>
                <w:sz w:val="20"/>
                <w:szCs w:val="20"/>
              </w:rPr>
            </w:pPr>
            <w:r w:rsidRPr="00446E53">
              <w:rPr>
                <w:rFonts w:ascii="Arial Narrow" w:hAnsi="Arial Narrow"/>
                <w:b/>
                <w:bCs/>
                <w:color w:val="333333"/>
                <w:sz w:val="20"/>
                <w:szCs w:val="20"/>
              </w:rPr>
              <w:t>Clinical criteria:</w:t>
            </w:r>
          </w:p>
        </w:tc>
      </w:tr>
      <w:tr w:rsidR="00002D66" w:rsidRPr="00446E53" w14:paraId="31D887A2" w14:textId="77777777">
        <w:tblPrEx>
          <w:tblCellMar>
            <w:top w:w="15" w:type="dxa"/>
            <w:bottom w:w="15" w:type="dxa"/>
          </w:tblCellMar>
          <w:tblLook w:val="04A0" w:firstRow="1" w:lastRow="0" w:firstColumn="1" w:lastColumn="0" w:noHBand="0" w:noVBand="1"/>
        </w:tblPrEx>
        <w:trPr>
          <w:cantSplit/>
          <w:trHeight w:val="20"/>
        </w:trPr>
        <w:tc>
          <w:tcPr>
            <w:tcW w:w="1272" w:type="dxa"/>
          </w:tcPr>
          <w:p w14:paraId="435D14AA" w14:textId="59545304" w:rsidR="00002D66" w:rsidRPr="00D801D8" w:rsidRDefault="00002D66">
            <w:pPr>
              <w:jc w:val="center"/>
              <w:rPr>
                <w:rFonts w:ascii="Arial Narrow" w:hAnsi="Arial Narrow"/>
                <w:sz w:val="20"/>
                <w:szCs w:val="20"/>
              </w:rPr>
            </w:pPr>
          </w:p>
        </w:tc>
        <w:tc>
          <w:tcPr>
            <w:tcW w:w="7745" w:type="dxa"/>
            <w:gridSpan w:val="6"/>
          </w:tcPr>
          <w:p w14:paraId="64EEA262" w14:textId="77777777" w:rsidR="00002D66" w:rsidRPr="00446E53" w:rsidRDefault="00002D66">
            <w:pPr>
              <w:rPr>
                <w:rFonts w:ascii="Arial Narrow" w:hAnsi="Arial Narrow"/>
                <w:color w:val="FF0000"/>
                <w:sz w:val="20"/>
                <w:szCs w:val="20"/>
              </w:rPr>
            </w:pPr>
            <w:r w:rsidRPr="00E42807">
              <w:rPr>
                <w:rFonts w:ascii="Arial Narrow" w:eastAsia="Calibri" w:hAnsi="Arial Narrow"/>
                <w:sz w:val="20"/>
                <w:szCs w:val="20"/>
              </w:rPr>
              <w:t>Patient must have an Eczema Area and Severity Index (EASI) baseline score of at least 20 despite treatment with daily topical therapy (corticosteroid of medium to high potency/calcineurin inhibitor), for at least 28 days</w:t>
            </w:r>
          </w:p>
        </w:tc>
      </w:tr>
      <w:tr w:rsidR="00002D66" w:rsidRPr="00446E53" w14:paraId="5835C6BE" w14:textId="77777777">
        <w:tblPrEx>
          <w:tblCellMar>
            <w:top w:w="15" w:type="dxa"/>
            <w:bottom w:w="15" w:type="dxa"/>
          </w:tblCellMar>
          <w:tblLook w:val="04A0" w:firstRow="1" w:lastRow="0" w:firstColumn="1" w:lastColumn="0" w:noHBand="0" w:noVBand="1"/>
        </w:tblPrEx>
        <w:trPr>
          <w:cantSplit/>
          <w:trHeight w:val="20"/>
        </w:trPr>
        <w:tc>
          <w:tcPr>
            <w:tcW w:w="1272" w:type="dxa"/>
          </w:tcPr>
          <w:p w14:paraId="5AD81942" w14:textId="77777777" w:rsidR="00002D66" w:rsidRPr="00446E53" w:rsidRDefault="00002D66">
            <w:pPr>
              <w:jc w:val="center"/>
              <w:rPr>
                <w:rFonts w:ascii="Arial Narrow" w:hAnsi="Arial Narrow"/>
                <w:color w:val="333333"/>
                <w:sz w:val="20"/>
                <w:szCs w:val="20"/>
              </w:rPr>
            </w:pPr>
          </w:p>
        </w:tc>
        <w:tc>
          <w:tcPr>
            <w:tcW w:w="7745" w:type="dxa"/>
            <w:gridSpan w:val="6"/>
            <w:vAlign w:val="center"/>
            <w:hideMark/>
          </w:tcPr>
          <w:p w14:paraId="2F4DD6CA" w14:textId="77777777" w:rsidR="00002D66" w:rsidRPr="00446E53" w:rsidRDefault="00002D66">
            <w:pPr>
              <w:rPr>
                <w:rFonts w:ascii="Arial Narrow" w:hAnsi="Arial Narrow"/>
                <w:color w:val="333333"/>
                <w:sz w:val="20"/>
                <w:szCs w:val="20"/>
              </w:rPr>
            </w:pPr>
            <w:r w:rsidRPr="00446E53">
              <w:rPr>
                <w:rFonts w:ascii="Arial Narrow" w:hAnsi="Arial Narrow"/>
                <w:b/>
                <w:bCs/>
                <w:color w:val="333333"/>
                <w:sz w:val="20"/>
                <w:szCs w:val="20"/>
              </w:rPr>
              <w:t>AND</w:t>
            </w:r>
          </w:p>
        </w:tc>
      </w:tr>
      <w:tr w:rsidR="00002D66" w:rsidRPr="00446E53" w14:paraId="489C18E2" w14:textId="77777777">
        <w:tblPrEx>
          <w:tblCellMar>
            <w:top w:w="15" w:type="dxa"/>
            <w:bottom w:w="15" w:type="dxa"/>
          </w:tblCellMar>
          <w:tblLook w:val="04A0" w:firstRow="1" w:lastRow="0" w:firstColumn="1" w:lastColumn="0" w:noHBand="0" w:noVBand="1"/>
        </w:tblPrEx>
        <w:trPr>
          <w:cantSplit/>
          <w:trHeight w:val="20"/>
        </w:trPr>
        <w:tc>
          <w:tcPr>
            <w:tcW w:w="1272" w:type="dxa"/>
          </w:tcPr>
          <w:p w14:paraId="22164C2E" w14:textId="130198A6" w:rsidR="00002D66" w:rsidRPr="00446E53" w:rsidRDefault="00002D66">
            <w:pPr>
              <w:jc w:val="center"/>
              <w:rPr>
                <w:rFonts w:ascii="Arial Narrow" w:hAnsi="Arial Narrow"/>
                <w:color w:val="333333"/>
                <w:sz w:val="20"/>
                <w:szCs w:val="20"/>
              </w:rPr>
            </w:pPr>
          </w:p>
        </w:tc>
        <w:tc>
          <w:tcPr>
            <w:tcW w:w="7745" w:type="dxa"/>
            <w:gridSpan w:val="6"/>
            <w:vAlign w:val="center"/>
            <w:hideMark/>
          </w:tcPr>
          <w:p w14:paraId="4C753C6E" w14:textId="77777777" w:rsidR="00002D66" w:rsidRPr="00446E53" w:rsidRDefault="00002D66">
            <w:pPr>
              <w:rPr>
                <w:rFonts w:ascii="Arial Narrow" w:hAnsi="Arial Narrow"/>
                <w:color w:val="333333"/>
                <w:sz w:val="20"/>
                <w:szCs w:val="20"/>
              </w:rPr>
            </w:pPr>
            <w:r w:rsidRPr="00446E53">
              <w:rPr>
                <w:rFonts w:ascii="Arial Narrow" w:hAnsi="Arial Narrow"/>
                <w:b/>
                <w:bCs/>
                <w:color w:val="333333"/>
                <w:sz w:val="20"/>
                <w:szCs w:val="20"/>
              </w:rPr>
              <w:t>Clinical criteria:</w:t>
            </w:r>
          </w:p>
        </w:tc>
      </w:tr>
      <w:tr w:rsidR="00002D66" w:rsidRPr="00446E53" w14:paraId="2B1FC47A" w14:textId="77777777">
        <w:tblPrEx>
          <w:tblCellMar>
            <w:top w:w="15" w:type="dxa"/>
            <w:bottom w:w="15" w:type="dxa"/>
          </w:tblCellMar>
          <w:tblLook w:val="04A0" w:firstRow="1" w:lastRow="0" w:firstColumn="1" w:lastColumn="0" w:noHBand="0" w:noVBand="1"/>
        </w:tblPrEx>
        <w:trPr>
          <w:cantSplit/>
          <w:trHeight w:val="20"/>
        </w:trPr>
        <w:tc>
          <w:tcPr>
            <w:tcW w:w="1272" w:type="dxa"/>
          </w:tcPr>
          <w:p w14:paraId="27737689" w14:textId="3F49C3C3" w:rsidR="00002D66" w:rsidRPr="00446E53" w:rsidRDefault="00002D66">
            <w:pPr>
              <w:jc w:val="center"/>
              <w:rPr>
                <w:rFonts w:ascii="Arial Narrow" w:hAnsi="Arial Narrow"/>
                <w:sz w:val="20"/>
                <w:szCs w:val="20"/>
              </w:rPr>
            </w:pPr>
          </w:p>
        </w:tc>
        <w:tc>
          <w:tcPr>
            <w:tcW w:w="7745" w:type="dxa"/>
            <w:gridSpan w:val="6"/>
            <w:hideMark/>
          </w:tcPr>
          <w:p w14:paraId="139736D8" w14:textId="77777777" w:rsidR="00002D66" w:rsidRPr="00446E53" w:rsidRDefault="00002D66">
            <w:pPr>
              <w:rPr>
                <w:rFonts w:ascii="Arial Narrow" w:hAnsi="Arial Narrow"/>
                <w:color w:val="333333"/>
                <w:sz w:val="20"/>
                <w:szCs w:val="20"/>
              </w:rPr>
            </w:pPr>
            <w:r w:rsidRPr="00BD4DC5">
              <w:rPr>
                <w:rFonts w:ascii="Arial Narrow" w:eastAsia="Calibri" w:hAnsi="Arial Narrow"/>
                <w:sz w:val="20"/>
                <w:szCs w:val="20"/>
              </w:rPr>
              <w:t>Patient must have an age</w:t>
            </w:r>
            <w:r>
              <w:rPr>
                <w:rFonts w:ascii="Arial Narrow" w:eastAsia="Calibri" w:hAnsi="Arial Narrow"/>
                <w:sz w:val="20"/>
                <w:szCs w:val="20"/>
              </w:rPr>
              <w:t xml:space="preserve"> </w:t>
            </w:r>
            <w:r w:rsidRPr="00BD4DC5">
              <w:rPr>
                <w:rFonts w:ascii="Arial Narrow" w:eastAsia="Calibri" w:hAnsi="Arial Narrow"/>
                <w:sz w:val="20"/>
                <w:szCs w:val="20"/>
              </w:rPr>
              <w:t>appropriate Dermatology Life Quality Index (DLQI) baseline score (of any value) measured following treatment with daily topical therapy (corticosteroid of medium to high potency/calcineurin inhibitor), for at least 28 days</w:t>
            </w:r>
          </w:p>
        </w:tc>
      </w:tr>
      <w:tr w:rsidR="00002D66" w:rsidRPr="00446E53" w14:paraId="536492F5" w14:textId="77777777">
        <w:tblPrEx>
          <w:tblCellMar>
            <w:top w:w="15" w:type="dxa"/>
            <w:bottom w:w="15" w:type="dxa"/>
          </w:tblCellMar>
          <w:tblLook w:val="04A0" w:firstRow="1" w:lastRow="0" w:firstColumn="1" w:lastColumn="0" w:noHBand="0" w:noVBand="1"/>
        </w:tblPrEx>
        <w:trPr>
          <w:cantSplit/>
          <w:trHeight w:val="20"/>
        </w:trPr>
        <w:tc>
          <w:tcPr>
            <w:tcW w:w="1272" w:type="dxa"/>
          </w:tcPr>
          <w:p w14:paraId="7CC14526" w14:textId="77777777" w:rsidR="00002D66" w:rsidRPr="00446E53" w:rsidRDefault="00002D66">
            <w:pPr>
              <w:jc w:val="center"/>
              <w:rPr>
                <w:rFonts w:ascii="Arial Narrow" w:hAnsi="Arial Narrow"/>
                <w:color w:val="FF0000"/>
                <w:sz w:val="20"/>
                <w:szCs w:val="20"/>
              </w:rPr>
            </w:pPr>
          </w:p>
        </w:tc>
        <w:tc>
          <w:tcPr>
            <w:tcW w:w="7745" w:type="dxa"/>
            <w:gridSpan w:val="6"/>
            <w:vAlign w:val="center"/>
          </w:tcPr>
          <w:p w14:paraId="1D86B1ED" w14:textId="77777777" w:rsidR="00002D66" w:rsidRPr="00446E53" w:rsidRDefault="00002D66">
            <w:pPr>
              <w:rPr>
                <w:rFonts w:ascii="Arial Narrow" w:hAnsi="Arial Narrow"/>
                <w:color w:val="FF0000"/>
                <w:sz w:val="20"/>
                <w:szCs w:val="20"/>
              </w:rPr>
            </w:pPr>
            <w:r w:rsidRPr="00446E53">
              <w:rPr>
                <w:rFonts w:ascii="Arial Narrow" w:hAnsi="Arial Narrow" w:cs="Arial Narrow"/>
                <w:b/>
                <w:bCs/>
                <w:iCs/>
                <w:sz w:val="20"/>
                <w:szCs w:val="20"/>
              </w:rPr>
              <w:t>AND</w:t>
            </w:r>
          </w:p>
        </w:tc>
      </w:tr>
      <w:tr w:rsidR="00002D66" w:rsidRPr="00446E53" w14:paraId="211BD168" w14:textId="77777777">
        <w:tblPrEx>
          <w:tblCellMar>
            <w:top w:w="15" w:type="dxa"/>
            <w:bottom w:w="15" w:type="dxa"/>
          </w:tblCellMar>
          <w:tblLook w:val="04A0" w:firstRow="1" w:lastRow="0" w:firstColumn="1" w:lastColumn="0" w:noHBand="0" w:noVBand="1"/>
        </w:tblPrEx>
        <w:trPr>
          <w:cantSplit/>
          <w:trHeight w:val="20"/>
        </w:trPr>
        <w:tc>
          <w:tcPr>
            <w:tcW w:w="1272" w:type="dxa"/>
          </w:tcPr>
          <w:p w14:paraId="5466B43E" w14:textId="0BE7F72B" w:rsidR="00002D66" w:rsidRPr="00446E53" w:rsidRDefault="00002D66">
            <w:pPr>
              <w:keepNext/>
              <w:jc w:val="center"/>
              <w:rPr>
                <w:rFonts w:ascii="Arial Narrow" w:hAnsi="Arial Narrow"/>
                <w:color w:val="333333"/>
                <w:sz w:val="20"/>
                <w:szCs w:val="20"/>
              </w:rPr>
            </w:pPr>
          </w:p>
        </w:tc>
        <w:tc>
          <w:tcPr>
            <w:tcW w:w="7745" w:type="dxa"/>
            <w:gridSpan w:val="6"/>
            <w:vAlign w:val="center"/>
            <w:hideMark/>
          </w:tcPr>
          <w:p w14:paraId="031D964E" w14:textId="77777777" w:rsidR="00002D66" w:rsidRPr="00446E53" w:rsidRDefault="00002D66">
            <w:pPr>
              <w:keepNext/>
              <w:rPr>
                <w:rFonts w:ascii="Arial Narrow" w:hAnsi="Arial Narrow"/>
                <w:color w:val="333333"/>
                <w:sz w:val="20"/>
                <w:szCs w:val="20"/>
              </w:rPr>
            </w:pPr>
            <w:r>
              <w:rPr>
                <w:rFonts w:ascii="Arial Narrow" w:hAnsi="Arial Narrow"/>
                <w:b/>
                <w:bCs/>
                <w:color w:val="333333"/>
                <w:sz w:val="20"/>
                <w:szCs w:val="20"/>
              </w:rPr>
              <w:t>Clinical</w:t>
            </w:r>
            <w:r w:rsidRPr="00446E53">
              <w:rPr>
                <w:rFonts w:ascii="Arial Narrow" w:hAnsi="Arial Narrow"/>
                <w:b/>
                <w:bCs/>
                <w:color w:val="333333"/>
                <w:sz w:val="20"/>
                <w:szCs w:val="20"/>
              </w:rPr>
              <w:t xml:space="preserve"> criteria:</w:t>
            </w:r>
          </w:p>
        </w:tc>
      </w:tr>
      <w:tr w:rsidR="00002D66" w:rsidRPr="00446E53" w14:paraId="53BD008E" w14:textId="77777777">
        <w:tblPrEx>
          <w:tblCellMar>
            <w:top w:w="15" w:type="dxa"/>
            <w:bottom w:w="15" w:type="dxa"/>
          </w:tblCellMar>
          <w:tblLook w:val="04A0" w:firstRow="1" w:lastRow="0" w:firstColumn="1" w:lastColumn="0" w:noHBand="0" w:noVBand="1"/>
        </w:tblPrEx>
        <w:trPr>
          <w:cantSplit/>
          <w:trHeight w:val="20"/>
        </w:trPr>
        <w:tc>
          <w:tcPr>
            <w:tcW w:w="1272" w:type="dxa"/>
          </w:tcPr>
          <w:p w14:paraId="433D368F" w14:textId="5D01F29A" w:rsidR="00002D66" w:rsidRPr="00E60D92" w:rsidRDefault="00002D66">
            <w:pPr>
              <w:jc w:val="center"/>
              <w:rPr>
                <w:rFonts w:ascii="Arial Narrow" w:eastAsia="Calibri" w:hAnsi="Arial Narrow"/>
                <w:sz w:val="20"/>
                <w:szCs w:val="20"/>
              </w:rPr>
            </w:pPr>
          </w:p>
        </w:tc>
        <w:tc>
          <w:tcPr>
            <w:tcW w:w="7745" w:type="dxa"/>
            <w:gridSpan w:val="6"/>
            <w:vAlign w:val="center"/>
            <w:hideMark/>
          </w:tcPr>
          <w:p w14:paraId="1E62EA23" w14:textId="77777777" w:rsidR="00002D66" w:rsidRPr="00E60D92" w:rsidRDefault="00002D66">
            <w:pPr>
              <w:autoSpaceDE w:val="0"/>
              <w:autoSpaceDN w:val="0"/>
              <w:adjustRightInd w:val="0"/>
              <w:rPr>
                <w:rFonts w:ascii="Arial Narrow" w:eastAsia="Calibri" w:hAnsi="Arial Narrow"/>
                <w:sz w:val="20"/>
                <w:szCs w:val="20"/>
              </w:rPr>
            </w:pPr>
            <w:r w:rsidRPr="00E60D92">
              <w:rPr>
                <w:rFonts w:ascii="Arial Narrow" w:eastAsia="Calibri" w:hAnsi="Arial Narrow"/>
                <w:sz w:val="20"/>
                <w:szCs w:val="20"/>
              </w:rPr>
              <w:t>The condition must have had lesions for at least 6 months from the time of the initial diagnosis of chronic severe atopic dermatitis affecting either of: (i) the whole body, (ii) face/hands</w:t>
            </w:r>
          </w:p>
        </w:tc>
      </w:tr>
      <w:tr w:rsidR="00002D66" w:rsidRPr="00446E53" w14:paraId="4836FA03" w14:textId="77777777">
        <w:tblPrEx>
          <w:tblCellMar>
            <w:top w:w="15" w:type="dxa"/>
            <w:bottom w:w="15" w:type="dxa"/>
          </w:tblCellMar>
          <w:tblLook w:val="04A0" w:firstRow="1" w:lastRow="0" w:firstColumn="1" w:lastColumn="0" w:noHBand="0" w:noVBand="1"/>
        </w:tblPrEx>
        <w:trPr>
          <w:cantSplit/>
          <w:trHeight w:val="20"/>
        </w:trPr>
        <w:tc>
          <w:tcPr>
            <w:tcW w:w="1272" w:type="dxa"/>
          </w:tcPr>
          <w:p w14:paraId="14CB1823" w14:textId="77777777" w:rsidR="00002D66" w:rsidRPr="00446E53" w:rsidRDefault="00002D66">
            <w:pPr>
              <w:jc w:val="center"/>
              <w:rPr>
                <w:rFonts w:ascii="Arial Narrow" w:hAnsi="Arial Narrow"/>
                <w:color w:val="FF0000"/>
                <w:sz w:val="20"/>
                <w:szCs w:val="20"/>
              </w:rPr>
            </w:pPr>
          </w:p>
        </w:tc>
        <w:tc>
          <w:tcPr>
            <w:tcW w:w="7745" w:type="dxa"/>
            <w:gridSpan w:val="6"/>
            <w:vAlign w:val="center"/>
          </w:tcPr>
          <w:p w14:paraId="4E69B44E" w14:textId="77777777" w:rsidR="00002D66" w:rsidRPr="00446E53" w:rsidRDefault="00002D66">
            <w:pPr>
              <w:autoSpaceDE w:val="0"/>
              <w:autoSpaceDN w:val="0"/>
              <w:adjustRightInd w:val="0"/>
              <w:rPr>
                <w:rFonts w:ascii="Arial Narrow" w:hAnsi="Arial Narrow" w:cs="Arial Narrow"/>
                <w:b/>
                <w:bCs/>
                <w:iCs/>
                <w:color w:val="FF0000"/>
                <w:sz w:val="20"/>
                <w:szCs w:val="20"/>
              </w:rPr>
            </w:pPr>
            <w:r w:rsidRPr="00446E53">
              <w:rPr>
                <w:rFonts w:ascii="Arial Narrow" w:hAnsi="Arial Narrow" w:cs="Arial Narrow"/>
                <w:b/>
                <w:bCs/>
                <w:iCs/>
                <w:sz w:val="20"/>
                <w:szCs w:val="20"/>
              </w:rPr>
              <w:t>AND</w:t>
            </w:r>
          </w:p>
        </w:tc>
      </w:tr>
      <w:tr w:rsidR="00002D66" w:rsidRPr="00446E53" w14:paraId="1D838A85" w14:textId="77777777">
        <w:tblPrEx>
          <w:tblCellMar>
            <w:top w:w="15" w:type="dxa"/>
            <w:bottom w:w="15" w:type="dxa"/>
          </w:tblCellMar>
          <w:tblLook w:val="04A0" w:firstRow="1" w:lastRow="0" w:firstColumn="1" w:lastColumn="0" w:noHBand="0" w:noVBand="1"/>
        </w:tblPrEx>
        <w:trPr>
          <w:cantSplit/>
          <w:trHeight w:val="20"/>
        </w:trPr>
        <w:tc>
          <w:tcPr>
            <w:tcW w:w="1272" w:type="dxa"/>
          </w:tcPr>
          <w:p w14:paraId="00223197" w14:textId="2EC4F0D0" w:rsidR="00002D66" w:rsidRPr="00E60D92" w:rsidRDefault="00002D66">
            <w:pPr>
              <w:jc w:val="center"/>
              <w:rPr>
                <w:rFonts w:ascii="Arial Narrow" w:hAnsi="Arial Narrow"/>
                <w:sz w:val="20"/>
                <w:szCs w:val="20"/>
              </w:rPr>
            </w:pPr>
          </w:p>
        </w:tc>
        <w:tc>
          <w:tcPr>
            <w:tcW w:w="7745" w:type="dxa"/>
            <w:gridSpan w:val="6"/>
            <w:vAlign w:val="center"/>
          </w:tcPr>
          <w:p w14:paraId="3AD521EE" w14:textId="77777777" w:rsidR="00002D66" w:rsidRPr="00446E53" w:rsidRDefault="00002D66">
            <w:pPr>
              <w:autoSpaceDE w:val="0"/>
              <w:autoSpaceDN w:val="0"/>
              <w:adjustRightInd w:val="0"/>
              <w:rPr>
                <w:rFonts w:ascii="Arial Narrow" w:hAnsi="Arial Narrow" w:cs="Arial Narrow"/>
                <w:iCs/>
                <w:color w:val="FF0000"/>
                <w:sz w:val="20"/>
                <w:szCs w:val="20"/>
              </w:rPr>
            </w:pPr>
            <w:r>
              <w:rPr>
                <w:rFonts w:ascii="Arial Narrow" w:hAnsi="Arial Narrow"/>
                <w:b/>
                <w:bCs/>
                <w:color w:val="333333"/>
                <w:sz w:val="20"/>
                <w:szCs w:val="20"/>
              </w:rPr>
              <w:t xml:space="preserve">Clinical </w:t>
            </w:r>
            <w:r w:rsidRPr="00446E53">
              <w:rPr>
                <w:rFonts w:ascii="Arial Narrow" w:hAnsi="Arial Narrow"/>
                <w:b/>
                <w:bCs/>
                <w:color w:val="333333"/>
                <w:sz w:val="20"/>
                <w:szCs w:val="20"/>
              </w:rPr>
              <w:t>criteria:</w:t>
            </w:r>
          </w:p>
        </w:tc>
      </w:tr>
      <w:tr w:rsidR="00002D66" w:rsidRPr="00446E53" w14:paraId="1FB3DE0E" w14:textId="77777777">
        <w:tblPrEx>
          <w:tblCellMar>
            <w:top w:w="15" w:type="dxa"/>
            <w:bottom w:w="15" w:type="dxa"/>
          </w:tblCellMar>
          <w:tblLook w:val="04A0" w:firstRow="1" w:lastRow="0" w:firstColumn="1" w:lastColumn="0" w:noHBand="0" w:noVBand="1"/>
        </w:tblPrEx>
        <w:trPr>
          <w:cantSplit/>
          <w:trHeight w:val="20"/>
        </w:trPr>
        <w:tc>
          <w:tcPr>
            <w:tcW w:w="1272" w:type="dxa"/>
          </w:tcPr>
          <w:p w14:paraId="5A65D71F" w14:textId="5457207F" w:rsidR="00002D66" w:rsidRPr="00E60D92" w:rsidRDefault="00002D66">
            <w:pPr>
              <w:jc w:val="center"/>
              <w:rPr>
                <w:rFonts w:ascii="Arial Narrow" w:hAnsi="Arial Narrow"/>
                <w:sz w:val="20"/>
                <w:szCs w:val="20"/>
              </w:rPr>
            </w:pPr>
          </w:p>
        </w:tc>
        <w:tc>
          <w:tcPr>
            <w:tcW w:w="7745" w:type="dxa"/>
            <w:gridSpan w:val="6"/>
          </w:tcPr>
          <w:p w14:paraId="0FFAB30E" w14:textId="77777777" w:rsidR="00002D66" w:rsidRPr="00446E53" w:rsidRDefault="00002D66">
            <w:pPr>
              <w:autoSpaceDE w:val="0"/>
              <w:autoSpaceDN w:val="0"/>
              <w:adjustRightInd w:val="0"/>
              <w:rPr>
                <w:rFonts w:ascii="Arial Narrow" w:hAnsi="Arial Narrow" w:cs="Arial Narrow"/>
                <w:iCs/>
                <w:color w:val="FF0000"/>
                <w:sz w:val="20"/>
                <w:szCs w:val="20"/>
              </w:rPr>
            </w:pPr>
            <w:r w:rsidRPr="00E62CC5">
              <w:rPr>
                <w:rFonts w:ascii="Arial Narrow" w:eastAsia="Calibri" w:hAnsi="Arial Narrow"/>
                <w:sz w:val="20"/>
                <w:szCs w:val="20"/>
              </w:rPr>
              <w:t>Patient must not have experienced an inadequate response to this biological medicine in this PBS indication</w:t>
            </w:r>
          </w:p>
        </w:tc>
      </w:tr>
      <w:tr w:rsidR="00002D66" w:rsidRPr="00446E53" w14:paraId="5F64B9CC" w14:textId="77777777">
        <w:tblPrEx>
          <w:tblCellMar>
            <w:top w:w="15" w:type="dxa"/>
            <w:bottom w:w="15" w:type="dxa"/>
          </w:tblCellMar>
          <w:tblLook w:val="04A0" w:firstRow="1" w:lastRow="0" w:firstColumn="1" w:lastColumn="0" w:noHBand="0" w:noVBand="1"/>
        </w:tblPrEx>
        <w:trPr>
          <w:cantSplit/>
          <w:trHeight w:val="20"/>
        </w:trPr>
        <w:tc>
          <w:tcPr>
            <w:tcW w:w="1272" w:type="dxa"/>
          </w:tcPr>
          <w:p w14:paraId="525A7AE1" w14:textId="77777777" w:rsidR="00002D66" w:rsidRDefault="00002D66">
            <w:pPr>
              <w:jc w:val="center"/>
              <w:rPr>
                <w:rFonts w:ascii="Arial Narrow" w:hAnsi="Arial Narrow"/>
                <w:sz w:val="20"/>
                <w:szCs w:val="20"/>
              </w:rPr>
            </w:pPr>
          </w:p>
        </w:tc>
        <w:tc>
          <w:tcPr>
            <w:tcW w:w="7745" w:type="dxa"/>
            <w:gridSpan w:val="6"/>
          </w:tcPr>
          <w:p w14:paraId="7428E1A0" w14:textId="77777777" w:rsidR="00002D66" w:rsidRPr="00D835B8" w:rsidRDefault="00002D66">
            <w:pPr>
              <w:autoSpaceDE w:val="0"/>
              <w:autoSpaceDN w:val="0"/>
              <w:adjustRightInd w:val="0"/>
              <w:rPr>
                <w:rFonts w:ascii="Arial Narrow" w:eastAsia="Calibri" w:hAnsi="Arial Narrow"/>
                <w:sz w:val="20"/>
                <w:szCs w:val="20"/>
              </w:rPr>
            </w:pPr>
            <w:r w:rsidRPr="00D835B8">
              <w:rPr>
                <w:rFonts w:ascii="Arial Narrow" w:hAnsi="Arial Narrow" w:cs="Arial Narrow"/>
                <w:b/>
                <w:bCs/>
                <w:iCs/>
                <w:sz w:val="20"/>
                <w:szCs w:val="20"/>
              </w:rPr>
              <w:t>AND</w:t>
            </w:r>
          </w:p>
        </w:tc>
      </w:tr>
      <w:tr w:rsidR="00002D66" w:rsidRPr="00446E53" w14:paraId="5970C6EE" w14:textId="77777777">
        <w:tblPrEx>
          <w:tblCellMar>
            <w:top w:w="15" w:type="dxa"/>
            <w:bottom w:w="15" w:type="dxa"/>
          </w:tblCellMar>
          <w:tblLook w:val="04A0" w:firstRow="1" w:lastRow="0" w:firstColumn="1" w:lastColumn="0" w:noHBand="0" w:noVBand="1"/>
        </w:tblPrEx>
        <w:trPr>
          <w:cantSplit/>
          <w:trHeight w:val="20"/>
        </w:trPr>
        <w:tc>
          <w:tcPr>
            <w:tcW w:w="1272" w:type="dxa"/>
          </w:tcPr>
          <w:p w14:paraId="3638BEEC" w14:textId="2D86862C" w:rsidR="00002D66" w:rsidRDefault="00002D66">
            <w:pPr>
              <w:jc w:val="center"/>
              <w:rPr>
                <w:rFonts w:ascii="Arial Narrow" w:hAnsi="Arial Narrow"/>
                <w:sz w:val="20"/>
                <w:szCs w:val="20"/>
              </w:rPr>
            </w:pPr>
          </w:p>
        </w:tc>
        <w:tc>
          <w:tcPr>
            <w:tcW w:w="7745" w:type="dxa"/>
            <w:gridSpan w:val="6"/>
          </w:tcPr>
          <w:p w14:paraId="3A012838" w14:textId="77777777" w:rsidR="00002D66" w:rsidRPr="00E62CC5" w:rsidRDefault="00002D66">
            <w:pPr>
              <w:autoSpaceDE w:val="0"/>
              <w:autoSpaceDN w:val="0"/>
              <w:adjustRightInd w:val="0"/>
              <w:rPr>
                <w:rFonts w:ascii="Arial Narrow" w:eastAsia="Calibri" w:hAnsi="Arial Narrow"/>
                <w:sz w:val="20"/>
                <w:szCs w:val="20"/>
              </w:rPr>
            </w:pPr>
            <w:r w:rsidRPr="004D3728">
              <w:rPr>
                <w:rFonts w:ascii="Arial Narrow" w:eastAsia="Calibri" w:hAnsi="Arial Narrow"/>
                <w:b/>
                <w:bCs/>
                <w:strike/>
                <w:sz w:val="20"/>
                <w:szCs w:val="20"/>
              </w:rPr>
              <w:t>Treatment</w:t>
            </w:r>
            <w:r>
              <w:rPr>
                <w:rFonts w:ascii="Arial Narrow" w:eastAsia="Calibri" w:hAnsi="Arial Narrow"/>
                <w:b/>
                <w:bCs/>
                <w:sz w:val="20"/>
                <w:szCs w:val="20"/>
              </w:rPr>
              <w:t xml:space="preserve"> </w:t>
            </w:r>
            <w:r>
              <w:rPr>
                <w:rFonts w:ascii="Arial Narrow" w:eastAsia="Calibri" w:hAnsi="Arial Narrow"/>
                <w:b/>
                <w:bCs/>
                <w:i/>
                <w:iCs/>
                <w:sz w:val="20"/>
                <w:szCs w:val="20"/>
              </w:rPr>
              <w:t>Clinical</w:t>
            </w:r>
            <w:r>
              <w:rPr>
                <w:rFonts w:ascii="Arial Narrow" w:eastAsia="Calibri" w:hAnsi="Arial Narrow"/>
                <w:b/>
                <w:bCs/>
                <w:sz w:val="20"/>
                <w:szCs w:val="20"/>
              </w:rPr>
              <w:t xml:space="preserve"> criteria: </w:t>
            </w:r>
          </w:p>
        </w:tc>
      </w:tr>
      <w:tr w:rsidR="00002D66" w:rsidRPr="00446E53" w14:paraId="5DEDF48B" w14:textId="77777777">
        <w:tblPrEx>
          <w:tblCellMar>
            <w:top w:w="15" w:type="dxa"/>
            <w:bottom w:w="15" w:type="dxa"/>
          </w:tblCellMar>
          <w:tblLook w:val="04A0" w:firstRow="1" w:lastRow="0" w:firstColumn="1" w:lastColumn="0" w:noHBand="0" w:noVBand="1"/>
        </w:tblPrEx>
        <w:trPr>
          <w:cantSplit/>
          <w:trHeight w:val="20"/>
        </w:trPr>
        <w:tc>
          <w:tcPr>
            <w:tcW w:w="1272" w:type="dxa"/>
          </w:tcPr>
          <w:p w14:paraId="568C8974" w14:textId="1CD61E41" w:rsidR="00002D66" w:rsidRDefault="00002D66">
            <w:pPr>
              <w:jc w:val="center"/>
              <w:rPr>
                <w:rFonts w:ascii="Arial Narrow" w:hAnsi="Arial Narrow"/>
                <w:sz w:val="20"/>
                <w:szCs w:val="20"/>
              </w:rPr>
            </w:pPr>
          </w:p>
        </w:tc>
        <w:tc>
          <w:tcPr>
            <w:tcW w:w="7745" w:type="dxa"/>
            <w:gridSpan w:val="6"/>
          </w:tcPr>
          <w:p w14:paraId="6881FDAE" w14:textId="77777777" w:rsidR="00002D66" w:rsidRPr="00E62CC5" w:rsidRDefault="00002D66">
            <w:pPr>
              <w:autoSpaceDE w:val="0"/>
              <w:autoSpaceDN w:val="0"/>
              <w:adjustRightInd w:val="0"/>
              <w:rPr>
                <w:rFonts w:ascii="Arial Narrow" w:eastAsia="Calibri" w:hAnsi="Arial Narrow"/>
                <w:sz w:val="20"/>
                <w:szCs w:val="20"/>
              </w:rPr>
            </w:pPr>
            <w:r w:rsidRPr="00A14516">
              <w:rPr>
                <w:rFonts w:ascii="Arial Narrow" w:eastAsia="Calibri" w:hAnsi="Arial Narrow"/>
                <w:sz w:val="20"/>
                <w:szCs w:val="20"/>
              </w:rPr>
              <w:t>The treatment must be the sole PBS-subsidised biological medicine for this PBS indication</w:t>
            </w:r>
          </w:p>
        </w:tc>
      </w:tr>
      <w:tr w:rsidR="00002D66" w:rsidRPr="00446E53" w14:paraId="0770323E" w14:textId="77777777">
        <w:tblPrEx>
          <w:tblCellMar>
            <w:top w:w="15" w:type="dxa"/>
            <w:bottom w:w="15" w:type="dxa"/>
          </w:tblCellMar>
          <w:tblLook w:val="04A0" w:firstRow="1" w:lastRow="0" w:firstColumn="1" w:lastColumn="0" w:noHBand="0" w:noVBand="1"/>
        </w:tblPrEx>
        <w:trPr>
          <w:cantSplit/>
          <w:trHeight w:val="20"/>
        </w:trPr>
        <w:tc>
          <w:tcPr>
            <w:tcW w:w="9017" w:type="dxa"/>
            <w:gridSpan w:val="7"/>
          </w:tcPr>
          <w:p w14:paraId="27E29A89" w14:textId="77777777" w:rsidR="00002D66" w:rsidRDefault="00002D66">
            <w:pPr>
              <w:rPr>
                <w:rFonts w:ascii="Arial Narrow" w:hAnsi="Arial Narrow"/>
                <w:b/>
                <w:bCs/>
                <w:color w:val="333333"/>
                <w:sz w:val="20"/>
                <w:szCs w:val="20"/>
              </w:rPr>
            </w:pPr>
          </w:p>
          <w:p w14:paraId="5A94543B" w14:textId="77777777" w:rsidR="00F729E0" w:rsidRPr="00446E53" w:rsidRDefault="00F729E0">
            <w:pPr>
              <w:rPr>
                <w:rFonts w:ascii="Arial Narrow" w:hAnsi="Arial Narrow"/>
                <w:b/>
                <w:bCs/>
                <w:color w:val="333333"/>
                <w:sz w:val="20"/>
                <w:szCs w:val="20"/>
              </w:rPr>
            </w:pPr>
          </w:p>
        </w:tc>
      </w:tr>
      <w:tr w:rsidR="00002D66" w:rsidRPr="00446E53" w14:paraId="3526277C" w14:textId="77777777" w:rsidTr="00A71C5B">
        <w:tblPrEx>
          <w:tblCellMar>
            <w:top w:w="15" w:type="dxa"/>
            <w:bottom w:w="15" w:type="dxa"/>
          </w:tblCellMar>
          <w:tblLook w:val="04A0" w:firstRow="1" w:lastRow="0" w:firstColumn="1" w:lastColumn="0" w:noHBand="0" w:noVBand="1"/>
        </w:tblPrEx>
        <w:trPr>
          <w:cantSplit/>
          <w:trHeight w:val="20"/>
        </w:trPr>
        <w:tc>
          <w:tcPr>
            <w:tcW w:w="1272" w:type="dxa"/>
          </w:tcPr>
          <w:p w14:paraId="6955EC5F" w14:textId="5D53560A" w:rsidR="00002D66" w:rsidRPr="00446E53" w:rsidRDefault="00002D66">
            <w:pPr>
              <w:jc w:val="center"/>
              <w:rPr>
                <w:rFonts w:ascii="Arial Narrow" w:hAnsi="Arial Narrow"/>
                <w:color w:val="333333"/>
                <w:sz w:val="20"/>
                <w:szCs w:val="20"/>
              </w:rPr>
            </w:pPr>
          </w:p>
        </w:tc>
        <w:tc>
          <w:tcPr>
            <w:tcW w:w="7745" w:type="dxa"/>
            <w:gridSpan w:val="6"/>
            <w:vAlign w:val="center"/>
            <w:hideMark/>
          </w:tcPr>
          <w:p w14:paraId="2059EEAD" w14:textId="77777777" w:rsidR="00002D66" w:rsidRPr="00446E53" w:rsidRDefault="00002D66">
            <w:pPr>
              <w:rPr>
                <w:rFonts w:ascii="Arial Narrow" w:hAnsi="Arial Narrow"/>
                <w:color w:val="333333"/>
                <w:sz w:val="20"/>
                <w:szCs w:val="20"/>
              </w:rPr>
            </w:pPr>
            <w:r w:rsidRPr="0069367A">
              <w:rPr>
                <w:rFonts w:ascii="Arial Narrow" w:hAnsi="Arial Narrow"/>
                <w:b/>
                <w:bCs/>
                <w:sz w:val="20"/>
                <w:szCs w:val="20"/>
              </w:rPr>
              <w:t>Indication:</w:t>
            </w:r>
            <w:r w:rsidRPr="0069367A">
              <w:rPr>
                <w:rFonts w:ascii="Arial Narrow" w:hAnsi="Arial Narrow"/>
                <w:sz w:val="20"/>
                <w:szCs w:val="20"/>
              </w:rPr>
              <w:t xml:space="preserve"> Chronic severe atopic dermatitis </w:t>
            </w:r>
          </w:p>
        </w:tc>
      </w:tr>
      <w:tr w:rsidR="00002D66" w:rsidRPr="00446E53" w14:paraId="5F0941A7" w14:textId="77777777" w:rsidTr="00A71C5B">
        <w:tblPrEx>
          <w:tblCellMar>
            <w:top w:w="15" w:type="dxa"/>
            <w:bottom w:w="15" w:type="dxa"/>
          </w:tblCellMar>
          <w:tblLook w:val="04A0" w:firstRow="1" w:lastRow="0" w:firstColumn="1" w:lastColumn="0" w:noHBand="0" w:noVBand="1"/>
        </w:tblPrEx>
        <w:trPr>
          <w:cantSplit/>
          <w:trHeight w:val="20"/>
        </w:trPr>
        <w:tc>
          <w:tcPr>
            <w:tcW w:w="1272" w:type="dxa"/>
          </w:tcPr>
          <w:p w14:paraId="13C58236" w14:textId="77777777" w:rsidR="00002D66" w:rsidRPr="00446E53" w:rsidRDefault="00002D66">
            <w:pPr>
              <w:jc w:val="center"/>
              <w:rPr>
                <w:rFonts w:ascii="Arial Narrow" w:hAnsi="Arial Narrow"/>
                <w:color w:val="333333"/>
                <w:sz w:val="20"/>
                <w:szCs w:val="20"/>
              </w:rPr>
            </w:pPr>
          </w:p>
        </w:tc>
        <w:tc>
          <w:tcPr>
            <w:tcW w:w="7745" w:type="dxa"/>
            <w:gridSpan w:val="6"/>
            <w:vAlign w:val="center"/>
            <w:hideMark/>
          </w:tcPr>
          <w:p w14:paraId="1B211402" w14:textId="77777777" w:rsidR="00002D66" w:rsidRPr="00446E53" w:rsidRDefault="00002D66">
            <w:pPr>
              <w:rPr>
                <w:rFonts w:ascii="Arial Narrow" w:hAnsi="Arial Narrow"/>
                <w:sz w:val="20"/>
                <w:szCs w:val="20"/>
              </w:rPr>
            </w:pPr>
            <w:r w:rsidRPr="0069367A">
              <w:rPr>
                <w:rFonts w:ascii="Arial Narrow" w:hAnsi="Arial Narrow"/>
                <w:b/>
                <w:bCs/>
                <w:sz w:val="20"/>
                <w:szCs w:val="20"/>
              </w:rPr>
              <w:t>Treatment Phase:</w:t>
            </w:r>
            <w:r w:rsidRPr="0069367A">
              <w:rPr>
                <w:rFonts w:ascii="Arial Narrow" w:hAnsi="Arial Narrow"/>
                <w:sz w:val="20"/>
                <w:szCs w:val="20"/>
              </w:rPr>
              <w:t xml:space="preserve"> Initial treatment of the </w:t>
            </w:r>
            <w:r>
              <w:rPr>
                <w:rFonts w:ascii="Arial Narrow" w:hAnsi="Arial Narrow"/>
                <w:sz w:val="20"/>
                <w:szCs w:val="20"/>
              </w:rPr>
              <w:t>face and/or hands</w:t>
            </w:r>
            <w:r w:rsidRPr="0069367A">
              <w:rPr>
                <w:rFonts w:ascii="Arial Narrow" w:hAnsi="Arial Narrow"/>
                <w:sz w:val="20"/>
                <w:szCs w:val="20"/>
              </w:rPr>
              <w:t xml:space="preserve"> </w:t>
            </w:r>
          </w:p>
        </w:tc>
      </w:tr>
      <w:tr w:rsidR="00002D66" w:rsidRPr="00446E53" w14:paraId="255D89BA" w14:textId="77777777">
        <w:tblPrEx>
          <w:tblCellMar>
            <w:top w:w="15" w:type="dxa"/>
            <w:bottom w:w="15" w:type="dxa"/>
          </w:tblCellMar>
          <w:tblLook w:val="04A0" w:firstRow="1" w:lastRow="0" w:firstColumn="1" w:lastColumn="0" w:noHBand="0" w:noVBand="1"/>
        </w:tblPrEx>
        <w:trPr>
          <w:cantSplit/>
          <w:trHeight w:val="20"/>
        </w:trPr>
        <w:tc>
          <w:tcPr>
            <w:tcW w:w="1272" w:type="dxa"/>
          </w:tcPr>
          <w:p w14:paraId="012894F7" w14:textId="6118A0D6" w:rsidR="00002D66" w:rsidRPr="00446E53" w:rsidRDefault="00002D66">
            <w:pPr>
              <w:jc w:val="center"/>
              <w:rPr>
                <w:rFonts w:ascii="Arial Narrow" w:hAnsi="Arial Narrow"/>
                <w:color w:val="333333"/>
                <w:sz w:val="20"/>
                <w:szCs w:val="20"/>
              </w:rPr>
            </w:pPr>
          </w:p>
        </w:tc>
        <w:tc>
          <w:tcPr>
            <w:tcW w:w="7745" w:type="dxa"/>
            <w:gridSpan w:val="6"/>
            <w:vAlign w:val="center"/>
          </w:tcPr>
          <w:p w14:paraId="0CE76D6C" w14:textId="77777777" w:rsidR="00002D66" w:rsidRPr="00446E53" w:rsidRDefault="00002D66">
            <w:pPr>
              <w:rPr>
                <w:rFonts w:ascii="Arial Narrow" w:hAnsi="Arial Narrow"/>
                <w:b/>
                <w:bCs/>
                <w:color w:val="333333"/>
                <w:sz w:val="20"/>
                <w:szCs w:val="20"/>
              </w:rPr>
            </w:pPr>
            <w:r w:rsidRPr="00446E53">
              <w:rPr>
                <w:rFonts w:ascii="Arial Narrow" w:hAnsi="Arial Narrow"/>
                <w:b/>
                <w:bCs/>
                <w:color w:val="333333"/>
                <w:sz w:val="20"/>
                <w:szCs w:val="20"/>
              </w:rPr>
              <w:t xml:space="preserve">Clinical criteria: </w:t>
            </w:r>
          </w:p>
        </w:tc>
      </w:tr>
      <w:tr w:rsidR="00002D66" w:rsidRPr="00446E53" w14:paraId="209FEA4B" w14:textId="77777777">
        <w:tblPrEx>
          <w:tblCellMar>
            <w:top w:w="15" w:type="dxa"/>
            <w:bottom w:w="15" w:type="dxa"/>
          </w:tblCellMar>
          <w:tblLook w:val="04A0" w:firstRow="1" w:lastRow="0" w:firstColumn="1" w:lastColumn="0" w:noHBand="0" w:noVBand="1"/>
        </w:tblPrEx>
        <w:trPr>
          <w:cantSplit/>
          <w:trHeight w:val="20"/>
        </w:trPr>
        <w:tc>
          <w:tcPr>
            <w:tcW w:w="1272" w:type="dxa"/>
          </w:tcPr>
          <w:p w14:paraId="10795A1C" w14:textId="08DF1E78" w:rsidR="00002D66" w:rsidRPr="00446E53" w:rsidRDefault="00002D66">
            <w:pPr>
              <w:jc w:val="center"/>
              <w:rPr>
                <w:rFonts w:ascii="Arial Narrow" w:hAnsi="Arial Narrow"/>
                <w:color w:val="333333"/>
                <w:sz w:val="20"/>
                <w:szCs w:val="20"/>
              </w:rPr>
            </w:pPr>
          </w:p>
        </w:tc>
        <w:tc>
          <w:tcPr>
            <w:tcW w:w="7745" w:type="dxa"/>
            <w:gridSpan w:val="6"/>
          </w:tcPr>
          <w:p w14:paraId="1A82A27A" w14:textId="77777777" w:rsidR="00002D66" w:rsidRPr="00CD7E60" w:rsidRDefault="00002D66">
            <w:pPr>
              <w:rPr>
                <w:rFonts w:ascii="Arial Narrow" w:hAnsi="Arial Narrow"/>
                <w:color w:val="333333"/>
                <w:sz w:val="20"/>
                <w:szCs w:val="20"/>
              </w:rPr>
            </w:pPr>
            <w:r w:rsidRPr="00CD7E60">
              <w:rPr>
                <w:rFonts w:ascii="Arial Narrow" w:hAnsi="Arial Narrow"/>
                <w:color w:val="333333"/>
                <w:sz w:val="20"/>
                <w:szCs w:val="20"/>
              </w:rPr>
              <w:t xml:space="preserve">The condition must have at least 2 of the following Eczema Area and Severity Index (EASI) symptom sub-scores for erythema, oedema/papulation, excoriation, </w:t>
            </w:r>
            <w:proofErr w:type="spellStart"/>
            <w:r w:rsidRPr="00CD7E60">
              <w:rPr>
                <w:rFonts w:ascii="Arial Narrow" w:hAnsi="Arial Narrow"/>
                <w:color w:val="333333"/>
                <w:sz w:val="20"/>
                <w:szCs w:val="20"/>
              </w:rPr>
              <w:t>lichenification</w:t>
            </w:r>
            <w:proofErr w:type="spellEnd"/>
            <w:r w:rsidRPr="00CD7E60">
              <w:rPr>
                <w:rFonts w:ascii="Arial Narrow" w:hAnsi="Arial Narrow"/>
                <w:color w:val="333333"/>
                <w:sz w:val="20"/>
                <w:szCs w:val="20"/>
              </w:rPr>
              <w:t xml:space="preserve"> rated as severe despite treatment with daily topical therapy (corticosteroid of medium to high potency/calcineurin inhibitor), for at least 28 days; or</w:t>
            </w:r>
          </w:p>
        </w:tc>
      </w:tr>
      <w:tr w:rsidR="00002D66" w:rsidRPr="00446E53" w14:paraId="657F780A" w14:textId="77777777">
        <w:tblPrEx>
          <w:tblCellMar>
            <w:top w:w="15" w:type="dxa"/>
            <w:bottom w:w="15" w:type="dxa"/>
          </w:tblCellMar>
          <w:tblLook w:val="04A0" w:firstRow="1" w:lastRow="0" w:firstColumn="1" w:lastColumn="0" w:noHBand="0" w:noVBand="1"/>
        </w:tblPrEx>
        <w:trPr>
          <w:cantSplit/>
          <w:trHeight w:val="20"/>
        </w:trPr>
        <w:tc>
          <w:tcPr>
            <w:tcW w:w="1272" w:type="dxa"/>
          </w:tcPr>
          <w:p w14:paraId="31EBF169" w14:textId="72A08435" w:rsidR="00002D66" w:rsidRPr="00446E53" w:rsidRDefault="00002D66">
            <w:pPr>
              <w:jc w:val="center"/>
              <w:rPr>
                <w:rFonts w:ascii="Arial Narrow" w:hAnsi="Arial Narrow"/>
                <w:color w:val="FF0000"/>
                <w:sz w:val="20"/>
                <w:szCs w:val="20"/>
              </w:rPr>
            </w:pPr>
          </w:p>
        </w:tc>
        <w:tc>
          <w:tcPr>
            <w:tcW w:w="7745" w:type="dxa"/>
            <w:gridSpan w:val="6"/>
          </w:tcPr>
          <w:p w14:paraId="43992724" w14:textId="77777777" w:rsidR="00002D66" w:rsidRPr="00CD7E60" w:rsidRDefault="00002D66">
            <w:pPr>
              <w:rPr>
                <w:rFonts w:ascii="Arial Narrow" w:hAnsi="Arial Narrow"/>
                <w:color w:val="333333"/>
                <w:sz w:val="20"/>
                <w:szCs w:val="20"/>
              </w:rPr>
            </w:pPr>
            <w:r w:rsidRPr="00CD7E60">
              <w:rPr>
                <w:rFonts w:ascii="Arial Narrow" w:hAnsi="Arial Narrow"/>
                <w:color w:val="333333"/>
                <w:sz w:val="20"/>
                <w:szCs w:val="20"/>
              </w:rPr>
              <w:t>The condition must have affected at least 30% of the face/hands surface area despite treatment with daily topical therapy (</w:t>
            </w:r>
            <w:r w:rsidRPr="000A7AD1">
              <w:rPr>
                <w:rFonts w:ascii="Arial Narrow" w:hAnsi="Arial Narrow"/>
                <w:sz w:val="20"/>
                <w:szCs w:val="20"/>
              </w:rPr>
              <w:t xml:space="preserve">corticosteroid of medium </w:t>
            </w:r>
            <w:r w:rsidRPr="00CD7E60">
              <w:rPr>
                <w:rFonts w:ascii="Arial Narrow" w:hAnsi="Arial Narrow"/>
                <w:color w:val="333333"/>
                <w:sz w:val="20"/>
                <w:szCs w:val="20"/>
              </w:rPr>
              <w:t>to high potency/calcineurin inhibitor), for at least 28 days</w:t>
            </w:r>
          </w:p>
        </w:tc>
      </w:tr>
      <w:tr w:rsidR="00002D66" w:rsidRPr="00446E53" w14:paraId="23A8BE78" w14:textId="77777777">
        <w:tblPrEx>
          <w:tblCellMar>
            <w:top w:w="15" w:type="dxa"/>
            <w:bottom w:w="15" w:type="dxa"/>
          </w:tblCellMar>
          <w:tblLook w:val="04A0" w:firstRow="1" w:lastRow="0" w:firstColumn="1" w:lastColumn="0" w:noHBand="0" w:noVBand="1"/>
        </w:tblPrEx>
        <w:trPr>
          <w:cantSplit/>
          <w:trHeight w:val="20"/>
        </w:trPr>
        <w:tc>
          <w:tcPr>
            <w:tcW w:w="1272" w:type="dxa"/>
          </w:tcPr>
          <w:p w14:paraId="662D05A0" w14:textId="77777777" w:rsidR="00002D66" w:rsidRPr="00446E53" w:rsidRDefault="00002D66">
            <w:pPr>
              <w:jc w:val="center"/>
              <w:rPr>
                <w:rFonts w:ascii="Arial Narrow" w:hAnsi="Arial Narrow"/>
                <w:color w:val="333333"/>
                <w:sz w:val="20"/>
                <w:szCs w:val="20"/>
              </w:rPr>
            </w:pPr>
          </w:p>
        </w:tc>
        <w:tc>
          <w:tcPr>
            <w:tcW w:w="7745" w:type="dxa"/>
            <w:gridSpan w:val="6"/>
            <w:vAlign w:val="center"/>
          </w:tcPr>
          <w:p w14:paraId="683DBDD7" w14:textId="77777777" w:rsidR="00002D66" w:rsidRPr="00446E53" w:rsidRDefault="00002D66">
            <w:pPr>
              <w:rPr>
                <w:rFonts w:ascii="Arial Narrow" w:hAnsi="Arial Narrow"/>
                <w:b/>
                <w:bCs/>
                <w:color w:val="333333"/>
                <w:sz w:val="20"/>
                <w:szCs w:val="20"/>
              </w:rPr>
            </w:pPr>
            <w:r w:rsidRPr="00446E53">
              <w:rPr>
                <w:rFonts w:ascii="Arial Narrow" w:hAnsi="Arial Narrow"/>
                <w:b/>
                <w:bCs/>
                <w:color w:val="333333"/>
                <w:sz w:val="20"/>
                <w:szCs w:val="20"/>
              </w:rPr>
              <w:t>AND</w:t>
            </w:r>
          </w:p>
        </w:tc>
      </w:tr>
      <w:tr w:rsidR="00002D66" w:rsidRPr="00446E53" w14:paraId="62FEABDB" w14:textId="77777777">
        <w:tblPrEx>
          <w:tblCellMar>
            <w:top w:w="15" w:type="dxa"/>
            <w:bottom w:w="15" w:type="dxa"/>
          </w:tblCellMar>
          <w:tblLook w:val="04A0" w:firstRow="1" w:lastRow="0" w:firstColumn="1" w:lastColumn="0" w:noHBand="0" w:noVBand="1"/>
        </w:tblPrEx>
        <w:trPr>
          <w:cantSplit/>
          <w:trHeight w:val="20"/>
        </w:trPr>
        <w:tc>
          <w:tcPr>
            <w:tcW w:w="1272" w:type="dxa"/>
          </w:tcPr>
          <w:p w14:paraId="1B9FC183" w14:textId="12FCE250" w:rsidR="00002D66" w:rsidRPr="00446E53" w:rsidRDefault="00002D66">
            <w:pPr>
              <w:jc w:val="center"/>
              <w:rPr>
                <w:rFonts w:ascii="Arial Narrow" w:hAnsi="Arial Narrow"/>
                <w:color w:val="333333"/>
                <w:sz w:val="20"/>
                <w:szCs w:val="20"/>
              </w:rPr>
            </w:pPr>
          </w:p>
        </w:tc>
        <w:tc>
          <w:tcPr>
            <w:tcW w:w="7745" w:type="dxa"/>
            <w:gridSpan w:val="6"/>
            <w:vAlign w:val="center"/>
          </w:tcPr>
          <w:p w14:paraId="5ACF6FBE" w14:textId="77777777" w:rsidR="00002D66" w:rsidRPr="00446E53" w:rsidRDefault="00002D66">
            <w:pPr>
              <w:rPr>
                <w:rFonts w:ascii="Arial Narrow" w:hAnsi="Arial Narrow"/>
                <w:b/>
                <w:bCs/>
                <w:color w:val="333333"/>
                <w:sz w:val="20"/>
                <w:szCs w:val="20"/>
              </w:rPr>
            </w:pPr>
            <w:r w:rsidRPr="00446E53">
              <w:rPr>
                <w:rFonts w:ascii="Arial Narrow" w:hAnsi="Arial Narrow"/>
                <w:b/>
                <w:bCs/>
                <w:color w:val="333333"/>
                <w:sz w:val="20"/>
                <w:szCs w:val="20"/>
              </w:rPr>
              <w:t xml:space="preserve">Clinical criteria: </w:t>
            </w:r>
          </w:p>
        </w:tc>
      </w:tr>
      <w:tr w:rsidR="00002D66" w:rsidRPr="00446E53" w14:paraId="4FBB3123" w14:textId="77777777">
        <w:tblPrEx>
          <w:tblCellMar>
            <w:top w:w="15" w:type="dxa"/>
            <w:bottom w:w="15" w:type="dxa"/>
          </w:tblCellMar>
          <w:tblLook w:val="04A0" w:firstRow="1" w:lastRow="0" w:firstColumn="1" w:lastColumn="0" w:noHBand="0" w:noVBand="1"/>
        </w:tblPrEx>
        <w:trPr>
          <w:cantSplit/>
          <w:trHeight w:val="20"/>
        </w:trPr>
        <w:tc>
          <w:tcPr>
            <w:tcW w:w="1272" w:type="dxa"/>
          </w:tcPr>
          <w:p w14:paraId="5F13D69C" w14:textId="0A82D0B0" w:rsidR="00002D66" w:rsidRPr="00446E53" w:rsidRDefault="00002D66">
            <w:pPr>
              <w:jc w:val="center"/>
              <w:rPr>
                <w:rFonts w:ascii="Arial Narrow" w:hAnsi="Arial Narrow"/>
                <w:color w:val="333333"/>
                <w:sz w:val="20"/>
                <w:szCs w:val="20"/>
              </w:rPr>
            </w:pPr>
          </w:p>
        </w:tc>
        <w:tc>
          <w:tcPr>
            <w:tcW w:w="7745" w:type="dxa"/>
            <w:gridSpan w:val="6"/>
          </w:tcPr>
          <w:p w14:paraId="171D07A6" w14:textId="77777777" w:rsidR="00002D66" w:rsidRPr="00446E53" w:rsidRDefault="00002D66">
            <w:pPr>
              <w:rPr>
                <w:rFonts w:ascii="Arial Narrow" w:hAnsi="Arial Narrow"/>
                <w:b/>
                <w:bCs/>
                <w:color w:val="333333"/>
                <w:sz w:val="20"/>
                <w:szCs w:val="20"/>
              </w:rPr>
            </w:pPr>
            <w:r w:rsidRPr="000A7AD1">
              <w:rPr>
                <w:rFonts w:ascii="Arial Narrow" w:hAnsi="Arial Narrow"/>
                <w:sz w:val="20"/>
                <w:szCs w:val="20"/>
              </w:rPr>
              <w:t>Patient must have an age appropriate Dermatology Life Quality Index (DLQI) baseline score (of any value) measured following treatment with daily topical therapy (corticosteroid of medium to high potency/calcineurin inhibitor), for at least 28 days</w:t>
            </w:r>
          </w:p>
        </w:tc>
      </w:tr>
      <w:tr w:rsidR="00002D66" w:rsidRPr="00446E53" w14:paraId="7BC1D72E" w14:textId="77777777">
        <w:tblPrEx>
          <w:tblCellMar>
            <w:top w:w="15" w:type="dxa"/>
            <w:bottom w:w="15" w:type="dxa"/>
          </w:tblCellMar>
          <w:tblLook w:val="04A0" w:firstRow="1" w:lastRow="0" w:firstColumn="1" w:lastColumn="0" w:noHBand="0" w:noVBand="1"/>
        </w:tblPrEx>
        <w:trPr>
          <w:cantSplit/>
          <w:trHeight w:val="20"/>
        </w:trPr>
        <w:tc>
          <w:tcPr>
            <w:tcW w:w="1272" w:type="dxa"/>
          </w:tcPr>
          <w:p w14:paraId="5B58F0A4" w14:textId="77777777" w:rsidR="00002D66" w:rsidRDefault="00002D66">
            <w:pPr>
              <w:jc w:val="center"/>
              <w:rPr>
                <w:rFonts w:ascii="Arial Narrow" w:hAnsi="Arial Narrow"/>
                <w:color w:val="333333"/>
                <w:sz w:val="20"/>
                <w:szCs w:val="20"/>
              </w:rPr>
            </w:pPr>
          </w:p>
        </w:tc>
        <w:tc>
          <w:tcPr>
            <w:tcW w:w="7745" w:type="dxa"/>
            <w:gridSpan w:val="6"/>
            <w:vAlign w:val="center"/>
          </w:tcPr>
          <w:p w14:paraId="7E14B71D" w14:textId="77777777" w:rsidR="00002D66" w:rsidRPr="000A7AD1" w:rsidRDefault="00002D66">
            <w:pPr>
              <w:rPr>
                <w:rFonts w:ascii="Arial Narrow" w:hAnsi="Arial Narrow"/>
                <w:sz w:val="20"/>
                <w:szCs w:val="20"/>
              </w:rPr>
            </w:pPr>
            <w:r w:rsidRPr="00446E53">
              <w:rPr>
                <w:rFonts w:ascii="Arial Narrow" w:hAnsi="Arial Narrow" w:cs="Arial Narrow"/>
                <w:b/>
                <w:bCs/>
                <w:iCs/>
                <w:sz w:val="20"/>
                <w:szCs w:val="20"/>
              </w:rPr>
              <w:t>AND</w:t>
            </w:r>
          </w:p>
        </w:tc>
      </w:tr>
      <w:tr w:rsidR="00002D66" w:rsidRPr="00446E53" w14:paraId="1528B962" w14:textId="77777777">
        <w:tblPrEx>
          <w:tblCellMar>
            <w:top w:w="15" w:type="dxa"/>
            <w:bottom w:w="15" w:type="dxa"/>
          </w:tblCellMar>
          <w:tblLook w:val="04A0" w:firstRow="1" w:lastRow="0" w:firstColumn="1" w:lastColumn="0" w:noHBand="0" w:noVBand="1"/>
        </w:tblPrEx>
        <w:trPr>
          <w:cantSplit/>
          <w:trHeight w:val="20"/>
        </w:trPr>
        <w:tc>
          <w:tcPr>
            <w:tcW w:w="1272" w:type="dxa"/>
          </w:tcPr>
          <w:p w14:paraId="56690575" w14:textId="578C9733" w:rsidR="00002D66" w:rsidRDefault="00002D66">
            <w:pPr>
              <w:jc w:val="center"/>
              <w:rPr>
                <w:rFonts w:ascii="Arial Narrow" w:hAnsi="Arial Narrow"/>
                <w:color w:val="333333"/>
                <w:sz w:val="20"/>
                <w:szCs w:val="20"/>
              </w:rPr>
            </w:pPr>
          </w:p>
        </w:tc>
        <w:tc>
          <w:tcPr>
            <w:tcW w:w="7745" w:type="dxa"/>
            <w:gridSpan w:val="6"/>
            <w:vAlign w:val="center"/>
          </w:tcPr>
          <w:p w14:paraId="16033C30" w14:textId="77777777" w:rsidR="00002D66" w:rsidRPr="000A7AD1" w:rsidRDefault="00002D66">
            <w:pPr>
              <w:rPr>
                <w:rFonts w:ascii="Arial Narrow" w:hAnsi="Arial Narrow"/>
                <w:sz w:val="20"/>
                <w:szCs w:val="20"/>
              </w:rPr>
            </w:pPr>
            <w:r>
              <w:rPr>
                <w:rFonts w:ascii="Arial Narrow" w:hAnsi="Arial Narrow"/>
                <w:b/>
                <w:bCs/>
                <w:color w:val="333333"/>
                <w:sz w:val="20"/>
                <w:szCs w:val="20"/>
              </w:rPr>
              <w:t>Clinical</w:t>
            </w:r>
            <w:r w:rsidRPr="00446E53">
              <w:rPr>
                <w:rFonts w:ascii="Arial Narrow" w:hAnsi="Arial Narrow"/>
                <w:b/>
                <w:bCs/>
                <w:color w:val="333333"/>
                <w:sz w:val="20"/>
                <w:szCs w:val="20"/>
              </w:rPr>
              <w:t xml:space="preserve"> criteria:</w:t>
            </w:r>
          </w:p>
        </w:tc>
      </w:tr>
      <w:tr w:rsidR="00002D66" w:rsidRPr="00446E53" w14:paraId="47BCE715" w14:textId="77777777">
        <w:tblPrEx>
          <w:tblCellMar>
            <w:top w:w="15" w:type="dxa"/>
            <w:bottom w:w="15" w:type="dxa"/>
          </w:tblCellMar>
          <w:tblLook w:val="04A0" w:firstRow="1" w:lastRow="0" w:firstColumn="1" w:lastColumn="0" w:noHBand="0" w:noVBand="1"/>
        </w:tblPrEx>
        <w:trPr>
          <w:cantSplit/>
          <w:trHeight w:val="20"/>
        </w:trPr>
        <w:tc>
          <w:tcPr>
            <w:tcW w:w="1272" w:type="dxa"/>
          </w:tcPr>
          <w:p w14:paraId="565CA411" w14:textId="47916042" w:rsidR="00002D66" w:rsidRDefault="00002D66">
            <w:pPr>
              <w:jc w:val="center"/>
              <w:rPr>
                <w:rFonts w:ascii="Arial Narrow" w:hAnsi="Arial Narrow"/>
                <w:color w:val="333333"/>
                <w:sz w:val="20"/>
                <w:szCs w:val="20"/>
              </w:rPr>
            </w:pPr>
          </w:p>
        </w:tc>
        <w:tc>
          <w:tcPr>
            <w:tcW w:w="7745" w:type="dxa"/>
            <w:gridSpan w:val="6"/>
            <w:vAlign w:val="center"/>
          </w:tcPr>
          <w:p w14:paraId="3B0EF43F" w14:textId="77777777" w:rsidR="00002D66" w:rsidRPr="000A7AD1" w:rsidRDefault="00002D66">
            <w:pPr>
              <w:rPr>
                <w:rFonts w:ascii="Arial Narrow" w:hAnsi="Arial Narrow"/>
                <w:sz w:val="20"/>
                <w:szCs w:val="20"/>
              </w:rPr>
            </w:pPr>
            <w:r w:rsidRPr="00E60D92">
              <w:rPr>
                <w:rFonts w:ascii="Arial Narrow" w:eastAsia="Calibri" w:hAnsi="Arial Narrow"/>
                <w:sz w:val="20"/>
                <w:szCs w:val="20"/>
              </w:rPr>
              <w:t>The condition must have had lesions for at least 6 months from the time of the initial diagnosis of chronic severe atopic dermatitis affecting either of: (i) the whole body, (ii) face/hands</w:t>
            </w:r>
          </w:p>
        </w:tc>
      </w:tr>
      <w:tr w:rsidR="00002D66" w:rsidRPr="00446E53" w14:paraId="0245408E" w14:textId="77777777">
        <w:tblPrEx>
          <w:tblCellMar>
            <w:top w:w="15" w:type="dxa"/>
            <w:bottom w:w="15" w:type="dxa"/>
          </w:tblCellMar>
          <w:tblLook w:val="04A0" w:firstRow="1" w:lastRow="0" w:firstColumn="1" w:lastColumn="0" w:noHBand="0" w:noVBand="1"/>
        </w:tblPrEx>
        <w:trPr>
          <w:cantSplit/>
          <w:trHeight w:val="20"/>
        </w:trPr>
        <w:tc>
          <w:tcPr>
            <w:tcW w:w="1272" w:type="dxa"/>
          </w:tcPr>
          <w:p w14:paraId="34F9F46F" w14:textId="77777777" w:rsidR="00002D66" w:rsidRDefault="00002D66">
            <w:pPr>
              <w:jc w:val="center"/>
              <w:rPr>
                <w:rFonts w:ascii="Arial Narrow" w:hAnsi="Arial Narrow"/>
                <w:color w:val="333333"/>
                <w:sz w:val="20"/>
                <w:szCs w:val="20"/>
              </w:rPr>
            </w:pPr>
          </w:p>
        </w:tc>
        <w:tc>
          <w:tcPr>
            <w:tcW w:w="7745" w:type="dxa"/>
            <w:gridSpan w:val="6"/>
            <w:vAlign w:val="center"/>
          </w:tcPr>
          <w:p w14:paraId="74231E10" w14:textId="77777777" w:rsidR="00002D66" w:rsidRPr="000A7AD1" w:rsidRDefault="00002D66">
            <w:pPr>
              <w:rPr>
                <w:rFonts w:ascii="Arial Narrow" w:hAnsi="Arial Narrow"/>
                <w:sz w:val="20"/>
                <w:szCs w:val="20"/>
              </w:rPr>
            </w:pPr>
            <w:r w:rsidRPr="00446E53">
              <w:rPr>
                <w:rFonts w:ascii="Arial Narrow" w:hAnsi="Arial Narrow" w:cs="Arial Narrow"/>
                <w:b/>
                <w:bCs/>
                <w:iCs/>
                <w:sz w:val="20"/>
                <w:szCs w:val="20"/>
              </w:rPr>
              <w:t>AND</w:t>
            </w:r>
          </w:p>
        </w:tc>
      </w:tr>
      <w:tr w:rsidR="00002D66" w:rsidRPr="00446E53" w14:paraId="4027D371" w14:textId="77777777">
        <w:tblPrEx>
          <w:tblCellMar>
            <w:top w:w="15" w:type="dxa"/>
            <w:bottom w:w="15" w:type="dxa"/>
          </w:tblCellMar>
          <w:tblLook w:val="04A0" w:firstRow="1" w:lastRow="0" w:firstColumn="1" w:lastColumn="0" w:noHBand="0" w:noVBand="1"/>
        </w:tblPrEx>
        <w:trPr>
          <w:cantSplit/>
          <w:trHeight w:val="20"/>
        </w:trPr>
        <w:tc>
          <w:tcPr>
            <w:tcW w:w="1272" w:type="dxa"/>
          </w:tcPr>
          <w:p w14:paraId="35CA3B10" w14:textId="2F26B0EC" w:rsidR="00002D66" w:rsidRDefault="00002D66">
            <w:pPr>
              <w:jc w:val="center"/>
              <w:rPr>
                <w:rFonts w:ascii="Arial Narrow" w:hAnsi="Arial Narrow"/>
                <w:color w:val="333333"/>
                <w:sz w:val="20"/>
                <w:szCs w:val="20"/>
              </w:rPr>
            </w:pPr>
          </w:p>
        </w:tc>
        <w:tc>
          <w:tcPr>
            <w:tcW w:w="7745" w:type="dxa"/>
            <w:gridSpan w:val="6"/>
            <w:vAlign w:val="center"/>
          </w:tcPr>
          <w:p w14:paraId="2A48A67D" w14:textId="77777777" w:rsidR="00002D66" w:rsidRPr="000A7AD1" w:rsidRDefault="00002D66">
            <w:pPr>
              <w:rPr>
                <w:rFonts w:ascii="Arial Narrow" w:hAnsi="Arial Narrow"/>
                <w:sz w:val="20"/>
                <w:szCs w:val="20"/>
              </w:rPr>
            </w:pPr>
            <w:r>
              <w:rPr>
                <w:rFonts w:ascii="Arial Narrow" w:hAnsi="Arial Narrow"/>
                <w:b/>
                <w:bCs/>
                <w:color w:val="333333"/>
                <w:sz w:val="20"/>
                <w:szCs w:val="20"/>
              </w:rPr>
              <w:t xml:space="preserve">Clinical </w:t>
            </w:r>
            <w:r w:rsidRPr="00446E53">
              <w:rPr>
                <w:rFonts w:ascii="Arial Narrow" w:hAnsi="Arial Narrow"/>
                <w:b/>
                <w:bCs/>
                <w:color w:val="333333"/>
                <w:sz w:val="20"/>
                <w:szCs w:val="20"/>
              </w:rPr>
              <w:t>criteria:</w:t>
            </w:r>
          </w:p>
        </w:tc>
      </w:tr>
      <w:tr w:rsidR="00002D66" w:rsidRPr="00446E53" w14:paraId="56589111" w14:textId="77777777">
        <w:tblPrEx>
          <w:tblCellMar>
            <w:top w:w="15" w:type="dxa"/>
            <w:bottom w:w="15" w:type="dxa"/>
          </w:tblCellMar>
          <w:tblLook w:val="04A0" w:firstRow="1" w:lastRow="0" w:firstColumn="1" w:lastColumn="0" w:noHBand="0" w:noVBand="1"/>
        </w:tblPrEx>
        <w:trPr>
          <w:cantSplit/>
          <w:trHeight w:val="20"/>
        </w:trPr>
        <w:tc>
          <w:tcPr>
            <w:tcW w:w="1272" w:type="dxa"/>
          </w:tcPr>
          <w:p w14:paraId="52E75B35" w14:textId="7A5E2B9E" w:rsidR="00002D66" w:rsidRDefault="00002D66">
            <w:pPr>
              <w:jc w:val="center"/>
              <w:rPr>
                <w:rFonts w:ascii="Arial Narrow" w:hAnsi="Arial Narrow"/>
                <w:color w:val="333333"/>
                <w:sz w:val="20"/>
                <w:szCs w:val="20"/>
              </w:rPr>
            </w:pPr>
          </w:p>
        </w:tc>
        <w:tc>
          <w:tcPr>
            <w:tcW w:w="7745" w:type="dxa"/>
            <w:gridSpan w:val="6"/>
          </w:tcPr>
          <w:p w14:paraId="10A2F332" w14:textId="77777777" w:rsidR="00002D66" w:rsidRPr="000A7AD1" w:rsidRDefault="00002D66">
            <w:pPr>
              <w:rPr>
                <w:rFonts w:ascii="Arial Narrow" w:hAnsi="Arial Narrow"/>
                <w:sz w:val="20"/>
                <w:szCs w:val="20"/>
              </w:rPr>
            </w:pPr>
            <w:r w:rsidRPr="00C14CB9">
              <w:rPr>
                <w:rFonts w:ascii="Arial Narrow" w:eastAsia="Calibri" w:hAnsi="Arial Narrow"/>
                <w:sz w:val="20"/>
                <w:szCs w:val="20"/>
              </w:rPr>
              <w:t>The treatment must be the sole PBS-subsidised biological medicine for this PBS indication</w:t>
            </w:r>
          </w:p>
        </w:tc>
      </w:tr>
      <w:tr w:rsidR="00002D66" w:rsidRPr="00446E53" w14:paraId="7681D8E7" w14:textId="77777777">
        <w:tblPrEx>
          <w:tblCellMar>
            <w:top w:w="15" w:type="dxa"/>
            <w:bottom w:w="15" w:type="dxa"/>
          </w:tblCellMar>
          <w:tblLook w:val="04A0" w:firstRow="1" w:lastRow="0" w:firstColumn="1" w:lastColumn="0" w:noHBand="0" w:noVBand="1"/>
        </w:tblPrEx>
        <w:trPr>
          <w:cantSplit/>
          <w:trHeight w:val="20"/>
        </w:trPr>
        <w:tc>
          <w:tcPr>
            <w:tcW w:w="1272" w:type="dxa"/>
          </w:tcPr>
          <w:p w14:paraId="1EC21318" w14:textId="77777777" w:rsidR="00002D66" w:rsidRPr="00E60D92" w:rsidRDefault="00002D66">
            <w:pPr>
              <w:jc w:val="center"/>
              <w:rPr>
                <w:rFonts w:ascii="Arial Narrow" w:hAnsi="Arial Narrow"/>
                <w:sz w:val="20"/>
                <w:szCs w:val="20"/>
              </w:rPr>
            </w:pPr>
          </w:p>
        </w:tc>
        <w:tc>
          <w:tcPr>
            <w:tcW w:w="7745" w:type="dxa"/>
            <w:gridSpan w:val="6"/>
            <w:vAlign w:val="center"/>
          </w:tcPr>
          <w:p w14:paraId="16633200" w14:textId="77777777" w:rsidR="00002D66" w:rsidRPr="00C14CB9" w:rsidRDefault="00002D66">
            <w:pPr>
              <w:rPr>
                <w:rFonts w:ascii="Arial Narrow" w:eastAsia="Calibri" w:hAnsi="Arial Narrow"/>
                <w:sz w:val="20"/>
                <w:szCs w:val="20"/>
              </w:rPr>
            </w:pPr>
            <w:r w:rsidRPr="00446E53">
              <w:rPr>
                <w:rFonts w:ascii="Arial Narrow" w:hAnsi="Arial Narrow" w:cs="Arial Narrow"/>
                <w:b/>
                <w:bCs/>
                <w:iCs/>
                <w:sz w:val="20"/>
                <w:szCs w:val="20"/>
              </w:rPr>
              <w:t>AND</w:t>
            </w:r>
          </w:p>
        </w:tc>
      </w:tr>
      <w:tr w:rsidR="00002D66" w:rsidRPr="00446E53" w14:paraId="161FA290" w14:textId="77777777">
        <w:tblPrEx>
          <w:tblCellMar>
            <w:top w:w="15" w:type="dxa"/>
            <w:bottom w:w="15" w:type="dxa"/>
          </w:tblCellMar>
          <w:tblLook w:val="04A0" w:firstRow="1" w:lastRow="0" w:firstColumn="1" w:lastColumn="0" w:noHBand="0" w:noVBand="1"/>
        </w:tblPrEx>
        <w:trPr>
          <w:cantSplit/>
          <w:trHeight w:val="20"/>
        </w:trPr>
        <w:tc>
          <w:tcPr>
            <w:tcW w:w="1272" w:type="dxa"/>
          </w:tcPr>
          <w:p w14:paraId="6E6B0AE1" w14:textId="09BC3D18" w:rsidR="00002D66" w:rsidRPr="00E60D92" w:rsidRDefault="00002D66">
            <w:pPr>
              <w:jc w:val="center"/>
              <w:rPr>
                <w:rFonts w:ascii="Arial Narrow" w:hAnsi="Arial Narrow"/>
                <w:sz w:val="20"/>
                <w:szCs w:val="20"/>
              </w:rPr>
            </w:pPr>
          </w:p>
        </w:tc>
        <w:tc>
          <w:tcPr>
            <w:tcW w:w="7745" w:type="dxa"/>
            <w:gridSpan w:val="6"/>
            <w:vAlign w:val="center"/>
          </w:tcPr>
          <w:p w14:paraId="1B8D4869" w14:textId="77777777" w:rsidR="00002D66" w:rsidRPr="00C14CB9" w:rsidRDefault="00002D66">
            <w:pPr>
              <w:rPr>
                <w:rFonts w:ascii="Arial Narrow" w:eastAsia="Calibri" w:hAnsi="Arial Narrow"/>
                <w:sz w:val="20"/>
                <w:szCs w:val="20"/>
              </w:rPr>
            </w:pPr>
            <w:r>
              <w:rPr>
                <w:rFonts w:ascii="Arial Narrow" w:hAnsi="Arial Narrow"/>
                <w:b/>
                <w:bCs/>
                <w:color w:val="333333"/>
                <w:sz w:val="20"/>
                <w:szCs w:val="20"/>
              </w:rPr>
              <w:t xml:space="preserve">Clinical </w:t>
            </w:r>
            <w:r w:rsidRPr="00446E53">
              <w:rPr>
                <w:rFonts w:ascii="Arial Narrow" w:hAnsi="Arial Narrow"/>
                <w:b/>
                <w:bCs/>
                <w:color w:val="333333"/>
                <w:sz w:val="20"/>
                <w:szCs w:val="20"/>
              </w:rPr>
              <w:t>criteria:</w:t>
            </w:r>
          </w:p>
        </w:tc>
      </w:tr>
      <w:tr w:rsidR="00002D66" w:rsidRPr="00446E53" w14:paraId="40D2274F" w14:textId="77777777">
        <w:tblPrEx>
          <w:tblCellMar>
            <w:top w:w="15" w:type="dxa"/>
            <w:bottom w:w="15" w:type="dxa"/>
          </w:tblCellMar>
          <w:tblLook w:val="04A0" w:firstRow="1" w:lastRow="0" w:firstColumn="1" w:lastColumn="0" w:noHBand="0" w:noVBand="1"/>
        </w:tblPrEx>
        <w:trPr>
          <w:cantSplit/>
          <w:trHeight w:val="20"/>
        </w:trPr>
        <w:tc>
          <w:tcPr>
            <w:tcW w:w="1272" w:type="dxa"/>
          </w:tcPr>
          <w:p w14:paraId="56AC2D8D" w14:textId="15807C64" w:rsidR="00002D66" w:rsidRPr="00E60D92" w:rsidRDefault="00002D66">
            <w:pPr>
              <w:jc w:val="center"/>
              <w:rPr>
                <w:rFonts w:ascii="Arial Narrow" w:hAnsi="Arial Narrow"/>
                <w:sz w:val="20"/>
                <w:szCs w:val="20"/>
              </w:rPr>
            </w:pPr>
          </w:p>
        </w:tc>
        <w:tc>
          <w:tcPr>
            <w:tcW w:w="7745" w:type="dxa"/>
            <w:gridSpan w:val="6"/>
          </w:tcPr>
          <w:p w14:paraId="265C5FC1" w14:textId="77777777" w:rsidR="00002D66" w:rsidRPr="00C14CB9" w:rsidRDefault="00002D66">
            <w:pPr>
              <w:rPr>
                <w:rFonts w:ascii="Arial Narrow" w:eastAsia="Calibri" w:hAnsi="Arial Narrow"/>
                <w:sz w:val="20"/>
                <w:szCs w:val="20"/>
              </w:rPr>
            </w:pPr>
            <w:r w:rsidRPr="00BA58E1">
              <w:rPr>
                <w:rFonts w:ascii="Arial Narrow" w:eastAsia="Calibri" w:hAnsi="Arial Narrow"/>
                <w:sz w:val="20"/>
                <w:szCs w:val="20"/>
              </w:rPr>
              <w:t>Patient must not have experienced an inadequate response to this biological medicine in this PBS indication</w:t>
            </w:r>
          </w:p>
        </w:tc>
      </w:tr>
    </w:tbl>
    <w:p w14:paraId="4848A6E2" w14:textId="77777777" w:rsidR="00002D66" w:rsidRPr="00891FE5" w:rsidRDefault="00002D66" w:rsidP="00DE667F">
      <w:pPr>
        <w:pStyle w:val="3-BodyText"/>
        <w:keepNext/>
        <w:keepLines/>
        <w:widowControl w:val="0"/>
        <w:numPr>
          <w:ilvl w:val="0"/>
          <w:numId w:val="0"/>
        </w:numPr>
        <w:rPr>
          <w:b/>
          <w:bCs/>
        </w:rPr>
      </w:pPr>
      <w:r w:rsidRPr="00891FE5">
        <w:rPr>
          <w:b/>
          <w:bCs/>
        </w:rPr>
        <w:t xml:space="preserve">Continuing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quested listing - continuing treatment "/>
      </w:tblPr>
      <w:tblGrid>
        <w:gridCol w:w="1272"/>
        <w:gridCol w:w="2668"/>
        <w:gridCol w:w="811"/>
        <w:gridCol w:w="812"/>
        <w:gridCol w:w="811"/>
        <w:gridCol w:w="812"/>
        <w:gridCol w:w="1831"/>
      </w:tblGrid>
      <w:tr w:rsidR="00002D66" w:rsidRPr="00446E53" w14:paraId="0F5EB6FB" w14:textId="77777777" w:rsidTr="004771D6">
        <w:trPr>
          <w:cantSplit/>
          <w:trHeight w:val="20"/>
        </w:trPr>
        <w:tc>
          <w:tcPr>
            <w:tcW w:w="3940" w:type="dxa"/>
            <w:gridSpan w:val="2"/>
            <w:vAlign w:val="center"/>
          </w:tcPr>
          <w:p w14:paraId="26370D5C" w14:textId="77777777" w:rsidR="00002D66" w:rsidRPr="00446E53" w:rsidRDefault="00002D66" w:rsidP="00DE667F">
            <w:pPr>
              <w:keepNext/>
              <w:keepLines/>
              <w:widowControl w:val="0"/>
              <w:rPr>
                <w:rFonts w:ascii="Arial Narrow" w:hAnsi="Arial Narrow"/>
                <w:b/>
                <w:bCs/>
                <w:sz w:val="20"/>
                <w:szCs w:val="20"/>
              </w:rPr>
            </w:pPr>
            <w:r w:rsidRPr="00446E53">
              <w:rPr>
                <w:rFonts w:ascii="Arial Narrow" w:hAnsi="Arial Narrow"/>
                <w:b/>
                <w:bCs/>
                <w:sz w:val="20"/>
                <w:szCs w:val="20"/>
              </w:rPr>
              <w:t>MEDICINAL PRODUCT</w:t>
            </w:r>
          </w:p>
          <w:p w14:paraId="2908536C" w14:textId="77777777" w:rsidR="00002D66" w:rsidRPr="00446E53" w:rsidRDefault="00002D66" w:rsidP="00DE667F">
            <w:pPr>
              <w:keepNext/>
              <w:keepLines/>
              <w:widowControl w:val="0"/>
              <w:rPr>
                <w:rFonts w:ascii="Arial Narrow" w:hAnsi="Arial Narrow"/>
                <w:b/>
                <w:sz w:val="20"/>
                <w:szCs w:val="20"/>
              </w:rPr>
            </w:pPr>
            <w:r w:rsidRPr="00446E53">
              <w:rPr>
                <w:rFonts w:ascii="Arial Narrow" w:hAnsi="Arial Narrow"/>
                <w:b/>
                <w:bCs/>
                <w:sz w:val="20"/>
                <w:szCs w:val="20"/>
              </w:rPr>
              <w:t>medicinal product pack</w:t>
            </w:r>
          </w:p>
        </w:tc>
        <w:tc>
          <w:tcPr>
            <w:tcW w:w="811" w:type="dxa"/>
            <w:vAlign w:val="center"/>
          </w:tcPr>
          <w:p w14:paraId="3F751746" w14:textId="77777777" w:rsidR="00002D66" w:rsidRPr="00446E53" w:rsidRDefault="00002D66" w:rsidP="00DE667F">
            <w:pPr>
              <w:keepNext/>
              <w:keepLines/>
              <w:widowControl w:val="0"/>
              <w:jc w:val="center"/>
              <w:rPr>
                <w:rFonts w:ascii="Arial Narrow" w:hAnsi="Arial Narrow"/>
                <w:b/>
                <w:sz w:val="20"/>
                <w:szCs w:val="20"/>
              </w:rPr>
            </w:pPr>
            <w:r w:rsidRPr="00446E53">
              <w:rPr>
                <w:rFonts w:ascii="Arial Narrow" w:hAnsi="Arial Narrow"/>
                <w:b/>
                <w:sz w:val="20"/>
                <w:szCs w:val="20"/>
              </w:rPr>
              <w:t>PBS item code</w:t>
            </w:r>
          </w:p>
        </w:tc>
        <w:tc>
          <w:tcPr>
            <w:tcW w:w="812" w:type="dxa"/>
            <w:vAlign w:val="center"/>
          </w:tcPr>
          <w:p w14:paraId="0A0AA562" w14:textId="77777777" w:rsidR="00002D66" w:rsidRPr="00446E53" w:rsidRDefault="00002D66" w:rsidP="00DE667F">
            <w:pPr>
              <w:keepNext/>
              <w:keepLines/>
              <w:widowControl w:val="0"/>
              <w:jc w:val="center"/>
              <w:rPr>
                <w:rFonts w:ascii="Arial Narrow" w:hAnsi="Arial Narrow"/>
                <w:b/>
                <w:sz w:val="20"/>
                <w:szCs w:val="20"/>
              </w:rPr>
            </w:pPr>
            <w:r w:rsidRPr="00446E53">
              <w:rPr>
                <w:rFonts w:ascii="Arial Narrow" w:hAnsi="Arial Narrow"/>
                <w:b/>
                <w:sz w:val="20"/>
                <w:szCs w:val="20"/>
              </w:rPr>
              <w:t>Max. qty packs</w:t>
            </w:r>
          </w:p>
        </w:tc>
        <w:tc>
          <w:tcPr>
            <w:tcW w:w="811" w:type="dxa"/>
            <w:vAlign w:val="center"/>
          </w:tcPr>
          <w:p w14:paraId="557768FB" w14:textId="77777777" w:rsidR="00002D66" w:rsidRPr="00446E53" w:rsidRDefault="00002D66" w:rsidP="00DE667F">
            <w:pPr>
              <w:keepNext/>
              <w:keepLines/>
              <w:widowControl w:val="0"/>
              <w:jc w:val="center"/>
              <w:rPr>
                <w:rFonts w:ascii="Arial Narrow" w:hAnsi="Arial Narrow"/>
                <w:b/>
                <w:sz w:val="20"/>
                <w:szCs w:val="20"/>
              </w:rPr>
            </w:pPr>
            <w:r w:rsidRPr="00446E53">
              <w:rPr>
                <w:rFonts w:ascii="Arial Narrow" w:hAnsi="Arial Narrow"/>
                <w:b/>
                <w:sz w:val="20"/>
                <w:szCs w:val="20"/>
              </w:rPr>
              <w:t>Max. qty units</w:t>
            </w:r>
          </w:p>
        </w:tc>
        <w:tc>
          <w:tcPr>
            <w:tcW w:w="812" w:type="dxa"/>
            <w:vAlign w:val="center"/>
          </w:tcPr>
          <w:p w14:paraId="610350DB" w14:textId="77777777" w:rsidR="00002D66" w:rsidRPr="00446E53" w:rsidRDefault="00002D66" w:rsidP="00DE667F">
            <w:pPr>
              <w:keepNext/>
              <w:keepLines/>
              <w:widowControl w:val="0"/>
              <w:jc w:val="center"/>
              <w:rPr>
                <w:rFonts w:ascii="Arial Narrow" w:hAnsi="Arial Narrow"/>
                <w:b/>
                <w:sz w:val="20"/>
                <w:szCs w:val="20"/>
              </w:rPr>
            </w:pPr>
            <w:r w:rsidRPr="00446E53">
              <w:rPr>
                <w:rFonts w:ascii="Arial Narrow" w:hAnsi="Arial Narrow"/>
                <w:b/>
                <w:sz w:val="20"/>
                <w:szCs w:val="20"/>
              </w:rPr>
              <w:t>№.of</w:t>
            </w:r>
          </w:p>
          <w:p w14:paraId="5741BC12" w14:textId="77777777" w:rsidR="00002D66" w:rsidRPr="00446E53" w:rsidRDefault="00002D66" w:rsidP="00DE667F">
            <w:pPr>
              <w:keepNext/>
              <w:keepLines/>
              <w:widowControl w:val="0"/>
              <w:jc w:val="center"/>
              <w:rPr>
                <w:rFonts w:ascii="Arial Narrow" w:hAnsi="Arial Narrow"/>
                <w:b/>
                <w:sz w:val="20"/>
                <w:szCs w:val="20"/>
              </w:rPr>
            </w:pPr>
            <w:r w:rsidRPr="00446E53">
              <w:rPr>
                <w:rFonts w:ascii="Arial Narrow" w:hAnsi="Arial Narrow"/>
                <w:b/>
                <w:sz w:val="20"/>
                <w:szCs w:val="20"/>
              </w:rPr>
              <w:t>Rpts</w:t>
            </w:r>
          </w:p>
        </w:tc>
        <w:tc>
          <w:tcPr>
            <w:tcW w:w="1831" w:type="dxa"/>
            <w:vAlign w:val="center"/>
          </w:tcPr>
          <w:p w14:paraId="0FD8E891" w14:textId="77777777" w:rsidR="00002D66" w:rsidRPr="00446E53" w:rsidRDefault="00002D66" w:rsidP="00DE667F">
            <w:pPr>
              <w:keepNext/>
              <w:keepLines/>
              <w:widowControl w:val="0"/>
              <w:rPr>
                <w:rFonts w:ascii="Arial Narrow" w:hAnsi="Arial Narrow"/>
                <w:b/>
                <w:sz w:val="20"/>
                <w:szCs w:val="20"/>
                <w:lang w:val="fr-FR"/>
              </w:rPr>
            </w:pPr>
            <w:r w:rsidRPr="00446E53">
              <w:rPr>
                <w:rFonts w:ascii="Arial Narrow" w:hAnsi="Arial Narrow"/>
                <w:b/>
                <w:sz w:val="20"/>
                <w:szCs w:val="20"/>
              </w:rPr>
              <w:t>Available brands</w:t>
            </w:r>
          </w:p>
        </w:tc>
      </w:tr>
      <w:tr w:rsidR="00002D66" w:rsidRPr="00446E53" w14:paraId="3ACBE94B" w14:textId="77777777" w:rsidTr="004771D6">
        <w:trPr>
          <w:cantSplit/>
          <w:trHeight w:val="20"/>
        </w:trPr>
        <w:tc>
          <w:tcPr>
            <w:tcW w:w="9017" w:type="dxa"/>
            <w:gridSpan w:val="7"/>
            <w:vAlign w:val="center"/>
          </w:tcPr>
          <w:p w14:paraId="3F9E666B" w14:textId="77777777" w:rsidR="00002D66" w:rsidRPr="00446E53" w:rsidRDefault="00002D66">
            <w:pPr>
              <w:keepLines/>
              <w:rPr>
                <w:rFonts w:ascii="Arial Narrow" w:hAnsi="Arial Narrow"/>
                <w:sz w:val="20"/>
                <w:szCs w:val="20"/>
              </w:rPr>
            </w:pPr>
            <w:r>
              <w:rPr>
                <w:rFonts w:ascii="Arial Narrow" w:hAnsi="Arial Narrow"/>
                <w:sz w:val="20"/>
                <w:szCs w:val="20"/>
              </w:rPr>
              <w:t>NEMOLIZUMAB</w:t>
            </w:r>
          </w:p>
        </w:tc>
      </w:tr>
      <w:tr w:rsidR="00002D66" w:rsidRPr="00446E53" w14:paraId="6CFA5BE0" w14:textId="77777777" w:rsidTr="004771D6">
        <w:trPr>
          <w:cantSplit/>
          <w:trHeight w:val="20"/>
        </w:trPr>
        <w:tc>
          <w:tcPr>
            <w:tcW w:w="3940" w:type="dxa"/>
            <w:gridSpan w:val="2"/>
            <w:vAlign w:val="center"/>
          </w:tcPr>
          <w:p w14:paraId="3BC1B498" w14:textId="77777777" w:rsidR="00002D66" w:rsidRDefault="00002D66">
            <w:pPr>
              <w:keepLines/>
              <w:rPr>
                <w:rFonts w:ascii="Arial Narrow" w:hAnsi="Arial Narrow"/>
                <w:i/>
                <w:iCs/>
                <w:strike/>
                <w:sz w:val="20"/>
                <w:szCs w:val="20"/>
              </w:rPr>
            </w:pPr>
            <w:r w:rsidRPr="009C0970">
              <w:rPr>
                <w:rFonts w:ascii="Arial Narrow" w:hAnsi="Arial Narrow"/>
                <w:strike/>
                <w:sz w:val="20"/>
                <w:szCs w:val="20"/>
              </w:rPr>
              <w:t xml:space="preserve">nemolizumab 30 mg/0.49 mL injection, 1 x 0.49 mL pen device </w:t>
            </w:r>
          </w:p>
          <w:p w14:paraId="1139F69A" w14:textId="77777777" w:rsidR="00002D66" w:rsidRPr="00E168B8" w:rsidRDefault="00002D66">
            <w:pPr>
              <w:keepLines/>
              <w:rPr>
                <w:rFonts w:ascii="Arial Narrow" w:hAnsi="Arial Narrow"/>
                <w:sz w:val="20"/>
                <w:szCs w:val="20"/>
              </w:rPr>
            </w:pPr>
            <w:r>
              <w:rPr>
                <w:rFonts w:ascii="Arial Narrow" w:hAnsi="Arial Narrow"/>
                <w:i/>
                <w:iCs/>
                <w:sz w:val="20"/>
                <w:szCs w:val="20"/>
              </w:rPr>
              <w:t xml:space="preserve">Nemolizumab 30 mg injection [1 chamber] (&amp;) inert substance diluent [1 chamber], 1 dual chamber pen device </w:t>
            </w:r>
          </w:p>
        </w:tc>
        <w:tc>
          <w:tcPr>
            <w:tcW w:w="811" w:type="dxa"/>
            <w:vAlign w:val="center"/>
          </w:tcPr>
          <w:p w14:paraId="77B61B14" w14:textId="77777777" w:rsidR="00002D66" w:rsidRPr="00E168B8" w:rsidRDefault="00002D66">
            <w:pPr>
              <w:keepLines/>
              <w:jc w:val="center"/>
              <w:rPr>
                <w:rFonts w:ascii="Arial Narrow" w:hAnsi="Arial Narrow"/>
                <w:sz w:val="20"/>
                <w:szCs w:val="20"/>
              </w:rPr>
            </w:pPr>
            <w:r w:rsidRPr="00E168B8">
              <w:rPr>
                <w:rFonts w:ascii="Arial Narrow" w:hAnsi="Arial Narrow"/>
                <w:sz w:val="20"/>
                <w:szCs w:val="20"/>
              </w:rPr>
              <w:t>NEW</w:t>
            </w:r>
          </w:p>
        </w:tc>
        <w:tc>
          <w:tcPr>
            <w:tcW w:w="812" w:type="dxa"/>
            <w:vAlign w:val="center"/>
          </w:tcPr>
          <w:p w14:paraId="2039C3C1" w14:textId="77777777" w:rsidR="00002D66" w:rsidRPr="00E168B8" w:rsidRDefault="00002D66">
            <w:pPr>
              <w:keepLines/>
              <w:jc w:val="center"/>
              <w:rPr>
                <w:rFonts w:ascii="Arial Narrow" w:hAnsi="Arial Narrow"/>
                <w:sz w:val="20"/>
                <w:szCs w:val="20"/>
              </w:rPr>
            </w:pPr>
            <w:r>
              <w:rPr>
                <w:rFonts w:ascii="Arial Narrow" w:hAnsi="Arial Narrow"/>
                <w:sz w:val="20"/>
                <w:szCs w:val="20"/>
              </w:rPr>
              <w:t>1</w:t>
            </w:r>
          </w:p>
        </w:tc>
        <w:tc>
          <w:tcPr>
            <w:tcW w:w="811" w:type="dxa"/>
            <w:vAlign w:val="center"/>
          </w:tcPr>
          <w:p w14:paraId="631795C2" w14:textId="77777777" w:rsidR="00002D66" w:rsidRPr="00E168B8" w:rsidRDefault="00002D66">
            <w:pPr>
              <w:keepLines/>
              <w:jc w:val="center"/>
              <w:rPr>
                <w:rFonts w:ascii="Arial Narrow" w:hAnsi="Arial Narrow"/>
                <w:sz w:val="20"/>
                <w:szCs w:val="20"/>
              </w:rPr>
            </w:pPr>
            <w:r>
              <w:rPr>
                <w:rFonts w:ascii="Arial Narrow" w:hAnsi="Arial Narrow"/>
                <w:sz w:val="20"/>
                <w:szCs w:val="20"/>
              </w:rPr>
              <w:t>1</w:t>
            </w:r>
          </w:p>
        </w:tc>
        <w:tc>
          <w:tcPr>
            <w:tcW w:w="812" w:type="dxa"/>
            <w:vAlign w:val="center"/>
          </w:tcPr>
          <w:p w14:paraId="1AD91ABB" w14:textId="77777777" w:rsidR="00002D66" w:rsidRPr="00E168B8" w:rsidRDefault="00002D66">
            <w:pPr>
              <w:keepLines/>
              <w:jc w:val="center"/>
              <w:rPr>
                <w:rFonts w:ascii="Arial Narrow" w:hAnsi="Arial Narrow"/>
                <w:sz w:val="20"/>
                <w:szCs w:val="20"/>
              </w:rPr>
            </w:pPr>
            <w:r w:rsidRPr="00E168B8">
              <w:rPr>
                <w:rFonts w:ascii="Arial Narrow" w:hAnsi="Arial Narrow"/>
                <w:sz w:val="20"/>
                <w:szCs w:val="20"/>
              </w:rPr>
              <w:t>2</w:t>
            </w:r>
          </w:p>
        </w:tc>
        <w:tc>
          <w:tcPr>
            <w:tcW w:w="1831" w:type="dxa"/>
            <w:vAlign w:val="center"/>
          </w:tcPr>
          <w:p w14:paraId="15E336F4" w14:textId="77777777" w:rsidR="00002D66" w:rsidRPr="00E168B8" w:rsidRDefault="00002D66">
            <w:pPr>
              <w:keepLines/>
              <w:jc w:val="center"/>
              <w:rPr>
                <w:rFonts w:ascii="Arial Narrow" w:hAnsi="Arial Narrow"/>
                <w:sz w:val="20"/>
                <w:szCs w:val="20"/>
              </w:rPr>
            </w:pPr>
          </w:p>
          <w:p w14:paraId="48BFD8E6" w14:textId="77777777" w:rsidR="00002D66" w:rsidRPr="00E168B8" w:rsidRDefault="00002D66">
            <w:pPr>
              <w:keepLines/>
              <w:jc w:val="center"/>
              <w:rPr>
                <w:rFonts w:ascii="Arial Narrow" w:hAnsi="Arial Narrow"/>
                <w:sz w:val="20"/>
                <w:szCs w:val="20"/>
              </w:rPr>
            </w:pPr>
            <w:proofErr w:type="spellStart"/>
            <w:r w:rsidRPr="00E168B8">
              <w:rPr>
                <w:rFonts w:ascii="Arial Narrow" w:hAnsi="Arial Narrow"/>
                <w:sz w:val="20"/>
                <w:szCs w:val="20"/>
              </w:rPr>
              <w:t>Nemluvio</w:t>
            </w:r>
            <w:proofErr w:type="spellEnd"/>
          </w:p>
          <w:p w14:paraId="02F0DA7B" w14:textId="77777777" w:rsidR="00002D66" w:rsidRPr="00E168B8" w:rsidRDefault="00002D66">
            <w:pPr>
              <w:keepLines/>
              <w:rPr>
                <w:rFonts w:ascii="Arial Narrow" w:hAnsi="Arial Narrow"/>
                <w:sz w:val="20"/>
                <w:szCs w:val="20"/>
              </w:rPr>
            </w:pPr>
          </w:p>
        </w:tc>
      </w:tr>
      <w:tr w:rsidR="00002D66" w:rsidRPr="00446E53" w14:paraId="2C6E97CF" w14:textId="77777777" w:rsidTr="004771D6">
        <w:tblPrEx>
          <w:tblCellMar>
            <w:top w:w="15" w:type="dxa"/>
            <w:bottom w:w="15" w:type="dxa"/>
          </w:tblCellMar>
          <w:tblLook w:val="04A0" w:firstRow="1" w:lastRow="0" w:firstColumn="1" w:lastColumn="0" w:noHBand="0" w:noVBand="1"/>
        </w:tblPrEx>
        <w:trPr>
          <w:trHeight w:val="20"/>
        </w:trPr>
        <w:tc>
          <w:tcPr>
            <w:tcW w:w="9017" w:type="dxa"/>
            <w:gridSpan w:val="7"/>
            <w:tcBorders>
              <w:top w:val="single" w:sz="4" w:space="0" w:color="auto"/>
              <w:left w:val="single" w:sz="4" w:space="0" w:color="auto"/>
              <w:right w:val="single" w:sz="4" w:space="0" w:color="auto"/>
            </w:tcBorders>
            <w:vAlign w:val="center"/>
          </w:tcPr>
          <w:p w14:paraId="5BA38D3F" w14:textId="77777777" w:rsidR="00002D66" w:rsidRPr="00E168B8" w:rsidRDefault="00002D66">
            <w:pPr>
              <w:rPr>
                <w:rFonts w:ascii="Arial Narrow" w:hAnsi="Arial Narrow"/>
                <w:sz w:val="20"/>
                <w:szCs w:val="20"/>
              </w:rPr>
            </w:pPr>
          </w:p>
        </w:tc>
      </w:tr>
      <w:tr w:rsidR="00002D66" w:rsidRPr="00446E53" w14:paraId="122F2671" w14:textId="77777777" w:rsidTr="004771D6">
        <w:tblPrEx>
          <w:tblCellMar>
            <w:top w:w="15" w:type="dxa"/>
            <w:bottom w:w="15" w:type="dxa"/>
          </w:tblCellMar>
          <w:tblLook w:val="04A0" w:firstRow="1" w:lastRow="0" w:firstColumn="1" w:lastColumn="0" w:noHBand="0" w:noVBand="1"/>
        </w:tblPrEx>
        <w:trPr>
          <w:trHeight w:val="20"/>
        </w:trPr>
        <w:tc>
          <w:tcPr>
            <w:tcW w:w="1272" w:type="dxa"/>
            <w:vMerge w:val="restart"/>
            <w:tcBorders>
              <w:top w:val="single" w:sz="4" w:space="0" w:color="auto"/>
              <w:left w:val="single" w:sz="4" w:space="0" w:color="auto"/>
              <w:right w:val="single" w:sz="4" w:space="0" w:color="auto"/>
            </w:tcBorders>
          </w:tcPr>
          <w:p w14:paraId="29C2A596" w14:textId="77777777" w:rsidR="00002D66" w:rsidRPr="00446E53" w:rsidRDefault="00002D66">
            <w:pPr>
              <w:jc w:val="center"/>
              <w:rPr>
                <w:rFonts w:ascii="Arial Narrow" w:hAnsi="Arial Narrow"/>
                <w:sz w:val="20"/>
                <w:szCs w:val="20"/>
              </w:rPr>
            </w:pPr>
            <w:r w:rsidRPr="00446E53">
              <w:rPr>
                <w:rFonts w:ascii="Arial Narrow" w:hAnsi="Arial Narrow"/>
                <w:b/>
                <w:sz w:val="20"/>
                <w:szCs w:val="20"/>
              </w:rPr>
              <w:t>Concept ID</w:t>
            </w:r>
          </w:p>
          <w:p w14:paraId="2B57269D" w14:textId="77777777" w:rsidR="00002D66" w:rsidRPr="00446E53" w:rsidRDefault="00002D66">
            <w:pPr>
              <w:jc w:val="center"/>
              <w:rPr>
                <w:rFonts w:ascii="Arial Narrow" w:hAnsi="Arial Narrow"/>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9711493" w14:textId="77777777" w:rsidR="00002D66" w:rsidRPr="00E168B8" w:rsidRDefault="00002D66">
            <w:pPr>
              <w:keepLines/>
              <w:jc w:val="left"/>
              <w:rPr>
                <w:rFonts w:ascii="Arial Narrow" w:hAnsi="Arial Narrow"/>
                <w:sz w:val="20"/>
                <w:szCs w:val="20"/>
              </w:rPr>
            </w:pPr>
            <w:r w:rsidRPr="00E168B8">
              <w:rPr>
                <w:rFonts w:ascii="Arial Narrow" w:hAnsi="Arial Narrow"/>
                <w:b/>
                <w:sz w:val="20"/>
                <w:szCs w:val="20"/>
              </w:rPr>
              <w:t>Category / Program:</w:t>
            </w:r>
            <w:r w:rsidRPr="00E168B8">
              <w:rPr>
                <w:rFonts w:ascii="Arial Narrow" w:hAnsi="Arial Narrow"/>
                <w:sz w:val="20"/>
                <w:szCs w:val="20"/>
              </w:rPr>
              <w:t xml:space="preserve"> </w:t>
            </w:r>
            <w:r w:rsidRPr="00E168B8">
              <w:rPr>
                <w:rFonts w:ascii="Arial Narrow" w:hAnsi="Arial Narrow"/>
                <w:sz w:val="20"/>
                <w:szCs w:val="20"/>
              </w:rPr>
              <w:fldChar w:fldCharType="begin">
                <w:ffData>
                  <w:name w:val=""/>
                  <w:enabled/>
                  <w:calcOnExit w:val="0"/>
                  <w:checkBox>
                    <w:sizeAuto/>
                    <w:default w:val="1"/>
                  </w:checkBox>
                </w:ffData>
              </w:fldChar>
            </w:r>
            <w:r w:rsidRPr="00E168B8">
              <w:rPr>
                <w:rFonts w:ascii="Arial Narrow" w:hAnsi="Arial Narrow"/>
                <w:sz w:val="20"/>
                <w:szCs w:val="20"/>
              </w:rPr>
              <w:instrText xml:space="preserve"> FORMCHECKBOX </w:instrText>
            </w:r>
            <w:r w:rsidRPr="00E168B8">
              <w:rPr>
                <w:rFonts w:ascii="Arial Narrow" w:hAnsi="Arial Narrow"/>
                <w:sz w:val="20"/>
                <w:szCs w:val="20"/>
              </w:rPr>
            </w:r>
            <w:r w:rsidRPr="00E168B8">
              <w:rPr>
                <w:rFonts w:ascii="Arial Narrow" w:hAnsi="Arial Narrow"/>
                <w:sz w:val="20"/>
                <w:szCs w:val="20"/>
              </w:rPr>
              <w:fldChar w:fldCharType="separate"/>
            </w:r>
            <w:r w:rsidRPr="00E168B8">
              <w:rPr>
                <w:rFonts w:ascii="Arial Narrow" w:hAnsi="Arial Narrow"/>
                <w:sz w:val="20"/>
                <w:szCs w:val="20"/>
              </w:rPr>
              <w:fldChar w:fldCharType="end"/>
            </w:r>
            <w:r w:rsidRPr="00E168B8">
              <w:rPr>
                <w:rFonts w:ascii="Arial Narrow" w:hAnsi="Arial Narrow"/>
                <w:sz w:val="20"/>
                <w:szCs w:val="20"/>
              </w:rPr>
              <w:t xml:space="preserve"> </w:t>
            </w:r>
            <w:r w:rsidRPr="00E168B8">
              <w:rPr>
                <w:rFonts w:ascii="Arial Narrow" w:eastAsia="Calibri" w:hAnsi="Arial Narrow"/>
                <w:sz w:val="20"/>
                <w:szCs w:val="20"/>
              </w:rPr>
              <w:t xml:space="preserve">GENERAL - General Schedule (Code GE) </w:t>
            </w:r>
          </w:p>
        </w:tc>
      </w:tr>
      <w:tr w:rsidR="00002D66" w:rsidRPr="00446E53" w14:paraId="5510690E" w14:textId="77777777" w:rsidTr="004771D6">
        <w:tblPrEx>
          <w:tblCellMar>
            <w:top w:w="15" w:type="dxa"/>
            <w:bottom w:w="15" w:type="dxa"/>
          </w:tblCellMar>
          <w:tblLook w:val="04A0" w:firstRow="1" w:lastRow="0" w:firstColumn="1" w:lastColumn="0" w:noHBand="0" w:noVBand="1"/>
        </w:tblPrEx>
        <w:trPr>
          <w:trHeight w:val="20"/>
        </w:trPr>
        <w:tc>
          <w:tcPr>
            <w:tcW w:w="1272" w:type="dxa"/>
            <w:vMerge/>
            <w:tcBorders>
              <w:left w:val="single" w:sz="4" w:space="0" w:color="auto"/>
              <w:right w:val="single" w:sz="4" w:space="0" w:color="auto"/>
            </w:tcBorders>
          </w:tcPr>
          <w:p w14:paraId="35E28B21" w14:textId="77777777" w:rsidR="00002D66" w:rsidRPr="00446E53" w:rsidRDefault="00002D66">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F002ECE" w14:textId="77777777" w:rsidR="00002D66" w:rsidRPr="00E168B8" w:rsidRDefault="00002D66">
            <w:pPr>
              <w:keepLines/>
              <w:jc w:val="left"/>
              <w:rPr>
                <w:rFonts w:ascii="Arial Narrow" w:hAnsi="Arial Narrow"/>
                <w:b/>
                <w:sz w:val="20"/>
                <w:szCs w:val="20"/>
              </w:rPr>
            </w:pPr>
            <w:r w:rsidRPr="00E168B8">
              <w:rPr>
                <w:rFonts w:ascii="Arial Narrow" w:hAnsi="Arial Narrow"/>
                <w:b/>
                <w:sz w:val="20"/>
                <w:szCs w:val="20"/>
              </w:rPr>
              <w:t xml:space="preserve">Prescriber type: </w:t>
            </w:r>
            <w:r w:rsidRPr="00E168B8">
              <w:rPr>
                <w:rFonts w:ascii="Arial Narrow" w:hAnsi="Arial Narrow"/>
                <w:sz w:val="20"/>
                <w:szCs w:val="20"/>
              </w:rPr>
              <w:fldChar w:fldCharType="begin">
                <w:ffData>
                  <w:name w:val=""/>
                  <w:enabled/>
                  <w:calcOnExit w:val="0"/>
                  <w:checkBox>
                    <w:sizeAuto/>
                    <w:default w:val="1"/>
                  </w:checkBox>
                </w:ffData>
              </w:fldChar>
            </w:r>
            <w:r w:rsidRPr="00E168B8">
              <w:rPr>
                <w:rFonts w:ascii="Arial Narrow" w:hAnsi="Arial Narrow"/>
                <w:sz w:val="20"/>
                <w:szCs w:val="20"/>
              </w:rPr>
              <w:instrText xml:space="preserve"> FORMCHECKBOX </w:instrText>
            </w:r>
            <w:r w:rsidRPr="00E168B8">
              <w:rPr>
                <w:rFonts w:ascii="Arial Narrow" w:hAnsi="Arial Narrow"/>
                <w:sz w:val="20"/>
                <w:szCs w:val="20"/>
              </w:rPr>
            </w:r>
            <w:r w:rsidRPr="00E168B8">
              <w:rPr>
                <w:rFonts w:ascii="Arial Narrow" w:hAnsi="Arial Narrow"/>
                <w:sz w:val="20"/>
                <w:szCs w:val="20"/>
              </w:rPr>
              <w:fldChar w:fldCharType="separate"/>
            </w:r>
            <w:r w:rsidRPr="00E168B8">
              <w:rPr>
                <w:rFonts w:ascii="Arial Narrow" w:hAnsi="Arial Narrow"/>
                <w:sz w:val="20"/>
                <w:szCs w:val="20"/>
              </w:rPr>
              <w:fldChar w:fldCharType="end"/>
            </w:r>
            <w:r w:rsidRPr="00E168B8">
              <w:rPr>
                <w:rFonts w:ascii="Arial Narrow" w:hAnsi="Arial Narrow"/>
                <w:sz w:val="20"/>
                <w:szCs w:val="20"/>
              </w:rPr>
              <w:t xml:space="preserve"> Medical Practitioners </w:t>
            </w:r>
          </w:p>
        </w:tc>
      </w:tr>
      <w:tr w:rsidR="00002D66" w:rsidRPr="00446E53" w14:paraId="33320DEC" w14:textId="77777777" w:rsidTr="004771D6">
        <w:tblPrEx>
          <w:tblCellMar>
            <w:top w:w="15" w:type="dxa"/>
            <w:bottom w:w="15" w:type="dxa"/>
          </w:tblCellMar>
          <w:tblLook w:val="04A0" w:firstRow="1" w:lastRow="0" w:firstColumn="1" w:lastColumn="0" w:noHBand="0" w:noVBand="1"/>
        </w:tblPrEx>
        <w:trPr>
          <w:trHeight w:val="20"/>
        </w:trPr>
        <w:tc>
          <w:tcPr>
            <w:tcW w:w="1272" w:type="dxa"/>
            <w:vMerge/>
            <w:tcBorders>
              <w:left w:val="single" w:sz="4" w:space="0" w:color="auto"/>
              <w:right w:val="single" w:sz="4" w:space="0" w:color="auto"/>
            </w:tcBorders>
          </w:tcPr>
          <w:p w14:paraId="719B1E37" w14:textId="77777777" w:rsidR="00002D66" w:rsidRPr="00446E53" w:rsidRDefault="00002D66">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66E325E7" w14:textId="77777777" w:rsidR="00002D66" w:rsidRPr="00E168B8" w:rsidRDefault="00002D66">
            <w:pPr>
              <w:keepLines/>
              <w:jc w:val="left"/>
              <w:rPr>
                <w:rFonts w:ascii="Arial Narrow" w:hAnsi="Arial Narrow"/>
                <w:sz w:val="20"/>
                <w:szCs w:val="20"/>
              </w:rPr>
            </w:pPr>
            <w:r w:rsidRPr="00E168B8">
              <w:rPr>
                <w:rFonts w:ascii="Arial Narrow" w:hAnsi="Arial Narrow"/>
                <w:b/>
                <w:sz w:val="20"/>
                <w:szCs w:val="20"/>
              </w:rPr>
              <w:t xml:space="preserve">Benefit type: </w:t>
            </w:r>
            <w:r w:rsidRPr="00E168B8">
              <w:rPr>
                <w:rFonts w:ascii="Arial Narrow" w:hAnsi="Arial Narrow"/>
                <w:sz w:val="20"/>
                <w:szCs w:val="20"/>
              </w:rPr>
              <w:fldChar w:fldCharType="begin">
                <w:ffData>
                  <w:name w:val=""/>
                  <w:enabled/>
                  <w:calcOnExit w:val="0"/>
                  <w:checkBox>
                    <w:sizeAuto/>
                    <w:default w:val="1"/>
                  </w:checkBox>
                </w:ffData>
              </w:fldChar>
            </w:r>
            <w:r w:rsidRPr="00E168B8">
              <w:rPr>
                <w:rFonts w:ascii="Arial Narrow" w:hAnsi="Arial Narrow"/>
                <w:sz w:val="20"/>
                <w:szCs w:val="20"/>
              </w:rPr>
              <w:instrText xml:space="preserve"> FORMCHECKBOX </w:instrText>
            </w:r>
            <w:r w:rsidRPr="00E168B8">
              <w:rPr>
                <w:rFonts w:ascii="Arial Narrow" w:hAnsi="Arial Narrow"/>
                <w:sz w:val="20"/>
                <w:szCs w:val="20"/>
              </w:rPr>
            </w:r>
            <w:r w:rsidRPr="00E168B8">
              <w:rPr>
                <w:rFonts w:ascii="Arial Narrow" w:hAnsi="Arial Narrow"/>
                <w:sz w:val="20"/>
                <w:szCs w:val="20"/>
              </w:rPr>
              <w:fldChar w:fldCharType="separate"/>
            </w:r>
            <w:r w:rsidRPr="00E168B8">
              <w:rPr>
                <w:rFonts w:ascii="Arial Narrow" w:hAnsi="Arial Narrow"/>
                <w:sz w:val="20"/>
                <w:szCs w:val="20"/>
              </w:rPr>
              <w:fldChar w:fldCharType="end"/>
            </w:r>
            <w:r w:rsidRPr="00E168B8">
              <w:rPr>
                <w:rFonts w:ascii="Arial Narrow" w:hAnsi="Arial Narrow"/>
                <w:sz w:val="20"/>
                <w:szCs w:val="20"/>
              </w:rPr>
              <w:t xml:space="preserve"> </w:t>
            </w:r>
            <w:r w:rsidRPr="00E168B8">
              <w:rPr>
                <w:rFonts w:ascii="Arial Narrow" w:eastAsia="Calibri" w:hAnsi="Arial Narrow"/>
                <w:sz w:val="20"/>
                <w:szCs w:val="20"/>
              </w:rPr>
              <w:t>Authority Required (</w:t>
            </w:r>
            <w:r>
              <w:rPr>
                <w:rFonts w:ascii="Arial Narrow" w:eastAsia="Calibri" w:hAnsi="Arial Narrow"/>
                <w:sz w:val="20"/>
                <w:szCs w:val="20"/>
              </w:rPr>
              <w:t xml:space="preserve">telephone/electronic) </w:t>
            </w:r>
          </w:p>
        </w:tc>
      </w:tr>
      <w:tr w:rsidR="00002D66" w:rsidRPr="00446E53" w14:paraId="638EA619" w14:textId="77777777" w:rsidTr="00A71C5B">
        <w:tblPrEx>
          <w:tblCellMar>
            <w:top w:w="15" w:type="dxa"/>
            <w:bottom w:w="15" w:type="dxa"/>
          </w:tblCellMar>
          <w:tblLook w:val="04A0" w:firstRow="1" w:lastRow="0" w:firstColumn="1" w:lastColumn="0" w:noHBand="0" w:noVBand="1"/>
        </w:tblPrEx>
        <w:trPr>
          <w:cantSplit/>
          <w:trHeight w:val="20"/>
        </w:trPr>
        <w:tc>
          <w:tcPr>
            <w:tcW w:w="1272" w:type="dxa"/>
          </w:tcPr>
          <w:p w14:paraId="201B490B" w14:textId="7D30C46B" w:rsidR="00002D66" w:rsidRPr="00446E53" w:rsidRDefault="00002D66">
            <w:pPr>
              <w:keepLines/>
              <w:jc w:val="center"/>
              <w:rPr>
                <w:rFonts w:ascii="Arial Narrow" w:hAnsi="Arial Narrow"/>
                <w:color w:val="333333"/>
                <w:sz w:val="20"/>
                <w:szCs w:val="20"/>
              </w:rPr>
            </w:pPr>
          </w:p>
        </w:tc>
        <w:tc>
          <w:tcPr>
            <w:tcW w:w="7745" w:type="dxa"/>
            <w:gridSpan w:val="6"/>
            <w:vAlign w:val="center"/>
            <w:hideMark/>
          </w:tcPr>
          <w:p w14:paraId="51CDE9C9" w14:textId="77777777" w:rsidR="00002D66" w:rsidRPr="0069367A" w:rsidRDefault="00002D66">
            <w:pPr>
              <w:keepLines/>
              <w:rPr>
                <w:rFonts w:ascii="Arial Narrow" w:hAnsi="Arial Narrow"/>
                <w:sz w:val="20"/>
                <w:szCs w:val="20"/>
              </w:rPr>
            </w:pPr>
            <w:r w:rsidRPr="0069367A">
              <w:rPr>
                <w:rFonts w:ascii="Arial Narrow" w:hAnsi="Arial Narrow"/>
                <w:b/>
                <w:bCs/>
                <w:sz w:val="20"/>
                <w:szCs w:val="20"/>
              </w:rPr>
              <w:t>Indication:</w:t>
            </w:r>
            <w:r w:rsidRPr="0069367A">
              <w:rPr>
                <w:rFonts w:ascii="Arial Narrow" w:hAnsi="Arial Narrow"/>
                <w:sz w:val="20"/>
                <w:szCs w:val="20"/>
              </w:rPr>
              <w:t xml:space="preserve"> Chronic severe atopic dermatitis </w:t>
            </w:r>
          </w:p>
        </w:tc>
      </w:tr>
      <w:tr w:rsidR="00002D66" w:rsidRPr="00446E53" w14:paraId="0A68A748" w14:textId="77777777" w:rsidTr="00A71C5B">
        <w:tblPrEx>
          <w:tblCellMar>
            <w:top w:w="15" w:type="dxa"/>
            <w:bottom w:w="15" w:type="dxa"/>
          </w:tblCellMar>
          <w:tblLook w:val="04A0" w:firstRow="1" w:lastRow="0" w:firstColumn="1" w:lastColumn="0" w:noHBand="0" w:noVBand="1"/>
        </w:tblPrEx>
        <w:trPr>
          <w:cantSplit/>
          <w:trHeight w:val="20"/>
        </w:trPr>
        <w:tc>
          <w:tcPr>
            <w:tcW w:w="1272" w:type="dxa"/>
          </w:tcPr>
          <w:p w14:paraId="7287045D" w14:textId="77777777" w:rsidR="00002D66" w:rsidRPr="00446E53" w:rsidRDefault="00002D66">
            <w:pPr>
              <w:jc w:val="center"/>
              <w:rPr>
                <w:rFonts w:ascii="Arial Narrow" w:hAnsi="Arial Narrow"/>
                <w:color w:val="333333"/>
                <w:sz w:val="20"/>
                <w:szCs w:val="20"/>
              </w:rPr>
            </w:pPr>
          </w:p>
        </w:tc>
        <w:tc>
          <w:tcPr>
            <w:tcW w:w="7745" w:type="dxa"/>
            <w:gridSpan w:val="6"/>
            <w:vAlign w:val="center"/>
            <w:hideMark/>
          </w:tcPr>
          <w:p w14:paraId="40BF6A95" w14:textId="77777777" w:rsidR="00002D66" w:rsidRPr="0069367A" w:rsidRDefault="00002D66">
            <w:pPr>
              <w:rPr>
                <w:rFonts w:ascii="Arial Narrow" w:hAnsi="Arial Narrow"/>
                <w:sz w:val="20"/>
                <w:szCs w:val="20"/>
              </w:rPr>
            </w:pPr>
            <w:r w:rsidRPr="0069367A">
              <w:rPr>
                <w:rFonts w:ascii="Arial Narrow" w:hAnsi="Arial Narrow"/>
                <w:b/>
                <w:bCs/>
                <w:sz w:val="20"/>
                <w:szCs w:val="20"/>
              </w:rPr>
              <w:t>Treatment Phase:</w:t>
            </w:r>
            <w:r w:rsidRPr="0069367A">
              <w:rPr>
                <w:rFonts w:ascii="Arial Narrow" w:hAnsi="Arial Narrow"/>
                <w:sz w:val="20"/>
                <w:szCs w:val="20"/>
              </w:rPr>
              <w:t xml:space="preserve"> </w:t>
            </w:r>
            <w:r>
              <w:rPr>
                <w:rFonts w:ascii="Arial Narrow" w:hAnsi="Arial Narrow"/>
                <w:sz w:val="20"/>
                <w:szCs w:val="20"/>
              </w:rPr>
              <w:t>Continuing or resuming</w:t>
            </w:r>
            <w:r w:rsidRPr="0069367A">
              <w:rPr>
                <w:rFonts w:ascii="Arial Narrow" w:hAnsi="Arial Narrow"/>
                <w:sz w:val="20"/>
                <w:szCs w:val="20"/>
              </w:rPr>
              <w:t xml:space="preserve"> treatment of the whole body </w:t>
            </w:r>
          </w:p>
        </w:tc>
      </w:tr>
      <w:tr w:rsidR="00002D66" w:rsidRPr="00446E53" w14:paraId="7E8613FF" w14:textId="77777777" w:rsidTr="004771D6">
        <w:tblPrEx>
          <w:tblCellMar>
            <w:top w:w="15" w:type="dxa"/>
            <w:bottom w:w="15" w:type="dxa"/>
          </w:tblCellMar>
          <w:tblLook w:val="04A0" w:firstRow="1" w:lastRow="0" w:firstColumn="1" w:lastColumn="0" w:noHBand="0" w:noVBand="1"/>
        </w:tblPrEx>
        <w:trPr>
          <w:cantSplit/>
          <w:trHeight w:val="20"/>
        </w:trPr>
        <w:tc>
          <w:tcPr>
            <w:tcW w:w="1272" w:type="dxa"/>
          </w:tcPr>
          <w:p w14:paraId="6BE61DC4" w14:textId="52EC30A2" w:rsidR="00002D66" w:rsidRPr="00446E53" w:rsidRDefault="00002D66">
            <w:pPr>
              <w:jc w:val="center"/>
              <w:rPr>
                <w:rFonts w:ascii="Arial Narrow" w:hAnsi="Arial Narrow"/>
                <w:color w:val="333333"/>
                <w:sz w:val="20"/>
                <w:szCs w:val="20"/>
              </w:rPr>
            </w:pPr>
          </w:p>
        </w:tc>
        <w:tc>
          <w:tcPr>
            <w:tcW w:w="7745" w:type="dxa"/>
            <w:gridSpan w:val="6"/>
            <w:vAlign w:val="center"/>
            <w:hideMark/>
          </w:tcPr>
          <w:p w14:paraId="7610D346" w14:textId="77777777" w:rsidR="00002D66" w:rsidRPr="00446E53" w:rsidRDefault="00002D66">
            <w:pPr>
              <w:rPr>
                <w:rFonts w:ascii="Arial Narrow" w:hAnsi="Arial Narrow"/>
                <w:sz w:val="20"/>
                <w:szCs w:val="20"/>
              </w:rPr>
            </w:pPr>
            <w:r w:rsidRPr="00446E53">
              <w:rPr>
                <w:rFonts w:ascii="Arial Narrow" w:hAnsi="Arial Narrow"/>
                <w:b/>
                <w:bCs/>
                <w:color w:val="333333"/>
                <w:sz w:val="20"/>
                <w:szCs w:val="20"/>
              </w:rPr>
              <w:t xml:space="preserve">Clinical criteria: </w:t>
            </w:r>
          </w:p>
        </w:tc>
      </w:tr>
      <w:tr w:rsidR="00002D66" w:rsidRPr="00446E53" w14:paraId="770C3F95" w14:textId="77777777" w:rsidTr="004771D6">
        <w:tblPrEx>
          <w:tblCellMar>
            <w:top w:w="15" w:type="dxa"/>
            <w:bottom w:w="15" w:type="dxa"/>
          </w:tblCellMar>
          <w:tblLook w:val="04A0" w:firstRow="1" w:lastRow="0" w:firstColumn="1" w:lastColumn="0" w:noHBand="0" w:noVBand="1"/>
        </w:tblPrEx>
        <w:trPr>
          <w:cantSplit/>
          <w:trHeight w:val="20"/>
        </w:trPr>
        <w:tc>
          <w:tcPr>
            <w:tcW w:w="1272" w:type="dxa"/>
          </w:tcPr>
          <w:p w14:paraId="78BA094E" w14:textId="4A12A91E" w:rsidR="00002D66" w:rsidRPr="00446E53" w:rsidRDefault="00002D66">
            <w:pPr>
              <w:jc w:val="center"/>
              <w:rPr>
                <w:rFonts w:ascii="Arial Narrow" w:hAnsi="Arial Narrow"/>
                <w:color w:val="333333"/>
                <w:sz w:val="20"/>
                <w:szCs w:val="20"/>
              </w:rPr>
            </w:pPr>
          </w:p>
        </w:tc>
        <w:tc>
          <w:tcPr>
            <w:tcW w:w="7745" w:type="dxa"/>
            <w:gridSpan w:val="6"/>
            <w:hideMark/>
          </w:tcPr>
          <w:p w14:paraId="1403F64A" w14:textId="77777777" w:rsidR="00002D66" w:rsidRPr="00C630E3" w:rsidRDefault="00002D66">
            <w:pPr>
              <w:rPr>
                <w:rFonts w:ascii="Arial Narrow" w:hAnsi="Arial Narrow"/>
                <w:sz w:val="20"/>
                <w:szCs w:val="20"/>
              </w:rPr>
            </w:pPr>
            <w:r w:rsidRPr="00C630E3">
              <w:rPr>
                <w:rFonts w:ascii="Arial Narrow" w:hAnsi="Arial Narrow"/>
                <w:sz w:val="20"/>
                <w:szCs w:val="20"/>
              </w:rPr>
              <w:t>Patient must have received PBS-subsidised treatment with this biological medicine for the treatment of chronic severe atopic dermatitis affecting the whole body</w:t>
            </w:r>
          </w:p>
        </w:tc>
      </w:tr>
      <w:tr w:rsidR="00002D66" w:rsidRPr="00446E53" w14:paraId="3B2F0441" w14:textId="77777777" w:rsidTr="00A71C5B">
        <w:tblPrEx>
          <w:tblCellMar>
            <w:top w:w="15" w:type="dxa"/>
            <w:bottom w:w="15" w:type="dxa"/>
          </w:tblCellMar>
          <w:tblLook w:val="04A0" w:firstRow="1" w:lastRow="0" w:firstColumn="1" w:lastColumn="0" w:noHBand="0" w:noVBand="1"/>
        </w:tblPrEx>
        <w:trPr>
          <w:cantSplit/>
          <w:trHeight w:val="20"/>
        </w:trPr>
        <w:tc>
          <w:tcPr>
            <w:tcW w:w="1272" w:type="dxa"/>
          </w:tcPr>
          <w:p w14:paraId="2BF03B01" w14:textId="77777777" w:rsidR="00002D66" w:rsidRPr="00446E53" w:rsidRDefault="00002D66">
            <w:pPr>
              <w:jc w:val="center"/>
              <w:rPr>
                <w:rFonts w:ascii="Arial Narrow" w:hAnsi="Arial Narrow"/>
                <w:color w:val="333333"/>
                <w:sz w:val="20"/>
                <w:szCs w:val="20"/>
              </w:rPr>
            </w:pPr>
          </w:p>
        </w:tc>
        <w:tc>
          <w:tcPr>
            <w:tcW w:w="7745" w:type="dxa"/>
            <w:gridSpan w:val="6"/>
            <w:vAlign w:val="center"/>
            <w:hideMark/>
          </w:tcPr>
          <w:p w14:paraId="3A146337" w14:textId="77777777" w:rsidR="00002D66" w:rsidRPr="00446E53" w:rsidRDefault="00002D66">
            <w:pPr>
              <w:rPr>
                <w:rFonts w:ascii="Arial Narrow" w:hAnsi="Arial Narrow"/>
                <w:color w:val="333333"/>
                <w:sz w:val="20"/>
                <w:szCs w:val="20"/>
              </w:rPr>
            </w:pPr>
            <w:r w:rsidRPr="00446E53">
              <w:rPr>
                <w:rFonts w:ascii="Arial Narrow" w:hAnsi="Arial Narrow"/>
                <w:b/>
                <w:bCs/>
                <w:color w:val="333333"/>
                <w:sz w:val="20"/>
                <w:szCs w:val="20"/>
              </w:rPr>
              <w:t>AND</w:t>
            </w:r>
          </w:p>
        </w:tc>
      </w:tr>
      <w:tr w:rsidR="00002D66" w:rsidRPr="00446E53" w14:paraId="7FBA691C" w14:textId="77777777" w:rsidTr="004771D6">
        <w:tblPrEx>
          <w:tblCellMar>
            <w:top w:w="15" w:type="dxa"/>
            <w:bottom w:w="15" w:type="dxa"/>
          </w:tblCellMar>
          <w:tblLook w:val="04A0" w:firstRow="1" w:lastRow="0" w:firstColumn="1" w:lastColumn="0" w:noHBand="0" w:noVBand="1"/>
        </w:tblPrEx>
        <w:trPr>
          <w:cantSplit/>
          <w:trHeight w:val="20"/>
        </w:trPr>
        <w:tc>
          <w:tcPr>
            <w:tcW w:w="1272" w:type="dxa"/>
          </w:tcPr>
          <w:p w14:paraId="15C31233" w14:textId="48EEBDD0" w:rsidR="00002D66" w:rsidRPr="00D801D8" w:rsidRDefault="00002D66">
            <w:pPr>
              <w:jc w:val="center"/>
              <w:rPr>
                <w:rFonts w:ascii="Arial Narrow" w:hAnsi="Arial Narrow"/>
                <w:sz w:val="20"/>
                <w:szCs w:val="20"/>
              </w:rPr>
            </w:pPr>
          </w:p>
        </w:tc>
        <w:tc>
          <w:tcPr>
            <w:tcW w:w="7745" w:type="dxa"/>
            <w:gridSpan w:val="6"/>
            <w:vAlign w:val="center"/>
            <w:hideMark/>
          </w:tcPr>
          <w:p w14:paraId="779DE72C" w14:textId="77777777" w:rsidR="00002D66" w:rsidRPr="00446E53" w:rsidRDefault="00002D66">
            <w:pPr>
              <w:rPr>
                <w:rFonts w:ascii="Arial Narrow" w:hAnsi="Arial Narrow"/>
                <w:color w:val="333333"/>
                <w:sz w:val="20"/>
                <w:szCs w:val="20"/>
              </w:rPr>
            </w:pPr>
            <w:r w:rsidRPr="00446E53">
              <w:rPr>
                <w:rFonts w:ascii="Arial Narrow" w:hAnsi="Arial Narrow"/>
                <w:b/>
                <w:bCs/>
                <w:color w:val="333333"/>
                <w:sz w:val="20"/>
                <w:szCs w:val="20"/>
              </w:rPr>
              <w:t>Clinical criteria:</w:t>
            </w:r>
          </w:p>
        </w:tc>
      </w:tr>
      <w:tr w:rsidR="00002D66" w:rsidRPr="00446E53" w14:paraId="0EE8DC93" w14:textId="77777777" w:rsidTr="004771D6">
        <w:tblPrEx>
          <w:tblCellMar>
            <w:top w:w="15" w:type="dxa"/>
            <w:bottom w:w="15" w:type="dxa"/>
          </w:tblCellMar>
          <w:tblLook w:val="04A0" w:firstRow="1" w:lastRow="0" w:firstColumn="1" w:lastColumn="0" w:noHBand="0" w:noVBand="1"/>
        </w:tblPrEx>
        <w:trPr>
          <w:cantSplit/>
          <w:trHeight w:val="20"/>
        </w:trPr>
        <w:tc>
          <w:tcPr>
            <w:tcW w:w="1272" w:type="dxa"/>
          </w:tcPr>
          <w:p w14:paraId="3B3AEB8F" w14:textId="0E55185F" w:rsidR="00002D66" w:rsidRPr="00820B98" w:rsidRDefault="00002D66">
            <w:pPr>
              <w:jc w:val="center"/>
              <w:rPr>
                <w:rFonts w:ascii="Arial Narrow" w:hAnsi="Arial Narrow"/>
                <w:sz w:val="20"/>
                <w:szCs w:val="20"/>
              </w:rPr>
            </w:pPr>
          </w:p>
        </w:tc>
        <w:tc>
          <w:tcPr>
            <w:tcW w:w="7745" w:type="dxa"/>
            <w:gridSpan w:val="6"/>
          </w:tcPr>
          <w:p w14:paraId="5E6B8EBC" w14:textId="77777777" w:rsidR="00002D66" w:rsidRPr="00653865" w:rsidRDefault="00002D66">
            <w:pPr>
              <w:rPr>
                <w:rFonts w:ascii="Arial Narrow" w:hAnsi="Arial Narrow"/>
                <w:strike/>
                <w:sz w:val="20"/>
                <w:szCs w:val="20"/>
              </w:rPr>
            </w:pPr>
            <w:r w:rsidRPr="00653865">
              <w:rPr>
                <w:rFonts w:ascii="Arial Narrow" w:hAnsi="Arial Narrow"/>
                <w:strike/>
                <w:sz w:val="20"/>
                <w:szCs w:val="20"/>
              </w:rPr>
              <w:t>Patient must have achieved an adequate response prior to this first continuing treatment authority application; or</w:t>
            </w:r>
          </w:p>
          <w:p w14:paraId="5F4FAE91" w14:textId="77777777" w:rsidR="00002D66" w:rsidRPr="00820B98" w:rsidRDefault="00002D66">
            <w:pPr>
              <w:rPr>
                <w:rFonts w:ascii="Arial Narrow" w:hAnsi="Arial Narrow"/>
                <w:sz w:val="20"/>
                <w:szCs w:val="20"/>
              </w:rPr>
            </w:pPr>
            <w:r w:rsidRPr="00653865">
              <w:rPr>
                <w:rFonts w:ascii="Arial Narrow" w:hAnsi="Arial Narrow"/>
                <w:i/>
                <w:iCs/>
                <w:color w:val="333333"/>
                <w:sz w:val="20"/>
                <w:szCs w:val="20"/>
              </w:rPr>
              <w:t>Patient must have achieved an adequate response within the first 16 weeks of treatment; or</w:t>
            </w:r>
          </w:p>
        </w:tc>
      </w:tr>
      <w:tr w:rsidR="00002D66" w:rsidRPr="00446E53" w14:paraId="3493D10C" w14:textId="77777777" w:rsidTr="004771D6">
        <w:tblPrEx>
          <w:tblCellMar>
            <w:top w:w="15" w:type="dxa"/>
            <w:bottom w:w="15" w:type="dxa"/>
          </w:tblCellMar>
          <w:tblLook w:val="04A0" w:firstRow="1" w:lastRow="0" w:firstColumn="1" w:lastColumn="0" w:noHBand="0" w:noVBand="1"/>
        </w:tblPrEx>
        <w:trPr>
          <w:cantSplit/>
          <w:trHeight w:val="20"/>
        </w:trPr>
        <w:tc>
          <w:tcPr>
            <w:tcW w:w="1272" w:type="dxa"/>
          </w:tcPr>
          <w:p w14:paraId="1662BC76" w14:textId="7194ABE2" w:rsidR="00002D66" w:rsidRPr="00D801D8" w:rsidRDefault="00002D66">
            <w:pPr>
              <w:jc w:val="center"/>
              <w:rPr>
                <w:rFonts w:ascii="Arial Narrow" w:hAnsi="Arial Narrow"/>
                <w:sz w:val="20"/>
                <w:szCs w:val="20"/>
              </w:rPr>
            </w:pPr>
          </w:p>
        </w:tc>
        <w:tc>
          <w:tcPr>
            <w:tcW w:w="7745" w:type="dxa"/>
            <w:gridSpan w:val="6"/>
          </w:tcPr>
          <w:p w14:paraId="64E4B22A" w14:textId="77777777" w:rsidR="00002D66" w:rsidRPr="00C630E3" w:rsidRDefault="00002D66">
            <w:pPr>
              <w:rPr>
                <w:rFonts w:ascii="Arial Narrow" w:hAnsi="Arial Narrow"/>
                <w:sz w:val="20"/>
                <w:szCs w:val="20"/>
              </w:rPr>
            </w:pPr>
            <w:r w:rsidRPr="00C630E3">
              <w:rPr>
                <w:rFonts w:ascii="Arial Narrow" w:hAnsi="Arial Narrow"/>
                <w:sz w:val="20"/>
                <w:szCs w:val="20"/>
              </w:rPr>
              <w:t>Patient must have maintained an adequate response to their most recent course of PBS-subsidised treatment with this biological medicine for this PBS indication if this is the second or subsequent Continuing treatment authority application; or</w:t>
            </w:r>
          </w:p>
        </w:tc>
      </w:tr>
      <w:tr w:rsidR="00002D66" w:rsidRPr="00446E53" w14:paraId="0A36F45D" w14:textId="77777777" w:rsidTr="004771D6">
        <w:tblPrEx>
          <w:tblCellMar>
            <w:top w:w="15" w:type="dxa"/>
            <w:bottom w:w="15" w:type="dxa"/>
          </w:tblCellMar>
          <w:tblLook w:val="04A0" w:firstRow="1" w:lastRow="0" w:firstColumn="1" w:lastColumn="0" w:noHBand="0" w:noVBand="1"/>
        </w:tblPrEx>
        <w:trPr>
          <w:cantSplit/>
          <w:trHeight w:val="20"/>
        </w:trPr>
        <w:tc>
          <w:tcPr>
            <w:tcW w:w="1272" w:type="dxa"/>
          </w:tcPr>
          <w:p w14:paraId="25C78065" w14:textId="6F92DFDB" w:rsidR="00002D66" w:rsidRPr="00D801D8" w:rsidRDefault="00002D66">
            <w:pPr>
              <w:jc w:val="center"/>
              <w:rPr>
                <w:rFonts w:ascii="Arial Narrow" w:hAnsi="Arial Narrow"/>
                <w:sz w:val="20"/>
                <w:szCs w:val="20"/>
              </w:rPr>
            </w:pPr>
          </w:p>
        </w:tc>
        <w:tc>
          <w:tcPr>
            <w:tcW w:w="7745" w:type="dxa"/>
            <w:gridSpan w:val="6"/>
          </w:tcPr>
          <w:p w14:paraId="71955DA8" w14:textId="77777777" w:rsidR="00002D66" w:rsidRPr="00C630E3" w:rsidRDefault="00002D66">
            <w:pPr>
              <w:rPr>
                <w:rFonts w:ascii="Arial Narrow" w:hAnsi="Arial Narrow"/>
                <w:sz w:val="20"/>
                <w:szCs w:val="20"/>
              </w:rPr>
            </w:pPr>
            <w:r w:rsidRPr="00C630E3">
              <w:rPr>
                <w:rFonts w:ascii="Arial Narrow" w:hAnsi="Arial Narrow"/>
                <w:sz w:val="20"/>
                <w:szCs w:val="20"/>
              </w:rPr>
              <w:t>Patient must have temporarily ceased treatment for reasons other than lack of response (e.g. family planning, vaccination with live vaccines, adverse-effect investigation), thereby being unable to achieve/maintain an adequate response immediately prior to this authority application</w:t>
            </w:r>
          </w:p>
        </w:tc>
      </w:tr>
      <w:tr w:rsidR="00002D66" w:rsidRPr="00446E53" w14:paraId="472BE9A2" w14:textId="77777777" w:rsidTr="004771D6">
        <w:tblPrEx>
          <w:tblCellMar>
            <w:top w:w="15" w:type="dxa"/>
            <w:bottom w:w="15" w:type="dxa"/>
          </w:tblCellMar>
          <w:tblLook w:val="04A0" w:firstRow="1" w:lastRow="0" w:firstColumn="1" w:lastColumn="0" w:noHBand="0" w:noVBand="1"/>
        </w:tblPrEx>
        <w:trPr>
          <w:cantSplit/>
          <w:trHeight w:val="20"/>
        </w:trPr>
        <w:tc>
          <w:tcPr>
            <w:tcW w:w="1272" w:type="dxa"/>
          </w:tcPr>
          <w:p w14:paraId="794950D9" w14:textId="77777777" w:rsidR="00002D66" w:rsidRPr="00446E53" w:rsidRDefault="00002D66">
            <w:pPr>
              <w:jc w:val="center"/>
              <w:rPr>
                <w:rFonts w:ascii="Arial Narrow" w:hAnsi="Arial Narrow"/>
                <w:color w:val="FF0000"/>
                <w:sz w:val="20"/>
                <w:szCs w:val="20"/>
              </w:rPr>
            </w:pPr>
          </w:p>
        </w:tc>
        <w:tc>
          <w:tcPr>
            <w:tcW w:w="7745" w:type="dxa"/>
            <w:gridSpan w:val="6"/>
            <w:vAlign w:val="center"/>
          </w:tcPr>
          <w:p w14:paraId="0CAF9676" w14:textId="77777777" w:rsidR="00002D66" w:rsidRPr="00446E53" w:rsidRDefault="00002D66">
            <w:pPr>
              <w:autoSpaceDE w:val="0"/>
              <w:autoSpaceDN w:val="0"/>
              <w:adjustRightInd w:val="0"/>
              <w:rPr>
                <w:rFonts w:ascii="Arial Narrow" w:hAnsi="Arial Narrow" w:cs="Arial Narrow"/>
                <w:b/>
                <w:bCs/>
                <w:iCs/>
                <w:color w:val="FF0000"/>
                <w:sz w:val="20"/>
                <w:szCs w:val="20"/>
              </w:rPr>
            </w:pPr>
            <w:r w:rsidRPr="00446E53">
              <w:rPr>
                <w:rFonts w:ascii="Arial Narrow" w:hAnsi="Arial Narrow" w:cs="Arial Narrow"/>
                <w:b/>
                <w:bCs/>
                <w:iCs/>
                <w:sz w:val="20"/>
                <w:szCs w:val="20"/>
              </w:rPr>
              <w:t>AND</w:t>
            </w:r>
          </w:p>
        </w:tc>
      </w:tr>
      <w:tr w:rsidR="00002D66" w:rsidRPr="00446E53" w14:paraId="22CC368A" w14:textId="77777777" w:rsidTr="004771D6">
        <w:tblPrEx>
          <w:tblCellMar>
            <w:top w:w="15" w:type="dxa"/>
            <w:bottom w:w="15" w:type="dxa"/>
          </w:tblCellMar>
          <w:tblLook w:val="04A0" w:firstRow="1" w:lastRow="0" w:firstColumn="1" w:lastColumn="0" w:noHBand="0" w:noVBand="1"/>
        </w:tblPrEx>
        <w:trPr>
          <w:cantSplit/>
          <w:trHeight w:val="20"/>
        </w:trPr>
        <w:tc>
          <w:tcPr>
            <w:tcW w:w="1272" w:type="dxa"/>
          </w:tcPr>
          <w:p w14:paraId="7AAED19A" w14:textId="70A2BDFB" w:rsidR="00002D66" w:rsidRPr="00E60D92" w:rsidRDefault="00002D66">
            <w:pPr>
              <w:jc w:val="center"/>
              <w:rPr>
                <w:rFonts w:ascii="Arial Narrow" w:hAnsi="Arial Narrow"/>
                <w:sz w:val="20"/>
                <w:szCs w:val="20"/>
              </w:rPr>
            </w:pPr>
          </w:p>
        </w:tc>
        <w:tc>
          <w:tcPr>
            <w:tcW w:w="7745" w:type="dxa"/>
            <w:gridSpan w:val="6"/>
            <w:vAlign w:val="center"/>
          </w:tcPr>
          <w:p w14:paraId="1FABF46A" w14:textId="77777777" w:rsidR="00002D66" w:rsidRPr="00446E53" w:rsidRDefault="00002D66">
            <w:pPr>
              <w:autoSpaceDE w:val="0"/>
              <w:autoSpaceDN w:val="0"/>
              <w:adjustRightInd w:val="0"/>
              <w:rPr>
                <w:rFonts w:ascii="Arial Narrow" w:hAnsi="Arial Narrow" w:cs="Arial Narrow"/>
                <w:iCs/>
                <w:color w:val="FF0000"/>
                <w:sz w:val="20"/>
                <w:szCs w:val="20"/>
              </w:rPr>
            </w:pPr>
            <w:r>
              <w:rPr>
                <w:rFonts w:ascii="Arial Narrow" w:hAnsi="Arial Narrow"/>
                <w:b/>
                <w:bCs/>
                <w:color w:val="333333"/>
                <w:sz w:val="20"/>
                <w:szCs w:val="20"/>
              </w:rPr>
              <w:t xml:space="preserve">Clinical </w:t>
            </w:r>
            <w:r w:rsidRPr="00446E53">
              <w:rPr>
                <w:rFonts w:ascii="Arial Narrow" w:hAnsi="Arial Narrow"/>
                <w:b/>
                <w:bCs/>
                <w:color w:val="333333"/>
                <w:sz w:val="20"/>
                <w:szCs w:val="20"/>
              </w:rPr>
              <w:t>criteria:</w:t>
            </w:r>
          </w:p>
        </w:tc>
      </w:tr>
      <w:tr w:rsidR="00002D66" w:rsidRPr="00446E53" w14:paraId="1474D433" w14:textId="77777777" w:rsidTr="004771D6">
        <w:tblPrEx>
          <w:tblCellMar>
            <w:top w:w="15" w:type="dxa"/>
            <w:bottom w:w="15" w:type="dxa"/>
          </w:tblCellMar>
          <w:tblLook w:val="04A0" w:firstRow="1" w:lastRow="0" w:firstColumn="1" w:lastColumn="0" w:noHBand="0" w:noVBand="1"/>
        </w:tblPrEx>
        <w:trPr>
          <w:cantSplit/>
          <w:trHeight w:val="20"/>
        </w:trPr>
        <w:tc>
          <w:tcPr>
            <w:tcW w:w="1272" w:type="dxa"/>
          </w:tcPr>
          <w:p w14:paraId="0F55102C" w14:textId="2E5F35E7" w:rsidR="00002D66" w:rsidRPr="00E60D92" w:rsidRDefault="00002D66">
            <w:pPr>
              <w:jc w:val="center"/>
              <w:rPr>
                <w:rFonts w:ascii="Arial Narrow" w:hAnsi="Arial Narrow"/>
                <w:sz w:val="20"/>
                <w:szCs w:val="20"/>
              </w:rPr>
            </w:pPr>
          </w:p>
        </w:tc>
        <w:tc>
          <w:tcPr>
            <w:tcW w:w="7745" w:type="dxa"/>
            <w:gridSpan w:val="6"/>
          </w:tcPr>
          <w:p w14:paraId="4D5A18C3" w14:textId="77777777" w:rsidR="00002D66" w:rsidRPr="00ED1588" w:rsidRDefault="00002D66">
            <w:pPr>
              <w:autoSpaceDE w:val="0"/>
              <w:autoSpaceDN w:val="0"/>
              <w:adjustRightInd w:val="0"/>
              <w:rPr>
                <w:rFonts w:ascii="Arial Narrow" w:hAnsi="Arial Narrow"/>
                <w:sz w:val="20"/>
                <w:szCs w:val="20"/>
              </w:rPr>
            </w:pPr>
            <w:r w:rsidRPr="00ED1588">
              <w:rPr>
                <w:rFonts w:ascii="Arial Narrow" w:hAnsi="Arial Narrow"/>
                <w:sz w:val="20"/>
                <w:szCs w:val="20"/>
              </w:rPr>
              <w:t>The treatment must be the sole PBS-subsidised biological medicine for this PBS indication</w:t>
            </w:r>
          </w:p>
        </w:tc>
      </w:tr>
      <w:tr w:rsidR="00002D66" w:rsidRPr="00446E53" w14:paraId="47315E4D" w14:textId="77777777" w:rsidTr="004771D6">
        <w:tblPrEx>
          <w:tblCellMar>
            <w:top w:w="15" w:type="dxa"/>
            <w:bottom w:w="15" w:type="dxa"/>
          </w:tblCellMar>
          <w:tblLook w:val="04A0" w:firstRow="1" w:lastRow="0" w:firstColumn="1" w:lastColumn="0" w:noHBand="0" w:noVBand="1"/>
        </w:tblPrEx>
        <w:trPr>
          <w:cantSplit/>
          <w:trHeight w:val="20"/>
        </w:trPr>
        <w:tc>
          <w:tcPr>
            <w:tcW w:w="9017" w:type="dxa"/>
            <w:gridSpan w:val="7"/>
          </w:tcPr>
          <w:p w14:paraId="7CAAF7B4" w14:textId="77777777" w:rsidR="00002D66" w:rsidRDefault="00002D66">
            <w:pPr>
              <w:rPr>
                <w:rFonts w:ascii="Arial Narrow" w:hAnsi="Arial Narrow"/>
                <w:b/>
                <w:bCs/>
                <w:color w:val="333333"/>
                <w:sz w:val="20"/>
                <w:szCs w:val="20"/>
              </w:rPr>
            </w:pPr>
          </w:p>
          <w:p w14:paraId="2B3C6668" w14:textId="77777777" w:rsidR="00F729E0" w:rsidRPr="00446E53" w:rsidRDefault="00F729E0">
            <w:pPr>
              <w:rPr>
                <w:rFonts w:ascii="Arial Narrow" w:hAnsi="Arial Narrow"/>
                <w:b/>
                <w:bCs/>
                <w:color w:val="333333"/>
                <w:sz w:val="20"/>
                <w:szCs w:val="20"/>
              </w:rPr>
            </w:pPr>
          </w:p>
        </w:tc>
      </w:tr>
      <w:tr w:rsidR="00002D66" w:rsidRPr="00446E53" w14:paraId="55759C14" w14:textId="77777777" w:rsidTr="00A71C5B">
        <w:tblPrEx>
          <w:tblCellMar>
            <w:top w:w="15" w:type="dxa"/>
            <w:bottom w:w="15" w:type="dxa"/>
          </w:tblCellMar>
          <w:tblLook w:val="04A0" w:firstRow="1" w:lastRow="0" w:firstColumn="1" w:lastColumn="0" w:noHBand="0" w:noVBand="1"/>
        </w:tblPrEx>
        <w:trPr>
          <w:cantSplit/>
          <w:trHeight w:val="20"/>
        </w:trPr>
        <w:tc>
          <w:tcPr>
            <w:tcW w:w="1272" w:type="dxa"/>
          </w:tcPr>
          <w:p w14:paraId="42072E44" w14:textId="15A3B22B" w:rsidR="00002D66" w:rsidRPr="00446E53" w:rsidRDefault="00002D66">
            <w:pPr>
              <w:jc w:val="center"/>
              <w:rPr>
                <w:rFonts w:ascii="Arial Narrow" w:hAnsi="Arial Narrow"/>
                <w:color w:val="333333"/>
                <w:sz w:val="20"/>
                <w:szCs w:val="20"/>
              </w:rPr>
            </w:pPr>
          </w:p>
        </w:tc>
        <w:tc>
          <w:tcPr>
            <w:tcW w:w="7745" w:type="dxa"/>
            <w:gridSpan w:val="6"/>
            <w:vAlign w:val="center"/>
            <w:hideMark/>
          </w:tcPr>
          <w:p w14:paraId="2886C663" w14:textId="77777777" w:rsidR="00002D66" w:rsidRPr="00446E53" w:rsidRDefault="00002D66">
            <w:pPr>
              <w:rPr>
                <w:rFonts w:ascii="Arial Narrow" w:hAnsi="Arial Narrow"/>
                <w:color w:val="333333"/>
                <w:sz w:val="20"/>
                <w:szCs w:val="20"/>
              </w:rPr>
            </w:pPr>
            <w:r w:rsidRPr="0069367A">
              <w:rPr>
                <w:rFonts w:ascii="Arial Narrow" w:hAnsi="Arial Narrow"/>
                <w:b/>
                <w:bCs/>
                <w:sz w:val="20"/>
                <w:szCs w:val="20"/>
              </w:rPr>
              <w:t>Indication:</w:t>
            </w:r>
            <w:r w:rsidRPr="0069367A">
              <w:rPr>
                <w:rFonts w:ascii="Arial Narrow" w:hAnsi="Arial Narrow"/>
                <w:sz w:val="20"/>
                <w:szCs w:val="20"/>
              </w:rPr>
              <w:t xml:space="preserve"> Chronic severe atopic dermatitis </w:t>
            </w:r>
          </w:p>
        </w:tc>
      </w:tr>
      <w:tr w:rsidR="00002D66" w:rsidRPr="00446E53" w14:paraId="51B10BF6" w14:textId="77777777" w:rsidTr="004771D6">
        <w:tblPrEx>
          <w:tblCellMar>
            <w:top w:w="15" w:type="dxa"/>
            <w:bottom w:w="15" w:type="dxa"/>
          </w:tblCellMar>
          <w:tblLook w:val="04A0" w:firstRow="1" w:lastRow="0" w:firstColumn="1" w:lastColumn="0" w:noHBand="0" w:noVBand="1"/>
        </w:tblPrEx>
        <w:trPr>
          <w:cantSplit/>
          <w:trHeight w:val="20"/>
        </w:trPr>
        <w:tc>
          <w:tcPr>
            <w:tcW w:w="1272" w:type="dxa"/>
          </w:tcPr>
          <w:p w14:paraId="1BF19C7C" w14:textId="77777777" w:rsidR="00002D66" w:rsidRPr="00446E53" w:rsidRDefault="00002D66">
            <w:pPr>
              <w:jc w:val="center"/>
              <w:rPr>
                <w:rFonts w:ascii="Arial Narrow" w:hAnsi="Arial Narrow"/>
                <w:color w:val="333333"/>
                <w:sz w:val="20"/>
                <w:szCs w:val="20"/>
              </w:rPr>
            </w:pPr>
          </w:p>
        </w:tc>
        <w:tc>
          <w:tcPr>
            <w:tcW w:w="7745" w:type="dxa"/>
            <w:gridSpan w:val="6"/>
            <w:vAlign w:val="center"/>
            <w:hideMark/>
          </w:tcPr>
          <w:p w14:paraId="1F0D0622" w14:textId="77777777" w:rsidR="00002D66" w:rsidRPr="00446E53" w:rsidRDefault="00002D66">
            <w:pPr>
              <w:rPr>
                <w:rFonts w:ascii="Arial Narrow" w:hAnsi="Arial Narrow"/>
                <w:sz w:val="20"/>
                <w:szCs w:val="20"/>
              </w:rPr>
            </w:pPr>
            <w:r w:rsidRPr="0069367A">
              <w:rPr>
                <w:rFonts w:ascii="Arial Narrow" w:hAnsi="Arial Narrow"/>
                <w:b/>
                <w:bCs/>
                <w:sz w:val="20"/>
                <w:szCs w:val="20"/>
              </w:rPr>
              <w:t>Treatment Phase:</w:t>
            </w:r>
            <w:r w:rsidRPr="0069367A">
              <w:rPr>
                <w:rFonts w:ascii="Arial Narrow" w:hAnsi="Arial Narrow"/>
                <w:sz w:val="20"/>
                <w:szCs w:val="20"/>
              </w:rPr>
              <w:t xml:space="preserve"> </w:t>
            </w:r>
            <w:r>
              <w:rPr>
                <w:rFonts w:ascii="Arial Narrow" w:hAnsi="Arial Narrow"/>
                <w:sz w:val="20"/>
                <w:szCs w:val="20"/>
              </w:rPr>
              <w:t>Continuing or resuming</w:t>
            </w:r>
            <w:r w:rsidRPr="0069367A">
              <w:rPr>
                <w:rFonts w:ascii="Arial Narrow" w:hAnsi="Arial Narrow"/>
                <w:sz w:val="20"/>
                <w:szCs w:val="20"/>
              </w:rPr>
              <w:t xml:space="preserve"> treatment of the </w:t>
            </w:r>
            <w:r>
              <w:rPr>
                <w:rFonts w:ascii="Arial Narrow" w:hAnsi="Arial Narrow"/>
                <w:sz w:val="20"/>
                <w:szCs w:val="20"/>
              </w:rPr>
              <w:t>face and/or hands</w:t>
            </w:r>
            <w:r w:rsidRPr="0069367A">
              <w:rPr>
                <w:rFonts w:ascii="Arial Narrow" w:hAnsi="Arial Narrow"/>
                <w:sz w:val="20"/>
                <w:szCs w:val="20"/>
              </w:rPr>
              <w:t xml:space="preserve"> </w:t>
            </w:r>
          </w:p>
        </w:tc>
      </w:tr>
      <w:tr w:rsidR="00002D66" w:rsidRPr="00446E53" w14:paraId="29AF8DD0" w14:textId="77777777" w:rsidTr="004771D6">
        <w:tblPrEx>
          <w:tblCellMar>
            <w:top w:w="15" w:type="dxa"/>
            <w:bottom w:w="15" w:type="dxa"/>
          </w:tblCellMar>
          <w:tblLook w:val="04A0" w:firstRow="1" w:lastRow="0" w:firstColumn="1" w:lastColumn="0" w:noHBand="0" w:noVBand="1"/>
        </w:tblPrEx>
        <w:trPr>
          <w:cantSplit/>
          <w:trHeight w:val="20"/>
        </w:trPr>
        <w:tc>
          <w:tcPr>
            <w:tcW w:w="1272" w:type="dxa"/>
          </w:tcPr>
          <w:p w14:paraId="1024AC65" w14:textId="43F6C787" w:rsidR="00002D66" w:rsidRPr="00446E53" w:rsidRDefault="00002D66">
            <w:pPr>
              <w:jc w:val="center"/>
              <w:rPr>
                <w:rFonts w:ascii="Arial Narrow" w:hAnsi="Arial Narrow"/>
                <w:color w:val="333333"/>
                <w:sz w:val="20"/>
                <w:szCs w:val="20"/>
              </w:rPr>
            </w:pPr>
          </w:p>
        </w:tc>
        <w:tc>
          <w:tcPr>
            <w:tcW w:w="7745" w:type="dxa"/>
            <w:gridSpan w:val="6"/>
            <w:vAlign w:val="center"/>
          </w:tcPr>
          <w:p w14:paraId="69F651DD" w14:textId="77777777" w:rsidR="00002D66" w:rsidRPr="00446E53" w:rsidRDefault="00002D66">
            <w:pPr>
              <w:rPr>
                <w:rFonts w:ascii="Arial Narrow" w:hAnsi="Arial Narrow"/>
                <w:b/>
                <w:bCs/>
                <w:color w:val="333333"/>
                <w:sz w:val="20"/>
                <w:szCs w:val="20"/>
              </w:rPr>
            </w:pPr>
            <w:r w:rsidRPr="00446E53">
              <w:rPr>
                <w:rFonts w:ascii="Arial Narrow" w:hAnsi="Arial Narrow"/>
                <w:b/>
                <w:bCs/>
                <w:color w:val="333333"/>
                <w:sz w:val="20"/>
                <w:szCs w:val="20"/>
              </w:rPr>
              <w:t xml:space="preserve">Clinical criteria: </w:t>
            </w:r>
          </w:p>
        </w:tc>
      </w:tr>
      <w:tr w:rsidR="00002D66" w:rsidRPr="00446E53" w14:paraId="05D95355" w14:textId="77777777" w:rsidTr="004771D6">
        <w:tblPrEx>
          <w:tblCellMar>
            <w:top w:w="15" w:type="dxa"/>
            <w:bottom w:w="15" w:type="dxa"/>
          </w:tblCellMar>
          <w:tblLook w:val="04A0" w:firstRow="1" w:lastRow="0" w:firstColumn="1" w:lastColumn="0" w:noHBand="0" w:noVBand="1"/>
        </w:tblPrEx>
        <w:trPr>
          <w:cantSplit/>
          <w:trHeight w:val="20"/>
        </w:trPr>
        <w:tc>
          <w:tcPr>
            <w:tcW w:w="1272" w:type="dxa"/>
          </w:tcPr>
          <w:p w14:paraId="4EE02813" w14:textId="6D5170D0" w:rsidR="00002D66" w:rsidRPr="00446E53" w:rsidRDefault="00002D66">
            <w:pPr>
              <w:jc w:val="center"/>
              <w:rPr>
                <w:rFonts w:ascii="Arial Narrow" w:hAnsi="Arial Narrow"/>
                <w:color w:val="333333"/>
                <w:sz w:val="20"/>
                <w:szCs w:val="20"/>
              </w:rPr>
            </w:pPr>
          </w:p>
        </w:tc>
        <w:tc>
          <w:tcPr>
            <w:tcW w:w="7745" w:type="dxa"/>
            <w:gridSpan w:val="6"/>
          </w:tcPr>
          <w:p w14:paraId="086E2DA2" w14:textId="77777777" w:rsidR="00002D66" w:rsidRPr="00CD7E60" w:rsidRDefault="00002D66">
            <w:pPr>
              <w:rPr>
                <w:rFonts w:ascii="Arial Narrow" w:hAnsi="Arial Narrow"/>
                <w:color w:val="333333"/>
                <w:sz w:val="20"/>
                <w:szCs w:val="20"/>
              </w:rPr>
            </w:pPr>
            <w:r w:rsidRPr="00354B12">
              <w:rPr>
                <w:rFonts w:ascii="Arial Narrow" w:hAnsi="Arial Narrow"/>
                <w:sz w:val="20"/>
                <w:szCs w:val="20"/>
              </w:rPr>
              <w:t>Patient must have received PBS-subsidised treatment with this biological medicine for the treatment of chronic severe atopic dermatitis affecting the face/hands</w:t>
            </w:r>
          </w:p>
        </w:tc>
      </w:tr>
      <w:tr w:rsidR="00002D66" w:rsidRPr="00446E53" w14:paraId="5AC17C50" w14:textId="77777777" w:rsidTr="004771D6">
        <w:tblPrEx>
          <w:tblCellMar>
            <w:top w:w="15" w:type="dxa"/>
            <w:bottom w:w="15" w:type="dxa"/>
          </w:tblCellMar>
          <w:tblLook w:val="04A0" w:firstRow="1" w:lastRow="0" w:firstColumn="1" w:lastColumn="0" w:noHBand="0" w:noVBand="1"/>
        </w:tblPrEx>
        <w:trPr>
          <w:cantSplit/>
          <w:trHeight w:val="20"/>
        </w:trPr>
        <w:tc>
          <w:tcPr>
            <w:tcW w:w="1272" w:type="dxa"/>
          </w:tcPr>
          <w:p w14:paraId="7D5E8F2F" w14:textId="77777777" w:rsidR="00002D66" w:rsidRPr="00446E53" w:rsidRDefault="00002D66">
            <w:pPr>
              <w:jc w:val="center"/>
              <w:rPr>
                <w:rFonts w:ascii="Arial Narrow" w:hAnsi="Arial Narrow"/>
                <w:color w:val="333333"/>
                <w:sz w:val="20"/>
                <w:szCs w:val="20"/>
              </w:rPr>
            </w:pPr>
          </w:p>
        </w:tc>
        <w:tc>
          <w:tcPr>
            <w:tcW w:w="7745" w:type="dxa"/>
            <w:gridSpan w:val="6"/>
            <w:vAlign w:val="center"/>
          </w:tcPr>
          <w:p w14:paraId="2FA7FDD4" w14:textId="77777777" w:rsidR="00002D66" w:rsidRPr="00446E53" w:rsidRDefault="00002D66">
            <w:pPr>
              <w:rPr>
                <w:rFonts w:ascii="Arial Narrow" w:hAnsi="Arial Narrow"/>
                <w:b/>
                <w:bCs/>
                <w:color w:val="333333"/>
                <w:sz w:val="20"/>
                <w:szCs w:val="20"/>
              </w:rPr>
            </w:pPr>
            <w:r w:rsidRPr="00446E53">
              <w:rPr>
                <w:rFonts w:ascii="Arial Narrow" w:hAnsi="Arial Narrow"/>
                <w:b/>
                <w:bCs/>
                <w:color w:val="333333"/>
                <w:sz w:val="20"/>
                <w:szCs w:val="20"/>
              </w:rPr>
              <w:t>AND</w:t>
            </w:r>
          </w:p>
        </w:tc>
      </w:tr>
      <w:tr w:rsidR="00002D66" w:rsidRPr="00446E53" w14:paraId="0FB0BBA8" w14:textId="77777777" w:rsidTr="004771D6">
        <w:tblPrEx>
          <w:tblCellMar>
            <w:top w:w="15" w:type="dxa"/>
            <w:bottom w:w="15" w:type="dxa"/>
          </w:tblCellMar>
          <w:tblLook w:val="04A0" w:firstRow="1" w:lastRow="0" w:firstColumn="1" w:lastColumn="0" w:noHBand="0" w:noVBand="1"/>
        </w:tblPrEx>
        <w:trPr>
          <w:cantSplit/>
          <w:trHeight w:val="20"/>
        </w:trPr>
        <w:tc>
          <w:tcPr>
            <w:tcW w:w="1272" w:type="dxa"/>
          </w:tcPr>
          <w:p w14:paraId="4BCB0225" w14:textId="6861D58B" w:rsidR="00002D66" w:rsidRPr="00446E53" w:rsidRDefault="00002D66">
            <w:pPr>
              <w:jc w:val="center"/>
              <w:rPr>
                <w:rFonts w:ascii="Arial Narrow" w:hAnsi="Arial Narrow"/>
                <w:color w:val="333333"/>
                <w:sz w:val="20"/>
                <w:szCs w:val="20"/>
              </w:rPr>
            </w:pPr>
          </w:p>
        </w:tc>
        <w:tc>
          <w:tcPr>
            <w:tcW w:w="7745" w:type="dxa"/>
            <w:gridSpan w:val="6"/>
            <w:vAlign w:val="center"/>
          </w:tcPr>
          <w:p w14:paraId="461E33A9" w14:textId="77777777" w:rsidR="00002D66" w:rsidRPr="00446E53" w:rsidRDefault="00002D66">
            <w:pPr>
              <w:rPr>
                <w:rFonts w:ascii="Arial Narrow" w:hAnsi="Arial Narrow"/>
                <w:b/>
                <w:bCs/>
                <w:color w:val="333333"/>
                <w:sz w:val="20"/>
                <w:szCs w:val="20"/>
              </w:rPr>
            </w:pPr>
            <w:r w:rsidRPr="00446E53">
              <w:rPr>
                <w:rFonts w:ascii="Arial Narrow" w:hAnsi="Arial Narrow"/>
                <w:b/>
                <w:bCs/>
                <w:color w:val="333333"/>
                <w:sz w:val="20"/>
                <w:szCs w:val="20"/>
              </w:rPr>
              <w:t xml:space="preserve">Clinical criteria: </w:t>
            </w:r>
          </w:p>
        </w:tc>
      </w:tr>
      <w:tr w:rsidR="00002D66" w:rsidRPr="00446E53" w14:paraId="64A2C04A" w14:textId="77777777" w:rsidTr="004771D6">
        <w:tblPrEx>
          <w:tblCellMar>
            <w:top w:w="15" w:type="dxa"/>
            <w:bottom w:w="15" w:type="dxa"/>
          </w:tblCellMar>
          <w:tblLook w:val="04A0" w:firstRow="1" w:lastRow="0" w:firstColumn="1" w:lastColumn="0" w:noHBand="0" w:noVBand="1"/>
        </w:tblPrEx>
        <w:trPr>
          <w:cantSplit/>
          <w:trHeight w:val="20"/>
        </w:trPr>
        <w:tc>
          <w:tcPr>
            <w:tcW w:w="1272" w:type="dxa"/>
          </w:tcPr>
          <w:p w14:paraId="66A14F28" w14:textId="4BFEC216" w:rsidR="00002D66" w:rsidRPr="00653865" w:rsidRDefault="00002D66">
            <w:pPr>
              <w:jc w:val="center"/>
              <w:rPr>
                <w:rFonts w:ascii="Arial Narrow" w:hAnsi="Arial Narrow"/>
                <w:i/>
                <w:iCs/>
                <w:color w:val="333333"/>
                <w:sz w:val="20"/>
                <w:szCs w:val="20"/>
              </w:rPr>
            </w:pPr>
          </w:p>
        </w:tc>
        <w:tc>
          <w:tcPr>
            <w:tcW w:w="7745" w:type="dxa"/>
            <w:gridSpan w:val="6"/>
          </w:tcPr>
          <w:p w14:paraId="5566A4D8" w14:textId="77777777" w:rsidR="00002D66" w:rsidRPr="00653865" w:rsidRDefault="00002D66">
            <w:pPr>
              <w:rPr>
                <w:rFonts w:ascii="Arial Narrow" w:hAnsi="Arial Narrow"/>
                <w:strike/>
                <w:sz w:val="20"/>
                <w:szCs w:val="20"/>
              </w:rPr>
            </w:pPr>
            <w:r w:rsidRPr="00653865">
              <w:rPr>
                <w:rFonts w:ascii="Arial Narrow" w:hAnsi="Arial Narrow"/>
                <w:strike/>
                <w:sz w:val="20"/>
                <w:szCs w:val="20"/>
              </w:rPr>
              <w:t>Patient must have achieved an adequate response prior to this first continuing treatment authority application; or</w:t>
            </w:r>
          </w:p>
          <w:p w14:paraId="5DCEE136" w14:textId="77777777" w:rsidR="00002D66" w:rsidRPr="00653865" w:rsidRDefault="00002D66">
            <w:pPr>
              <w:rPr>
                <w:rFonts w:ascii="Arial Narrow" w:hAnsi="Arial Narrow"/>
                <w:i/>
                <w:iCs/>
                <w:color w:val="333333"/>
                <w:sz w:val="20"/>
                <w:szCs w:val="20"/>
              </w:rPr>
            </w:pPr>
            <w:r w:rsidRPr="00653865">
              <w:rPr>
                <w:rFonts w:ascii="Arial Narrow" w:hAnsi="Arial Narrow"/>
                <w:i/>
                <w:iCs/>
                <w:color w:val="333333"/>
                <w:sz w:val="20"/>
                <w:szCs w:val="20"/>
              </w:rPr>
              <w:t>Patient must have achieved an adequate response within the first 16 weeks of treatment; or</w:t>
            </w:r>
          </w:p>
        </w:tc>
      </w:tr>
      <w:tr w:rsidR="00002D66" w:rsidRPr="00446E53" w14:paraId="3D079C25" w14:textId="77777777" w:rsidTr="004771D6">
        <w:tblPrEx>
          <w:tblCellMar>
            <w:top w:w="15" w:type="dxa"/>
            <w:bottom w:w="15" w:type="dxa"/>
          </w:tblCellMar>
          <w:tblLook w:val="04A0" w:firstRow="1" w:lastRow="0" w:firstColumn="1" w:lastColumn="0" w:noHBand="0" w:noVBand="1"/>
        </w:tblPrEx>
        <w:trPr>
          <w:cantSplit/>
          <w:trHeight w:val="20"/>
        </w:trPr>
        <w:tc>
          <w:tcPr>
            <w:tcW w:w="1272" w:type="dxa"/>
          </w:tcPr>
          <w:p w14:paraId="52B7B165" w14:textId="0768A83A" w:rsidR="00002D66" w:rsidRDefault="00002D66">
            <w:pPr>
              <w:jc w:val="center"/>
              <w:rPr>
                <w:rFonts w:ascii="Arial Narrow" w:hAnsi="Arial Narrow"/>
                <w:color w:val="333333"/>
                <w:sz w:val="20"/>
                <w:szCs w:val="20"/>
              </w:rPr>
            </w:pPr>
          </w:p>
        </w:tc>
        <w:tc>
          <w:tcPr>
            <w:tcW w:w="7745" w:type="dxa"/>
            <w:gridSpan w:val="6"/>
          </w:tcPr>
          <w:p w14:paraId="6C1D59B6" w14:textId="77777777" w:rsidR="00002D66" w:rsidRPr="00A80426" w:rsidRDefault="00002D66">
            <w:pPr>
              <w:rPr>
                <w:rFonts w:ascii="Arial Narrow" w:hAnsi="Arial Narrow"/>
                <w:sz w:val="20"/>
                <w:szCs w:val="20"/>
              </w:rPr>
            </w:pPr>
            <w:r w:rsidRPr="003D10E5">
              <w:rPr>
                <w:rFonts w:ascii="Arial Narrow" w:hAnsi="Arial Narrow"/>
                <w:sz w:val="20"/>
                <w:szCs w:val="20"/>
              </w:rPr>
              <w:t>Patient must have maintained an adequate response to their most recent course of PBS-subsidised treatment with this biological medicine for this PBS indication if this is the second or subsequent Continuing treatment authority application; or</w:t>
            </w:r>
          </w:p>
        </w:tc>
      </w:tr>
      <w:tr w:rsidR="00002D66" w:rsidRPr="00446E53" w14:paraId="56159A36" w14:textId="77777777" w:rsidTr="004771D6">
        <w:tblPrEx>
          <w:tblCellMar>
            <w:top w:w="15" w:type="dxa"/>
            <w:bottom w:w="15" w:type="dxa"/>
          </w:tblCellMar>
          <w:tblLook w:val="04A0" w:firstRow="1" w:lastRow="0" w:firstColumn="1" w:lastColumn="0" w:noHBand="0" w:noVBand="1"/>
        </w:tblPrEx>
        <w:trPr>
          <w:cantSplit/>
          <w:trHeight w:val="20"/>
        </w:trPr>
        <w:tc>
          <w:tcPr>
            <w:tcW w:w="1272" w:type="dxa"/>
          </w:tcPr>
          <w:p w14:paraId="67FE0930" w14:textId="550A7191" w:rsidR="00002D66" w:rsidRDefault="00002D66">
            <w:pPr>
              <w:jc w:val="center"/>
              <w:rPr>
                <w:rFonts w:ascii="Arial Narrow" w:hAnsi="Arial Narrow"/>
                <w:color w:val="333333"/>
                <w:sz w:val="20"/>
                <w:szCs w:val="20"/>
              </w:rPr>
            </w:pPr>
          </w:p>
        </w:tc>
        <w:tc>
          <w:tcPr>
            <w:tcW w:w="7745" w:type="dxa"/>
            <w:gridSpan w:val="6"/>
          </w:tcPr>
          <w:p w14:paraId="17B356CC" w14:textId="77777777" w:rsidR="00002D66" w:rsidRPr="00A80426" w:rsidRDefault="00002D66">
            <w:pPr>
              <w:rPr>
                <w:rFonts w:ascii="Arial Narrow" w:hAnsi="Arial Narrow"/>
                <w:sz w:val="20"/>
                <w:szCs w:val="20"/>
              </w:rPr>
            </w:pPr>
            <w:r w:rsidRPr="003D10E5">
              <w:rPr>
                <w:rFonts w:ascii="Arial Narrow" w:hAnsi="Arial Narrow"/>
                <w:sz w:val="20"/>
                <w:szCs w:val="20"/>
              </w:rPr>
              <w:t>Patient must have temporarily ceased treatment for reasons other than lack of response (e.g. family planning, vaccination with live vaccines, adverse-effect investigation), thereby being unable to achieve/maintain an adequate response immediately prior to this authority application</w:t>
            </w:r>
          </w:p>
        </w:tc>
      </w:tr>
      <w:tr w:rsidR="00002D66" w:rsidRPr="00446E53" w14:paraId="340E9AC4" w14:textId="77777777" w:rsidTr="004771D6">
        <w:tblPrEx>
          <w:tblCellMar>
            <w:top w:w="15" w:type="dxa"/>
            <w:bottom w:w="15" w:type="dxa"/>
          </w:tblCellMar>
          <w:tblLook w:val="04A0" w:firstRow="1" w:lastRow="0" w:firstColumn="1" w:lastColumn="0" w:noHBand="0" w:noVBand="1"/>
        </w:tblPrEx>
        <w:trPr>
          <w:cantSplit/>
          <w:trHeight w:val="20"/>
        </w:trPr>
        <w:tc>
          <w:tcPr>
            <w:tcW w:w="1272" w:type="dxa"/>
          </w:tcPr>
          <w:p w14:paraId="15C9FC1C" w14:textId="77777777" w:rsidR="00002D66" w:rsidRDefault="00002D66">
            <w:pPr>
              <w:jc w:val="center"/>
              <w:rPr>
                <w:rFonts w:ascii="Arial Narrow" w:hAnsi="Arial Narrow"/>
                <w:color w:val="333333"/>
                <w:sz w:val="20"/>
                <w:szCs w:val="20"/>
              </w:rPr>
            </w:pPr>
          </w:p>
        </w:tc>
        <w:tc>
          <w:tcPr>
            <w:tcW w:w="7745" w:type="dxa"/>
            <w:gridSpan w:val="6"/>
            <w:vAlign w:val="center"/>
          </w:tcPr>
          <w:p w14:paraId="00D986A2" w14:textId="77777777" w:rsidR="00002D66" w:rsidRPr="000A7AD1" w:rsidRDefault="00002D66">
            <w:pPr>
              <w:rPr>
                <w:rFonts w:ascii="Arial Narrow" w:hAnsi="Arial Narrow"/>
                <w:sz w:val="20"/>
                <w:szCs w:val="20"/>
              </w:rPr>
            </w:pPr>
            <w:r w:rsidRPr="00446E53">
              <w:rPr>
                <w:rFonts w:ascii="Arial Narrow" w:hAnsi="Arial Narrow" w:cs="Arial Narrow"/>
                <w:b/>
                <w:bCs/>
                <w:iCs/>
                <w:sz w:val="20"/>
                <w:szCs w:val="20"/>
              </w:rPr>
              <w:t>AND</w:t>
            </w:r>
          </w:p>
        </w:tc>
      </w:tr>
      <w:tr w:rsidR="00002D66" w:rsidRPr="00446E53" w14:paraId="27F8ACB1" w14:textId="77777777" w:rsidTr="004771D6">
        <w:tblPrEx>
          <w:tblCellMar>
            <w:top w:w="15" w:type="dxa"/>
            <w:bottom w:w="15" w:type="dxa"/>
          </w:tblCellMar>
          <w:tblLook w:val="04A0" w:firstRow="1" w:lastRow="0" w:firstColumn="1" w:lastColumn="0" w:noHBand="0" w:noVBand="1"/>
        </w:tblPrEx>
        <w:trPr>
          <w:cantSplit/>
          <w:trHeight w:val="20"/>
        </w:trPr>
        <w:tc>
          <w:tcPr>
            <w:tcW w:w="1272" w:type="dxa"/>
          </w:tcPr>
          <w:p w14:paraId="2F542799" w14:textId="0CB39FDF" w:rsidR="00002D66" w:rsidRDefault="00002D66">
            <w:pPr>
              <w:jc w:val="center"/>
              <w:rPr>
                <w:rFonts w:ascii="Arial Narrow" w:hAnsi="Arial Narrow"/>
                <w:color w:val="333333"/>
                <w:sz w:val="20"/>
                <w:szCs w:val="20"/>
              </w:rPr>
            </w:pPr>
          </w:p>
        </w:tc>
        <w:tc>
          <w:tcPr>
            <w:tcW w:w="7745" w:type="dxa"/>
            <w:gridSpan w:val="6"/>
            <w:vAlign w:val="center"/>
          </w:tcPr>
          <w:p w14:paraId="4A7FE81E" w14:textId="77777777" w:rsidR="00002D66" w:rsidRPr="000A7AD1" w:rsidRDefault="00002D66">
            <w:pPr>
              <w:rPr>
                <w:rFonts w:ascii="Arial Narrow" w:hAnsi="Arial Narrow"/>
                <w:sz w:val="20"/>
                <w:szCs w:val="20"/>
              </w:rPr>
            </w:pPr>
            <w:r>
              <w:rPr>
                <w:rFonts w:ascii="Arial Narrow" w:hAnsi="Arial Narrow"/>
                <w:b/>
                <w:bCs/>
                <w:color w:val="333333"/>
                <w:sz w:val="20"/>
                <w:szCs w:val="20"/>
              </w:rPr>
              <w:t xml:space="preserve">Clinical </w:t>
            </w:r>
            <w:r w:rsidRPr="00446E53">
              <w:rPr>
                <w:rFonts w:ascii="Arial Narrow" w:hAnsi="Arial Narrow"/>
                <w:b/>
                <w:bCs/>
                <w:color w:val="333333"/>
                <w:sz w:val="20"/>
                <w:szCs w:val="20"/>
              </w:rPr>
              <w:t>criteria:</w:t>
            </w:r>
          </w:p>
        </w:tc>
      </w:tr>
      <w:tr w:rsidR="00002D66" w:rsidRPr="00446E53" w14:paraId="38923494" w14:textId="77777777" w:rsidTr="004771D6">
        <w:tblPrEx>
          <w:tblCellMar>
            <w:top w:w="15" w:type="dxa"/>
            <w:bottom w:w="15" w:type="dxa"/>
          </w:tblCellMar>
          <w:tblLook w:val="04A0" w:firstRow="1" w:lastRow="0" w:firstColumn="1" w:lastColumn="0" w:noHBand="0" w:noVBand="1"/>
        </w:tblPrEx>
        <w:trPr>
          <w:cantSplit/>
          <w:trHeight w:val="20"/>
        </w:trPr>
        <w:tc>
          <w:tcPr>
            <w:tcW w:w="1272" w:type="dxa"/>
          </w:tcPr>
          <w:p w14:paraId="0A05BFBF" w14:textId="6208D978" w:rsidR="00002D66" w:rsidRDefault="00002D66">
            <w:pPr>
              <w:jc w:val="center"/>
              <w:rPr>
                <w:rFonts w:ascii="Arial Narrow" w:hAnsi="Arial Narrow"/>
                <w:color w:val="333333"/>
                <w:sz w:val="20"/>
                <w:szCs w:val="20"/>
              </w:rPr>
            </w:pPr>
          </w:p>
        </w:tc>
        <w:tc>
          <w:tcPr>
            <w:tcW w:w="7745" w:type="dxa"/>
            <w:gridSpan w:val="6"/>
          </w:tcPr>
          <w:p w14:paraId="1999B3C4" w14:textId="77777777" w:rsidR="00002D66" w:rsidRPr="000A7AD1" w:rsidRDefault="00002D66">
            <w:pPr>
              <w:rPr>
                <w:rFonts w:ascii="Arial Narrow" w:hAnsi="Arial Narrow"/>
                <w:sz w:val="20"/>
                <w:szCs w:val="20"/>
              </w:rPr>
            </w:pPr>
            <w:r w:rsidRPr="00C14CB9">
              <w:rPr>
                <w:rFonts w:ascii="Arial Narrow" w:eastAsia="Calibri" w:hAnsi="Arial Narrow"/>
                <w:sz w:val="20"/>
                <w:szCs w:val="20"/>
              </w:rPr>
              <w:t>The treatment must be the sole PBS-subsidised biological medicine for this PBS indication</w:t>
            </w:r>
          </w:p>
        </w:tc>
      </w:tr>
    </w:tbl>
    <w:p w14:paraId="787829D8" w14:textId="7831C282" w:rsidR="00F374E5" w:rsidRPr="0079245E" w:rsidRDefault="00F374E5" w:rsidP="000F2944">
      <w:pPr>
        <w:pStyle w:val="3-BodyText"/>
        <w:spacing w:before="120" w:after="120"/>
      </w:pPr>
      <w:r w:rsidRPr="0079245E">
        <w:t xml:space="preserve">A Special Pricing Arrangement (SPA) was requested for NEMO as for other systemic treatments for severe AD, including DUPI and upadacitinib (UPA). The submission noted that the effective approved ex-manufacturer price (AEMP) of DUPI remains confidential and thus, the sponsor was unable to accurately nominate an effective </w:t>
      </w:r>
      <w:r w:rsidR="003D779B" w:rsidRPr="0079245E">
        <w:t xml:space="preserve">ex-manufacturer price (EMP) </w:t>
      </w:r>
      <w:r w:rsidRPr="0079245E">
        <w:t>for NEMO.</w:t>
      </w:r>
    </w:p>
    <w:p w14:paraId="771990F8" w14:textId="6D6D82EF" w:rsidR="00CD12E9" w:rsidRPr="0079245E" w:rsidRDefault="00AD131D" w:rsidP="005E75D7">
      <w:pPr>
        <w:pStyle w:val="3-BodyText"/>
      </w:pPr>
      <w:r w:rsidRPr="0079245E">
        <w:rPr>
          <w:color w:val="000000" w:themeColor="text1"/>
        </w:rPr>
        <w:t>The submission requested</w:t>
      </w:r>
      <w:r w:rsidR="000B2214" w:rsidRPr="0079245E">
        <w:rPr>
          <w:color w:val="000000" w:themeColor="text1"/>
        </w:rPr>
        <w:t xml:space="preserve"> the listing of the pre-filled </w:t>
      </w:r>
      <w:r w:rsidR="003D779B" w:rsidRPr="0079245E">
        <w:rPr>
          <w:color w:val="000000" w:themeColor="text1"/>
        </w:rPr>
        <w:t xml:space="preserve">30 mg </w:t>
      </w:r>
      <w:r w:rsidR="000B2214" w:rsidRPr="0079245E">
        <w:rPr>
          <w:color w:val="000000" w:themeColor="text1"/>
        </w:rPr>
        <w:t xml:space="preserve">pen which is </w:t>
      </w:r>
      <w:r w:rsidR="00D508A2" w:rsidRPr="0079245E">
        <w:rPr>
          <w:color w:val="000000" w:themeColor="text1"/>
        </w:rPr>
        <w:t>administered by subcutaneous (SC) injection</w:t>
      </w:r>
      <w:r w:rsidR="00A8042B" w:rsidRPr="0079245E">
        <w:rPr>
          <w:color w:val="000000" w:themeColor="text1"/>
        </w:rPr>
        <w:t>. T</w:t>
      </w:r>
      <w:r w:rsidR="005756AF" w:rsidRPr="0079245E">
        <w:rPr>
          <w:color w:val="000000" w:themeColor="text1"/>
        </w:rPr>
        <w:t xml:space="preserve">he recommended dosage </w:t>
      </w:r>
      <w:r w:rsidR="00A8042B" w:rsidRPr="0079245E">
        <w:rPr>
          <w:color w:val="000000" w:themeColor="text1"/>
        </w:rPr>
        <w:t xml:space="preserve">is an initial dose of </w:t>
      </w:r>
      <w:r w:rsidR="005756AF" w:rsidRPr="0079245E">
        <w:rPr>
          <w:color w:val="000000" w:themeColor="text1"/>
        </w:rPr>
        <w:t xml:space="preserve">60 mg, followed by 30 mg </w:t>
      </w:r>
      <w:r w:rsidR="007A293A" w:rsidRPr="0079245E">
        <w:rPr>
          <w:color w:val="000000" w:themeColor="text1"/>
        </w:rPr>
        <w:t>every 4 weeks (</w:t>
      </w:r>
      <w:r w:rsidR="005756AF" w:rsidRPr="0079245E">
        <w:rPr>
          <w:color w:val="000000" w:themeColor="text1"/>
        </w:rPr>
        <w:t>Q4W</w:t>
      </w:r>
      <w:r w:rsidR="007A293A" w:rsidRPr="0079245E">
        <w:rPr>
          <w:color w:val="000000" w:themeColor="text1"/>
        </w:rPr>
        <w:t>)</w:t>
      </w:r>
      <w:r w:rsidR="005756AF" w:rsidRPr="0079245E">
        <w:rPr>
          <w:color w:val="000000" w:themeColor="text1"/>
        </w:rPr>
        <w:t xml:space="preserve"> for 16 weeks,</w:t>
      </w:r>
      <w:r w:rsidR="00A8042B" w:rsidRPr="0079245E">
        <w:rPr>
          <w:color w:val="000000" w:themeColor="text1"/>
        </w:rPr>
        <w:t xml:space="preserve"> and</w:t>
      </w:r>
      <w:r w:rsidR="005756AF" w:rsidRPr="0079245E">
        <w:rPr>
          <w:color w:val="000000" w:themeColor="text1"/>
        </w:rPr>
        <w:t xml:space="preserve"> then 30 mg </w:t>
      </w:r>
      <w:r w:rsidR="007A293A" w:rsidRPr="0079245E">
        <w:rPr>
          <w:color w:val="000000" w:themeColor="text1"/>
        </w:rPr>
        <w:t>every 8 weeks (</w:t>
      </w:r>
      <w:r w:rsidR="005756AF" w:rsidRPr="0079245E">
        <w:rPr>
          <w:color w:val="000000" w:themeColor="text1"/>
        </w:rPr>
        <w:t>Q8W</w:t>
      </w:r>
      <w:r w:rsidR="007A293A" w:rsidRPr="0079245E">
        <w:rPr>
          <w:color w:val="000000" w:themeColor="text1"/>
        </w:rPr>
        <w:t>)</w:t>
      </w:r>
      <w:r w:rsidR="005756AF" w:rsidRPr="0079245E">
        <w:rPr>
          <w:color w:val="000000" w:themeColor="text1"/>
        </w:rPr>
        <w:t xml:space="preserve">. </w:t>
      </w:r>
      <w:r w:rsidR="00F374E5" w:rsidRPr="0079245E">
        <w:t xml:space="preserve">The proposed maximum quantities and number of repeats of NEMO provide sufficient supply for </w:t>
      </w:r>
      <w:r w:rsidR="00911480" w:rsidRPr="0079245E">
        <w:t xml:space="preserve">the loading dose and </w:t>
      </w:r>
      <w:r w:rsidR="00F374E5" w:rsidRPr="0079245E">
        <w:t xml:space="preserve">treatment up to Week 16 </w:t>
      </w:r>
      <w:r w:rsidR="00405F34" w:rsidRPr="0079245E">
        <w:t xml:space="preserve">under the initial treatment phase </w:t>
      </w:r>
      <w:r w:rsidR="00F374E5" w:rsidRPr="0079245E">
        <w:t xml:space="preserve">and for 6 months </w:t>
      </w:r>
      <w:r w:rsidR="00C516F9" w:rsidRPr="0079245E">
        <w:t xml:space="preserve">under </w:t>
      </w:r>
      <w:r w:rsidR="00405F34" w:rsidRPr="0079245E">
        <w:t xml:space="preserve">the continuing </w:t>
      </w:r>
      <w:r w:rsidR="00F374E5" w:rsidRPr="0079245E">
        <w:t>treatment</w:t>
      </w:r>
      <w:r w:rsidR="00405F34" w:rsidRPr="0079245E">
        <w:t xml:space="preserve"> phase</w:t>
      </w:r>
      <w:r w:rsidR="00F374E5" w:rsidRPr="0079245E">
        <w:t>.</w:t>
      </w:r>
      <w:r w:rsidR="005E75D7" w:rsidRPr="0079245E">
        <w:t xml:space="preserve"> </w:t>
      </w:r>
    </w:p>
    <w:p w14:paraId="1A2E7417" w14:textId="367C29D1" w:rsidR="00CD12E9" w:rsidRPr="0079245E" w:rsidRDefault="00CD12E9" w:rsidP="00E7466A">
      <w:pPr>
        <w:pStyle w:val="3-BodyText"/>
        <w:spacing w:before="120" w:after="120"/>
      </w:pPr>
      <w:r w:rsidRPr="0079245E">
        <w:rPr>
          <w:color w:val="000000" w:themeColor="text1"/>
        </w:rPr>
        <w:t xml:space="preserve">The requested </w:t>
      </w:r>
      <w:r w:rsidR="000E079A" w:rsidRPr="0079245E">
        <w:rPr>
          <w:color w:val="000000" w:themeColor="text1"/>
        </w:rPr>
        <w:t>PBS indication</w:t>
      </w:r>
      <w:r w:rsidRPr="0079245E">
        <w:rPr>
          <w:color w:val="000000" w:themeColor="text1"/>
        </w:rPr>
        <w:t xml:space="preserve"> for NEMO treatment is narrower than the proposed TGA indication</w:t>
      </w:r>
      <w:r w:rsidR="005E75D7" w:rsidRPr="0079245E">
        <w:rPr>
          <w:color w:val="000000" w:themeColor="text1"/>
        </w:rPr>
        <w:t xml:space="preserve"> (</w:t>
      </w:r>
      <w:r w:rsidR="000E079A" w:rsidRPr="0079245E">
        <w:rPr>
          <w:color w:val="000000" w:themeColor="text1"/>
        </w:rPr>
        <w:t xml:space="preserve">i.e. it is for </w:t>
      </w:r>
      <w:r w:rsidR="005E75D7" w:rsidRPr="0079245E">
        <w:rPr>
          <w:color w:val="000000" w:themeColor="text1"/>
        </w:rPr>
        <w:t xml:space="preserve">severe AD </w:t>
      </w:r>
      <w:r w:rsidR="000E079A" w:rsidRPr="0079245E">
        <w:rPr>
          <w:color w:val="000000" w:themeColor="text1"/>
        </w:rPr>
        <w:t xml:space="preserve">whereas the TGA indication is for </w:t>
      </w:r>
      <w:r w:rsidR="005E75D7" w:rsidRPr="0079245E">
        <w:rPr>
          <w:color w:val="000000" w:themeColor="text1"/>
        </w:rPr>
        <w:t>moderate to severe AD).</w:t>
      </w:r>
      <w:r w:rsidRPr="0079245E">
        <w:rPr>
          <w:color w:val="000000" w:themeColor="text1"/>
        </w:rPr>
        <w:t xml:space="preserve"> </w:t>
      </w:r>
      <w:r w:rsidR="003D779B" w:rsidRPr="0079245E">
        <w:rPr>
          <w:color w:val="000000" w:themeColor="text1"/>
        </w:rPr>
        <w:t>The requested restrictions for initial and continuing treatment of NEMO align with the current PBS listings for DUPI and UPA.</w:t>
      </w:r>
    </w:p>
    <w:p w14:paraId="0489F9D2" w14:textId="3016D6BF" w:rsidR="009B178E" w:rsidRPr="0079245E" w:rsidRDefault="00CD12E9" w:rsidP="009B178E">
      <w:pPr>
        <w:pStyle w:val="3-BodyText"/>
        <w:rPr>
          <w:color w:val="0066FF"/>
        </w:rPr>
      </w:pPr>
      <w:r w:rsidRPr="0079245E">
        <w:t xml:space="preserve">The requested PBS restrictions for NEMO </w:t>
      </w:r>
      <w:r w:rsidR="005E75D7" w:rsidRPr="0079245E">
        <w:t xml:space="preserve">generally reflect the NEMO trial populations, except that the clinical trials included both patients with severe AD and those with </w:t>
      </w:r>
      <w:r w:rsidR="005E75D7" w:rsidRPr="0079245E">
        <w:lastRenderedPageBreak/>
        <w:t xml:space="preserve">moderate AD. The submission presented </w:t>
      </w:r>
      <w:r w:rsidR="003D779B" w:rsidRPr="0079245E">
        <w:t xml:space="preserve">post hoc </w:t>
      </w:r>
      <w:r w:rsidR="005E75D7" w:rsidRPr="0079245E">
        <w:t>subgroup analyses in severe AD patients from the NEMO trials.</w:t>
      </w:r>
    </w:p>
    <w:p w14:paraId="0F18E124" w14:textId="401D15C7" w:rsidR="004861EE" w:rsidRPr="0079245E" w:rsidRDefault="009B178E" w:rsidP="00E7466A">
      <w:pPr>
        <w:pStyle w:val="3-BodyText"/>
        <w:spacing w:before="120" w:after="120"/>
      </w:pPr>
      <w:r w:rsidRPr="0079245E">
        <w:t xml:space="preserve">The Eczema Area and Severity Index (EASI), Dermatology Life Quality Index (DLQI), and Physician's Global Assessment (PGA) are assessment tools that assist clinicians to identify patients with severe disease who are eligible for treatments and are referenced in the clinical criteria in the proposed PBS restriction for NEMO and in the current PBS listing for DUPI. To be eligible to initiate NEMO and DUPI, patients must have severe AD, defined as </w:t>
      </w:r>
      <w:r w:rsidRPr="0079245E">
        <w:rPr>
          <w:color w:val="000000" w:themeColor="text1"/>
        </w:rPr>
        <w:t xml:space="preserve">an EASI baseline score of </w:t>
      </w:r>
      <w:r w:rsidRPr="0079245E">
        <w:rPr>
          <w:rFonts w:cstheme="minorHAnsi"/>
          <w:color w:val="000000" w:themeColor="text1"/>
        </w:rPr>
        <w:t>≥</w:t>
      </w:r>
      <w:r w:rsidRPr="0079245E">
        <w:rPr>
          <w:color w:val="000000" w:themeColor="text1"/>
        </w:rPr>
        <w:t xml:space="preserve"> 20 and a PGA (5-point scale) baseline score of </w:t>
      </w:r>
      <w:r w:rsidRPr="0079245E">
        <w:rPr>
          <w:rFonts w:cstheme="minorHAnsi"/>
          <w:color w:val="000000" w:themeColor="text1"/>
        </w:rPr>
        <w:t xml:space="preserve">≥ </w:t>
      </w:r>
      <w:r w:rsidRPr="0079245E">
        <w:rPr>
          <w:color w:val="000000" w:themeColor="text1"/>
        </w:rPr>
        <w:t>4.</w:t>
      </w:r>
      <w:r w:rsidRPr="0079245E">
        <w:rPr>
          <w:color w:val="0066FF"/>
        </w:rPr>
        <w:t xml:space="preserve"> </w:t>
      </w:r>
    </w:p>
    <w:p w14:paraId="74D832DE" w14:textId="7CD18CD2" w:rsidR="005F591D" w:rsidRDefault="0024117A" w:rsidP="001213E1">
      <w:pPr>
        <w:pStyle w:val="3-BodyText"/>
      </w:pPr>
      <w:r w:rsidRPr="0079245E">
        <w:t>The Pre-Sub-Committee Response (PSCR) proposed to include an e</w:t>
      </w:r>
      <w:r w:rsidR="007D3FDF" w:rsidRPr="0079245E">
        <w:t>xtended induction</w:t>
      </w:r>
      <w:r w:rsidRPr="0079245E">
        <w:t xml:space="preserve"> restriction to allow </w:t>
      </w:r>
      <w:r w:rsidR="008A2E64" w:rsidRPr="0079245E">
        <w:t xml:space="preserve">patients </w:t>
      </w:r>
      <w:r w:rsidR="00E337E7" w:rsidRPr="0079245E">
        <w:t xml:space="preserve">an additional </w:t>
      </w:r>
      <w:r w:rsidR="007F0E77" w:rsidRPr="0079245E">
        <w:t>8</w:t>
      </w:r>
      <w:r w:rsidR="00E337E7" w:rsidRPr="0079245E">
        <w:t xml:space="preserve"> weeks of </w:t>
      </w:r>
      <w:r w:rsidR="003D779B" w:rsidRPr="0079245E">
        <w:t xml:space="preserve">Q4W </w:t>
      </w:r>
      <w:r w:rsidR="00E337E7" w:rsidRPr="0079245E">
        <w:t>treatment</w:t>
      </w:r>
      <w:r w:rsidR="003C5882" w:rsidRPr="0079245E">
        <w:t xml:space="preserve"> </w:t>
      </w:r>
      <w:r w:rsidR="003D779B" w:rsidRPr="0079245E">
        <w:t xml:space="preserve">for patients who have not responded </w:t>
      </w:r>
      <w:r w:rsidR="003C5882" w:rsidRPr="0079245E">
        <w:t xml:space="preserve">at </w:t>
      </w:r>
      <w:r w:rsidR="000E079A" w:rsidRPr="0079245E">
        <w:t>W</w:t>
      </w:r>
      <w:r w:rsidR="003C5882" w:rsidRPr="0079245E">
        <w:t>eek 16</w:t>
      </w:r>
      <w:r w:rsidR="008A2E64" w:rsidRPr="0079245E">
        <w:t xml:space="preserve">. </w:t>
      </w:r>
      <w:r w:rsidR="00D63589" w:rsidRPr="0079245E">
        <w:t>The ESC noted PBAC’s advice from March 2024 for lebrikizumab</w:t>
      </w:r>
      <w:r w:rsidR="000C655A" w:rsidRPr="0079245E">
        <w:t xml:space="preserve"> relating to an extended induction restriction</w:t>
      </w:r>
      <w:r w:rsidR="00D63589" w:rsidRPr="0079245E">
        <w:t xml:space="preserve">: “The PBAC noted that this approach is not consistent with induction and assessment of response for DUPI and UPA, but noted that it was consistent with the clinical data presented for LEB. The PBAC also noted that, in general, clinical practice with biologicals is moving towards a more extended induction period for assessment of response. The PBAC noted that there was potentially a higher cost associated with this approach as patients without adequate response are treated for a longer period before discontinuing treatment and slower responders receive additional doses compared with patients who respond by </w:t>
      </w:r>
      <w:r w:rsidR="000C655A" w:rsidRPr="0079245E">
        <w:t>W</w:t>
      </w:r>
      <w:r w:rsidR="00D63589" w:rsidRPr="0079245E">
        <w:t>eek 16. The PBAC considered that inclusion of the extended induction period with assessment at 24 weeks, as proposed for the LEB restrictions, was reasonable, but the additional doses would need to be accounted for in the calculation of equi-effective doses applied in the cost-minimisation approach.” (para</w:t>
      </w:r>
      <w:r w:rsidR="000C655A" w:rsidRPr="0079245E">
        <w:t>graph</w:t>
      </w:r>
      <w:r w:rsidR="00D63589" w:rsidRPr="0079245E">
        <w:t xml:space="preserve"> 3.3, lebrikizumab</w:t>
      </w:r>
      <w:r w:rsidR="00040043">
        <w:t xml:space="preserve"> </w:t>
      </w:r>
      <w:r w:rsidR="00040043" w:rsidRPr="00040043">
        <w:rPr>
          <w:iCs/>
        </w:rPr>
        <w:t>Public Summary Document</w:t>
      </w:r>
      <w:r w:rsidR="00D63589" w:rsidRPr="0079245E">
        <w:t xml:space="preserve"> </w:t>
      </w:r>
      <w:r w:rsidR="00040043">
        <w:t>(</w:t>
      </w:r>
      <w:r w:rsidR="00D63589" w:rsidRPr="0079245E">
        <w:t>PSD</w:t>
      </w:r>
      <w:r w:rsidR="00040043">
        <w:t>)</w:t>
      </w:r>
      <w:r w:rsidR="00D63589" w:rsidRPr="0079245E">
        <w:t>, March 2024 PBAC meeting).</w:t>
      </w:r>
      <w:r w:rsidR="00DD6D19">
        <w:t xml:space="preserve"> </w:t>
      </w:r>
    </w:p>
    <w:p w14:paraId="29B6A57A" w14:textId="088BB7EC" w:rsidR="003D779B" w:rsidRPr="0079245E" w:rsidRDefault="00E337E7" w:rsidP="001213E1">
      <w:pPr>
        <w:pStyle w:val="3-BodyText"/>
      </w:pPr>
      <w:r w:rsidRPr="0079245E">
        <w:t xml:space="preserve">The ESC </w:t>
      </w:r>
      <w:r w:rsidR="003D779B" w:rsidRPr="0079245E">
        <w:t xml:space="preserve">considered that an </w:t>
      </w:r>
      <w:r w:rsidR="008A2E64" w:rsidRPr="0079245E">
        <w:t xml:space="preserve">extended induction period </w:t>
      </w:r>
      <w:r w:rsidR="005956CE" w:rsidRPr="0079245E">
        <w:t xml:space="preserve">for NEMO </w:t>
      </w:r>
      <w:r w:rsidR="003D779B" w:rsidRPr="0079245E">
        <w:t xml:space="preserve">was not appropriate </w:t>
      </w:r>
      <w:r w:rsidR="005956CE" w:rsidRPr="0079245E">
        <w:t xml:space="preserve">as </w:t>
      </w:r>
      <w:r w:rsidR="008A2E64" w:rsidRPr="0079245E">
        <w:t xml:space="preserve">the </w:t>
      </w:r>
      <w:r w:rsidR="003D779B" w:rsidRPr="0079245E">
        <w:t>requested dosing regimen</w:t>
      </w:r>
      <w:r w:rsidR="00D80D27" w:rsidRPr="0079245E">
        <w:t xml:space="preserve"> of an additional 8 weeks of Q4W </w:t>
      </w:r>
      <w:r w:rsidR="00DD73AB" w:rsidRPr="0079245E">
        <w:t>dosing</w:t>
      </w:r>
      <w:r w:rsidR="003D779B" w:rsidRPr="0079245E">
        <w:t xml:space="preserve"> was not included in the </w:t>
      </w:r>
      <w:r w:rsidR="008A2E64" w:rsidRPr="0079245E">
        <w:t xml:space="preserve">approved </w:t>
      </w:r>
      <w:r w:rsidR="00BF5E45" w:rsidRPr="0079245E">
        <w:t xml:space="preserve">TGA </w:t>
      </w:r>
      <w:r w:rsidR="00DB512D" w:rsidRPr="0079245E">
        <w:t>P</w:t>
      </w:r>
      <w:r w:rsidR="008A2E64" w:rsidRPr="0079245E">
        <w:t xml:space="preserve">roduct </w:t>
      </w:r>
      <w:r w:rsidR="00DB512D" w:rsidRPr="0079245E">
        <w:t>I</w:t>
      </w:r>
      <w:r w:rsidR="008A2E64" w:rsidRPr="0079245E">
        <w:t>nformation</w:t>
      </w:r>
      <w:r w:rsidR="003D779B" w:rsidRPr="0079245E">
        <w:t xml:space="preserve"> (PI)</w:t>
      </w:r>
      <w:r w:rsidR="006A564D" w:rsidRPr="0079245E">
        <w:t>, unlike the lebrikizumab PI which explicitly describes the extend</w:t>
      </w:r>
      <w:r w:rsidR="00965234" w:rsidRPr="0079245E">
        <w:t>ed</w:t>
      </w:r>
      <w:r w:rsidR="006A564D" w:rsidRPr="0079245E">
        <w:t xml:space="preserve"> induction regimen</w:t>
      </w:r>
      <w:r w:rsidR="00373CCE" w:rsidRPr="0079245E">
        <w:t>.</w:t>
      </w:r>
      <w:r w:rsidR="00990E20">
        <w:t xml:space="preserve"> The Pre-PBAC response (</w:t>
      </w:r>
      <w:r w:rsidR="000417CB">
        <w:t xml:space="preserve">noted that </w:t>
      </w:r>
      <w:r w:rsidR="000417CB" w:rsidRPr="000417CB">
        <w:t>the EMA PI for N</w:t>
      </w:r>
      <w:r w:rsidR="00970E31">
        <w:t>EMO</w:t>
      </w:r>
      <w:r w:rsidR="000417CB" w:rsidRPr="000417CB">
        <w:t xml:space="preserve"> states “Some patients with initial partial response may further improve with continued treatment beyond 16 weeks”, noting that it is not uncommon for delays in harmonisation of the PI.</w:t>
      </w:r>
      <w:r w:rsidR="00D26578">
        <w:t xml:space="preserve"> The PBAC noted </w:t>
      </w:r>
      <w:r w:rsidR="00DB11C1">
        <w:t xml:space="preserve">a similar statement appears in the draft Australian PI only for the prurigo nodularis indication, </w:t>
      </w:r>
      <w:r w:rsidR="004E360A">
        <w:t xml:space="preserve">but </w:t>
      </w:r>
      <w:r w:rsidR="00DB11C1">
        <w:t>not for the atopic dermatitis indication.</w:t>
      </w:r>
      <w:r w:rsidR="000417CB" w:rsidRPr="000417CB">
        <w:t xml:space="preserve"> </w:t>
      </w:r>
    </w:p>
    <w:p w14:paraId="0B08415D" w14:textId="5DF2DB24" w:rsidR="00156D4E" w:rsidRDefault="003D779B">
      <w:pPr>
        <w:pStyle w:val="3-BodyText"/>
      </w:pPr>
      <w:r w:rsidRPr="0079245E">
        <w:t>The submission also proposed grandfather restrictions for approximately 200 patients that are anticipated to be enrolled in a Patient Familiarisation Program prior to PBS listing.</w:t>
      </w:r>
      <w:r w:rsidR="005A755E">
        <w:t xml:space="preserve"> </w:t>
      </w:r>
    </w:p>
    <w:p w14:paraId="2F2B2696" w14:textId="77777777" w:rsidR="005A755E" w:rsidRPr="00C33D30" w:rsidRDefault="005A755E" w:rsidP="005A755E">
      <w:pPr>
        <w:ind w:firstLine="709"/>
        <w:rPr>
          <w:rFonts w:asciiTheme="minorHAnsi" w:hAnsiTheme="minorHAnsi"/>
          <w:i/>
        </w:rPr>
      </w:pPr>
      <w:bookmarkStart w:id="8" w:name="_Hlk76375324"/>
      <w:r w:rsidRPr="00C33D30">
        <w:rPr>
          <w:rFonts w:asciiTheme="minorHAnsi" w:hAnsiTheme="minorHAnsi"/>
          <w:i/>
        </w:rPr>
        <w:t>For more detail on PBAC’s view, see section 7 PBAC outcome.</w:t>
      </w:r>
    </w:p>
    <w:p w14:paraId="7075B85C" w14:textId="62A47B7B" w:rsidR="00B50DB8" w:rsidRPr="00D86D87" w:rsidDel="00195452" w:rsidRDefault="00203181" w:rsidP="004E18E9">
      <w:pPr>
        <w:pStyle w:val="2-SectionHeading"/>
      </w:pPr>
      <w:bookmarkStart w:id="9" w:name="_Toc198648769"/>
      <w:bookmarkEnd w:id="8"/>
      <w:r w:rsidRPr="00D86D87" w:rsidDel="00195452">
        <w:lastRenderedPageBreak/>
        <w:t xml:space="preserve">Population and </w:t>
      </w:r>
      <w:r w:rsidR="008E0D3C" w:rsidRPr="00D86D87" w:rsidDel="00195452">
        <w:t>d</w:t>
      </w:r>
      <w:r w:rsidRPr="00D86D87" w:rsidDel="00195452">
        <w:t>isease</w:t>
      </w:r>
      <w:bookmarkEnd w:id="9"/>
    </w:p>
    <w:p w14:paraId="65535EB4" w14:textId="1ABE7B48" w:rsidR="001447DC" w:rsidRPr="00375DFA" w:rsidRDefault="001447DC" w:rsidP="001447DC">
      <w:pPr>
        <w:pStyle w:val="3-BodyText"/>
        <w:rPr>
          <w:color w:val="0066FF"/>
        </w:rPr>
      </w:pPr>
      <w:r>
        <w:rPr>
          <w:color w:val="000000" w:themeColor="text1"/>
        </w:rPr>
        <w:t xml:space="preserve">AD </w:t>
      </w:r>
      <w:r w:rsidRPr="001E39FA">
        <w:rPr>
          <w:color w:val="000000" w:themeColor="text1"/>
        </w:rPr>
        <w:t>is the most common chronic inflammatory skin disease</w:t>
      </w:r>
      <w:r>
        <w:rPr>
          <w:color w:val="000000" w:themeColor="text1"/>
        </w:rPr>
        <w:t xml:space="preserve"> that </w:t>
      </w:r>
      <w:r w:rsidRPr="001E39FA">
        <w:rPr>
          <w:color w:val="000000" w:themeColor="text1"/>
        </w:rPr>
        <w:t>affects 15% to 20% of children and up to 10% of adults</w:t>
      </w:r>
      <w:r>
        <w:rPr>
          <w:rStyle w:val="FootnoteReference"/>
          <w:color w:val="000000" w:themeColor="text1"/>
        </w:rPr>
        <w:footnoteReference w:id="2"/>
      </w:r>
      <w:r>
        <w:rPr>
          <w:color w:val="000000" w:themeColor="text1"/>
        </w:rPr>
        <w:t xml:space="preserve">. </w:t>
      </w:r>
      <w:r w:rsidRPr="001E39FA">
        <w:rPr>
          <w:color w:val="000000" w:themeColor="text1"/>
        </w:rPr>
        <w:t>Approximately 60% of patients develop AD in the first year of life and 90% within the first 5 years of life</w:t>
      </w:r>
      <w:r>
        <w:rPr>
          <w:rStyle w:val="FootnoteReference"/>
          <w:color w:val="000000" w:themeColor="text1"/>
        </w:rPr>
        <w:footnoteReference w:id="3"/>
      </w:r>
      <w:r>
        <w:rPr>
          <w:color w:val="000000" w:themeColor="text1"/>
        </w:rPr>
        <w:t>. The condition</w:t>
      </w:r>
      <w:r w:rsidRPr="001E39FA">
        <w:rPr>
          <w:rFonts w:ascii="Calibri" w:eastAsia="Times New Roman" w:hAnsi="Calibri" w:cs="Arial"/>
          <w:color w:val="000000" w:themeColor="text1"/>
          <w:szCs w:val="24"/>
        </w:rPr>
        <w:t xml:space="preserve"> </w:t>
      </w:r>
      <w:r w:rsidRPr="001E39FA">
        <w:rPr>
          <w:color w:val="000000" w:themeColor="text1"/>
        </w:rPr>
        <w:t>is associated with other atopic manifestations such as asthma, allergic rhinitis, or food allergy</w:t>
      </w:r>
      <w:r>
        <w:rPr>
          <w:rStyle w:val="FootnoteReference"/>
          <w:color w:val="000000" w:themeColor="text1"/>
        </w:rPr>
        <w:footnoteReference w:id="4"/>
      </w:r>
      <w:r>
        <w:rPr>
          <w:color w:val="000000" w:themeColor="text1"/>
        </w:rPr>
        <w:t>.</w:t>
      </w:r>
      <w:r w:rsidRPr="00E307DB">
        <w:rPr>
          <w:rFonts w:ascii="Calibri" w:eastAsia="Times New Roman" w:hAnsi="Calibri" w:cs="Arial"/>
          <w:color w:val="000000" w:themeColor="text1"/>
          <w:szCs w:val="24"/>
        </w:rPr>
        <w:t xml:space="preserve"> </w:t>
      </w:r>
      <w:r w:rsidRPr="00E307DB">
        <w:rPr>
          <w:color w:val="000000" w:themeColor="text1"/>
        </w:rPr>
        <w:t>AD is presented as areas of rashes and dryness with intense pruritus that commonly involve the creases of the elbows, behind the knees, across the ankles and may also involve the face, ears, and neck.</w:t>
      </w:r>
      <w:r>
        <w:rPr>
          <w:color w:val="000000" w:themeColor="text1"/>
        </w:rPr>
        <w:t xml:space="preserve"> The condition is often relapsing and affected patients are predisposed to </w:t>
      </w:r>
      <w:r w:rsidRPr="00E307DB">
        <w:rPr>
          <w:color w:val="000000" w:themeColor="text1"/>
        </w:rPr>
        <w:t>bacterial and viral skin infections. AD involving the eyelid can cause blepharitis (general inflammation and redness of the eyelid) and conjunctivitis. AD impacts an individual’s overall quality of life (QoL), as well as social, academic, and occupational performance</w:t>
      </w:r>
      <w:r>
        <w:rPr>
          <w:color w:val="000000" w:themeColor="text1"/>
        </w:rPr>
        <w:t>, and 33% to 90% of affected adults have AD associated sleep disturbance</w:t>
      </w:r>
      <w:r>
        <w:rPr>
          <w:rStyle w:val="FootnoteReference"/>
          <w:color w:val="000000" w:themeColor="text1"/>
        </w:rPr>
        <w:footnoteReference w:id="5"/>
      </w:r>
      <w:r w:rsidRPr="00E307DB">
        <w:rPr>
          <w:color w:val="000000" w:themeColor="text1"/>
          <w:vertAlign w:val="superscript"/>
        </w:rPr>
        <w:t>,</w:t>
      </w:r>
      <w:r>
        <w:rPr>
          <w:rStyle w:val="FootnoteReference"/>
          <w:color w:val="000000" w:themeColor="text1"/>
        </w:rPr>
        <w:footnoteReference w:id="6"/>
      </w:r>
      <w:r>
        <w:rPr>
          <w:color w:val="000000" w:themeColor="text1"/>
        </w:rPr>
        <w:t>.</w:t>
      </w:r>
    </w:p>
    <w:p w14:paraId="4A650A9D" w14:textId="25BA7C94" w:rsidR="001447DC" w:rsidRPr="003E5AF5" w:rsidRDefault="001447DC" w:rsidP="001447DC">
      <w:pPr>
        <w:pStyle w:val="3-BodyText"/>
        <w:rPr>
          <w:color w:val="0066FF"/>
        </w:rPr>
      </w:pPr>
      <w:r w:rsidRPr="00375DFA">
        <w:rPr>
          <w:color w:val="000000" w:themeColor="text1"/>
        </w:rPr>
        <w:t>AD is caused by a complex interaction between genetics, skin barrier dysfunction, immune dysregulation, and extrinsic factors resulting in cutaneous inflammation and related symptoms.</w:t>
      </w:r>
      <w:r>
        <w:rPr>
          <w:color w:val="000000" w:themeColor="text1"/>
        </w:rPr>
        <w:t xml:space="preserve"> </w:t>
      </w:r>
      <w:r w:rsidRPr="00375DFA">
        <w:rPr>
          <w:color w:val="000000" w:themeColor="text1"/>
        </w:rPr>
        <w:t xml:space="preserve">The Janus kinase (JAK)-signal transducer and activator of transcription pathway </w:t>
      </w:r>
      <w:r>
        <w:rPr>
          <w:color w:val="000000" w:themeColor="text1"/>
        </w:rPr>
        <w:t>results in</w:t>
      </w:r>
      <w:r w:rsidRPr="00375DFA">
        <w:rPr>
          <w:color w:val="000000" w:themeColor="text1"/>
        </w:rPr>
        <w:t xml:space="preserve"> the release of cytokines</w:t>
      </w:r>
      <w:r>
        <w:rPr>
          <w:color w:val="000000" w:themeColor="text1"/>
        </w:rPr>
        <w:t xml:space="preserve"> including </w:t>
      </w:r>
      <w:r w:rsidRPr="00375DFA">
        <w:rPr>
          <w:color w:val="000000" w:themeColor="text1"/>
        </w:rPr>
        <w:t>interleukin (IL)-4, IL-13 and IL-31</w:t>
      </w:r>
      <w:r>
        <w:rPr>
          <w:color w:val="000000" w:themeColor="text1"/>
        </w:rPr>
        <w:t xml:space="preserve"> that are responsible for </w:t>
      </w:r>
      <w:r w:rsidRPr="00375DFA">
        <w:rPr>
          <w:color w:val="000000" w:themeColor="text1"/>
        </w:rPr>
        <w:t>the pathogenesis of AD</w:t>
      </w:r>
      <w:r>
        <w:rPr>
          <w:color w:val="000000" w:themeColor="text1"/>
        </w:rPr>
        <w:t xml:space="preserve"> and the cardinal symptoms of AD</w:t>
      </w:r>
      <w:r w:rsidR="00F374E5">
        <w:rPr>
          <w:color w:val="000000" w:themeColor="text1"/>
        </w:rPr>
        <w:t>, such as pru</w:t>
      </w:r>
      <w:r w:rsidR="00612FF9">
        <w:rPr>
          <w:color w:val="000000" w:themeColor="text1"/>
        </w:rPr>
        <w:t>ri</w:t>
      </w:r>
      <w:r w:rsidR="00F374E5">
        <w:rPr>
          <w:color w:val="000000" w:themeColor="text1"/>
        </w:rPr>
        <w:t>tus</w:t>
      </w:r>
      <w:r w:rsidR="00F374E5">
        <w:rPr>
          <w:rStyle w:val="FootnoteReference"/>
          <w:color w:val="000000" w:themeColor="text1"/>
        </w:rPr>
        <w:footnoteReference w:id="7"/>
      </w:r>
      <w:r w:rsidR="00F374E5">
        <w:rPr>
          <w:color w:val="000000" w:themeColor="text1"/>
        </w:rPr>
        <w:t>.</w:t>
      </w:r>
    </w:p>
    <w:p w14:paraId="5F0D6377" w14:textId="07EFFA26" w:rsidR="00BF7876" w:rsidRPr="00585470" w:rsidRDefault="00BF7876" w:rsidP="00BF7876">
      <w:pPr>
        <w:pStyle w:val="3-BodyText"/>
        <w:rPr>
          <w:color w:val="0066FF"/>
        </w:rPr>
      </w:pPr>
      <w:r>
        <w:rPr>
          <w:color w:val="000000" w:themeColor="text1"/>
        </w:rPr>
        <w:t>Based on the current Australian and international management guidelines for AD</w:t>
      </w:r>
      <w:r>
        <w:rPr>
          <w:rStyle w:val="FootnoteReference"/>
          <w:color w:val="000000" w:themeColor="text1"/>
        </w:rPr>
        <w:footnoteReference w:id="8"/>
      </w:r>
      <w:r>
        <w:rPr>
          <w:color w:val="000000" w:themeColor="text1"/>
          <w:vertAlign w:val="superscript"/>
        </w:rPr>
        <w:t>,</w:t>
      </w:r>
      <w:r>
        <w:rPr>
          <w:rStyle w:val="FootnoteReference"/>
          <w:color w:val="000000" w:themeColor="text1"/>
        </w:rPr>
        <w:footnoteReference w:id="9"/>
      </w:r>
      <w:r>
        <w:rPr>
          <w:color w:val="000000" w:themeColor="text1"/>
        </w:rPr>
        <w:t xml:space="preserve">, a stepwise approach is applied. The </w:t>
      </w:r>
      <w:r w:rsidRPr="00FC2CC8">
        <w:rPr>
          <w:color w:val="000000" w:themeColor="text1"/>
        </w:rPr>
        <w:t>baseline management</w:t>
      </w:r>
      <w:r>
        <w:rPr>
          <w:color w:val="000000" w:themeColor="text1"/>
        </w:rPr>
        <w:t xml:space="preserve"> </w:t>
      </w:r>
      <w:r w:rsidRPr="00FC2CC8">
        <w:rPr>
          <w:color w:val="000000" w:themeColor="text1"/>
        </w:rPr>
        <w:t>includ</w:t>
      </w:r>
      <w:r>
        <w:rPr>
          <w:color w:val="000000" w:themeColor="text1"/>
        </w:rPr>
        <w:t>es</w:t>
      </w:r>
      <w:r w:rsidRPr="00FC2CC8">
        <w:rPr>
          <w:color w:val="000000" w:themeColor="text1"/>
        </w:rPr>
        <w:t xml:space="preserve"> optimal skin care with emollients/moisturisers, bathing practice, adjuvant therapy</w:t>
      </w:r>
      <w:r>
        <w:rPr>
          <w:color w:val="000000" w:themeColor="text1"/>
        </w:rPr>
        <w:t>,</w:t>
      </w:r>
      <w:r w:rsidRPr="00FC2CC8">
        <w:rPr>
          <w:color w:val="000000" w:themeColor="text1"/>
        </w:rPr>
        <w:t xml:space="preserve"> and specific skin therapy during acute flares</w:t>
      </w:r>
      <w:r>
        <w:rPr>
          <w:color w:val="000000" w:themeColor="text1"/>
        </w:rPr>
        <w:t>. P</w:t>
      </w:r>
      <w:r>
        <w:t>atients with severe AD who cannot achieve adequate disease control</w:t>
      </w:r>
      <w:r>
        <w:rPr>
          <w:rStyle w:val="FootnoteReference"/>
        </w:rPr>
        <w:footnoteReference w:id="10"/>
      </w:r>
      <w:r>
        <w:t xml:space="preserve"> despite on </w:t>
      </w:r>
      <w:r w:rsidR="00A63BD5">
        <w:t>topical corticosteroid (</w:t>
      </w:r>
      <w:r>
        <w:t>TCS</w:t>
      </w:r>
      <w:r w:rsidR="00A63BD5">
        <w:t>)</w:t>
      </w:r>
      <w:r>
        <w:t xml:space="preserve"> or topical calcineurin inhibitor (TCI) for </w:t>
      </w:r>
      <w:r>
        <w:rPr>
          <w:rFonts w:cs="Calibri"/>
        </w:rPr>
        <w:t>≥</w:t>
      </w:r>
      <w:r>
        <w:t xml:space="preserve"> 28 days </w:t>
      </w:r>
      <w:r w:rsidRPr="00FC2CC8">
        <w:t>are eligible for systemic treatment</w:t>
      </w:r>
      <w:r>
        <w:t xml:space="preserve"> with immunosuppressants, monoclonal antibody, and JAK inhibitor as options. </w:t>
      </w:r>
    </w:p>
    <w:p w14:paraId="1FADA639" w14:textId="6F780FBF" w:rsidR="00BF7876" w:rsidRPr="00A71626" w:rsidRDefault="00BF7876" w:rsidP="00BF7876">
      <w:pPr>
        <w:pStyle w:val="3-BodyText"/>
        <w:rPr>
          <w:color w:val="000000" w:themeColor="text1"/>
        </w:rPr>
      </w:pPr>
      <w:r w:rsidRPr="00585470">
        <w:rPr>
          <w:color w:val="000000" w:themeColor="text1"/>
        </w:rPr>
        <w:lastRenderedPageBreak/>
        <w:t>NEMO is a first in class humanised monoclonal antibody (IgG2) that inhibits</w:t>
      </w:r>
      <w:r>
        <w:rPr>
          <w:color w:val="000000" w:themeColor="text1"/>
        </w:rPr>
        <w:t xml:space="preserve"> interleukin-31</w:t>
      </w:r>
      <w:r w:rsidRPr="00585470">
        <w:rPr>
          <w:color w:val="000000" w:themeColor="text1"/>
        </w:rPr>
        <w:t xml:space="preserve"> </w:t>
      </w:r>
      <w:r>
        <w:rPr>
          <w:color w:val="000000" w:themeColor="text1"/>
        </w:rPr>
        <w:t>(</w:t>
      </w:r>
      <w:r w:rsidRPr="00585470">
        <w:rPr>
          <w:color w:val="000000" w:themeColor="text1"/>
        </w:rPr>
        <w:t>IL-31</w:t>
      </w:r>
      <w:r>
        <w:rPr>
          <w:color w:val="000000" w:themeColor="text1"/>
        </w:rPr>
        <w:t xml:space="preserve">). IL-31 </w:t>
      </w:r>
      <w:r w:rsidRPr="00585470">
        <w:rPr>
          <w:color w:val="000000" w:themeColor="text1"/>
        </w:rPr>
        <w:t>is</w:t>
      </w:r>
      <w:r>
        <w:rPr>
          <w:color w:val="000000" w:themeColor="text1"/>
        </w:rPr>
        <w:t xml:space="preserve"> one of the key cytokines</w:t>
      </w:r>
      <w:r w:rsidRPr="00585470">
        <w:rPr>
          <w:color w:val="000000" w:themeColor="text1"/>
        </w:rPr>
        <w:t xml:space="preserve"> responsible for pruritus and inflammation in AD</w:t>
      </w:r>
      <w:r w:rsidR="007A293A">
        <w:rPr>
          <w:color w:val="000000" w:themeColor="text1"/>
        </w:rPr>
        <w:t>.</w:t>
      </w:r>
      <w:r w:rsidR="0076016D">
        <w:rPr>
          <w:color w:val="000000" w:themeColor="text1"/>
        </w:rPr>
        <w:t xml:space="preserve"> </w:t>
      </w:r>
      <w:r>
        <w:rPr>
          <w:color w:val="000000" w:themeColor="text1"/>
          <w:lang w:bidi="en-US"/>
        </w:rPr>
        <w:t xml:space="preserve">In the NEMO product information (PI), it is stated that </w:t>
      </w:r>
      <w:r w:rsidRPr="00585470">
        <w:rPr>
          <w:color w:val="000000" w:themeColor="text1"/>
          <w:lang w:bidi="en-US"/>
        </w:rPr>
        <w:t xml:space="preserve">NEMO </w:t>
      </w:r>
      <w:r w:rsidR="006738F9">
        <w:rPr>
          <w:color w:val="000000" w:themeColor="text1"/>
          <w:lang w:bidi="en-US"/>
        </w:rPr>
        <w:t>can</w:t>
      </w:r>
      <w:r w:rsidR="00B51425">
        <w:rPr>
          <w:color w:val="000000" w:themeColor="text1"/>
          <w:lang w:bidi="en-US"/>
        </w:rPr>
        <w:t xml:space="preserve"> be used with </w:t>
      </w:r>
      <w:r w:rsidRPr="00585470">
        <w:rPr>
          <w:color w:val="000000" w:themeColor="text1"/>
          <w:lang w:bidi="en-US"/>
        </w:rPr>
        <w:t>TCS</w:t>
      </w:r>
      <w:r w:rsidR="006738F9">
        <w:rPr>
          <w:color w:val="000000" w:themeColor="text1"/>
          <w:lang w:bidi="en-US"/>
        </w:rPr>
        <w:t>s and TCIs</w:t>
      </w:r>
      <w:r w:rsidRPr="00585470">
        <w:rPr>
          <w:color w:val="000000" w:themeColor="text1"/>
          <w:lang w:bidi="en-US"/>
        </w:rPr>
        <w:t xml:space="preserve">. Any use of topical therapies should be tapered and </w:t>
      </w:r>
      <w:r w:rsidRPr="00A71626">
        <w:rPr>
          <w:color w:val="000000" w:themeColor="text1"/>
          <w:lang w:bidi="en-US"/>
        </w:rPr>
        <w:t>subsequently discontinued when the disease has sufficiently improved.</w:t>
      </w:r>
    </w:p>
    <w:p w14:paraId="11FCAAEE" w14:textId="0B19B086" w:rsidR="007627BE" w:rsidRPr="00A71626" w:rsidDel="00195452" w:rsidRDefault="00BF7876" w:rsidP="00E971EF">
      <w:pPr>
        <w:pStyle w:val="3-BodyText"/>
      </w:pPr>
      <w:r w:rsidRPr="00A71626">
        <w:rPr>
          <w:color w:val="000000" w:themeColor="text1"/>
        </w:rPr>
        <w:t>NEMO, if listed on the PBS, provides an additional option of systemic treatment for severe AD in patients who are inadequately controlled on topical therapies.</w:t>
      </w:r>
      <w:r w:rsidR="001F3399" w:rsidRPr="00A71626">
        <w:rPr>
          <w:color w:val="000000" w:themeColor="text1"/>
        </w:rPr>
        <w:t xml:space="preserve"> </w:t>
      </w:r>
      <w:r w:rsidR="00CA33CE" w:rsidRPr="00A71626">
        <w:rPr>
          <w:color w:val="000000" w:themeColor="text1"/>
        </w:rPr>
        <w:t xml:space="preserve">The </w:t>
      </w:r>
      <w:r w:rsidR="001F3399" w:rsidRPr="00A71626">
        <w:t>Advisory Committee on Medicine</w:t>
      </w:r>
      <w:r w:rsidR="00CA33CE" w:rsidRPr="00A71626">
        <w:t xml:space="preserve">, an expert advisory committee </w:t>
      </w:r>
      <w:r w:rsidR="00806A4E" w:rsidRPr="00A71626">
        <w:t>of</w:t>
      </w:r>
      <w:r w:rsidR="00CA33CE" w:rsidRPr="00A71626">
        <w:t xml:space="preserve"> the TGA,</w:t>
      </w:r>
      <w:r w:rsidR="001F3399" w:rsidRPr="00A71626">
        <w:t xml:space="preserve"> </w:t>
      </w:r>
      <w:r w:rsidR="003D779B" w:rsidRPr="00A71626">
        <w:t>c</w:t>
      </w:r>
      <w:r w:rsidR="007F2983" w:rsidRPr="00A71626">
        <w:t xml:space="preserve">onsidered that </w:t>
      </w:r>
      <w:r w:rsidR="003D779B" w:rsidRPr="00A71626">
        <w:t xml:space="preserve">NEMO </w:t>
      </w:r>
      <w:r w:rsidR="007F2983" w:rsidRPr="00A71626">
        <w:t>could</w:t>
      </w:r>
      <w:r w:rsidR="001F3399" w:rsidRPr="00A71626">
        <w:t xml:space="preserve"> be a</w:t>
      </w:r>
      <w:r w:rsidR="007F2983" w:rsidRPr="00A71626">
        <w:t xml:space="preserve">n </w:t>
      </w:r>
      <w:r w:rsidR="001F3399" w:rsidRPr="00A71626">
        <w:t xml:space="preserve">option for those </w:t>
      </w:r>
      <w:r w:rsidR="003D779B" w:rsidRPr="00A71626">
        <w:t xml:space="preserve">patients </w:t>
      </w:r>
      <w:r w:rsidR="001F3399" w:rsidRPr="00A71626">
        <w:t xml:space="preserve">who have failed other systemic therapies, before moving on to other alternative therapies with less favourable side effect profile, such as JAK inhibitors. The ACM acknowledged that </w:t>
      </w:r>
      <w:r w:rsidR="003D779B" w:rsidRPr="00A71626">
        <w:t>NEMO</w:t>
      </w:r>
      <w:r w:rsidR="001F3399" w:rsidRPr="00A71626">
        <w:t xml:space="preserve"> could potentially provide an alternative option for patients who don’t respond completely to </w:t>
      </w:r>
      <w:r w:rsidR="007F2983" w:rsidRPr="00A71626">
        <w:t>DUPI</w:t>
      </w:r>
      <w:r w:rsidR="001F3399" w:rsidRPr="00A71626">
        <w:t xml:space="preserve"> or </w:t>
      </w:r>
      <w:r w:rsidR="003D779B" w:rsidRPr="00A71626">
        <w:t xml:space="preserve">for </w:t>
      </w:r>
      <w:r w:rsidR="001F3399" w:rsidRPr="00A71626">
        <w:t xml:space="preserve">those who </w:t>
      </w:r>
      <w:r w:rsidR="003D779B" w:rsidRPr="00A71626">
        <w:t>cannot</w:t>
      </w:r>
      <w:r w:rsidR="001F3399" w:rsidRPr="00A71626">
        <w:t xml:space="preserve"> tolerate its adverse effects</w:t>
      </w:r>
      <w:r w:rsidR="0073579A" w:rsidRPr="00A71626">
        <w:t>, although the registered indication does not restrict use to after DUPI use</w:t>
      </w:r>
      <w:r w:rsidR="001F3399" w:rsidRPr="00A71626">
        <w:t>.</w:t>
      </w:r>
    </w:p>
    <w:p w14:paraId="51E5AE96" w14:textId="136A63B1" w:rsidR="00B50DB8" w:rsidRPr="00D86D87" w:rsidRDefault="00B50DB8" w:rsidP="004E18E9">
      <w:pPr>
        <w:pStyle w:val="2-SectionHeading"/>
      </w:pPr>
      <w:bookmarkStart w:id="10" w:name="_Toc198648770"/>
      <w:r w:rsidRPr="00D86D87">
        <w:t>Comparator</w:t>
      </w:r>
      <w:bookmarkEnd w:id="10"/>
    </w:p>
    <w:p w14:paraId="421A670B" w14:textId="3D5F0B2C" w:rsidR="003E5AF5" w:rsidRDefault="003E5AF5" w:rsidP="003E5AF5">
      <w:pPr>
        <w:pStyle w:val="3-BodyText"/>
      </w:pPr>
      <w:bookmarkStart w:id="11" w:name="_Hlk197618764"/>
      <w:r>
        <w:t>DUPI was the nominated</w:t>
      </w:r>
      <w:r w:rsidR="0082295C">
        <w:t xml:space="preserve"> main</w:t>
      </w:r>
      <w:r>
        <w:t xml:space="preserve"> comparator in the submission. </w:t>
      </w:r>
    </w:p>
    <w:p w14:paraId="09EFF39B" w14:textId="5F73DAC5" w:rsidR="003E5AF5" w:rsidRDefault="003E5AF5" w:rsidP="003E5AF5">
      <w:pPr>
        <w:pStyle w:val="3-BodyText"/>
      </w:pPr>
      <w:r>
        <w:t xml:space="preserve">The main arguments provided in the submission to support the nomination of DUPI as the main comparator included: 1) </w:t>
      </w:r>
      <w:r w:rsidRPr="002054D3">
        <w:t>DUPI is the most utilised targeted therapy for treating severe AD in clinical practice (approximately 87% of PBS services) and hence</w:t>
      </w:r>
      <w:r w:rsidR="0082295C">
        <w:t xml:space="preserve"> is the therapy</w:t>
      </w:r>
      <w:r w:rsidRPr="002054D3">
        <w:t xml:space="preserve"> most likely to be replaced by NEMO should NEMO be listed</w:t>
      </w:r>
      <w:r>
        <w:t>, and 2) i</w:t>
      </w:r>
      <w:r w:rsidRPr="002054D3">
        <w:t xml:space="preserve">n the submissions for other targeted therapies for </w:t>
      </w:r>
      <w:r>
        <w:t xml:space="preserve">severe </w:t>
      </w:r>
      <w:r w:rsidRPr="002054D3">
        <w:t xml:space="preserve">AD (UPA, lebrikizumab [LEB], and </w:t>
      </w:r>
      <w:proofErr w:type="spellStart"/>
      <w:r w:rsidRPr="002054D3">
        <w:t>abrocitinib</w:t>
      </w:r>
      <w:proofErr w:type="spellEnd"/>
      <w:r w:rsidRPr="002054D3">
        <w:t xml:space="preserve"> [ABRO]), DUPI was accepted as the main comparator on a cost-minimisation basis</w:t>
      </w:r>
      <w:r>
        <w:t xml:space="preserve">. </w:t>
      </w:r>
    </w:p>
    <w:p w14:paraId="1BBA20FD" w14:textId="0C8727A6" w:rsidR="00637605" w:rsidRDefault="00637605" w:rsidP="003E5AF5">
      <w:pPr>
        <w:pStyle w:val="3-BodyText"/>
      </w:pPr>
      <w:r w:rsidRPr="00961ADD">
        <w:rPr>
          <w:iCs/>
        </w:rPr>
        <w:t xml:space="preserve">The ESC considered that </w:t>
      </w:r>
      <w:r>
        <w:rPr>
          <w:iCs/>
        </w:rPr>
        <w:t>DUPI</w:t>
      </w:r>
      <w:r w:rsidRPr="00961ADD">
        <w:rPr>
          <w:iCs/>
        </w:rPr>
        <w:t xml:space="preserve"> was</w:t>
      </w:r>
      <w:r w:rsidR="007E5405">
        <w:rPr>
          <w:iCs/>
        </w:rPr>
        <w:t xml:space="preserve"> the</w:t>
      </w:r>
      <w:r w:rsidRPr="00961ADD">
        <w:rPr>
          <w:iCs/>
        </w:rPr>
        <w:t xml:space="preserve"> appropriate</w:t>
      </w:r>
      <w:r w:rsidR="007E5405">
        <w:rPr>
          <w:iCs/>
        </w:rPr>
        <w:t xml:space="preserve"> main comparator</w:t>
      </w:r>
      <w:r w:rsidRPr="00961ADD">
        <w:rPr>
          <w:iCs/>
        </w:rPr>
        <w:t xml:space="preserve">. </w:t>
      </w:r>
    </w:p>
    <w:p w14:paraId="55613648" w14:textId="0B3798E7" w:rsidR="003E5AF5" w:rsidRDefault="003E5AF5" w:rsidP="003E5AF5">
      <w:pPr>
        <w:pStyle w:val="3-BodyText"/>
      </w:pPr>
      <w:r>
        <w:t xml:space="preserve">UPA (a JAK1 inhibitor) is </w:t>
      </w:r>
      <w:r w:rsidR="00C67D11">
        <w:t>an alternate</w:t>
      </w:r>
      <w:r>
        <w:t xml:space="preserve"> PBS-listed </w:t>
      </w:r>
      <w:r w:rsidR="0082295C">
        <w:t>targeted therapy</w:t>
      </w:r>
      <w:r>
        <w:t xml:space="preserve"> for severe AD. However, UPA </w:t>
      </w:r>
      <w:r w:rsidRPr="00AE17D1">
        <w:t>is less frequently used than DUPI in clinical practice</w:t>
      </w:r>
      <w:r>
        <w:t>. LEB and ABRO</w:t>
      </w:r>
      <w:r w:rsidR="00FC6C54">
        <w:t xml:space="preserve"> have been recommended by the PBAC </w:t>
      </w:r>
      <w:r w:rsidR="000D6C11">
        <w:t xml:space="preserve">at </w:t>
      </w:r>
      <w:r w:rsidR="00461F63">
        <w:t xml:space="preserve">the </w:t>
      </w:r>
      <w:r w:rsidR="00141C7D">
        <w:t>March 2024 PBAC meeting</w:t>
      </w:r>
      <w:r w:rsidR="00C67D11">
        <w:t xml:space="preserve"> and</w:t>
      </w:r>
      <w:r w:rsidR="00141C7D">
        <w:t xml:space="preserve"> the November 2024 PBAC meeting, respectively,</w:t>
      </w:r>
      <w:r w:rsidR="00C67D11">
        <w:t xml:space="preserve"> but </w:t>
      </w:r>
      <w:r w:rsidR="00DF61E9">
        <w:t>were</w:t>
      </w:r>
      <w:r w:rsidR="00FA7A56">
        <w:t xml:space="preserve"> not </w:t>
      </w:r>
      <w:r w:rsidR="00DF61E9">
        <w:t>PBS listed at time of PBAC consideration</w:t>
      </w:r>
    </w:p>
    <w:bookmarkEnd w:id="11"/>
    <w:p w14:paraId="1DDD19CD" w14:textId="61E29663" w:rsidR="007474E7" w:rsidRPr="000409F2" w:rsidRDefault="007474E7" w:rsidP="003E5AF5">
      <w:pPr>
        <w:pStyle w:val="3-BodyText"/>
        <w:rPr>
          <w:iCs/>
        </w:rPr>
      </w:pPr>
      <w:r w:rsidRPr="000409F2">
        <w:rPr>
          <w:iCs/>
        </w:rPr>
        <w:t xml:space="preserve">In the context of the cost-minimisation approach taken by the submission, a further consideration for PBAC is that, under Section 101(3B) of the </w:t>
      </w:r>
      <w:r w:rsidRPr="00737EB2">
        <w:rPr>
          <w:i/>
        </w:rPr>
        <w:t>National Health Act 1953</w:t>
      </w:r>
      <w:r w:rsidRPr="000409F2">
        <w:rPr>
          <w:iCs/>
        </w:rPr>
        <w:t>, when the proposed medicine is substantially more costly than an alternative therapy, the committee cannot make a positive recommendation unless it is satisfied that, for some patients, the proposed medicine provides a significant improvement in efficacy and/or reduction of toxicity over the alternative therapy. If the committee is so satisfied, it must make a statement to this effect.</w:t>
      </w:r>
    </w:p>
    <w:p w14:paraId="555CB613" w14:textId="318E8BFD" w:rsidR="007474E7" w:rsidRDefault="007474E7" w:rsidP="003E5AF5">
      <w:pPr>
        <w:pStyle w:val="3-BodyText"/>
        <w:rPr>
          <w:iCs/>
        </w:rPr>
      </w:pPr>
      <w:r w:rsidRPr="000409F2">
        <w:rPr>
          <w:iCs/>
        </w:rPr>
        <w:t xml:space="preserve">For the requested population, the following PBS-listed medicines may be considered alternative therapies because they could be replaced in practice: DUPI and UPA. </w:t>
      </w:r>
    </w:p>
    <w:p w14:paraId="0274CB9B" w14:textId="6273D1B1" w:rsidR="005A755E" w:rsidRPr="00790D0B" w:rsidRDefault="005A755E" w:rsidP="00790D0B">
      <w:pPr>
        <w:ind w:firstLine="709"/>
        <w:rPr>
          <w:rFonts w:asciiTheme="minorHAnsi" w:hAnsiTheme="minorHAnsi"/>
          <w:i/>
        </w:rPr>
      </w:pPr>
      <w:r w:rsidRPr="00C33D30">
        <w:rPr>
          <w:rFonts w:asciiTheme="minorHAnsi" w:hAnsiTheme="minorHAnsi"/>
          <w:i/>
        </w:rPr>
        <w:t>For more detail on PBAC’s view, see section 7 PBAC outcome.</w:t>
      </w:r>
    </w:p>
    <w:p w14:paraId="41CCE812" w14:textId="77777777" w:rsidR="00D85532" w:rsidRPr="00D86D87" w:rsidRDefault="00D85532" w:rsidP="00D85532">
      <w:pPr>
        <w:pStyle w:val="2-SectionHeading"/>
        <w:numPr>
          <w:ilvl w:val="0"/>
          <w:numId w:val="1"/>
        </w:numPr>
      </w:pPr>
      <w:bookmarkStart w:id="12" w:name="_Toc197466439"/>
      <w:bookmarkStart w:id="13" w:name="_Toc197899843"/>
      <w:bookmarkStart w:id="14" w:name="_Toc197963441"/>
      <w:bookmarkStart w:id="15" w:name="_Toc198648771"/>
      <w:bookmarkStart w:id="16" w:name="_Toc22897640"/>
      <w:r w:rsidRPr="00D86D87">
        <w:lastRenderedPageBreak/>
        <w:t>Consideration of the evidence</w:t>
      </w:r>
      <w:bookmarkEnd w:id="12"/>
      <w:bookmarkEnd w:id="13"/>
      <w:bookmarkEnd w:id="14"/>
      <w:bookmarkEnd w:id="15"/>
    </w:p>
    <w:p w14:paraId="05D68363" w14:textId="77777777" w:rsidR="000B5635" w:rsidRPr="006E1229" w:rsidRDefault="000B5635" w:rsidP="000B5635">
      <w:pPr>
        <w:pStyle w:val="3-SubsectionHeading"/>
        <w:outlineLvl w:val="1"/>
        <w:rPr>
          <w:lang w:eastAsia="en-AU"/>
        </w:rPr>
      </w:pPr>
      <w:bookmarkStart w:id="17" w:name="_Hlk76375935"/>
      <w:bookmarkStart w:id="18" w:name="_Toc197466440"/>
      <w:bookmarkStart w:id="19" w:name="_Toc197899844"/>
      <w:bookmarkStart w:id="20" w:name="_Toc197963442"/>
      <w:bookmarkStart w:id="21" w:name="_Toc198648772"/>
      <w:r w:rsidRPr="006E1229">
        <w:rPr>
          <w:lang w:eastAsia="en-AU"/>
        </w:rPr>
        <w:t>Sponsor hearing</w:t>
      </w:r>
    </w:p>
    <w:p w14:paraId="0E2E2000" w14:textId="12F684BD" w:rsidR="002163C0" w:rsidRPr="00C264B8" w:rsidRDefault="000B5635">
      <w:pPr>
        <w:widowControl w:val="0"/>
        <w:numPr>
          <w:ilvl w:val="1"/>
          <w:numId w:val="1"/>
        </w:numPr>
        <w:spacing w:after="120"/>
        <w:rPr>
          <w:rFonts w:cs="Calibri"/>
          <w:bCs/>
          <w:snapToGrid w:val="0"/>
        </w:rPr>
      </w:pPr>
      <w:bookmarkStart w:id="22" w:name="_Hlk76382586"/>
      <w:r w:rsidRPr="00C264B8">
        <w:rPr>
          <w:rFonts w:asciiTheme="minorHAnsi" w:hAnsiTheme="minorHAnsi"/>
          <w:bCs/>
          <w:snapToGrid w:val="0"/>
        </w:rPr>
        <w:t xml:space="preserve">The sponsor requested a hearing for this item. </w:t>
      </w:r>
      <w:bookmarkEnd w:id="22"/>
      <w:r w:rsidR="00AC2E04" w:rsidRPr="00C264B8">
        <w:rPr>
          <w:rFonts w:asciiTheme="minorHAnsi" w:hAnsiTheme="minorHAnsi"/>
          <w:bCs/>
          <w:snapToGrid w:val="0"/>
        </w:rPr>
        <w:t xml:space="preserve">The clinician noted that </w:t>
      </w:r>
      <w:r w:rsidR="00E064BF" w:rsidRPr="00C264B8">
        <w:rPr>
          <w:rFonts w:asciiTheme="minorHAnsi" w:hAnsiTheme="minorHAnsi"/>
          <w:bCs/>
          <w:snapToGrid w:val="0"/>
        </w:rPr>
        <w:t xml:space="preserve">there is a need </w:t>
      </w:r>
      <w:r w:rsidR="00A86F63" w:rsidRPr="00C264B8">
        <w:rPr>
          <w:rFonts w:asciiTheme="minorHAnsi" w:hAnsiTheme="minorHAnsi"/>
          <w:bCs/>
          <w:snapToGrid w:val="0"/>
        </w:rPr>
        <w:t xml:space="preserve">for nemolizumab as an </w:t>
      </w:r>
      <w:r w:rsidR="00E064BF" w:rsidRPr="00C264B8">
        <w:rPr>
          <w:rFonts w:asciiTheme="minorHAnsi" w:hAnsiTheme="minorHAnsi"/>
          <w:bCs/>
          <w:snapToGrid w:val="0"/>
        </w:rPr>
        <w:t xml:space="preserve">alternative </w:t>
      </w:r>
      <w:r w:rsidR="004D4936" w:rsidRPr="00C264B8">
        <w:rPr>
          <w:rFonts w:cs="Calibri"/>
          <w:bCs/>
          <w:snapToGrid w:val="0"/>
        </w:rPr>
        <w:t xml:space="preserve">agent </w:t>
      </w:r>
      <w:r w:rsidR="00E064BF" w:rsidRPr="00C264B8">
        <w:rPr>
          <w:rFonts w:cs="Calibri"/>
          <w:bCs/>
          <w:snapToGrid w:val="0"/>
        </w:rPr>
        <w:t xml:space="preserve">for atopic dermatitis </w:t>
      </w:r>
      <w:r w:rsidR="004D4936" w:rsidRPr="00C264B8">
        <w:rPr>
          <w:rFonts w:cs="Calibri"/>
          <w:bCs/>
          <w:snapToGrid w:val="0"/>
        </w:rPr>
        <w:t xml:space="preserve">because </w:t>
      </w:r>
      <w:r w:rsidR="00E064BF" w:rsidRPr="00C264B8">
        <w:rPr>
          <w:rFonts w:cs="Calibri"/>
          <w:bCs/>
          <w:snapToGrid w:val="0"/>
        </w:rPr>
        <w:t xml:space="preserve">there are </w:t>
      </w:r>
      <w:r w:rsidR="004D4936" w:rsidRPr="00C264B8">
        <w:rPr>
          <w:rFonts w:cs="Calibri"/>
          <w:bCs/>
          <w:snapToGrid w:val="0"/>
        </w:rPr>
        <w:t>patients who are not responding to available agents</w:t>
      </w:r>
      <w:r w:rsidR="007C069D" w:rsidRPr="00C264B8">
        <w:rPr>
          <w:rFonts w:cs="Calibri"/>
          <w:bCs/>
          <w:snapToGrid w:val="0"/>
        </w:rPr>
        <w:t xml:space="preserve">, or who cannot use the available agents </w:t>
      </w:r>
      <w:r w:rsidR="00212D3F">
        <w:rPr>
          <w:rFonts w:cs="Calibri"/>
          <w:bCs/>
          <w:snapToGrid w:val="0"/>
        </w:rPr>
        <w:t xml:space="preserve">because of </w:t>
      </w:r>
      <w:r w:rsidR="00B47EBA">
        <w:rPr>
          <w:rFonts w:cs="Calibri"/>
          <w:bCs/>
          <w:snapToGrid w:val="0"/>
        </w:rPr>
        <w:t xml:space="preserve">pregnancy or </w:t>
      </w:r>
      <w:r w:rsidR="007C069D" w:rsidRPr="00C264B8">
        <w:rPr>
          <w:rFonts w:cs="Calibri"/>
          <w:bCs/>
          <w:snapToGrid w:val="0"/>
        </w:rPr>
        <w:t xml:space="preserve">history of thromboembolic disease, major adverse cardiac events, </w:t>
      </w:r>
      <w:proofErr w:type="spellStart"/>
      <w:r w:rsidR="007C069D" w:rsidRPr="00C264B8">
        <w:rPr>
          <w:rFonts w:cs="Calibri"/>
          <w:bCs/>
          <w:snapToGrid w:val="0"/>
        </w:rPr>
        <w:t>leukaemias</w:t>
      </w:r>
      <w:proofErr w:type="spellEnd"/>
      <w:r w:rsidR="007C069D" w:rsidRPr="00C264B8">
        <w:rPr>
          <w:rFonts w:cs="Calibri"/>
          <w:bCs/>
          <w:snapToGrid w:val="0"/>
        </w:rPr>
        <w:t xml:space="preserve"> and other malignancies</w:t>
      </w:r>
      <w:r w:rsidR="00633411" w:rsidRPr="00C264B8">
        <w:rPr>
          <w:rFonts w:cs="Calibri"/>
          <w:bCs/>
          <w:snapToGrid w:val="0"/>
        </w:rPr>
        <w:t>. The clinician described some of the a</w:t>
      </w:r>
      <w:r w:rsidR="0007086B" w:rsidRPr="00C264B8">
        <w:rPr>
          <w:rFonts w:cs="Calibri"/>
          <w:bCs/>
          <w:snapToGrid w:val="0"/>
        </w:rPr>
        <w:t xml:space="preserve">dvantages of </w:t>
      </w:r>
      <w:r w:rsidR="0092565F">
        <w:rPr>
          <w:rFonts w:cs="Calibri"/>
          <w:bCs/>
          <w:snapToGrid w:val="0"/>
        </w:rPr>
        <w:t xml:space="preserve">NEMO over DUPI </w:t>
      </w:r>
      <w:r w:rsidR="00633411" w:rsidRPr="00C264B8">
        <w:rPr>
          <w:rFonts w:cs="Calibri"/>
          <w:bCs/>
          <w:snapToGrid w:val="0"/>
        </w:rPr>
        <w:t xml:space="preserve">including it can be </w:t>
      </w:r>
      <w:r w:rsidR="0007086B" w:rsidRPr="00C264B8">
        <w:rPr>
          <w:rFonts w:cs="Calibri"/>
          <w:bCs/>
          <w:snapToGrid w:val="0"/>
        </w:rPr>
        <w:t>kept out of fridge</w:t>
      </w:r>
      <w:r w:rsidR="007B636E" w:rsidRPr="00C264B8">
        <w:rPr>
          <w:rFonts w:cs="Calibri"/>
          <w:bCs/>
          <w:snapToGrid w:val="0"/>
        </w:rPr>
        <w:t xml:space="preserve"> for </w:t>
      </w:r>
      <w:r w:rsidR="00161C32" w:rsidRPr="00C264B8">
        <w:rPr>
          <w:rFonts w:cs="Calibri"/>
          <w:bCs/>
          <w:snapToGrid w:val="0"/>
        </w:rPr>
        <w:t>longer</w:t>
      </w:r>
      <w:r w:rsidR="00C264B8" w:rsidRPr="00C264B8">
        <w:rPr>
          <w:rFonts w:cs="Calibri"/>
          <w:bCs/>
          <w:snapToGrid w:val="0"/>
        </w:rPr>
        <w:t xml:space="preserve">, </w:t>
      </w:r>
      <w:r w:rsidR="00161C32" w:rsidRPr="00C264B8">
        <w:rPr>
          <w:rFonts w:cs="Calibri"/>
          <w:bCs/>
          <w:snapToGrid w:val="0"/>
        </w:rPr>
        <w:t>may have better</w:t>
      </w:r>
      <w:r w:rsidR="007005D6" w:rsidRPr="00C264B8">
        <w:rPr>
          <w:rFonts w:cs="Calibri"/>
          <w:bCs/>
          <w:snapToGrid w:val="0"/>
        </w:rPr>
        <w:t xml:space="preserve"> patient</w:t>
      </w:r>
      <w:r w:rsidR="00161C32" w:rsidRPr="00C264B8">
        <w:rPr>
          <w:rFonts w:cs="Calibri"/>
          <w:bCs/>
          <w:snapToGrid w:val="0"/>
        </w:rPr>
        <w:t xml:space="preserve"> </w:t>
      </w:r>
      <w:r w:rsidR="00905BB0" w:rsidRPr="00C264B8">
        <w:rPr>
          <w:rFonts w:cs="Calibri"/>
          <w:bCs/>
          <w:snapToGrid w:val="0"/>
        </w:rPr>
        <w:t>adherence</w:t>
      </w:r>
      <w:r w:rsidR="00161C32" w:rsidRPr="00C264B8">
        <w:rPr>
          <w:rFonts w:cs="Calibri"/>
          <w:bCs/>
          <w:snapToGrid w:val="0"/>
        </w:rPr>
        <w:t xml:space="preserve"> </w:t>
      </w:r>
      <w:r w:rsidR="00C264B8" w:rsidRPr="00C264B8">
        <w:rPr>
          <w:rFonts w:cs="Calibri"/>
          <w:bCs/>
          <w:snapToGrid w:val="0"/>
        </w:rPr>
        <w:t xml:space="preserve">and improved </w:t>
      </w:r>
      <w:r w:rsidR="00F938A4" w:rsidRPr="00F938A4">
        <w:rPr>
          <w:rFonts w:cs="Calibri"/>
          <w:bCs/>
          <w:lang w:val="en-GB"/>
        </w:rPr>
        <w:t>management of conjunctivitis</w:t>
      </w:r>
      <w:r w:rsidR="00C264B8" w:rsidRPr="00C264B8">
        <w:rPr>
          <w:rFonts w:cs="Calibri"/>
          <w:bCs/>
          <w:lang w:val="en-GB"/>
        </w:rPr>
        <w:t>.</w:t>
      </w:r>
    </w:p>
    <w:p w14:paraId="4EDBCA20" w14:textId="4208E31B" w:rsidR="00134228" w:rsidRPr="00193BE3" w:rsidRDefault="00877D48">
      <w:pPr>
        <w:widowControl w:val="0"/>
        <w:numPr>
          <w:ilvl w:val="1"/>
          <w:numId w:val="1"/>
        </w:numPr>
        <w:spacing w:after="120"/>
        <w:rPr>
          <w:rFonts w:cs="Calibri"/>
          <w:bCs/>
          <w:snapToGrid w:val="0"/>
        </w:rPr>
      </w:pPr>
      <w:r w:rsidRPr="00193BE3">
        <w:rPr>
          <w:rFonts w:cs="Calibri"/>
          <w:bCs/>
          <w:snapToGrid w:val="0"/>
        </w:rPr>
        <w:t xml:space="preserve">The clinician noted </w:t>
      </w:r>
      <w:r w:rsidR="00C04849" w:rsidRPr="00193BE3">
        <w:rPr>
          <w:rFonts w:cs="Calibri"/>
          <w:bCs/>
          <w:snapToGrid w:val="0"/>
        </w:rPr>
        <w:t xml:space="preserve">that although </w:t>
      </w:r>
      <w:r w:rsidR="002163C0" w:rsidRPr="00193BE3">
        <w:rPr>
          <w:rFonts w:cs="Calibri"/>
          <w:bCs/>
          <w:snapToGrid w:val="0"/>
        </w:rPr>
        <w:t>the</w:t>
      </w:r>
      <w:r w:rsidR="008256CA" w:rsidRPr="00193BE3">
        <w:rPr>
          <w:rFonts w:cs="Calibri"/>
          <w:bCs/>
          <w:snapToGrid w:val="0"/>
        </w:rPr>
        <w:t xml:space="preserve">re is limited data </w:t>
      </w:r>
      <w:r w:rsidR="00D30A30">
        <w:rPr>
          <w:rFonts w:cs="Calibri"/>
          <w:bCs/>
          <w:snapToGrid w:val="0"/>
        </w:rPr>
        <w:t xml:space="preserve">directly </w:t>
      </w:r>
      <w:r w:rsidR="008256CA" w:rsidRPr="00193BE3">
        <w:rPr>
          <w:rFonts w:cs="Calibri"/>
          <w:bCs/>
          <w:snapToGrid w:val="0"/>
        </w:rPr>
        <w:t xml:space="preserve">comparing </w:t>
      </w:r>
      <w:r w:rsidR="00511E3D">
        <w:rPr>
          <w:rFonts w:cs="Calibri"/>
          <w:bCs/>
          <w:snapToGrid w:val="0"/>
        </w:rPr>
        <w:t xml:space="preserve">DUPI </w:t>
      </w:r>
      <w:r w:rsidR="00AF76D1" w:rsidRPr="00193BE3">
        <w:rPr>
          <w:rFonts w:cs="Calibri"/>
          <w:bCs/>
          <w:snapToGrid w:val="0"/>
        </w:rPr>
        <w:t xml:space="preserve">and </w:t>
      </w:r>
      <w:r w:rsidR="00511E3D">
        <w:rPr>
          <w:rFonts w:cs="Calibri"/>
          <w:bCs/>
          <w:snapToGrid w:val="0"/>
        </w:rPr>
        <w:t>NEMO</w:t>
      </w:r>
      <w:r w:rsidR="00C04849" w:rsidRPr="00193BE3">
        <w:rPr>
          <w:rFonts w:cs="Calibri"/>
          <w:bCs/>
          <w:snapToGrid w:val="0"/>
        </w:rPr>
        <w:t xml:space="preserve">, the evidence demonstrates that </w:t>
      </w:r>
      <w:r w:rsidR="000432E2">
        <w:rPr>
          <w:rFonts w:cs="Calibri"/>
          <w:bCs/>
          <w:snapToGrid w:val="0"/>
        </w:rPr>
        <w:t>NEMO</w:t>
      </w:r>
      <w:r w:rsidR="00C04849" w:rsidRPr="00193BE3">
        <w:rPr>
          <w:rFonts w:cs="Calibri"/>
          <w:bCs/>
          <w:snapToGrid w:val="0"/>
        </w:rPr>
        <w:t xml:space="preserve"> </w:t>
      </w:r>
      <w:r w:rsidR="00D06B11">
        <w:rPr>
          <w:rFonts w:cs="Calibri"/>
          <w:bCs/>
          <w:snapToGrid w:val="0"/>
        </w:rPr>
        <w:t xml:space="preserve">has the same </w:t>
      </w:r>
      <w:r w:rsidR="00C04849" w:rsidRPr="00193BE3">
        <w:rPr>
          <w:rFonts w:cs="Calibri"/>
          <w:bCs/>
          <w:snapToGrid w:val="0"/>
        </w:rPr>
        <w:t xml:space="preserve">outcomes at Week 24 </w:t>
      </w:r>
      <w:r w:rsidR="0033143D">
        <w:rPr>
          <w:rFonts w:cs="Calibri"/>
          <w:bCs/>
          <w:snapToGrid w:val="0"/>
        </w:rPr>
        <w:t xml:space="preserve">when given an extra dose at Week 20, </w:t>
      </w:r>
      <w:r w:rsidR="00D06B11">
        <w:rPr>
          <w:rFonts w:cs="Calibri"/>
          <w:bCs/>
          <w:snapToGrid w:val="0"/>
        </w:rPr>
        <w:t xml:space="preserve">compared to </w:t>
      </w:r>
      <w:r w:rsidR="00511E3D">
        <w:rPr>
          <w:rFonts w:cs="Calibri"/>
          <w:bCs/>
          <w:snapToGrid w:val="0"/>
        </w:rPr>
        <w:t xml:space="preserve">DUPI </w:t>
      </w:r>
      <w:r w:rsidR="00193BE3" w:rsidRPr="00193BE3">
        <w:rPr>
          <w:rFonts w:cs="Calibri"/>
          <w:bCs/>
          <w:snapToGrid w:val="0"/>
        </w:rPr>
        <w:t xml:space="preserve">at </w:t>
      </w:r>
      <w:r w:rsidR="003F56BA">
        <w:rPr>
          <w:rFonts w:cs="Calibri"/>
          <w:bCs/>
          <w:snapToGrid w:val="0"/>
        </w:rPr>
        <w:t>W</w:t>
      </w:r>
      <w:r w:rsidR="00C04849" w:rsidRPr="00193BE3">
        <w:rPr>
          <w:rFonts w:cs="Calibri"/>
          <w:bCs/>
          <w:snapToGrid w:val="0"/>
        </w:rPr>
        <w:t>eek 16.</w:t>
      </w:r>
      <w:r w:rsidR="008256CA" w:rsidRPr="00193BE3">
        <w:rPr>
          <w:rFonts w:cs="Calibri"/>
          <w:bCs/>
          <w:snapToGrid w:val="0"/>
        </w:rPr>
        <w:t xml:space="preserve"> </w:t>
      </w:r>
      <w:r w:rsidR="008D7DF3">
        <w:rPr>
          <w:rFonts w:cs="Calibri"/>
          <w:bCs/>
          <w:snapToGrid w:val="0"/>
        </w:rPr>
        <w:t>Furthermore, the clinician stated</w:t>
      </w:r>
      <w:r w:rsidR="00AC30B9">
        <w:rPr>
          <w:rFonts w:cs="Calibri"/>
          <w:bCs/>
          <w:snapToGrid w:val="0"/>
        </w:rPr>
        <w:t xml:space="preserve"> </w:t>
      </w:r>
      <w:r w:rsidR="008D779F" w:rsidRPr="00193BE3">
        <w:rPr>
          <w:rFonts w:cs="Calibri"/>
          <w:bCs/>
          <w:snapToGrid w:val="0"/>
        </w:rPr>
        <w:t>it is plausible and reasonable for the inclusion of an extended induction period</w:t>
      </w:r>
      <w:r w:rsidR="007A2275" w:rsidRPr="00193BE3">
        <w:rPr>
          <w:rFonts w:cs="Calibri"/>
          <w:bCs/>
          <w:snapToGrid w:val="0"/>
        </w:rPr>
        <w:t xml:space="preserve"> </w:t>
      </w:r>
      <w:r w:rsidR="007425E6">
        <w:rPr>
          <w:rFonts w:cs="Calibri"/>
          <w:bCs/>
          <w:snapToGrid w:val="0"/>
        </w:rPr>
        <w:t xml:space="preserve">from Week 16 </w:t>
      </w:r>
      <w:r w:rsidR="007A2275" w:rsidRPr="00193BE3">
        <w:rPr>
          <w:rFonts w:cs="Calibri"/>
          <w:bCs/>
          <w:snapToGrid w:val="0"/>
        </w:rPr>
        <w:t xml:space="preserve">for </w:t>
      </w:r>
      <w:r w:rsidR="00200E26">
        <w:rPr>
          <w:rFonts w:cs="Calibri"/>
          <w:bCs/>
          <w:snapToGrid w:val="0"/>
        </w:rPr>
        <w:t xml:space="preserve">NEMO </w:t>
      </w:r>
      <w:r w:rsidR="006F7057" w:rsidRPr="00193BE3">
        <w:rPr>
          <w:rFonts w:cs="Calibri"/>
          <w:bCs/>
          <w:snapToGrid w:val="0"/>
        </w:rPr>
        <w:t xml:space="preserve">to allow a group of patients </w:t>
      </w:r>
      <w:r w:rsidR="00572A07" w:rsidRPr="00193BE3">
        <w:rPr>
          <w:rFonts w:cs="Calibri"/>
          <w:bCs/>
          <w:snapToGrid w:val="0"/>
        </w:rPr>
        <w:t xml:space="preserve">who are </w:t>
      </w:r>
      <w:r w:rsidR="006F7057" w:rsidRPr="00193BE3">
        <w:rPr>
          <w:rFonts w:cs="Calibri"/>
          <w:bCs/>
          <w:snapToGrid w:val="0"/>
        </w:rPr>
        <w:t xml:space="preserve">at risk </w:t>
      </w:r>
      <w:r w:rsidR="001F5E45">
        <w:rPr>
          <w:rFonts w:cs="Calibri"/>
          <w:bCs/>
          <w:snapToGrid w:val="0"/>
        </w:rPr>
        <w:t>of</w:t>
      </w:r>
      <w:r w:rsidR="001F5E45" w:rsidRPr="00193BE3">
        <w:rPr>
          <w:rFonts w:cs="Calibri"/>
          <w:bCs/>
          <w:snapToGrid w:val="0"/>
        </w:rPr>
        <w:t xml:space="preserve"> </w:t>
      </w:r>
      <w:r w:rsidR="006F7057" w:rsidRPr="00193BE3">
        <w:rPr>
          <w:rFonts w:cs="Calibri"/>
          <w:bCs/>
          <w:snapToGrid w:val="0"/>
        </w:rPr>
        <w:t>not responding</w:t>
      </w:r>
      <w:r w:rsidR="008256CA" w:rsidRPr="00193BE3">
        <w:rPr>
          <w:rFonts w:cs="Calibri"/>
          <w:bCs/>
          <w:snapToGrid w:val="0"/>
        </w:rPr>
        <w:t xml:space="preserve"> </w:t>
      </w:r>
      <w:r w:rsidR="006F7057" w:rsidRPr="00193BE3">
        <w:rPr>
          <w:rFonts w:cs="Calibri"/>
          <w:bCs/>
          <w:snapToGrid w:val="0"/>
        </w:rPr>
        <w:t>to treatment</w:t>
      </w:r>
      <w:r w:rsidR="00572A07" w:rsidRPr="00193BE3">
        <w:rPr>
          <w:rFonts w:cs="Calibri"/>
          <w:bCs/>
          <w:snapToGrid w:val="0"/>
        </w:rPr>
        <w:t xml:space="preserve"> to demonstrate a response at 24 weeks</w:t>
      </w:r>
      <w:r w:rsidR="00755E14" w:rsidRPr="00193BE3">
        <w:rPr>
          <w:rFonts w:cs="Calibri"/>
          <w:bCs/>
          <w:snapToGrid w:val="0"/>
        </w:rPr>
        <w:t xml:space="preserve">. </w:t>
      </w:r>
    </w:p>
    <w:p w14:paraId="679B268F" w14:textId="2DEA73A4" w:rsidR="000B5635" w:rsidRPr="006E1229" w:rsidRDefault="000B5635" w:rsidP="000B5635">
      <w:pPr>
        <w:pStyle w:val="3-SubsectionHeading"/>
        <w:outlineLvl w:val="1"/>
        <w:rPr>
          <w:lang w:eastAsia="en-AU"/>
        </w:rPr>
      </w:pPr>
      <w:r w:rsidRPr="006E1229">
        <w:rPr>
          <w:lang w:eastAsia="en-AU"/>
        </w:rPr>
        <w:t>Consumer comments</w:t>
      </w:r>
    </w:p>
    <w:p w14:paraId="7FEDC31F" w14:textId="77777777" w:rsidR="00162A72" w:rsidRPr="00162A72" w:rsidRDefault="000B5635" w:rsidP="004F3FCB">
      <w:pPr>
        <w:pStyle w:val="3-BodyText"/>
        <w:rPr>
          <w:rFonts w:eastAsia="Times New Roman" w:cs="Arial"/>
          <w:bCs/>
          <w:snapToGrid w:val="0"/>
          <w:szCs w:val="24"/>
        </w:rPr>
      </w:pPr>
      <w:bookmarkStart w:id="23" w:name="_Hlk76382618"/>
      <w:r w:rsidRPr="00836F75">
        <w:rPr>
          <w:snapToGrid w:val="0"/>
        </w:rPr>
        <w:t>The PBAC noted and welcomed the input from health care professionals (1) and organisations (</w:t>
      </w:r>
      <w:r w:rsidR="00E206D4">
        <w:rPr>
          <w:snapToGrid w:val="0"/>
        </w:rPr>
        <w:t>3</w:t>
      </w:r>
      <w:r w:rsidRPr="00836F75">
        <w:rPr>
          <w:snapToGrid w:val="0"/>
        </w:rPr>
        <w:t>) via the Consumer Comments facility on the PBS website.</w:t>
      </w:r>
      <w:r w:rsidR="00E206D4">
        <w:rPr>
          <w:snapToGrid w:val="0"/>
        </w:rPr>
        <w:t xml:space="preserve"> </w:t>
      </w:r>
      <w:r w:rsidR="00756302" w:rsidRPr="00836F75">
        <w:rPr>
          <w:snapToGrid w:val="0"/>
        </w:rPr>
        <w:t xml:space="preserve">The PBAC noted </w:t>
      </w:r>
      <w:r w:rsidR="00D83C26">
        <w:rPr>
          <w:snapToGrid w:val="0"/>
        </w:rPr>
        <w:t xml:space="preserve">inputs </w:t>
      </w:r>
      <w:r w:rsidR="00756302" w:rsidRPr="00836F75">
        <w:rPr>
          <w:snapToGrid w:val="0"/>
        </w:rPr>
        <w:t>received from</w:t>
      </w:r>
      <w:r w:rsidR="00756302">
        <w:rPr>
          <w:snapToGrid w:val="0"/>
        </w:rPr>
        <w:t xml:space="preserve"> </w:t>
      </w:r>
      <w:r w:rsidR="00525039">
        <w:rPr>
          <w:snapToGrid w:val="0"/>
        </w:rPr>
        <w:t xml:space="preserve">the </w:t>
      </w:r>
      <w:r w:rsidR="00756302" w:rsidRPr="00BB7D9A">
        <w:rPr>
          <w:rFonts w:eastAsia="Times New Roman" w:cs="Arial"/>
          <w:snapToGrid w:val="0"/>
          <w:szCs w:val="24"/>
        </w:rPr>
        <w:t>Australasian College of Dermatologists (ACD)</w:t>
      </w:r>
      <w:r w:rsidR="00756302">
        <w:rPr>
          <w:snapToGrid w:val="0"/>
        </w:rPr>
        <w:t xml:space="preserve">, </w:t>
      </w:r>
      <w:r w:rsidR="00756302" w:rsidRPr="00BB7D9A">
        <w:rPr>
          <w:rFonts w:eastAsia="Times New Roman" w:cs="Arial"/>
          <w:snapToGrid w:val="0"/>
          <w:szCs w:val="24"/>
        </w:rPr>
        <w:t>Eczema Support Australia</w:t>
      </w:r>
      <w:r w:rsidR="00756302">
        <w:rPr>
          <w:snapToGrid w:val="0"/>
        </w:rPr>
        <w:t xml:space="preserve"> and a joint submission between </w:t>
      </w:r>
      <w:r w:rsidR="00756302" w:rsidRPr="00BB7D9A">
        <w:rPr>
          <w:rFonts w:eastAsia="Times New Roman" w:cs="Arial"/>
          <w:snapToGrid w:val="0"/>
          <w:szCs w:val="24"/>
        </w:rPr>
        <w:t>Allergy</w:t>
      </w:r>
      <w:r w:rsidR="00525039">
        <w:rPr>
          <w:rFonts w:eastAsia="Times New Roman" w:cs="Arial"/>
          <w:snapToGrid w:val="0"/>
          <w:szCs w:val="24"/>
        </w:rPr>
        <w:t xml:space="preserve"> </w:t>
      </w:r>
      <w:r w:rsidR="00756302" w:rsidRPr="00BB7D9A">
        <w:rPr>
          <w:rFonts w:eastAsia="Times New Roman" w:cs="Arial"/>
          <w:snapToGrid w:val="0"/>
          <w:szCs w:val="24"/>
        </w:rPr>
        <w:t xml:space="preserve">&amp; Anaphylaxis Australia, Australasian Society of Clinical Immunology and Allergy (ASCIA) and </w:t>
      </w:r>
      <w:r w:rsidR="00525039">
        <w:rPr>
          <w:rFonts w:eastAsia="Times New Roman" w:cs="Arial"/>
          <w:snapToGrid w:val="0"/>
          <w:szCs w:val="24"/>
        </w:rPr>
        <w:t xml:space="preserve">the </w:t>
      </w:r>
      <w:r w:rsidR="00756302" w:rsidRPr="00BB7D9A">
        <w:rPr>
          <w:rFonts w:eastAsia="Times New Roman" w:cs="Arial"/>
          <w:snapToGrid w:val="0"/>
          <w:szCs w:val="24"/>
        </w:rPr>
        <w:t>National Allergy Council</w:t>
      </w:r>
      <w:r w:rsidR="00525039">
        <w:rPr>
          <w:rFonts w:eastAsia="Times New Roman" w:cs="Arial"/>
          <w:snapToGrid w:val="0"/>
          <w:szCs w:val="24"/>
        </w:rPr>
        <w:t xml:space="preserve">, which were </w:t>
      </w:r>
      <w:r w:rsidR="00537DA1">
        <w:rPr>
          <w:rFonts w:eastAsia="Times New Roman" w:cs="Arial"/>
          <w:snapToGrid w:val="0"/>
          <w:szCs w:val="24"/>
        </w:rPr>
        <w:t>all in support of listing nemolizumab on the PBS</w:t>
      </w:r>
      <w:r w:rsidR="00756302">
        <w:rPr>
          <w:snapToGrid w:val="0"/>
        </w:rPr>
        <w:t>.</w:t>
      </w:r>
    </w:p>
    <w:p w14:paraId="59911F41" w14:textId="5F637113" w:rsidR="004F3FCB" w:rsidRPr="004F3FCB" w:rsidRDefault="00756302" w:rsidP="004F3FCB">
      <w:pPr>
        <w:pStyle w:val="3-BodyText"/>
        <w:rPr>
          <w:rFonts w:eastAsia="Times New Roman" w:cs="Arial"/>
          <w:bCs/>
          <w:snapToGrid w:val="0"/>
          <w:szCs w:val="24"/>
        </w:rPr>
      </w:pPr>
      <w:r>
        <w:rPr>
          <w:snapToGrid w:val="0"/>
        </w:rPr>
        <w:t xml:space="preserve">All </w:t>
      </w:r>
      <w:r w:rsidR="0069438E">
        <w:rPr>
          <w:snapToGrid w:val="0"/>
        </w:rPr>
        <w:t xml:space="preserve">inputs </w:t>
      </w:r>
      <w:r w:rsidR="007A718F">
        <w:rPr>
          <w:snapToGrid w:val="0"/>
        </w:rPr>
        <w:t xml:space="preserve">stated that atopic dermatitis </w:t>
      </w:r>
      <w:r w:rsidR="007A718F" w:rsidRPr="008B7D0A">
        <w:rPr>
          <w:bCs/>
          <w:snapToGrid w:val="0"/>
        </w:rPr>
        <w:t xml:space="preserve">can impact an individual’s ability to </w:t>
      </w:r>
      <w:r w:rsidR="0013215F">
        <w:rPr>
          <w:bCs/>
          <w:snapToGrid w:val="0"/>
        </w:rPr>
        <w:t xml:space="preserve">participate in </w:t>
      </w:r>
      <w:r w:rsidR="0013215F" w:rsidRPr="0013215F">
        <w:rPr>
          <w:bCs/>
          <w:snapToGrid w:val="0"/>
        </w:rPr>
        <w:t xml:space="preserve">social, work, and educational </w:t>
      </w:r>
      <w:r w:rsidR="0013215F">
        <w:rPr>
          <w:bCs/>
          <w:snapToGrid w:val="0"/>
        </w:rPr>
        <w:t>activities</w:t>
      </w:r>
      <w:r w:rsidR="00721AE3">
        <w:rPr>
          <w:bCs/>
          <w:snapToGrid w:val="0"/>
        </w:rPr>
        <w:t>.</w:t>
      </w:r>
      <w:r w:rsidR="004F5930">
        <w:rPr>
          <w:bCs/>
          <w:snapToGrid w:val="0"/>
        </w:rPr>
        <w:t xml:space="preserve"> </w:t>
      </w:r>
      <w:r w:rsidR="00721AE3" w:rsidRPr="008B7D0A">
        <w:rPr>
          <w:bCs/>
          <w:snapToGrid w:val="0"/>
        </w:rPr>
        <w:t>Itch is often cited as a major debilitating component of atopic dermatitis,</w:t>
      </w:r>
      <w:r w:rsidR="0013215F">
        <w:rPr>
          <w:bCs/>
          <w:snapToGrid w:val="0"/>
        </w:rPr>
        <w:t xml:space="preserve"> </w:t>
      </w:r>
      <w:r w:rsidR="004F5930" w:rsidRPr="008B7D0A">
        <w:rPr>
          <w:bCs/>
          <w:snapToGrid w:val="0"/>
        </w:rPr>
        <w:t xml:space="preserve">resulting in broken painful skin and an increased risk of infection </w:t>
      </w:r>
      <w:r w:rsidR="007A718F" w:rsidRPr="008B7D0A">
        <w:rPr>
          <w:bCs/>
          <w:snapToGrid w:val="0"/>
        </w:rPr>
        <w:t xml:space="preserve">often results in social isolation with poor sleep and low self-esteem contributing to a poor quality of life. </w:t>
      </w:r>
      <w:r w:rsidR="00196EA6">
        <w:rPr>
          <w:snapToGrid w:val="0"/>
        </w:rPr>
        <w:t>The inputs also noted the</w:t>
      </w:r>
      <w:r w:rsidR="00196EA6" w:rsidRPr="00196EA6">
        <w:t xml:space="preserve"> </w:t>
      </w:r>
      <w:r w:rsidR="00196EA6" w:rsidRPr="00196EA6">
        <w:rPr>
          <w:snapToGrid w:val="0"/>
        </w:rPr>
        <w:t xml:space="preserve">mental health struggle associated with their condition, including anxiety, self-image issues, and the sheer exhaustion and hopelessness it can bring. The emotional distress also extends to families. </w:t>
      </w:r>
      <w:r w:rsidR="005766BC">
        <w:rPr>
          <w:snapToGrid w:val="0"/>
        </w:rPr>
        <w:t>One of the inputs noted t</w:t>
      </w:r>
      <w:r w:rsidR="00196EA6" w:rsidRPr="00196EA6">
        <w:rPr>
          <w:snapToGrid w:val="0"/>
        </w:rPr>
        <w:t>here is a persistent frustration with the misconception that eczema is "just a rash" and that people "just grow out of it"</w:t>
      </w:r>
      <w:r w:rsidR="005766BC">
        <w:rPr>
          <w:snapToGrid w:val="0"/>
        </w:rPr>
        <w:t xml:space="preserve"> </w:t>
      </w:r>
      <w:proofErr w:type="gramStart"/>
      <w:r w:rsidR="005766BC">
        <w:rPr>
          <w:snapToGrid w:val="0"/>
        </w:rPr>
        <w:t xml:space="preserve">when in </w:t>
      </w:r>
      <w:r w:rsidR="00196EA6" w:rsidRPr="00196EA6">
        <w:rPr>
          <w:snapToGrid w:val="0"/>
        </w:rPr>
        <w:t>reality, it</w:t>
      </w:r>
      <w:proofErr w:type="gramEnd"/>
      <w:r w:rsidR="00196EA6" w:rsidRPr="00196EA6">
        <w:rPr>
          <w:snapToGrid w:val="0"/>
        </w:rPr>
        <w:t xml:space="preserve"> is a persistent, lifelong, and debilitating condition that affects individuals in vastly different ways.</w:t>
      </w:r>
    </w:p>
    <w:p w14:paraId="13FB8C9C" w14:textId="20D03E0B" w:rsidR="0035611A" w:rsidRPr="0035611A" w:rsidRDefault="0035455A" w:rsidP="0035611A">
      <w:pPr>
        <w:pStyle w:val="3-BodyText"/>
        <w:rPr>
          <w:snapToGrid w:val="0"/>
        </w:rPr>
      </w:pPr>
      <w:r>
        <w:rPr>
          <w:snapToGrid w:val="0"/>
        </w:rPr>
        <w:t>The inputs all noted t</w:t>
      </w:r>
      <w:r w:rsidRPr="0035611A">
        <w:rPr>
          <w:snapToGrid w:val="0"/>
        </w:rPr>
        <w:t xml:space="preserve">he </w:t>
      </w:r>
      <w:r>
        <w:rPr>
          <w:snapToGrid w:val="0"/>
        </w:rPr>
        <w:t xml:space="preserve">improvement to patient </w:t>
      </w:r>
      <w:r w:rsidRPr="0035611A">
        <w:rPr>
          <w:snapToGrid w:val="0"/>
        </w:rPr>
        <w:t xml:space="preserve">lives </w:t>
      </w:r>
      <w:r>
        <w:rPr>
          <w:snapToGrid w:val="0"/>
        </w:rPr>
        <w:t>through the current therapies</w:t>
      </w:r>
      <w:r w:rsidRPr="0035611A">
        <w:rPr>
          <w:snapToGrid w:val="0"/>
        </w:rPr>
        <w:t xml:space="preserve"> like biologics and JAK Inhibitors. </w:t>
      </w:r>
      <w:r w:rsidR="009216E0">
        <w:rPr>
          <w:snapToGrid w:val="0"/>
        </w:rPr>
        <w:t xml:space="preserve">Input also noted the risks to patient outcomes if supply or access issues emerge </w:t>
      </w:r>
      <w:r w:rsidR="006140CA">
        <w:rPr>
          <w:snapToGrid w:val="0"/>
        </w:rPr>
        <w:t>where there is only one biologic agent available for patient</w:t>
      </w:r>
      <w:r w:rsidR="00220E63">
        <w:rPr>
          <w:snapToGrid w:val="0"/>
        </w:rPr>
        <w:t xml:space="preserve">s and argued </w:t>
      </w:r>
      <w:r w:rsidR="00DA239F">
        <w:rPr>
          <w:snapToGrid w:val="0"/>
        </w:rPr>
        <w:t xml:space="preserve">there is a </w:t>
      </w:r>
      <w:r w:rsidR="00196EA6">
        <w:rPr>
          <w:snapToGrid w:val="0"/>
        </w:rPr>
        <w:t>n</w:t>
      </w:r>
      <w:r w:rsidR="00196EA6" w:rsidRPr="0032087F">
        <w:rPr>
          <w:snapToGrid w:val="0"/>
        </w:rPr>
        <w:t>eed for alternative treatments</w:t>
      </w:r>
      <w:r w:rsidR="00196EA6" w:rsidRPr="00BB7D9A">
        <w:rPr>
          <w:rFonts w:eastAsia="Times New Roman" w:cs="Arial"/>
          <w:snapToGrid w:val="0"/>
          <w:szCs w:val="24"/>
        </w:rPr>
        <w:t xml:space="preserve"> </w:t>
      </w:r>
      <w:r w:rsidR="00196EA6">
        <w:rPr>
          <w:snapToGrid w:val="0"/>
        </w:rPr>
        <w:t>for atopic dermatitis</w:t>
      </w:r>
      <w:r w:rsidR="004D4A4A">
        <w:rPr>
          <w:snapToGrid w:val="0"/>
        </w:rPr>
        <w:t xml:space="preserve"> </w:t>
      </w:r>
      <w:r w:rsidR="003B0125">
        <w:rPr>
          <w:snapToGrid w:val="0"/>
        </w:rPr>
        <w:t>f</w:t>
      </w:r>
      <w:r w:rsidR="004D4A4A" w:rsidRPr="004522DB">
        <w:rPr>
          <w:rFonts w:cs="Arial"/>
          <w:bCs/>
          <w:snapToGrid w:val="0"/>
        </w:rPr>
        <w:t>or patients who do not get a good or complete response to currently available treatments</w:t>
      </w:r>
      <w:r w:rsidR="004D4A4A">
        <w:rPr>
          <w:rFonts w:cs="Arial"/>
          <w:bCs/>
          <w:snapToGrid w:val="0"/>
        </w:rPr>
        <w:t xml:space="preserve">. </w:t>
      </w:r>
      <w:r w:rsidR="00A413AD">
        <w:rPr>
          <w:rFonts w:cs="Arial"/>
          <w:bCs/>
          <w:snapToGrid w:val="0"/>
        </w:rPr>
        <w:t xml:space="preserve">The inputs </w:t>
      </w:r>
      <w:r w:rsidR="00A413AD" w:rsidRPr="00842F49">
        <w:rPr>
          <w:rFonts w:cs="Arial"/>
          <w:bCs/>
          <w:snapToGrid w:val="0"/>
        </w:rPr>
        <w:t xml:space="preserve">noted NEMO </w:t>
      </w:r>
      <w:r w:rsidR="00AB72E4" w:rsidRPr="00842F49">
        <w:rPr>
          <w:snapToGrid w:val="0"/>
        </w:rPr>
        <w:t>ha</w:t>
      </w:r>
      <w:r w:rsidR="00A413AD" w:rsidRPr="00842F49">
        <w:rPr>
          <w:snapToGrid w:val="0"/>
        </w:rPr>
        <w:t>s</w:t>
      </w:r>
      <w:r w:rsidR="00AB72E4" w:rsidRPr="00842F49">
        <w:rPr>
          <w:snapToGrid w:val="0"/>
        </w:rPr>
        <w:t xml:space="preserve"> a </w:t>
      </w:r>
      <w:r w:rsidR="00196EA6" w:rsidRPr="00842F49">
        <w:rPr>
          <w:snapToGrid w:val="0"/>
        </w:rPr>
        <w:t>diff</w:t>
      </w:r>
      <w:r w:rsidR="00AB72E4" w:rsidRPr="00842F49">
        <w:rPr>
          <w:snapToGrid w:val="0"/>
        </w:rPr>
        <w:t>erent</w:t>
      </w:r>
      <w:r w:rsidR="00196EA6" w:rsidRPr="00842F49">
        <w:rPr>
          <w:snapToGrid w:val="0"/>
        </w:rPr>
        <w:t xml:space="preserve"> mechanism of action </w:t>
      </w:r>
      <w:r w:rsidR="007445DD">
        <w:rPr>
          <w:snapToGrid w:val="0"/>
        </w:rPr>
        <w:t xml:space="preserve">and safety profile </w:t>
      </w:r>
      <w:r w:rsidR="00D8575A">
        <w:rPr>
          <w:snapToGrid w:val="0"/>
        </w:rPr>
        <w:t xml:space="preserve">compared to </w:t>
      </w:r>
      <w:r w:rsidR="00842F49" w:rsidRPr="00842F49">
        <w:rPr>
          <w:snapToGrid w:val="0"/>
        </w:rPr>
        <w:t>other treatments currently available</w:t>
      </w:r>
      <w:r w:rsidR="00AB72E4" w:rsidRPr="00842F49">
        <w:rPr>
          <w:snapToGrid w:val="0"/>
        </w:rPr>
        <w:t xml:space="preserve">. The inputs </w:t>
      </w:r>
      <w:r w:rsidR="00AB72E4">
        <w:rPr>
          <w:snapToGrid w:val="0"/>
        </w:rPr>
        <w:t xml:space="preserve">noted </w:t>
      </w:r>
      <w:r w:rsidR="00064FAF">
        <w:rPr>
          <w:snapToGrid w:val="0"/>
        </w:rPr>
        <w:t xml:space="preserve">NEMO </w:t>
      </w:r>
      <w:r w:rsidR="00196EA6" w:rsidRPr="00196EA6">
        <w:rPr>
          <w:snapToGrid w:val="0"/>
        </w:rPr>
        <w:lastRenderedPageBreak/>
        <w:t xml:space="preserve">may assist with improved management and therefore, improve quality of life, for some people with severe atopic dermatitis, </w:t>
      </w:r>
      <w:r w:rsidR="00C7437F">
        <w:rPr>
          <w:snapToGrid w:val="0"/>
        </w:rPr>
        <w:t xml:space="preserve">particularly </w:t>
      </w:r>
      <w:r w:rsidR="00196EA6" w:rsidRPr="00196EA6">
        <w:rPr>
          <w:snapToGrid w:val="0"/>
        </w:rPr>
        <w:t xml:space="preserve">those who have tried other treatments. </w:t>
      </w:r>
    </w:p>
    <w:p w14:paraId="17B31FBA" w14:textId="006E1C7E" w:rsidR="000C1F0D" w:rsidRPr="00985720" w:rsidRDefault="004F3FCB" w:rsidP="00985720">
      <w:pPr>
        <w:pStyle w:val="3-BodyText"/>
        <w:rPr>
          <w:snapToGrid w:val="0"/>
        </w:rPr>
      </w:pPr>
      <w:r w:rsidRPr="00827FB2">
        <w:rPr>
          <w:snapToGrid w:val="0"/>
        </w:rPr>
        <w:t xml:space="preserve">Eczema Support Australia </w:t>
      </w:r>
      <w:r w:rsidR="00827FB2" w:rsidRPr="00827FB2">
        <w:rPr>
          <w:snapToGrid w:val="0"/>
        </w:rPr>
        <w:t>noted that e</w:t>
      </w:r>
      <w:r w:rsidRPr="00827FB2">
        <w:rPr>
          <w:rFonts w:eastAsia="Times New Roman" w:cs="Arial"/>
          <w:bCs/>
          <w:snapToGrid w:val="0"/>
          <w:szCs w:val="24"/>
        </w:rPr>
        <w:t>ven where trials show similar outcomes, differences in tolerability, symptom relief (especially itch), and safety profiles—such as with nemolizumab</w:t>
      </w:r>
      <w:r w:rsidR="00827FB2">
        <w:rPr>
          <w:rFonts w:eastAsia="Times New Roman" w:cs="Arial"/>
          <w:bCs/>
          <w:snapToGrid w:val="0"/>
          <w:szCs w:val="24"/>
        </w:rPr>
        <w:t xml:space="preserve">, </w:t>
      </w:r>
      <w:r w:rsidRPr="00827FB2">
        <w:rPr>
          <w:rFonts w:eastAsia="Times New Roman" w:cs="Arial"/>
          <w:bCs/>
          <w:snapToGrid w:val="0"/>
          <w:szCs w:val="24"/>
        </w:rPr>
        <w:t>can</w:t>
      </w:r>
      <w:r w:rsidR="00827FB2">
        <w:rPr>
          <w:rFonts w:eastAsia="Times New Roman" w:cs="Arial"/>
          <w:bCs/>
          <w:snapToGrid w:val="0"/>
          <w:szCs w:val="24"/>
        </w:rPr>
        <w:t xml:space="preserve"> </w:t>
      </w:r>
      <w:r w:rsidRPr="00827FB2">
        <w:rPr>
          <w:rFonts w:eastAsia="Times New Roman" w:cs="Arial"/>
          <w:bCs/>
          <w:snapToGrid w:val="0"/>
          <w:szCs w:val="24"/>
        </w:rPr>
        <w:t>be significant to patients. These lived experiences and values are not always captured in clinical metrics but are vital to real-world care</w:t>
      </w:r>
      <w:r w:rsidR="00827FB2">
        <w:rPr>
          <w:rFonts w:eastAsia="Times New Roman" w:cs="Arial"/>
          <w:bCs/>
          <w:snapToGrid w:val="0"/>
          <w:szCs w:val="24"/>
        </w:rPr>
        <w:t>.</w:t>
      </w:r>
      <w:bookmarkStart w:id="24" w:name="_Hlk97141415"/>
    </w:p>
    <w:bookmarkEnd w:id="17"/>
    <w:bookmarkEnd w:id="23"/>
    <w:bookmarkEnd w:id="24"/>
    <w:p w14:paraId="6CEFDB0B" w14:textId="77777777" w:rsidR="00D85532" w:rsidRPr="00D54FD0" w:rsidRDefault="00D85532" w:rsidP="00D85532">
      <w:pPr>
        <w:pStyle w:val="4-SubsectionHeading"/>
      </w:pPr>
      <w:r w:rsidRPr="00D54FD0">
        <w:t>Clinical trials</w:t>
      </w:r>
      <w:bookmarkEnd w:id="16"/>
      <w:bookmarkEnd w:id="18"/>
      <w:bookmarkEnd w:id="19"/>
      <w:bookmarkEnd w:id="20"/>
      <w:bookmarkEnd w:id="21"/>
    </w:p>
    <w:p w14:paraId="48B33366" w14:textId="7E8742D7" w:rsidR="00D85532" w:rsidRPr="000409F2" w:rsidRDefault="00D85532" w:rsidP="00D85532">
      <w:pPr>
        <w:pStyle w:val="3-BodyText"/>
        <w:rPr>
          <w:color w:val="0066FF"/>
        </w:rPr>
      </w:pPr>
      <w:r w:rsidRPr="000409F2">
        <w:t>No head-to-head trials comparing NEMO and DUPI were available. Instead, indirect treatment comparisons (ITCs), using the Bucher methodology</w:t>
      </w:r>
      <w:r w:rsidR="008932A5" w:rsidRPr="000409F2">
        <w:t xml:space="preserve"> </w:t>
      </w:r>
      <w:r w:rsidRPr="000409F2">
        <w:t xml:space="preserve">via placebo as the common reference group, were used to support the submission’s claim of non-inferior efficacy and safety. The trials included in the ITCs were: </w:t>
      </w:r>
    </w:p>
    <w:p w14:paraId="1DC7BA61" w14:textId="77777777" w:rsidR="00D85532" w:rsidRPr="000409F2" w:rsidRDefault="00D85532" w:rsidP="00753218">
      <w:pPr>
        <w:pStyle w:val="3-BodyText"/>
        <w:numPr>
          <w:ilvl w:val="1"/>
          <w:numId w:val="9"/>
        </w:numPr>
        <w:ind w:left="1134"/>
        <w:rPr>
          <w:color w:val="0066FF"/>
        </w:rPr>
      </w:pPr>
      <w:r w:rsidRPr="000409F2">
        <w:t xml:space="preserve">Four NEMO trials: ARCADIA 1 (N = 941), ARCADIA 2 (N = 787), ARCADIA CYLO (N = 276), and Study 114322 (N = 114). </w:t>
      </w:r>
    </w:p>
    <w:p w14:paraId="1245EB6A" w14:textId="69A41C46" w:rsidR="00D85532" w:rsidRPr="000409F2" w:rsidRDefault="00D85532" w:rsidP="00753218">
      <w:pPr>
        <w:pStyle w:val="3-BodyText"/>
        <w:numPr>
          <w:ilvl w:val="1"/>
          <w:numId w:val="9"/>
        </w:numPr>
        <w:ind w:left="1134"/>
        <w:rPr>
          <w:color w:val="0066FF"/>
        </w:rPr>
      </w:pPr>
      <w:r w:rsidRPr="000409F2">
        <w:t>Three DUPI trials: CAFÉ (N = 215), CHRONOS (N = 421), and JADE COMPARE (N = 373). These trials have previously been seen by the PBAC in the DUPI, UPA, LEB and ABRO submissions</w:t>
      </w:r>
      <w:r w:rsidRPr="000409F2">
        <w:rPr>
          <w:rFonts w:cstheme="minorHAnsi"/>
          <w:szCs w:val="24"/>
        </w:rPr>
        <w:t>.</w:t>
      </w:r>
    </w:p>
    <w:p w14:paraId="1F65029F" w14:textId="57F365CC" w:rsidR="00D85532" w:rsidRPr="000409F2" w:rsidRDefault="00D85532" w:rsidP="00D85532">
      <w:pPr>
        <w:pStyle w:val="3-BodyText"/>
      </w:pPr>
      <w:r w:rsidRPr="000409F2">
        <w:t xml:space="preserve">The included NEMO and DUPI trials all enrolled patients with moderate to severe AD, which </w:t>
      </w:r>
      <w:r w:rsidR="008040A6" w:rsidRPr="000409F2">
        <w:t xml:space="preserve">is </w:t>
      </w:r>
      <w:r w:rsidRPr="000409F2">
        <w:t xml:space="preserve">broader than the proposed PBS population of severe AD </w:t>
      </w:r>
      <w:r w:rsidR="00CA1FAE" w:rsidRPr="000409F2">
        <w:t>only</w:t>
      </w:r>
      <w:r w:rsidR="00AF3251" w:rsidRPr="000409F2">
        <w:t xml:space="preserve"> and</w:t>
      </w:r>
      <w:r w:rsidRPr="000409F2">
        <w:t xml:space="preserve"> defi</w:t>
      </w:r>
      <w:r w:rsidR="00383497" w:rsidRPr="000409F2">
        <w:t>n</w:t>
      </w:r>
      <w:r w:rsidRPr="000409F2">
        <w:t xml:space="preserve">ed as an EASI score ≥ 20 and an PGA/Investigator’s Global Assessment (IGA) score of 4. Subgroup analyses of patients with severe AD of the NEMO trials were presented. But corresponding severe AD subgroup analyses in the included DUPI trials were not performed due to the lack of data. Therefore, comparative evidence of NEMO versus DUPI in severe AD patients was not presented. </w:t>
      </w:r>
    </w:p>
    <w:p w14:paraId="012261B0" w14:textId="21645EAB" w:rsidR="00D85532" w:rsidRPr="000409F2" w:rsidRDefault="00D85532" w:rsidP="00D85532">
      <w:pPr>
        <w:pStyle w:val="3-BodyText"/>
      </w:pPr>
      <w:r w:rsidRPr="000409F2">
        <w:t>ARCADIA CYLCO and CAFÉ were included in the ITCs for safety but not in the ITCs for efficacy, as these trials enrolled patients who had previously been treated with systemic cyclosporine A (</w:t>
      </w:r>
      <w:proofErr w:type="spellStart"/>
      <w:r w:rsidRPr="000409F2">
        <w:t>CsA</w:t>
      </w:r>
      <w:proofErr w:type="spellEnd"/>
      <w:r w:rsidRPr="000409F2">
        <w:t xml:space="preserve">). This appeared reasonable as, in Australian clinical practice, the use of systemic immunosuppressive therapies is </w:t>
      </w:r>
      <w:r w:rsidR="001A314A">
        <w:t xml:space="preserve">only prescribed </w:t>
      </w:r>
      <w:r w:rsidRPr="000409F2">
        <w:t>to patients who have exhausted biological options and data from the 10% PBS sample indicate that their use is low in the target population.</w:t>
      </w:r>
    </w:p>
    <w:p w14:paraId="1F0A3AD6" w14:textId="42FD2A8F" w:rsidR="00D85532" w:rsidRPr="000409F2" w:rsidRDefault="00D85532" w:rsidP="00D85532">
      <w:pPr>
        <w:pStyle w:val="3-BodyText"/>
      </w:pPr>
      <w:r w:rsidRPr="000409F2">
        <w:t>As all NEMO trials included background therapy with TCS</w:t>
      </w:r>
      <w:r w:rsidR="00B6076B">
        <w:t>s</w:t>
      </w:r>
      <w:r w:rsidR="00B557E1" w:rsidRPr="000409F2">
        <w:t xml:space="preserve"> </w:t>
      </w:r>
      <w:r w:rsidR="00B6076B">
        <w:t>and</w:t>
      </w:r>
      <w:r w:rsidRPr="000409F2">
        <w:t>/</w:t>
      </w:r>
      <w:r w:rsidR="00B6076B">
        <w:t>or</w:t>
      </w:r>
      <w:r w:rsidR="00B557E1" w:rsidRPr="000409F2">
        <w:t xml:space="preserve"> </w:t>
      </w:r>
      <w:r w:rsidRPr="000409F2">
        <w:t>TCI</w:t>
      </w:r>
      <w:r w:rsidR="00B6076B">
        <w:t>s</w:t>
      </w:r>
      <w:r w:rsidRPr="000409F2">
        <w:t xml:space="preserve">, the DUPI trials used to inform </w:t>
      </w:r>
      <w:r w:rsidR="006662BB" w:rsidRPr="000409F2">
        <w:t xml:space="preserve">the </w:t>
      </w:r>
      <w:r w:rsidRPr="000409F2">
        <w:t>ITCs were restricted to those in which concomitant therapy with TCS was allowed. This was appropriate and reduced the transitivity concerns to some extent. The inclusion of DUPI trials without background therapy with TCS</w:t>
      </w:r>
      <w:r w:rsidR="00B6076B">
        <w:t>s</w:t>
      </w:r>
      <w:r w:rsidRPr="000409F2">
        <w:t xml:space="preserve"> (such as SOLO 1 and SOLO 2) would </w:t>
      </w:r>
      <w:r w:rsidR="006662BB" w:rsidRPr="000409F2">
        <w:t xml:space="preserve">have </w:t>
      </w:r>
      <w:r w:rsidRPr="000409F2">
        <w:t>bias</w:t>
      </w:r>
      <w:r w:rsidR="006662BB" w:rsidRPr="000409F2">
        <w:t>ed</w:t>
      </w:r>
      <w:r w:rsidRPr="000409F2">
        <w:t xml:space="preserve"> the ITC results in favour of DUPI.</w:t>
      </w:r>
    </w:p>
    <w:p w14:paraId="667FE96D" w14:textId="0F10A816" w:rsidR="00D85532" w:rsidRPr="000409F2" w:rsidRDefault="00D85532" w:rsidP="00D85532">
      <w:pPr>
        <w:pStyle w:val="3-BodyText"/>
      </w:pPr>
      <w:r w:rsidRPr="000409F2">
        <w:t xml:space="preserve">Details of the trials presented in the submission are provided in </w:t>
      </w:r>
      <w:r w:rsidRPr="000409F2">
        <w:fldChar w:fldCharType="begin"/>
      </w:r>
      <w:r w:rsidRPr="000409F2">
        <w:instrText xml:space="preserve"> REF _Ref104803956 \h </w:instrText>
      </w:r>
      <w:r w:rsidR="000409F2" w:rsidRPr="000409F2">
        <w:instrText xml:space="preserve"> \* MERGEFORMAT </w:instrText>
      </w:r>
      <w:r w:rsidRPr="000409F2">
        <w:fldChar w:fldCharType="separate"/>
      </w:r>
      <w:r w:rsidR="00E5780E" w:rsidRPr="00D86D87">
        <w:t xml:space="preserve">Table </w:t>
      </w:r>
      <w:r w:rsidR="00E5780E">
        <w:rPr>
          <w:noProof/>
        </w:rPr>
        <w:t>2</w:t>
      </w:r>
      <w:r w:rsidRPr="000409F2">
        <w:fldChar w:fldCharType="end"/>
      </w:r>
      <w:r w:rsidRPr="000409F2">
        <w:t xml:space="preserve">. </w:t>
      </w:r>
    </w:p>
    <w:p w14:paraId="542ADD17" w14:textId="77777777" w:rsidR="00D85532" w:rsidRPr="00D86D87" w:rsidRDefault="00D85532" w:rsidP="00D85532">
      <w:pPr>
        <w:pStyle w:val="3-BodyText"/>
        <w:numPr>
          <w:ilvl w:val="0"/>
          <w:numId w:val="0"/>
        </w:numPr>
        <w:ind w:left="720"/>
      </w:pPr>
    </w:p>
    <w:p w14:paraId="0B709F77" w14:textId="0E68A592" w:rsidR="00D85532" w:rsidRPr="00D86D87" w:rsidRDefault="00D85532" w:rsidP="00D85532">
      <w:pPr>
        <w:pStyle w:val="TableFigureHeading"/>
        <w:rPr>
          <w:rStyle w:val="CommentReference"/>
          <w:b/>
          <w:szCs w:val="24"/>
        </w:rPr>
      </w:pPr>
      <w:bookmarkStart w:id="25" w:name="_Ref104803956"/>
      <w:r w:rsidRPr="00D86D87">
        <w:lastRenderedPageBreak/>
        <w:t xml:space="preserve">Table </w:t>
      </w:r>
      <w:r w:rsidR="00167892">
        <w:fldChar w:fldCharType="begin"/>
      </w:r>
      <w:r w:rsidR="00167892">
        <w:instrText xml:space="preserve"> SEQ Table \* ARABIC </w:instrText>
      </w:r>
      <w:r w:rsidR="00167892">
        <w:fldChar w:fldCharType="separate"/>
      </w:r>
      <w:r w:rsidR="00E5780E">
        <w:rPr>
          <w:noProof/>
        </w:rPr>
        <w:t>2</w:t>
      </w:r>
      <w:r w:rsidR="00167892">
        <w:rPr>
          <w:noProof/>
        </w:rPr>
        <w:fldChar w:fldCharType="end"/>
      </w:r>
      <w:bookmarkEnd w:id="25"/>
      <w:r w:rsidRPr="00D86D87">
        <w:t>:</w:t>
      </w:r>
      <w:r w:rsidRPr="00D86D87">
        <w:rPr>
          <w:rStyle w:val="CommentReference"/>
          <w:b/>
          <w:szCs w:val="24"/>
        </w:rPr>
        <w:t xml:space="preserve"> </w:t>
      </w:r>
      <w:r>
        <w:rPr>
          <w:rStyle w:val="CommentReference"/>
          <w:b/>
          <w:szCs w:val="24"/>
        </w:rPr>
        <w:t xml:space="preserve"> Key </w:t>
      </w:r>
      <w:r w:rsidRPr="00D86D87">
        <w:rPr>
          <w:rStyle w:val="CommentReference"/>
          <w:b/>
          <w:szCs w:val="24"/>
        </w:rPr>
        <w:t>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2:  Key Trials and associated reports presented in the submission"/>
      </w:tblPr>
      <w:tblGrid>
        <w:gridCol w:w="1434"/>
        <w:gridCol w:w="5933"/>
        <w:gridCol w:w="1650"/>
      </w:tblGrid>
      <w:tr w:rsidR="00D85532" w:rsidRPr="00D86D87" w14:paraId="3E9E3BD0" w14:textId="77777777" w:rsidTr="004513F3">
        <w:trPr>
          <w:cantSplit/>
          <w:tblHeader/>
        </w:trPr>
        <w:tc>
          <w:tcPr>
            <w:tcW w:w="795" w:type="pct"/>
            <w:vAlign w:val="center"/>
          </w:tcPr>
          <w:p w14:paraId="7AA23F1D" w14:textId="77777777" w:rsidR="00D85532" w:rsidRPr="00D86D87" w:rsidRDefault="00D85532" w:rsidP="0049217D">
            <w:pPr>
              <w:pStyle w:val="In-tableHeading"/>
              <w:jc w:val="center"/>
              <w:rPr>
                <w:lang w:val="en-AU"/>
              </w:rPr>
            </w:pPr>
            <w:r w:rsidRPr="00D86D87">
              <w:rPr>
                <w:lang w:val="en-AU"/>
              </w:rPr>
              <w:t>Trial ID</w:t>
            </w:r>
          </w:p>
        </w:tc>
        <w:tc>
          <w:tcPr>
            <w:tcW w:w="3290" w:type="pct"/>
            <w:vAlign w:val="center"/>
          </w:tcPr>
          <w:p w14:paraId="3D5C4627" w14:textId="77777777" w:rsidR="00D85532" w:rsidRPr="00D86D87" w:rsidRDefault="00D85532" w:rsidP="0049217D">
            <w:pPr>
              <w:pStyle w:val="In-tableHeading"/>
              <w:rPr>
                <w:lang w:val="en-AU"/>
              </w:rPr>
            </w:pPr>
            <w:r w:rsidRPr="00D86D87">
              <w:rPr>
                <w:lang w:val="en-AU"/>
              </w:rPr>
              <w:t>Protocol title/ Publication title</w:t>
            </w:r>
          </w:p>
        </w:tc>
        <w:tc>
          <w:tcPr>
            <w:tcW w:w="915" w:type="pct"/>
            <w:vAlign w:val="center"/>
          </w:tcPr>
          <w:p w14:paraId="17FC2182" w14:textId="77777777" w:rsidR="00D85532" w:rsidRPr="00D86D87" w:rsidRDefault="00D85532" w:rsidP="0049217D">
            <w:pPr>
              <w:pStyle w:val="In-tableHeading"/>
              <w:rPr>
                <w:lang w:val="en-AU"/>
              </w:rPr>
            </w:pPr>
            <w:r w:rsidRPr="00D86D87">
              <w:rPr>
                <w:lang w:val="en-AU"/>
              </w:rPr>
              <w:t>Publication citation</w:t>
            </w:r>
          </w:p>
        </w:tc>
      </w:tr>
      <w:tr w:rsidR="00D85532" w:rsidRPr="00D86D87" w14:paraId="02B7AFB3" w14:textId="77777777" w:rsidTr="00E7466A">
        <w:trPr>
          <w:cantSplit/>
        </w:trPr>
        <w:tc>
          <w:tcPr>
            <w:tcW w:w="5000" w:type="pct"/>
            <w:gridSpan w:val="3"/>
            <w:vAlign w:val="center"/>
          </w:tcPr>
          <w:p w14:paraId="57696E42" w14:textId="77777777" w:rsidR="00D85532" w:rsidRDefault="00D85532" w:rsidP="0049217D">
            <w:pPr>
              <w:pStyle w:val="TableText0"/>
            </w:pPr>
            <w:r w:rsidRPr="00031F92">
              <w:rPr>
                <w:b/>
                <w:bCs w:val="0"/>
                <w:szCs w:val="20"/>
              </w:rPr>
              <w:t>Nemolizumab</w:t>
            </w:r>
          </w:p>
        </w:tc>
      </w:tr>
      <w:tr w:rsidR="00D85532" w:rsidRPr="00D86D87" w14:paraId="1C8A8E7D" w14:textId="77777777" w:rsidTr="004513F3">
        <w:trPr>
          <w:cantSplit/>
        </w:trPr>
        <w:tc>
          <w:tcPr>
            <w:tcW w:w="795" w:type="pct"/>
            <w:vMerge w:val="restart"/>
            <w:vAlign w:val="center"/>
          </w:tcPr>
          <w:p w14:paraId="5BDC11B6" w14:textId="77777777" w:rsidR="00D85532" w:rsidRPr="00EC670D" w:rsidRDefault="00D85532" w:rsidP="0049217D">
            <w:pPr>
              <w:pStyle w:val="TableLeft"/>
              <w:keepNext/>
              <w:rPr>
                <w:rStyle w:val="Small"/>
                <w:rFonts w:ascii="Arial Narrow" w:hAnsi="Arial Narrow"/>
                <w:b/>
                <w:bCs/>
                <w:szCs w:val="20"/>
              </w:rPr>
            </w:pPr>
            <w:r w:rsidRPr="00EC670D">
              <w:rPr>
                <w:rStyle w:val="Small"/>
                <w:rFonts w:ascii="Arial Narrow" w:hAnsi="Arial Narrow"/>
                <w:b/>
                <w:bCs/>
                <w:szCs w:val="20"/>
              </w:rPr>
              <w:t>ARCADIA 1</w:t>
            </w:r>
          </w:p>
          <w:p w14:paraId="24A048FD" w14:textId="77777777" w:rsidR="00D85532" w:rsidRPr="00EC670D" w:rsidRDefault="00D85532" w:rsidP="0049217D">
            <w:pPr>
              <w:pStyle w:val="TableLeft"/>
              <w:keepNext/>
              <w:rPr>
                <w:rStyle w:val="Small"/>
                <w:rFonts w:ascii="Arial Narrow" w:hAnsi="Arial Narrow"/>
                <w:szCs w:val="20"/>
              </w:rPr>
            </w:pPr>
            <w:r w:rsidRPr="00EC670D">
              <w:rPr>
                <w:rStyle w:val="Small"/>
                <w:rFonts w:ascii="Arial Narrow" w:hAnsi="Arial Narrow"/>
                <w:szCs w:val="20"/>
              </w:rPr>
              <w:t>NCT03985943</w:t>
            </w:r>
          </w:p>
          <w:p w14:paraId="341CE289" w14:textId="77777777" w:rsidR="00D85532" w:rsidRPr="00EC670D" w:rsidRDefault="00D85532" w:rsidP="0049217D">
            <w:pPr>
              <w:pStyle w:val="TableLeft"/>
              <w:keepNext/>
              <w:rPr>
                <w:rStyle w:val="Small"/>
                <w:rFonts w:ascii="Arial Narrow" w:hAnsi="Arial Narrow"/>
                <w:szCs w:val="20"/>
              </w:rPr>
            </w:pPr>
          </w:p>
          <w:p w14:paraId="532B6654" w14:textId="77777777" w:rsidR="00D85532" w:rsidRPr="00EC670D" w:rsidRDefault="00D85532" w:rsidP="0049217D">
            <w:pPr>
              <w:pStyle w:val="TableLeft"/>
              <w:keepNext/>
              <w:rPr>
                <w:rStyle w:val="Small"/>
                <w:rFonts w:ascii="Arial Narrow" w:hAnsi="Arial Narrow"/>
                <w:b/>
                <w:bCs/>
                <w:szCs w:val="20"/>
              </w:rPr>
            </w:pPr>
            <w:r w:rsidRPr="00EC670D">
              <w:rPr>
                <w:rStyle w:val="Small"/>
                <w:rFonts w:ascii="Arial Narrow" w:hAnsi="Arial Narrow"/>
                <w:b/>
                <w:bCs/>
                <w:szCs w:val="20"/>
              </w:rPr>
              <w:t>ARCADIA 2</w:t>
            </w:r>
          </w:p>
          <w:p w14:paraId="43018613" w14:textId="77777777" w:rsidR="00D85532" w:rsidRPr="00EC670D" w:rsidRDefault="00D85532" w:rsidP="0049217D">
            <w:pPr>
              <w:pStyle w:val="TableText0"/>
              <w:rPr>
                <w:szCs w:val="20"/>
              </w:rPr>
            </w:pPr>
            <w:r w:rsidRPr="00EC670D">
              <w:rPr>
                <w:rStyle w:val="Small"/>
                <w:rFonts w:ascii="Arial Narrow" w:hAnsi="Arial Narrow"/>
                <w:szCs w:val="20"/>
              </w:rPr>
              <w:t>NCT03989349</w:t>
            </w:r>
          </w:p>
        </w:tc>
        <w:tc>
          <w:tcPr>
            <w:tcW w:w="3290" w:type="pct"/>
            <w:tcBorders>
              <w:bottom w:val="nil"/>
            </w:tcBorders>
            <w:vAlign w:val="center"/>
          </w:tcPr>
          <w:p w14:paraId="2C814D69" w14:textId="77777777" w:rsidR="00D85532" w:rsidRDefault="00D85532" w:rsidP="0049217D">
            <w:pPr>
              <w:pStyle w:val="TableText0"/>
            </w:pPr>
            <w:r>
              <w:t>ARCADIA 1 CSR (NCT03985943)</w:t>
            </w:r>
          </w:p>
          <w:p w14:paraId="77838C0F" w14:textId="77777777" w:rsidR="00D85532" w:rsidRDefault="00D85532" w:rsidP="0049217D">
            <w:pPr>
              <w:pStyle w:val="TableText0"/>
            </w:pPr>
            <w:r>
              <w:t>Efficacy and safety of nemolizumab in subjects with moderate-to-severe atopic dermatitis</w:t>
            </w:r>
          </w:p>
          <w:p w14:paraId="0CA11044" w14:textId="77777777" w:rsidR="00D85532" w:rsidRPr="00A75874" w:rsidRDefault="00D85532" w:rsidP="0049217D">
            <w:pPr>
              <w:pStyle w:val="TableText0"/>
              <w:rPr>
                <w:sz w:val="16"/>
                <w:szCs w:val="16"/>
              </w:rPr>
            </w:pPr>
          </w:p>
        </w:tc>
        <w:tc>
          <w:tcPr>
            <w:tcW w:w="915" w:type="pct"/>
            <w:tcBorders>
              <w:bottom w:val="nil"/>
            </w:tcBorders>
            <w:vAlign w:val="center"/>
          </w:tcPr>
          <w:p w14:paraId="19F9BB13" w14:textId="77777777" w:rsidR="00D85532" w:rsidRPr="00D86D87" w:rsidRDefault="00D85532" w:rsidP="0049217D">
            <w:pPr>
              <w:pStyle w:val="TableText0"/>
              <w:rPr>
                <w:rFonts w:ascii="Times" w:hAnsi="Times"/>
              </w:rPr>
            </w:pPr>
            <w:r>
              <w:t>18 September 2023</w:t>
            </w:r>
          </w:p>
        </w:tc>
      </w:tr>
      <w:tr w:rsidR="00D85532" w:rsidRPr="00D86D87" w14:paraId="78A84C2D" w14:textId="77777777" w:rsidTr="004513F3">
        <w:trPr>
          <w:cantSplit/>
        </w:trPr>
        <w:tc>
          <w:tcPr>
            <w:tcW w:w="795" w:type="pct"/>
            <w:vMerge/>
            <w:vAlign w:val="center"/>
          </w:tcPr>
          <w:p w14:paraId="0A8908F0" w14:textId="77777777" w:rsidR="00D85532" w:rsidRPr="00EC670D" w:rsidRDefault="00D85532" w:rsidP="0049217D">
            <w:pPr>
              <w:pStyle w:val="TableText0"/>
              <w:rPr>
                <w:szCs w:val="20"/>
              </w:rPr>
            </w:pPr>
          </w:p>
        </w:tc>
        <w:tc>
          <w:tcPr>
            <w:tcW w:w="3290" w:type="pct"/>
            <w:tcBorders>
              <w:top w:val="nil"/>
              <w:bottom w:val="nil"/>
            </w:tcBorders>
            <w:vAlign w:val="center"/>
          </w:tcPr>
          <w:p w14:paraId="46288327" w14:textId="77777777" w:rsidR="00D85532" w:rsidRDefault="00D85532" w:rsidP="0049217D">
            <w:pPr>
              <w:pStyle w:val="TableText0"/>
            </w:pPr>
            <w:r>
              <w:t>ARCADIA 2 CSR (NCT03989349)</w:t>
            </w:r>
          </w:p>
          <w:p w14:paraId="1B3C5034" w14:textId="77777777" w:rsidR="00D85532" w:rsidRDefault="00D85532" w:rsidP="0049217D">
            <w:pPr>
              <w:pStyle w:val="TableText0"/>
            </w:pPr>
            <w:r>
              <w:t>Efficacy &amp; safety of nemolizumab in subjects with moderate-to-severe atopic dermatitis</w:t>
            </w:r>
          </w:p>
          <w:p w14:paraId="73DD96FB" w14:textId="77777777" w:rsidR="00D85532" w:rsidRPr="00A75874" w:rsidRDefault="00D85532" w:rsidP="0049217D">
            <w:pPr>
              <w:pStyle w:val="TableText0"/>
              <w:rPr>
                <w:sz w:val="16"/>
                <w:szCs w:val="16"/>
              </w:rPr>
            </w:pPr>
          </w:p>
        </w:tc>
        <w:tc>
          <w:tcPr>
            <w:tcW w:w="915" w:type="pct"/>
            <w:tcBorders>
              <w:top w:val="nil"/>
              <w:bottom w:val="nil"/>
            </w:tcBorders>
            <w:vAlign w:val="center"/>
          </w:tcPr>
          <w:p w14:paraId="16F60EF3" w14:textId="77777777" w:rsidR="00D85532" w:rsidRPr="00C94DE2" w:rsidRDefault="00D85532" w:rsidP="0049217D">
            <w:pPr>
              <w:pStyle w:val="TableText0"/>
              <w:rPr>
                <w:iCs/>
              </w:rPr>
            </w:pPr>
            <w:r w:rsidRPr="00C94DE2">
              <w:rPr>
                <w:iCs/>
              </w:rPr>
              <w:t>19 September 2023</w:t>
            </w:r>
          </w:p>
        </w:tc>
      </w:tr>
      <w:tr w:rsidR="00D85532" w:rsidRPr="00D86D87" w14:paraId="2FEE586E" w14:textId="77777777" w:rsidTr="004513F3">
        <w:trPr>
          <w:cantSplit/>
        </w:trPr>
        <w:tc>
          <w:tcPr>
            <w:tcW w:w="795" w:type="pct"/>
            <w:vMerge/>
            <w:tcBorders>
              <w:bottom w:val="nil"/>
            </w:tcBorders>
            <w:vAlign w:val="center"/>
          </w:tcPr>
          <w:p w14:paraId="6B7F5A9F" w14:textId="77777777" w:rsidR="00D85532" w:rsidRPr="00EC670D" w:rsidRDefault="00D85532" w:rsidP="0049217D">
            <w:pPr>
              <w:pStyle w:val="TableText0"/>
              <w:rPr>
                <w:szCs w:val="20"/>
              </w:rPr>
            </w:pPr>
          </w:p>
        </w:tc>
        <w:tc>
          <w:tcPr>
            <w:tcW w:w="3290" w:type="pct"/>
            <w:tcBorders>
              <w:top w:val="nil"/>
              <w:bottom w:val="nil"/>
            </w:tcBorders>
            <w:vAlign w:val="center"/>
          </w:tcPr>
          <w:p w14:paraId="0FC484C5" w14:textId="77777777" w:rsidR="00D85532" w:rsidRPr="00D86D87" w:rsidRDefault="00D85532" w:rsidP="0049217D">
            <w:pPr>
              <w:pStyle w:val="TableText0"/>
            </w:pPr>
            <w:r w:rsidRPr="008F2587">
              <w:t>Silverberg, J. I., Wollenberg, A., et al</w:t>
            </w:r>
            <w:r w:rsidRPr="00D86D87">
              <w:t xml:space="preserve">. </w:t>
            </w:r>
            <w:r w:rsidRPr="008F2587">
              <w:t>Nemolizumab with concomitant topical therapy in adolescents and adults with moderate-to-severe atopic dermatitis (ARCADIA 1 and ARCADIA 2): results from two replicate, double-blind, randomised controlled phase 3 trials</w:t>
            </w:r>
            <w:r w:rsidRPr="00D86D87">
              <w:t>.</w:t>
            </w:r>
          </w:p>
        </w:tc>
        <w:tc>
          <w:tcPr>
            <w:tcW w:w="915" w:type="pct"/>
            <w:tcBorders>
              <w:top w:val="nil"/>
              <w:bottom w:val="nil"/>
            </w:tcBorders>
            <w:vAlign w:val="center"/>
          </w:tcPr>
          <w:p w14:paraId="0126288D" w14:textId="77777777" w:rsidR="00D85532" w:rsidRPr="00D86D87" w:rsidRDefault="00D85532" w:rsidP="0049217D">
            <w:pPr>
              <w:pStyle w:val="TableText0"/>
              <w:rPr>
                <w:i/>
              </w:rPr>
            </w:pPr>
            <w:r>
              <w:rPr>
                <w:i/>
              </w:rPr>
              <w:t>The Lancet</w:t>
            </w:r>
            <w:r w:rsidRPr="00D86D87">
              <w:t xml:space="preserve"> </w:t>
            </w:r>
            <w:r>
              <w:t>2024</w:t>
            </w:r>
            <w:r w:rsidRPr="006B2F91">
              <w:rPr>
                <w:iCs/>
              </w:rPr>
              <w:t xml:space="preserve">; </w:t>
            </w:r>
            <w:r w:rsidRPr="00EC3669">
              <w:rPr>
                <w:iCs/>
              </w:rPr>
              <w:t>404(10451) 445-460</w:t>
            </w:r>
          </w:p>
        </w:tc>
      </w:tr>
      <w:tr w:rsidR="00D85532" w:rsidRPr="00D86D87" w14:paraId="0B1C36EE" w14:textId="77777777" w:rsidTr="004513F3">
        <w:trPr>
          <w:cantSplit/>
        </w:trPr>
        <w:tc>
          <w:tcPr>
            <w:tcW w:w="795" w:type="pct"/>
            <w:vAlign w:val="center"/>
          </w:tcPr>
          <w:p w14:paraId="65C33812" w14:textId="77777777" w:rsidR="00D85532" w:rsidRPr="00EC670D" w:rsidRDefault="00D85532" w:rsidP="0049217D">
            <w:pPr>
              <w:pStyle w:val="TableLeft"/>
              <w:keepNext/>
              <w:rPr>
                <w:rStyle w:val="Small"/>
                <w:rFonts w:ascii="Arial Narrow" w:hAnsi="Arial Narrow"/>
                <w:b/>
                <w:bCs/>
                <w:szCs w:val="20"/>
              </w:rPr>
            </w:pPr>
            <w:r w:rsidRPr="00EC670D">
              <w:rPr>
                <w:rStyle w:val="Small"/>
                <w:rFonts w:ascii="Arial Narrow" w:hAnsi="Arial Narrow"/>
                <w:b/>
                <w:bCs/>
                <w:szCs w:val="20"/>
              </w:rPr>
              <w:t>ARCADIA CYCLO</w:t>
            </w:r>
          </w:p>
          <w:p w14:paraId="0D4AF427" w14:textId="77777777" w:rsidR="00D85532" w:rsidRPr="00EC670D" w:rsidRDefault="00D85532" w:rsidP="0049217D">
            <w:pPr>
              <w:pStyle w:val="TableLeft"/>
              <w:keepNext/>
              <w:rPr>
                <w:rStyle w:val="Small"/>
                <w:rFonts w:ascii="Arial Narrow" w:hAnsi="Arial Narrow"/>
                <w:szCs w:val="20"/>
              </w:rPr>
            </w:pPr>
            <w:r w:rsidRPr="00EC670D">
              <w:rPr>
                <w:rStyle w:val="Small"/>
                <w:rFonts w:ascii="Arial Narrow" w:hAnsi="Arial Narrow"/>
                <w:szCs w:val="20"/>
              </w:rPr>
              <w:t>NCT05056779</w:t>
            </w:r>
          </w:p>
          <w:p w14:paraId="0F8543A7" w14:textId="77777777" w:rsidR="00D85532" w:rsidRPr="00EC670D" w:rsidRDefault="00D85532" w:rsidP="0049217D">
            <w:pPr>
              <w:pStyle w:val="TableText0"/>
              <w:rPr>
                <w:szCs w:val="20"/>
              </w:rPr>
            </w:pPr>
            <w:r w:rsidRPr="00EC670D">
              <w:rPr>
                <w:rStyle w:val="Small"/>
                <w:rFonts w:ascii="Arial Narrow" w:hAnsi="Arial Narrow"/>
                <w:szCs w:val="20"/>
              </w:rPr>
              <w:t>EUCTR2021-002166-40</w:t>
            </w:r>
          </w:p>
        </w:tc>
        <w:tc>
          <w:tcPr>
            <w:tcW w:w="3290" w:type="pct"/>
            <w:tcBorders>
              <w:bottom w:val="nil"/>
            </w:tcBorders>
            <w:vAlign w:val="center"/>
          </w:tcPr>
          <w:p w14:paraId="06811C16" w14:textId="77777777" w:rsidR="00D85532" w:rsidRDefault="00D85532" w:rsidP="0049217D">
            <w:pPr>
              <w:pStyle w:val="TableText0"/>
            </w:pPr>
            <w:r>
              <w:t>ARCADIA CYCLO CSR</w:t>
            </w:r>
          </w:p>
          <w:p w14:paraId="221F373C" w14:textId="77777777" w:rsidR="00D85532" w:rsidRPr="008F2587" w:rsidRDefault="00D85532" w:rsidP="0049217D">
            <w:pPr>
              <w:pStyle w:val="TableText0"/>
            </w:pPr>
            <w:r w:rsidRPr="008F2587">
              <w:t xml:space="preserve">Efficacy and </w:t>
            </w:r>
            <w:r>
              <w:t>s</w:t>
            </w:r>
            <w:r w:rsidRPr="008F2587">
              <w:t xml:space="preserve">afety of </w:t>
            </w:r>
            <w:r>
              <w:t>n</w:t>
            </w:r>
            <w:r w:rsidRPr="008F2587">
              <w:t xml:space="preserve">emolizumab in </w:t>
            </w:r>
            <w:r>
              <w:t>s</w:t>
            </w:r>
            <w:r w:rsidRPr="008F2587">
              <w:t xml:space="preserve">ubjects </w:t>
            </w:r>
            <w:r>
              <w:t>w</w:t>
            </w:r>
            <w:r w:rsidRPr="008F2587">
              <w:t xml:space="preserve">ith </w:t>
            </w:r>
            <w:r>
              <w:t>m</w:t>
            </w:r>
            <w:r w:rsidRPr="008F2587">
              <w:t>oderate-to-</w:t>
            </w:r>
            <w:r>
              <w:t>s</w:t>
            </w:r>
            <w:r w:rsidRPr="008F2587">
              <w:t xml:space="preserve">evere </w:t>
            </w:r>
            <w:r>
              <w:t>a</w:t>
            </w:r>
            <w:r w:rsidRPr="008F2587">
              <w:t xml:space="preserve">topic </w:t>
            </w:r>
            <w:r>
              <w:t>d</w:t>
            </w:r>
            <w:r w:rsidRPr="008F2587">
              <w:t xml:space="preserve">ermatitis </w:t>
            </w:r>
            <w:r>
              <w:t>w</w:t>
            </w:r>
            <w:r w:rsidRPr="008F2587">
              <w:t xml:space="preserve">ith </w:t>
            </w:r>
            <w:r>
              <w:t>i</w:t>
            </w:r>
            <w:r w:rsidRPr="008F2587">
              <w:t xml:space="preserve">nadequate </w:t>
            </w:r>
            <w:r>
              <w:t>r</w:t>
            </w:r>
            <w:r w:rsidRPr="008F2587">
              <w:t xml:space="preserve">esponse to or for </w:t>
            </w:r>
            <w:r>
              <w:t>w</w:t>
            </w:r>
            <w:r w:rsidRPr="008F2587">
              <w:t xml:space="preserve">hom </w:t>
            </w:r>
            <w:r>
              <w:t>c</w:t>
            </w:r>
            <w:r w:rsidRPr="008F2587">
              <w:t xml:space="preserve">yclosporine A is </w:t>
            </w:r>
            <w:r>
              <w:t>n</w:t>
            </w:r>
            <w:r w:rsidRPr="008F2587">
              <w:t xml:space="preserve">ot </w:t>
            </w:r>
            <w:r>
              <w:t>m</w:t>
            </w:r>
            <w:r w:rsidRPr="008F2587">
              <w:t xml:space="preserve">edically </w:t>
            </w:r>
            <w:r>
              <w:t>a</w:t>
            </w:r>
            <w:r w:rsidRPr="008F2587">
              <w:t>dvisable</w:t>
            </w:r>
          </w:p>
        </w:tc>
        <w:tc>
          <w:tcPr>
            <w:tcW w:w="915" w:type="pct"/>
            <w:tcBorders>
              <w:bottom w:val="nil"/>
            </w:tcBorders>
            <w:vAlign w:val="center"/>
          </w:tcPr>
          <w:p w14:paraId="2296B7F7" w14:textId="77777777" w:rsidR="00D85532" w:rsidRPr="00D86D87" w:rsidRDefault="00D85532" w:rsidP="0049217D">
            <w:pPr>
              <w:pStyle w:val="TableText0"/>
            </w:pPr>
            <w:r>
              <w:t>21 February 2024</w:t>
            </w:r>
          </w:p>
        </w:tc>
      </w:tr>
      <w:tr w:rsidR="00D85532" w:rsidRPr="00D86D87" w14:paraId="07F0CB46" w14:textId="77777777" w:rsidTr="004513F3">
        <w:trPr>
          <w:cantSplit/>
        </w:trPr>
        <w:tc>
          <w:tcPr>
            <w:tcW w:w="795" w:type="pct"/>
            <w:vMerge w:val="restart"/>
            <w:vAlign w:val="center"/>
          </w:tcPr>
          <w:p w14:paraId="547404C7" w14:textId="77777777" w:rsidR="00D85532" w:rsidRPr="00EC670D" w:rsidRDefault="00D85532" w:rsidP="0049217D">
            <w:pPr>
              <w:pStyle w:val="TableLeft"/>
              <w:keepNext/>
              <w:rPr>
                <w:rStyle w:val="Small"/>
                <w:rFonts w:ascii="Arial Narrow" w:hAnsi="Arial Narrow"/>
                <w:b/>
                <w:bCs/>
                <w:szCs w:val="20"/>
              </w:rPr>
            </w:pPr>
            <w:r w:rsidRPr="00EC670D">
              <w:rPr>
                <w:rStyle w:val="Small"/>
                <w:rFonts w:ascii="Arial Narrow" w:hAnsi="Arial Narrow"/>
                <w:b/>
                <w:bCs/>
                <w:szCs w:val="20"/>
              </w:rPr>
              <w:t>Study 114322</w:t>
            </w:r>
          </w:p>
          <w:p w14:paraId="01E8289A" w14:textId="77777777" w:rsidR="00D85532" w:rsidRPr="00EC670D" w:rsidRDefault="00D85532" w:rsidP="0049217D">
            <w:pPr>
              <w:pStyle w:val="TableLeft"/>
              <w:keepNext/>
              <w:rPr>
                <w:rStyle w:val="Small"/>
                <w:rFonts w:ascii="Arial Narrow" w:hAnsi="Arial Narrow"/>
                <w:szCs w:val="20"/>
              </w:rPr>
            </w:pPr>
            <w:r w:rsidRPr="00EC670D">
              <w:rPr>
                <w:rStyle w:val="Small"/>
                <w:rFonts w:ascii="Arial Narrow" w:hAnsi="Arial Narrow"/>
                <w:szCs w:val="20"/>
              </w:rPr>
              <w:t>NCT03100344</w:t>
            </w:r>
          </w:p>
          <w:p w14:paraId="426A5B69" w14:textId="77777777" w:rsidR="00D85532" w:rsidRPr="00EC670D" w:rsidRDefault="00D85532" w:rsidP="0049217D">
            <w:pPr>
              <w:pStyle w:val="TableText0"/>
              <w:rPr>
                <w:szCs w:val="20"/>
              </w:rPr>
            </w:pPr>
            <w:r w:rsidRPr="00EC670D">
              <w:rPr>
                <w:rStyle w:val="Small"/>
                <w:rFonts w:ascii="Arial Narrow" w:hAnsi="Arial Narrow"/>
                <w:szCs w:val="20"/>
              </w:rPr>
              <w:t>EUCTR2016-005025-37</w:t>
            </w:r>
          </w:p>
        </w:tc>
        <w:tc>
          <w:tcPr>
            <w:tcW w:w="3290" w:type="pct"/>
            <w:tcBorders>
              <w:bottom w:val="nil"/>
            </w:tcBorders>
            <w:vAlign w:val="center"/>
          </w:tcPr>
          <w:p w14:paraId="05419F38" w14:textId="77777777" w:rsidR="00D85532" w:rsidRPr="00C94DE2" w:rsidRDefault="00D85532" w:rsidP="0049217D">
            <w:pPr>
              <w:pStyle w:val="TableText0"/>
            </w:pPr>
            <w:r w:rsidRPr="00C94DE2">
              <w:t>Study 114322 CSR</w:t>
            </w:r>
          </w:p>
          <w:p w14:paraId="4185EA2E" w14:textId="77777777" w:rsidR="00D85532" w:rsidRDefault="00D85532" w:rsidP="0049217D">
            <w:pPr>
              <w:pStyle w:val="TableText0"/>
            </w:pPr>
            <w:r w:rsidRPr="00C94DE2">
              <w:t xml:space="preserve">Dose-ranging </w:t>
            </w:r>
            <w:r>
              <w:t>s</w:t>
            </w:r>
            <w:r w:rsidRPr="00C94DE2">
              <w:t xml:space="preserve">tudy of </w:t>
            </w:r>
            <w:r>
              <w:t>n</w:t>
            </w:r>
            <w:r w:rsidRPr="00C94DE2">
              <w:t xml:space="preserve">emolizumab in </w:t>
            </w:r>
            <w:r>
              <w:t>a</w:t>
            </w:r>
            <w:r w:rsidRPr="00C94DE2">
              <w:t xml:space="preserve">topic </w:t>
            </w:r>
            <w:r>
              <w:t>d</w:t>
            </w:r>
            <w:r w:rsidRPr="00C94DE2">
              <w:t>ermatitis</w:t>
            </w:r>
          </w:p>
          <w:p w14:paraId="4975C173" w14:textId="77777777" w:rsidR="00D85532" w:rsidRPr="00A75874" w:rsidRDefault="00D85532" w:rsidP="0049217D">
            <w:pPr>
              <w:pStyle w:val="TableText0"/>
              <w:rPr>
                <w:sz w:val="16"/>
                <w:szCs w:val="16"/>
              </w:rPr>
            </w:pPr>
          </w:p>
        </w:tc>
        <w:tc>
          <w:tcPr>
            <w:tcW w:w="915" w:type="pct"/>
            <w:tcBorders>
              <w:bottom w:val="nil"/>
            </w:tcBorders>
            <w:vAlign w:val="center"/>
          </w:tcPr>
          <w:p w14:paraId="458B3158" w14:textId="77777777" w:rsidR="00D85532" w:rsidRPr="00D86D87" w:rsidRDefault="00D85532" w:rsidP="0049217D">
            <w:pPr>
              <w:pStyle w:val="TableText0"/>
              <w:rPr>
                <w:rFonts w:ascii="Times" w:hAnsi="Times"/>
              </w:rPr>
            </w:pPr>
            <w:r>
              <w:t>29 May 2019</w:t>
            </w:r>
          </w:p>
        </w:tc>
      </w:tr>
      <w:tr w:rsidR="00D85532" w:rsidRPr="00D86D87" w14:paraId="2EFF67DF" w14:textId="77777777" w:rsidTr="004513F3">
        <w:trPr>
          <w:cantSplit/>
        </w:trPr>
        <w:tc>
          <w:tcPr>
            <w:tcW w:w="795" w:type="pct"/>
            <w:vMerge/>
            <w:vAlign w:val="center"/>
          </w:tcPr>
          <w:p w14:paraId="3BB2E8CA" w14:textId="77777777" w:rsidR="00D85532" w:rsidRPr="00EC670D" w:rsidRDefault="00D85532" w:rsidP="0049217D">
            <w:pPr>
              <w:pStyle w:val="TableText0"/>
              <w:rPr>
                <w:szCs w:val="20"/>
              </w:rPr>
            </w:pPr>
          </w:p>
        </w:tc>
        <w:tc>
          <w:tcPr>
            <w:tcW w:w="3290" w:type="pct"/>
            <w:tcBorders>
              <w:top w:val="nil"/>
              <w:bottom w:val="single" w:sz="4" w:space="0" w:color="auto"/>
            </w:tcBorders>
            <w:vAlign w:val="center"/>
          </w:tcPr>
          <w:p w14:paraId="5999553D" w14:textId="77777777" w:rsidR="00D85532" w:rsidRPr="00D86D87" w:rsidRDefault="00D85532" w:rsidP="0049217D">
            <w:pPr>
              <w:pStyle w:val="TableText0"/>
            </w:pPr>
            <w:r>
              <w:rPr>
                <w:noProof/>
              </w:rPr>
              <w:t xml:space="preserve">Silverberg, J. I., Pinter, A., et al. </w:t>
            </w:r>
            <w:r w:rsidRPr="00C94DE2">
              <w:t>Phase 2B randomized study of nemolizumab in adults with moderate-to-severe atopic dermatitis and severe pruritus</w:t>
            </w:r>
          </w:p>
        </w:tc>
        <w:tc>
          <w:tcPr>
            <w:tcW w:w="915" w:type="pct"/>
            <w:tcBorders>
              <w:top w:val="nil"/>
              <w:bottom w:val="single" w:sz="4" w:space="0" w:color="auto"/>
            </w:tcBorders>
            <w:vAlign w:val="center"/>
          </w:tcPr>
          <w:p w14:paraId="6A67E66A" w14:textId="77777777" w:rsidR="00D85532" w:rsidRPr="00D86D87" w:rsidRDefault="00D85532" w:rsidP="0049217D">
            <w:pPr>
              <w:pStyle w:val="TableText0"/>
            </w:pPr>
            <w:r w:rsidRPr="00C94DE2">
              <w:rPr>
                <w:i/>
              </w:rPr>
              <w:t xml:space="preserve">Journal of Allergy &amp; Clinical Immunology </w:t>
            </w:r>
            <w:r w:rsidRPr="00C94DE2">
              <w:rPr>
                <w:iCs/>
              </w:rPr>
              <w:t>2020</w:t>
            </w:r>
            <w:r>
              <w:rPr>
                <w:iCs/>
              </w:rPr>
              <w:t>;</w:t>
            </w:r>
            <w:r w:rsidRPr="00C94DE2">
              <w:rPr>
                <w:iCs/>
              </w:rPr>
              <w:t xml:space="preserve"> 145</w:t>
            </w:r>
            <w:r>
              <w:rPr>
                <w:iCs/>
              </w:rPr>
              <w:t>(</w:t>
            </w:r>
            <w:r w:rsidRPr="00C94DE2">
              <w:rPr>
                <w:iCs/>
              </w:rPr>
              <w:t>1</w:t>
            </w:r>
            <w:r>
              <w:rPr>
                <w:iCs/>
              </w:rPr>
              <w:t>)</w:t>
            </w:r>
            <w:r w:rsidRPr="00C94DE2">
              <w:rPr>
                <w:iCs/>
              </w:rPr>
              <w:t>173-182</w:t>
            </w:r>
          </w:p>
        </w:tc>
      </w:tr>
      <w:tr w:rsidR="00D85532" w:rsidRPr="00D86D87" w14:paraId="23EF9AAD" w14:textId="77777777" w:rsidTr="00E7466A">
        <w:trPr>
          <w:cantSplit/>
        </w:trPr>
        <w:tc>
          <w:tcPr>
            <w:tcW w:w="5000" w:type="pct"/>
            <w:gridSpan w:val="3"/>
            <w:vAlign w:val="center"/>
          </w:tcPr>
          <w:p w14:paraId="1740970D" w14:textId="77777777" w:rsidR="00D85532" w:rsidRPr="00031F92" w:rsidRDefault="00D85532" w:rsidP="0049217D">
            <w:pPr>
              <w:pStyle w:val="TableText0"/>
              <w:rPr>
                <w:b/>
                <w:bCs w:val="0"/>
                <w:iCs/>
              </w:rPr>
            </w:pPr>
            <w:r w:rsidRPr="00031F92">
              <w:rPr>
                <w:b/>
                <w:bCs w:val="0"/>
                <w:iCs/>
              </w:rPr>
              <w:t>Dupilumab</w:t>
            </w:r>
          </w:p>
        </w:tc>
      </w:tr>
      <w:tr w:rsidR="00D85532" w:rsidRPr="00D86D87" w14:paraId="7072E168" w14:textId="77777777" w:rsidTr="004513F3">
        <w:trPr>
          <w:cantSplit/>
        </w:trPr>
        <w:tc>
          <w:tcPr>
            <w:tcW w:w="795" w:type="pct"/>
            <w:vMerge w:val="restart"/>
            <w:shd w:val="clear" w:color="auto" w:fill="B8CCE4"/>
            <w:vAlign w:val="center"/>
          </w:tcPr>
          <w:p w14:paraId="3A0DA73B" w14:textId="77777777" w:rsidR="00D85532" w:rsidRPr="00EC670D" w:rsidRDefault="00D85532" w:rsidP="0049217D">
            <w:pPr>
              <w:pStyle w:val="TableLeft"/>
              <w:keepNext/>
              <w:jc w:val="left"/>
              <w:rPr>
                <w:rStyle w:val="Small"/>
                <w:rFonts w:ascii="Arial Narrow" w:hAnsi="Arial Narrow" w:cs="Arial"/>
                <w:b/>
                <w:bCs/>
                <w:szCs w:val="20"/>
                <w:lang w:eastAsia="en-AU" w:bidi="ar-SA"/>
              </w:rPr>
            </w:pPr>
            <w:r w:rsidRPr="00EC670D">
              <w:rPr>
                <w:rStyle w:val="Small"/>
                <w:rFonts w:ascii="Arial Narrow" w:hAnsi="Arial Narrow"/>
                <w:b/>
                <w:bCs/>
                <w:szCs w:val="20"/>
              </w:rPr>
              <w:t>LIBERTY AD CAFÉ</w:t>
            </w:r>
          </w:p>
          <w:p w14:paraId="38D547BE" w14:textId="77777777" w:rsidR="00D85532" w:rsidRPr="00EC670D" w:rsidRDefault="00D85532" w:rsidP="0049217D">
            <w:pPr>
              <w:pStyle w:val="TableText0"/>
              <w:rPr>
                <w:szCs w:val="20"/>
              </w:rPr>
            </w:pPr>
            <w:r w:rsidRPr="00EC670D">
              <w:rPr>
                <w:rStyle w:val="Small"/>
                <w:rFonts w:ascii="Arial Narrow" w:hAnsi="Arial Narrow"/>
                <w:szCs w:val="20"/>
              </w:rPr>
              <w:t>NCT02755649</w:t>
            </w:r>
          </w:p>
        </w:tc>
        <w:tc>
          <w:tcPr>
            <w:tcW w:w="3290" w:type="pct"/>
            <w:tcBorders>
              <w:top w:val="single" w:sz="4" w:space="0" w:color="auto"/>
              <w:bottom w:val="nil"/>
            </w:tcBorders>
            <w:shd w:val="clear" w:color="auto" w:fill="B8CCE4"/>
            <w:vAlign w:val="center"/>
          </w:tcPr>
          <w:p w14:paraId="692E1E89" w14:textId="7867A8E5" w:rsidR="00D85532" w:rsidRDefault="00D85532" w:rsidP="0049217D">
            <w:pPr>
              <w:pStyle w:val="TableText0"/>
              <w:rPr>
                <w:noProof/>
              </w:rPr>
            </w:pPr>
            <w:r>
              <w:rPr>
                <w:noProof/>
              </w:rPr>
              <w:t xml:space="preserve">A study to assess the efficacy and safety of dupilumab in participants with severe atopic dermatitis (AD) that are not controlled with oral cyclosporine A (CSA) or for those who cannot take oral CSA because it is not medically advisable. </w:t>
            </w:r>
            <w:hyperlink r:id="rId11" w:history="1">
              <w:r w:rsidRPr="00EB63FB">
                <w:rPr>
                  <w:rStyle w:val="Hyperlink"/>
                  <w:noProof/>
                </w:rPr>
                <w:t>https://clinicaltrials.gov/study/NCT02755649</w:t>
              </w:r>
            </w:hyperlink>
            <w:r>
              <w:rPr>
                <w:noProof/>
              </w:rPr>
              <w:t xml:space="preserve"> </w:t>
            </w:r>
          </w:p>
        </w:tc>
        <w:tc>
          <w:tcPr>
            <w:tcW w:w="915" w:type="pct"/>
            <w:tcBorders>
              <w:top w:val="single" w:sz="4" w:space="0" w:color="auto"/>
              <w:bottom w:val="nil"/>
            </w:tcBorders>
            <w:shd w:val="clear" w:color="auto" w:fill="B8CCE4"/>
            <w:vAlign w:val="center"/>
          </w:tcPr>
          <w:p w14:paraId="295657CB" w14:textId="77777777" w:rsidR="00D85532" w:rsidRPr="00EC670D" w:rsidRDefault="00D85532" w:rsidP="0049217D">
            <w:pPr>
              <w:pStyle w:val="TableText0"/>
              <w:rPr>
                <w:iCs/>
              </w:rPr>
            </w:pPr>
            <w:r>
              <w:rPr>
                <w:iCs/>
              </w:rPr>
              <w:t>August 2020</w:t>
            </w:r>
          </w:p>
        </w:tc>
      </w:tr>
      <w:tr w:rsidR="00D85532" w:rsidRPr="00D86D87" w14:paraId="33BBB058" w14:textId="77777777" w:rsidTr="004513F3">
        <w:trPr>
          <w:cantSplit/>
        </w:trPr>
        <w:tc>
          <w:tcPr>
            <w:tcW w:w="795" w:type="pct"/>
            <w:vMerge/>
            <w:tcBorders>
              <w:bottom w:val="single" w:sz="4" w:space="0" w:color="auto"/>
            </w:tcBorders>
            <w:shd w:val="clear" w:color="auto" w:fill="B8CCE4"/>
            <w:vAlign w:val="center"/>
          </w:tcPr>
          <w:p w14:paraId="023E4ABF" w14:textId="77777777" w:rsidR="00D85532" w:rsidRPr="00D86D87" w:rsidRDefault="00D85532" w:rsidP="0049217D">
            <w:pPr>
              <w:pStyle w:val="TableText0"/>
            </w:pPr>
          </w:p>
        </w:tc>
        <w:tc>
          <w:tcPr>
            <w:tcW w:w="3290" w:type="pct"/>
            <w:tcBorders>
              <w:top w:val="nil"/>
              <w:bottom w:val="single" w:sz="4" w:space="0" w:color="auto"/>
            </w:tcBorders>
            <w:shd w:val="clear" w:color="auto" w:fill="B8CCE4"/>
            <w:vAlign w:val="center"/>
          </w:tcPr>
          <w:p w14:paraId="2AC62D85" w14:textId="77777777" w:rsidR="00D85532" w:rsidRPr="00A75874" w:rsidRDefault="00D85532" w:rsidP="0049217D">
            <w:pPr>
              <w:pStyle w:val="TableText0"/>
              <w:rPr>
                <w:noProof/>
                <w:sz w:val="16"/>
                <w:szCs w:val="16"/>
              </w:rPr>
            </w:pPr>
          </w:p>
          <w:p w14:paraId="0FCD20A3" w14:textId="77777777" w:rsidR="00D85532" w:rsidRDefault="00D85532" w:rsidP="0049217D">
            <w:pPr>
              <w:pStyle w:val="TableText0"/>
              <w:rPr>
                <w:noProof/>
              </w:rPr>
            </w:pPr>
            <w:r w:rsidRPr="00250BED">
              <w:rPr>
                <w:noProof/>
              </w:rPr>
              <w:t xml:space="preserve">de Bruin-Weller, M., Thaci, D., </w:t>
            </w:r>
            <w:r>
              <w:rPr>
                <w:noProof/>
              </w:rPr>
              <w:t>et al</w:t>
            </w:r>
            <w:r w:rsidRPr="00250BED">
              <w:rPr>
                <w:noProof/>
              </w:rPr>
              <w:t>.</w:t>
            </w:r>
            <w:r>
              <w:rPr>
                <w:noProof/>
              </w:rPr>
              <w:t xml:space="preserve"> </w:t>
            </w:r>
            <w:r w:rsidRPr="00EC670D">
              <w:rPr>
                <w:noProof/>
              </w:rPr>
              <w:t>Dupilumab with concomitant topical corticosteroid treatment in adults with atopic dermatitis with an inadequate response or intolerance to ciclosporin A or when this treatment is medically inadvisable: a placebo-controlled, randomized phase III clinical trial (LIBERTY AD CAF</w:t>
            </w:r>
            <w:r w:rsidRPr="00330618">
              <w:rPr>
                <w:noProof/>
              </w:rPr>
              <w:t>É</w:t>
            </w:r>
            <w:r w:rsidRPr="00EC670D">
              <w:rPr>
                <w:noProof/>
              </w:rPr>
              <w:t>)</w:t>
            </w:r>
          </w:p>
        </w:tc>
        <w:tc>
          <w:tcPr>
            <w:tcW w:w="915" w:type="pct"/>
            <w:tcBorders>
              <w:top w:val="nil"/>
              <w:bottom w:val="single" w:sz="4" w:space="0" w:color="auto"/>
            </w:tcBorders>
            <w:shd w:val="clear" w:color="auto" w:fill="B8CCE4"/>
            <w:vAlign w:val="center"/>
          </w:tcPr>
          <w:p w14:paraId="4B69C51C" w14:textId="77777777" w:rsidR="00D85532" w:rsidRPr="00C94DE2" w:rsidRDefault="00D85532" w:rsidP="0049217D">
            <w:pPr>
              <w:pStyle w:val="TableText0"/>
              <w:rPr>
                <w:i/>
              </w:rPr>
            </w:pPr>
            <w:r w:rsidRPr="00EC670D">
              <w:rPr>
                <w:i/>
              </w:rPr>
              <w:t>British Journal of Dermatology</w:t>
            </w:r>
            <w:r>
              <w:rPr>
                <w:i/>
              </w:rPr>
              <w:t xml:space="preserve"> </w:t>
            </w:r>
            <w:r w:rsidRPr="00EC670D">
              <w:rPr>
                <w:iCs/>
              </w:rPr>
              <w:t>2018</w:t>
            </w:r>
            <w:r>
              <w:rPr>
                <w:iCs/>
              </w:rPr>
              <w:t>;</w:t>
            </w:r>
            <w:r w:rsidRPr="00EC670D">
              <w:rPr>
                <w:iCs/>
              </w:rPr>
              <w:t xml:space="preserve"> 178</w:t>
            </w:r>
            <w:r>
              <w:rPr>
                <w:iCs/>
              </w:rPr>
              <w:t>(</w:t>
            </w:r>
            <w:r w:rsidRPr="00EC670D">
              <w:rPr>
                <w:iCs/>
              </w:rPr>
              <w:t>5</w:t>
            </w:r>
            <w:r>
              <w:rPr>
                <w:iCs/>
              </w:rPr>
              <w:t>)</w:t>
            </w:r>
            <w:r w:rsidRPr="00EC670D">
              <w:rPr>
                <w:iCs/>
              </w:rPr>
              <w:t xml:space="preserve"> 1083-1101</w:t>
            </w:r>
          </w:p>
        </w:tc>
      </w:tr>
      <w:tr w:rsidR="00D85532" w:rsidRPr="00D86D87" w14:paraId="7B73F2A4" w14:textId="77777777" w:rsidTr="004513F3">
        <w:trPr>
          <w:cantSplit/>
        </w:trPr>
        <w:tc>
          <w:tcPr>
            <w:tcW w:w="795" w:type="pct"/>
            <w:vMerge w:val="restart"/>
            <w:shd w:val="clear" w:color="auto" w:fill="B8CCE4"/>
            <w:vAlign w:val="center"/>
          </w:tcPr>
          <w:p w14:paraId="4268EC65" w14:textId="77777777" w:rsidR="00D85532" w:rsidRPr="00EC670D" w:rsidRDefault="00D85532" w:rsidP="0049217D">
            <w:pPr>
              <w:pStyle w:val="TableText0"/>
              <w:rPr>
                <w:b/>
                <w:bCs w:val="0"/>
              </w:rPr>
            </w:pPr>
            <w:r w:rsidRPr="00EC670D">
              <w:rPr>
                <w:b/>
                <w:bCs w:val="0"/>
              </w:rPr>
              <w:t>LIBERTY AD CHRONOS</w:t>
            </w:r>
          </w:p>
          <w:p w14:paraId="4E41C305" w14:textId="77777777" w:rsidR="00D85532" w:rsidRPr="00D86D87" w:rsidRDefault="00D85532" w:rsidP="0049217D">
            <w:pPr>
              <w:pStyle w:val="TableText0"/>
            </w:pPr>
            <w:r>
              <w:t>NCT02260986</w:t>
            </w:r>
          </w:p>
        </w:tc>
        <w:tc>
          <w:tcPr>
            <w:tcW w:w="3290" w:type="pct"/>
            <w:tcBorders>
              <w:top w:val="single" w:sz="4" w:space="0" w:color="auto"/>
              <w:bottom w:val="nil"/>
            </w:tcBorders>
            <w:shd w:val="clear" w:color="auto" w:fill="B8CCE4"/>
            <w:vAlign w:val="center"/>
          </w:tcPr>
          <w:p w14:paraId="4BE378F9" w14:textId="6A3BC3BF" w:rsidR="00D85532" w:rsidRDefault="00D85532" w:rsidP="0049217D">
            <w:pPr>
              <w:pStyle w:val="TableText0"/>
              <w:rPr>
                <w:noProof/>
              </w:rPr>
            </w:pPr>
            <w:r w:rsidRPr="00EC670D">
              <w:rPr>
                <w:noProof/>
              </w:rPr>
              <w:t xml:space="preserve">Study to </w:t>
            </w:r>
            <w:r>
              <w:rPr>
                <w:noProof/>
              </w:rPr>
              <w:t>a</w:t>
            </w:r>
            <w:r w:rsidRPr="00EC670D">
              <w:rPr>
                <w:noProof/>
              </w:rPr>
              <w:t xml:space="preserve">ssess the </w:t>
            </w:r>
            <w:r>
              <w:rPr>
                <w:noProof/>
              </w:rPr>
              <w:t>e</w:t>
            </w:r>
            <w:r w:rsidRPr="00EC670D">
              <w:rPr>
                <w:noProof/>
              </w:rPr>
              <w:t xml:space="preserve">fficacy and </w:t>
            </w:r>
            <w:r>
              <w:rPr>
                <w:noProof/>
              </w:rPr>
              <w:t>l</w:t>
            </w:r>
            <w:r w:rsidRPr="00EC670D">
              <w:rPr>
                <w:noProof/>
              </w:rPr>
              <w:t xml:space="preserve">ong-term </w:t>
            </w:r>
            <w:r>
              <w:rPr>
                <w:noProof/>
              </w:rPr>
              <w:t>s</w:t>
            </w:r>
            <w:r w:rsidRPr="00EC670D">
              <w:rPr>
                <w:noProof/>
              </w:rPr>
              <w:t xml:space="preserve">afety of </w:t>
            </w:r>
            <w:r>
              <w:rPr>
                <w:noProof/>
              </w:rPr>
              <w:t>d</w:t>
            </w:r>
            <w:r w:rsidRPr="00EC670D">
              <w:rPr>
                <w:noProof/>
              </w:rPr>
              <w:t xml:space="preserve">upilumab (REGN668/SAR231893) in </w:t>
            </w:r>
            <w:r>
              <w:rPr>
                <w:noProof/>
              </w:rPr>
              <w:t>a</w:t>
            </w:r>
            <w:r w:rsidRPr="00EC670D">
              <w:rPr>
                <w:noProof/>
              </w:rPr>
              <w:t xml:space="preserve">dult </w:t>
            </w:r>
            <w:r>
              <w:rPr>
                <w:noProof/>
              </w:rPr>
              <w:t>p</w:t>
            </w:r>
            <w:r w:rsidRPr="00EC670D">
              <w:rPr>
                <w:noProof/>
              </w:rPr>
              <w:t xml:space="preserve">articipants </w:t>
            </w:r>
            <w:r>
              <w:rPr>
                <w:noProof/>
              </w:rPr>
              <w:t>w</w:t>
            </w:r>
            <w:r w:rsidRPr="00EC670D">
              <w:rPr>
                <w:noProof/>
              </w:rPr>
              <w:t xml:space="preserve">ith </w:t>
            </w:r>
            <w:r>
              <w:rPr>
                <w:noProof/>
              </w:rPr>
              <w:t>m</w:t>
            </w:r>
            <w:r w:rsidRPr="00EC670D">
              <w:rPr>
                <w:noProof/>
              </w:rPr>
              <w:t>oderate-to-</w:t>
            </w:r>
            <w:r>
              <w:rPr>
                <w:noProof/>
              </w:rPr>
              <w:t>s</w:t>
            </w:r>
            <w:r w:rsidRPr="00EC670D">
              <w:rPr>
                <w:noProof/>
              </w:rPr>
              <w:t xml:space="preserve">evere </w:t>
            </w:r>
            <w:r>
              <w:rPr>
                <w:noProof/>
              </w:rPr>
              <w:t>a</w:t>
            </w:r>
            <w:r w:rsidRPr="00EC670D">
              <w:rPr>
                <w:noProof/>
              </w:rPr>
              <w:t xml:space="preserve">topic </w:t>
            </w:r>
            <w:r>
              <w:rPr>
                <w:noProof/>
              </w:rPr>
              <w:t>d</w:t>
            </w:r>
            <w:r w:rsidRPr="00EC670D">
              <w:rPr>
                <w:noProof/>
              </w:rPr>
              <w:t>ermatitis (CHRONOS)</w:t>
            </w:r>
            <w:r>
              <w:rPr>
                <w:noProof/>
              </w:rPr>
              <w:t xml:space="preserve">. </w:t>
            </w:r>
            <w:hyperlink r:id="rId12" w:history="1">
              <w:r w:rsidRPr="00EB63FB">
                <w:rPr>
                  <w:rStyle w:val="Hyperlink"/>
                  <w:noProof/>
                </w:rPr>
                <w:t>https://clinicaltrials.gov/study/NCT02260986</w:t>
              </w:r>
            </w:hyperlink>
            <w:r>
              <w:rPr>
                <w:noProof/>
              </w:rPr>
              <w:t xml:space="preserve"> </w:t>
            </w:r>
          </w:p>
        </w:tc>
        <w:tc>
          <w:tcPr>
            <w:tcW w:w="915" w:type="pct"/>
            <w:tcBorders>
              <w:top w:val="single" w:sz="4" w:space="0" w:color="auto"/>
              <w:bottom w:val="nil"/>
            </w:tcBorders>
            <w:shd w:val="clear" w:color="auto" w:fill="B8CCE4"/>
            <w:vAlign w:val="center"/>
          </w:tcPr>
          <w:p w14:paraId="70A4C058" w14:textId="77777777" w:rsidR="00D85532" w:rsidRPr="00EC670D" w:rsidRDefault="00D85532" w:rsidP="0049217D">
            <w:pPr>
              <w:pStyle w:val="TableText0"/>
              <w:rPr>
                <w:iCs/>
              </w:rPr>
            </w:pPr>
            <w:r>
              <w:rPr>
                <w:iCs/>
              </w:rPr>
              <w:t>October 2017</w:t>
            </w:r>
          </w:p>
        </w:tc>
      </w:tr>
      <w:tr w:rsidR="00D85532" w:rsidRPr="00D86D87" w14:paraId="0E748DDC" w14:textId="77777777" w:rsidTr="004513F3">
        <w:trPr>
          <w:cantSplit/>
        </w:trPr>
        <w:tc>
          <w:tcPr>
            <w:tcW w:w="795" w:type="pct"/>
            <w:vMerge/>
            <w:tcBorders>
              <w:bottom w:val="single" w:sz="4" w:space="0" w:color="auto"/>
            </w:tcBorders>
            <w:shd w:val="clear" w:color="auto" w:fill="B8CCE4"/>
            <w:vAlign w:val="center"/>
          </w:tcPr>
          <w:p w14:paraId="2A307564" w14:textId="77777777" w:rsidR="00D85532" w:rsidRPr="00D86D87" w:rsidRDefault="00D85532" w:rsidP="0049217D">
            <w:pPr>
              <w:pStyle w:val="TableText0"/>
            </w:pPr>
          </w:p>
        </w:tc>
        <w:tc>
          <w:tcPr>
            <w:tcW w:w="3290" w:type="pct"/>
            <w:tcBorders>
              <w:top w:val="nil"/>
              <w:bottom w:val="single" w:sz="4" w:space="0" w:color="auto"/>
            </w:tcBorders>
            <w:shd w:val="clear" w:color="auto" w:fill="B8CCE4"/>
            <w:vAlign w:val="center"/>
          </w:tcPr>
          <w:p w14:paraId="201441E4" w14:textId="77777777" w:rsidR="00D85532" w:rsidRPr="00A75874" w:rsidRDefault="00D85532" w:rsidP="0049217D">
            <w:pPr>
              <w:pStyle w:val="TableText0"/>
              <w:rPr>
                <w:noProof/>
                <w:sz w:val="16"/>
                <w:szCs w:val="16"/>
              </w:rPr>
            </w:pPr>
          </w:p>
          <w:p w14:paraId="44308306" w14:textId="77777777" w:rsidR="00D85532" w:rsidRDefault="00D85532" w:rsidP="0049217D">
            <w:pPr>
              <w:pStyle w:val="TableText0"/>
              <w:rPr>
                <w:noProof/>
              </w:rPr>
            </w:pPr>
            <w:r w:rsidRPr="00250BED">
              <w:rPr>
                <w:noProof/>
              </w:rPr>
              <w:t>Blauvelt, A., de Bruin-Weller, M., et al.</w:t>
            </w:r>
            <w:r>
              <w:rPr>
                <w:noProof/>
              </w:rPr>
              <w:t xml:space="preserve"> </w:t>
            </w:r>
            <w:r w:rsidRPr="00EC670D">
              <w:rPr>
                <w:noProof/>
              </w:rPr>
              <w:t>Long-term management of moderate-to-severe atopic dermatitis with dupilumab and concomitant topical corticosteroids (LIBERTY AD CHRONOS): a 1-year, randomised, double-blinded, placebo-controlled, phase 3 trial</w:t>
            </w:r>
          </w:p>
        </w:tc>
        <w:tc>
          <w:tcPr>
            <w:tcW w:w="915" w:type="pct"/>
            <w:tcBorders>
              <w:top w:val="nil"/>
              <w:bottom w:val="single" w:sz="4" w:space="0" w:color="auto"/>
            </w:tcBorders>
            <w:shd w:val="clear" w:color="auto" w:fill="B8CCE4"/>
            <w:vAlign w:val="center"/>
          </w:tcPr>
          <w:p w14:paraId="141F43B1" w14:textId="77777777" w:rsidR="00D85532" w:rsidRPr="00C94DE2" w:rsidRDefault="00D85532" w:rsidP="0049217D">
            <w:pPr>
              <w:pStyle w:val="TableText0"/>
              <w:rPr>
                <w:i/>
              </w:rPr>
            </w:pPr>
            <w:r>
              <w:rPr>
                <w:i/>
              </w:rPr>
              <w:t xml:space="preserve">The </w:t>
            </w:r>
            <w:r w:rsidRPr="00EC670D">
              <w:rPr>
                <w:i/>
              </w:rPr>
              <w:t xml:space="preserve">Lancet </w:t>
            </w:r>
            <w:r w:rsidRPr="00250BED">
              <w:rPr>
                <w:iCs/>
              </w:rPr>
              <w:t>2017</w:t>
            </w:r>
            <w:r>
              <w:rPr>
                <w:iCs/>
              </w:rPr>
              <w:t>;</w:t>
            </w:r>
            <w:r w:rsidRPr="00250BED">
              <w:rPr>
                <w:iCs/>
              </w:rPr>
              <w:t xml:space="preserve"> 389</w:t>
            </w:r>
            <w:r>
              <w:rPr>
                <w:iCs/>
              </w:rPr>
              <w:t>(</w:t>
            </w:r>
            <w:r w:rsidRPr="00250BED">
              <w:rPr>
                <w:iCs/>
              </w:rPr>
              <w:t>10086</w:t>
            </w:r>
            <w:r>
              <w:rPr>
                <w:iCs/>
              </w:rPr>
              <w:t>)</w:t>
            </w:r>
            <w:r w:rsidRPr="00250BED">
              <w:rPr>
                <w:iCs/>
              </w:rPr>
              <w:t xml:space="preserve"> 2287-2303</w:t>
            </w:r>
          </w:p>
        </w:tc>
      </w:tr>
      <w:tr w:rsidR="00D85532" w:rsidRPr="00D86D87" w14:paraId="561095BB" w14:textId="77777777" w:rsidTr="004513F3">
        <w:trPr>
          <w:cantSplit/>
        </w:trPr>
        <w:tc>
          <w:tcPr>
            <w:tcW w:w="795" w:type="pct"/>
            <w:vMerge w:val="restart"/>
            <w:shd w:val="clear" w:color="auto" w:fill="B8CCE4"/>
            <w:vAlign w:val="center"/>
          </w:tcPr>
          <w:p w14:paraId="2872D903" w14:textId="77777777" w:rsidR="00D85532" w:rsidRPr="00250BED" w:rsidRDefault="00D85532" w:rsidP="0049217D">
            <w:pPr>
              <w:pStyle w:val="TableText0"/>
              <w:rPr>
                <w:b/>
                <w:bCs w:val="0"/>
              </w:rPr>
            </w:pPr>
            <w:r w:rsidRPr="00250BED">
              <w:rPr>
                <w:b/>
                <w:bCs w:val="0"/>
              </w:rPr>
              <w:t>JADE COMPARE</w:t>
            </w:r>
          </w:p>
          <w:p w14:paraId="58FC0262" w14:textId="77777777" w:rsidR="00D85532" w:rsidRPr="00D86D87" w:rsidRDefault="00D85532" w:rsidP="0049217D">
            <w:pPr>
              <w:pStyle w:val="TableText0"/>
            </w:pPr>
            <w:r>
              <w:t>NCT03720470</w:t>
            </w:r>
          </w:p>
        </w:tc>
        <w:tc>
          <w:tcPr>
            <w:tcW w:w="3290" w:type="pct"/>
            <w:tcBorders>
              <w:top w:val="single" w:sz="4" w:space="0" w:color="auto"/>
              <w:bottom w:val="nil"/>
            </w:tcBorders>
            <w:shd w:val="clear" w:color="auto" w:fill="B8CCE4"/>
            <w:vAlign w:val="center"/>
          </w:tcPr>
          <w:p w14:paraId="56F44F94" w14:textId="288C1563" w:rsidR="00D85532" w:rsidRDefault="00D85532" w:rsidP="0049217D">
            <w:pPr>
              <w:pStyle w:val="TableText0"/>
              <w:rPr>
                <w:noProof/>
              </w:rPr>
            </w:pPr>
            <w:r w:rsidRPr="00250BED">
              <w:rPr>
                <w:noProof/>
              </w:rPr>
              <w:t xml:space="preserve">Study </w:t>
            </w:r>
            <w:r>
              <w:rPr>
                <w:noProof/>
              </w:rPr>
              <w:t>e</w:t>
            </w:r>
            <w:r w:rsidRPr="00250BED">
              <w:rPr>
                <w:noProof/>
              </w:rPr>
              <w:t xml:space="preserve">valuating </w:t>
            </w:r>
            <w:r>
              <w:rPr>
                <w:noProof/>
              </w:rPr>
              <w:t>e</w:t>
            </w:r>
            <w:r w:rsidRPr="00250BED">
              <w:rPr>
                <w:noProof/>
              </w:rPr>
              <w:t xml:space="preserve">fficacy and </w:t>
            </w:r>
            <w:r>
              <w:rPr>
                <w:noProof/>
              </w:rPr>
              <w:t>s</w:t>
            </w:r>
            <w:r w:rsidRPr="00250BED">
              <w:rPr>
                <w:noProof/>
              </w:rPr>
              <w:t xml:space="preserve">afety of PF-04965842 and </w:t>
            </w:r>
            <w:r>
              <w:rPr>
                <w:noProof/>
              </w:rPr>
              <w:t>d</w:t>
            </w:r>
            <w:r w:rsidRPr="00250BED">
              <w:rPr>
                <w:noProof/>
              </w:rPr>
              <w:t xml:space="preserve">upilumab in </w:t>
            </w:r>
            <w:r>
              <w:rPr>
                <w:noProof/>
              </w:rPr>
              <w:t>a</w:t>
            </w:r>
            <w:r w:rsidRPr="00250BED">
              <w:rPr>
                <w:noProof/>
              </w:rPr>
              <w:t xml:space="preserve">dult </w:t>
            </w:r>
            <w:r>
              <w:rPr>
                <w:noProof/>
              </w:rPr>
              <w:t>s</w:t>
            </w:r>
            <w:r w:rsidRPr="00250BED">
              <w:rPr>
                <w:noProof/>
              </w:rPr>
              <w:t xml:space="preserve">ubjects </w:t>
            </w:r>
            <w:r>
              <w:rPr>
                <w:noProof/>
              </w:rPr>
              <w:t>w</w:t>
            </w:r>
            <w:r w:rsidRPr="00250BED">
              <w:rPr>
                <w:noProof/>
              </w:rPr>
              <w:t xml:space="preserve">ith </w:t>
            </w:r>
            <w:r>
              <w:rPr>
                <w:noProof/>
              </w:rPr>
              <w:t>m</w:t>
            </w:r>
            <w:r w:rsidRPr="00250BED">
              <w:rPr>
                <w:noProof/>
              </w:rPr>
              <w:t xml:space="preserve">oderate to </w:t>
            </w:r>
            <w:r>
              <w:rPr>
                <w:noProof/>
              </w:rPr>
              <w:t>s</w:t>
            </w:r>
            <w:r w:rsidRPr="00250BED">
              <w:rPr>
                <w:noProof/>
              </w:rPr>
              <w:t xml:space="preserve">evere </w:t>
            </w:r>
            <w:r>
              <w:rPr>
                <w:noProof/>
              </w:rPr>
              <w:t>s</w:t>
            </w:r>
            <w:r w:rsidRPr="00250BED">
              <w:rPr>
                <w:noProof/>
              </w:rPr>
              <w:t xml:space="preserve">topic </w:t>
            </w:r>
            <w:r>
              <w:rPr>
                <w:noProof/>
              </w:rPr>
              <w:t>d</w:t>
            </w:r>
            <w:r w:rsidRPr="00250BED">
              <w:rPr>
                <w:noProof/>
              </w:rPr>
              <w:t xml:space="preserve">ermatitis on </w:t>
            </w:r>
            <w:r>
              <w:rPr>
                <w:noProof/>
              </w:rPr>
              <w:t>b</w:t>
            </w:r>
            <w:r w:rsidRPr="00250BED">
              <w:rPr>
                <w:noProof/>
              </w:rPr>
              <w:t xml:space="preserve">ackground </w:t>
            </w:r>
            <w:r>
              <w:rPr>
                <w:noProof/>
              </w:rPr>
              <w:t>t</w:t>
            </w:r>
            <w:r w:rsidRPr="00250BED">
              <w:rPr>
                <w:noProof/>
              </w:rPr>
              <w:t xml:space="preserve">opical </w:t>
            </w:r>
            <w:r>
              <w:rPr>
                <w:noProof/>
              </w:rPr>
              <w:t>t</w:t>
            </w:r>
            <w:r w:rsidRPr="00250BED">
              <w:rPr>
                <w:noProof/>
              </w:rPr>
              <w:t>herapy (JADE Compare)</w:t>
            </w:r>
            <w:r>
              <w:rPr>
                <w:noProof/>
              </w:rPr>
              <w:t xml:space="preserve">. </w:t>
            </w:r>
            <w:hyperlink r:id="rId13" w:history="1">
              <w:r w:rsidRPr="00EB63FB">
                <w:rPr>
                  <w:rStyle w:val="Hyperlink"/>
                  <w:noProof/>
                </w:rPr>
                <w:t>https://clinicaltrials.gov/study/NCT03720470</w:t>
              </w:r>
            </w:hyperlink>
            <w:r>
              <w:rPr>
                <w:noProof/>
              </w:rPr>
              <w:t xml:space="preserve"> </w:t>
            </w:r>
          </w:p>
          <w:p w14:paraId="759DC2C5" w14:textId="77777777" w:rsidR="00D85532" w:rsidRPr="00A75874" w:rsidRDefault="00D85532" w:rsidP="0049217D">
            <w:pPr>
              <w:pStyle w:val="TableText0"/>
              <w:rPr>
                <w:noProof/>
                <w:sz w:val="16"/>
                <w:szCs w:val="16"/>
              </w:rPr>
            </w:pPr>
          </w:p>
        </w:tc>
        <w:tc>
          <w:tcPr>
            <w:tcW w:w="915" w:type="pct"/>
            <w:tcBorders>
              <w:top w:val="single" w:sz="4" w:space="0" w:color="auto"/>
              <w:bottom w:val="nil"/>
            </w:tcBorders>
            <w:shd w:val="clear" w:color="auto" w:fill="B8CCE4"/>
            <w:vAlign w:val="center"/>
          </w:tcPr>
          <w:p w14:paraId="4045EFE2" w14:textId="77777777" w:rsidR="00D85532" w:rsidRPr="00250BED" w:rsidRDefault="00D85532" w:rsidP="0049217D">
            <w:pPr>
              <w:pStyle w:val="TableText0"/>
              <w:rPr>
                <w:iCs/>
              </w:rPr>
            </w:pPr>
            <w:r>
              <w:rPr>
                <w:iCs/>
              </w:rPr>
              <w:t>January 2021</w:t>
            </w:r>
          </w:p>
        </w:tc>
      </w:tr>
      <w:tr w:rsidR="00D85532" w:rsidRPr="00D86D87" w14:paraId="34D5D997" w14:textId="77777777" w:rsidTr="004513F3">
        <w:trPr>
          <w:cantSplit/>
        </w:trPr>
        <w:tc>
          <w:tcPr>
            <w:tcW w:w="795" w:type="pct"/>
            <w:vMerge/>
            <w:tcBorders>
              <w:bottom w:val="single" w:sz="4" w:space="0" w:color="auto"/>
            </w:tcBorders>
            <w:shd w:val="clear" w:color="auto" w:fill="B8CCE4"/>
            <w:vAlign w:val="center"/>
          </w:tcPr>
          <w:p w14:paraId="554CFE99" w14:textId="77777777" w:rsidR="00D85532" w:rsidRPr="00D86D87" w:rsidRDefault="00D85532" w:rsidP="0049217D">
            <w:pPr>
              <w:pStyle w:val="TableText0"/>
            </w:pPr>
          </w:p>
        </w:tc>
        <w:tc>
          <w:tcPr>
            <w:tcW w:w="3290" w:type="pct"/>
            <w:tcBorders>
              <w:top w:val="nil"/>
              <w:bottom w:val="single" w:sz="4" w:space="0" w:color="auto"/>
            </w:tcBorders>
            <w:shd w:val="clear" w:color="auto" w:fill="B8CCE4"/>
            <w:vAlign w:val="center"/>
          </w:tcPr>
          <w:p w14:paraId="05D0215B" w14:textId="77777777" w:rsidR="00D85532" w:rsidRDefault="00D85532" w:rsidP="0049217D">
            <w:pPr>
              <w:pStyle w:val="TableText0"/>
              <w:rPr>
                <w:noProof/>
              </w:rPr>
            </w:pPr>
            <w:r w:rsidRPr="00250BED">
              <w:rPr>
                <w:noProof/>
              </w:rPr>
              <w:t xml:space="preserve">Bieber, T., Simpson, E. L., </w:t>
            </w:r>
            <w:r>
              <w:rPr>
                <w:noProof/>
              </w:rPr>
              <w:t xml:space="preserve">et al. </w:t>
            </w:r>
            <w:r w:rsidRPr="00250BED">
              <w:rPr>
                <w:noProof/>
              </w:rPr>
              <w:t xml:space="preserve">Abrocitinib versus </w:t>
            </w:r>
            <w:r>
              <w:rPr>
                <w:noProof/>
              </w:rPr>
              <w:t>p</w:t>
            </w:r>
            <w:r w:rsidRPr="00250BED">
              <w:rPr>
                <w:noProof/>
              </w:rPr>
              <w:t xml:space="preserve">lacebo or </w:t>
            </w:r>
            <w:r>
              <w:rPr>
                <w:noProof/>
              </w:rPr>
              <w:t>d</w:t>
            </w:r>
            <w:r w:rsidRPr="00250BED">
              <w:rPr>
                <w:noProof/>
              </w:rPr>
              <w:t xml:space="preserve">upilumab for </w:t>
            </w:r>
            <w:r>
              <w:rPr>
                <w:noProof/>
              </w:rPr>
              <w:t>a</w:t>
            </w:r>
            <w:r w:rsidRPr="00250BED">
              <w:rPr>
                <w:noProof/>
              </w:rPr>
              <w:t xml:space="preserve">topic </w:t>
            </w:r>
            <w:r>
              <w:rPr>
                <w:noProof/>
              </w:rPr>
              <w:t>d</w:t>
            </w:r>
            <w:r w:rsidRPr="00250BED">
              <w:rPr>
                <w:noProof/>
              </w:rPr>
              <w:t>ermatitis</w:t>
            </w:r>
          </w:p>
        </w:tc>
        <w:tc>
          <w:tcPr>
            <w:tcW w:w="915" w:type="pct"/>
            <w:tcBorders>
              <w:top w:val="nil"/>
              <w:bottom w:val="single" w:sz="4" w:space="0" w:color="auto"/>
            </w:tcBorders>
            <w:shd w:val="clear" w:color="auto" w:fill="B8CCE4"/>
            <w:vAlign w:val="center"/>
          </w:tcPr>
          <w:p w14:paraId="1C9C5782" w14:textId="77777777" w:rsidR="00D85532" w:rsidRPr="00C94DE2" w:rsidRDefault="00D85532" w:rsidP="0049217D">
            <w:pPr>
              <w:pStyle w:val="TableText0"/>
              <w:rPr>
                <w:i/>
              </w:rPr>
            </w:pPr>
            <w:r w:rsidRPr="00250BED">
              <w:rPr>
                <w:i/>
              </w:rPr>
              <w:t xml:space="preserve">New England Journal of Medicine </w:t>
            </w:r>
            <w:r w:rsidRPr="00250BED">
              <w:rPr>
                <w:iCs/>
              </w:rPr>
              <w:t>2021</w:t>
            </w:r>
            <w:r>
              <w:rPr>
                <w:iCs/>
              </w:rPr>
              <w:t>;</w:t>
            </w:r>
            <w:r w:rsidRPr="00250BED">
              <w:rPr>
                <w:iCs/>
              </w:rPr>
              <w:t xml:space="preserve"> 384</w:t>
            </w:r>
            <w:r>
              <w:rPr>
                <w:iCs/>
              </w:rPr>
              <w:t>(</w:t>
            </w:r>
            <w:r w:rsidRPr="00250BED">
              <w:rPr>
                <w:iCs/>
              </w:rPr>
              <w:t>12</w:t>
            </w:r>
            <w:r>
              <w:rPr>
                <w:iCs/>
              </w:rPr>
              <w:t>)</w:t>
            </w:r>
            <w:r w:rsidRPr="00250BED">
              <w:rPr>
                <w:iCs/>
              </w:rPr>
              <w:t xml:space="preserve"> 1101-1112</w:t>
            </w:r>
          </w:p>
        </w:tc>
      </w:tr>
    </w:tbl>
    <w:p w14:paraId="0B0934A6" w14:textId="77777777" w:rsidR="00D85532" w:rsidRDefault="00D85532" w:rsidP="00D85532">
      <w:pPr>
        <w:pStyle w:val="TableFigureFooter"/>
      </w:pPr>
      <w:r w:rsidRPr="00D86D87">
        <w:t>Source: Table</w:t>
      </w:r>
      <w:r>
        <w:t xml:space="preserve"> 2-5, p78-83 of the submission.</w:t>
      </w:r>
    </w:p>
    <w:p w14:paraId="7B358005" w14:textId="77777777" w:rsidR="00D85532" w:rsidRDefault="00D85532" w:rsidP="00D85532">
      <w:pPr>
        <w:pStyle w:val="TableFigureFooter"/>
      </w:pPr>
      <w:r>
        <w:t>CSR = clinical study report.</w:t>
      </w:r>
    </w:p>
    <w:p w14:paraId="4E7D371A" w14:textId="77777777" w:rsidR="00D85532" w:rsidRDefault="00D85532" w:rsidP="00D85532">
      <w:pPr>
        <w:pStyle w:val="TableFigureFooter"/>
      </w:pPr>
      <w:r>
        <w:t xml:space="preserve">Notes: Including key study publications only. </w:t>
      </w:r>
    </w:p>
    <w:p w14:paraId="34B7C0E1" w14:textId="77777777" w:rsidR="00D85532" w:rsidRPr="00302338" w:rsidRDefault="00D85532" w:rsidP="00462492">
      <w:pPr>
        <w:pStyle w:val="TableFigureFooter"/>
        <w:spacing w:after="240"/>
        <w:contextualSpacing w:val="0"/>
        <w:rPr>
          <w:szCs w:val="18"/>
        </w:rPr>
      </w:pPr>
      <w:r w:rsidRPr="00302338">
        <w:rPr>
          <w:rStyle w:val="CommentReference"/>
          <w:b w:val="0"/>
          <w:bCs/>
          <w:sz w:val="18"/>
          <w:szCs w:val="18"/>
          <w:shd w:val="clear" w:color="auto" w:fill="B8CCE4" w:themeFill="accent1" w:themeFillTint="66"/>
        </w:rPr>
        <w:t>Blue shading</w:t>
      </w:r>
      <w:r w:rsidRPr="00302338">
        <w:rPr>
          <w:rStyle w:val="CommentReference"/>
          <w:b w:val="0"/>
          <w:bCs/>
          <w:sz w:val="18"/>
          <w:szCs w:val="18"/>
        </w:rPr>
        <w:t xml:space="preserve"> indicates </w:t>
      </w:r>
      <w:r>
        <w:rPr>
          <w:rStyle w:val="CommentReference"/>
          <w:b w:val="0"/>
          <w:bCs/>
          <w:sz w:val="18"/>
          <w:szCs w:val="18"/>
        </w:rPr>
        <w:t>studies</w:t>
      </w:r>
      <w:r w:rsidRPr="00302338">
        <w:rPr>
          <w:rStyle w:val="CommentReference"/>
          <w:b w:val="0"/>
          <w:bCs/>
          <w:sz w:val="18"/>
          <w:szCs w:val="18"/>
        </w:rPr>
        <w:t xml:space="preserve"> previously seen by the PBAC</w:t>
      </w:r>
      <w:r>
        <w:rPr>
          <w:rStyle w:val="CommentReference"/>
          <w:b w:val="0"/>
          <w:bCs/>
          <w:sz w:val="18"/>
          <w:szCs w:val="18"/>
        </w:rPr>
        <w:t>.</w:t>
      </w:r>
    </w:p>
    <w:p w14:paraId="086F48D0" w14:textId="18DC60CC" w:rsidR="00D85532" w:rsidRPr="00D86D87" w:rsidRDefault="00D85532" w:rsidP="00D85532">
      <w:pPr>
        <w:pStyle w:val="3-BodyText"/>
        <w:rPr>
          <w:color w:val="0066FF"/>
        </w:rPr>
      </w:pPr>
      <w:r w:rsidRPr="00D86D87">
        <w:lastRenderedPageBreak/>
        <w:t xml:space="preserve">The key features of the included evidence are summarised in </w:t>
      </w:r>
      <w:r>
        <w:fldChar w:fldCharType="begin"/>
      </w:r>
      <w:r>
        <w:instrText xml:space="preserve"> REF _Ref197297306 \h </w:instrText>
      </w:r>
      <w:r>
        <w:fldChar w:fldCharType="separate"/>
      </w:r>
      <w:r w:rsidR="00E5780E" w:rsidRPr="00D86D87">
        <w:t xml:space="preserve">Table </w:t>
      </w:r>
      <w:r w:rsidR="00E5780E">
        <w:rPr>
          <w:noProof/>
        </w:rPr>
        <w:t>3</w:t>
      </w:r>
      <w:r>
        <w:fldChar w:fldCharType="end"/>
      </w:r>
      <w:r>
        <w:t>.</w:t>
      </w:r>
    </w:p>
    <w:p w14:paraId="30491B92" w14:textId="577AB9B9" w:rsidR="00D85532" w:rsidRPr="00D86D87" w:rsidRDefault="00D85532" w:rsidP="004B679A">
      <w:pPr>
        <w:pStyle w:val="TableFigureHeading"/>
        <w:keepLines/>
        <w:widowControl w:val="0"/>
        <w:rPr>
          <w:rStyle w:val="CommentReference"/>
          <w:b/>
          <w:szCs w:val="24"/>
        </w:rPr>
      </w:pPr>
      <w:bookmarkStart w:id="26" w:name="_Ref197297306"/>
      <w:r w:rsidRPr="00D86D87">
        <w:lastRenderedPageBreak/>
        <w:t xml:space="preserve">Table </w:t>
      </w:r>
      <w:r w:rsidR="00167892">
        <w:fldChar w:fldCharType="begin"/>
      </w:r>
      <w:r w:rsidR="00167892">
        <w:instrText xml:space="preserve"> SEQ Table \* ARABIC </w:instrText>
      </w:r>
      <w:r w:rsidR="00167892">
        <w:fldChar w:fldCharType="separate"/>
      </w:r>
      <w:r w:rsidR="00E5780E">
        <w:rPr>
          <w:noProof/>
        </w:rPr>
        <w:t>3</w:t>
      </w:r>
      <w:r w:rsidR="00167892">
        <w:rPr>
          <w:noProof/>
        </w:rPr>
        <w:fldChar w:fldCharType="end"/>
      </w:r>
      <w:bookmarkEnd w:id="26"/>
      <w:r w:rsidRPr="00D86D87">
        <w:t xml:space="preserve">: </w:t>
      </w:r>
      <w:r w:rsidRPr="00D86D87">
        <w:rPr>
          <w:rStyle w:val="CommentReference"/>
          <w:b/>
          <w:szCs w:val="24"/>
        </w:rPr>
        <w:t>Key features of the included evidence – indirect comparison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3: Key features of the included evidence – indirect comparison"/>
      </w:tblPr>
      <w:tblGrid>
        <w:gridCol w:w="1072"/>
        <w:gridCol w:w="483"/>
        <w:gridCol w:w="840"/>
        <w:gridCol w:w="601"/>
        <w:gridCol w:w="2279"/>
        <w:gridCol w:w="2640"/>
        <w:gridCol w:w="1095"/>
        <w:gridCol w:w="7"/>
      </w:tblGrid>
      <w:tr w:rsidR="00D85532" w:rsidRPr="00D86D87" w14:paraId="6E36D939" w14:textId="77777777" w:rsidTr="00016F27">
        <w:trPr>
          <w:gridAfter w:val="1"/>
          <w:wAfter w:w="4" w:type="pct"/>
          <w:cantSplit/>
          <w:tblHeader/>
        </w:trPr>
        <w:tc>
          <w:tcPr>
            <w:tcW w:w="594" w:type="pct"/>
            <w:vAlign w:val="center"/>
          </w:tcPr>
          <w:p w14:paraId="7FB378DE" w14:textId="77777777" w:rsidR="00D85532" w:rsidRPr="00D86D87" w:rsidRDefault="00D85532" w:rsidP="004B679A">
            <w:pPr>
              <w:pStyle w:val="In-tableHeading"/>
              <w:widowControl w:val="0"/>
              <w:rPr>
                <w:lang w:val="en-AU"/>
              </w:rPr>
            </w:pPr>
            <w:r w:rsidRPr="00D86D87">
              <w:rPr>
                <w:lang w:val="en-AU"/>
              </w:rPr>
              <w:t>Trial</w:t>
            </w:r>
          </w:p>
        </w:tc>
        <w:tc>
          <w:tcPr>
            <w:tcW w:w="268" w:type="pct"/>
            <w:vAlign w:val="center"/>
          </w:tcPr>
          <w:p w14:paraId="2330CBC5" w14:textId="77777777" w:rsidR="00D85532" w:rsidRPr="00D86D87" w:rsidRDefault="00D85532" w:rsidP="004B679A">
            <w:pPr>
              <w:pStyle w:val="In-tableHeading"/>
              <w:widowControl w:val="0"/>
              <w:jc w:val="center"/>
              <w:rPr>
                <w:lang w:val="en-AU"/>
              </w:rPr>
            </w:pPr>
            <w:r w:rsidRPr="00D86D87">
              <w:rPr>
                <w:lang w:val="en-AU"/>
              </w:rPr>
              <w:t>N</w:t>
            </w:r>
          </w:p>
        </w:tc>
        <w:tc>
          <w:tcPr>
            <w:tcW w:w="466" w:type="pct"/>
            <w:vAlign w:val="center"/>
          </w:tcPr>
          <w:p w14:paraId="2206066E" w14:textId="77777777" w:rsidR="00D85532" w:rsidRPr="00D86D87" w:rsidRDefault="00D85532" w:rsidP="004B679A">
            <w:pPr>
              <w:pStyle w:val="In-tableHeading"/>
              <w:widowControl w:val="0"/>
              <w:jc w:val="center"/>
              <w:rPr>
                <w:lang w:val="en-AU"/>
              </w:rPr>
            </w:pPr>
            <w:r w:rsidRPr="00D86D87">
              <w:rPr>
                <w:lang w:val="en-AU"/>
              </w:rPr>
              <w:t>Design/ duration</w:t>
            </w:r>
          </w:p>
        </w:tc>
        <w:tc>
          <w:tcPr>
            <w:tcW w:w="333" w:type="pct"/>
            <w:vAlign w:val="center"/>
          </w:tcPr>
          <w:p w14:paraId="5C3176D6" w14:textId="77777777" w:rsidR="00D85532" w:rsidRPr="00D86D87" w:rsidRDefault="00D85532" w:rsidP="004B679A">
            <w:pPr>
              <w:pStyle w:val="In-tableHeading"/>
              <w:widowControl w:val="0"/>
              <w:jc w:val="center"/>
              <w:rPr>
                <w:lang w:val="en-AU"/>
              </w:rPr>
            </w:pPr>
            <w:r w:rsidRPr="00D86D87">
              <w:rPr>
                <w:lang w:val="en-AU"/>
              </w:rPr>
              <w:t>Risk of bias</w:t>
            </w:r>
          </w:p>
        </w:tc>
        <w:tc>
          <w:tcPr>
            <w:tcW w:w="1264" w:type="pct"/>
            <w:vAlign w:val="center"/>
          </w:tcPr>
          <w:p w14:paraId="70A8D784" w14:textId="77777777" w:rsidR="00D85532" w:rsidRPr="00D86D87" w:rsidRDefault="00D85532" w:rsidP="004B679A">
            <w:pPr>
              <w:pStyle w:val="In-tableHeading"/>
              <w:widowControl w:val="0"/>
              <w:jc w:val="center"/>
              <w:rPr>
                <w:lang w:val="en-AU"/>
              </w:rPr>
            </w:pPr>
            <w:r w:rsidRPr="00D86D87">
              <w:rPr>
                <w:lang w:val="en-AU"/>
              </w:rPr>
              <w:t>Patient population</w:t>
            </w:r>
          </w:p>
        </w:tc>
        <w:tc>
          <w:tcPr>
            <w:tcW w:w="1464" w:type="pct"/>
            <w:vAlign w:val="center"/>
          </w:tcPr>
          <w:p w14:paraId="1860D2C0" w14:textId="77777777" w:rsidR="00D85532" w:rsidRPr="00D86D87" w:rsidRDefault="00D85532" w:rsidP="004B679A">
            <w:pPr>
              <w:pStyle w:val="In-tableHeading"/>
              <w:widowControl w:val="0"/>
              <w:jc w:val="center"/>
              <w:rPr>
                <w:lang w:val="en-AU"/>
              </w:rPr>
            </w:pPr>
            <w:r w:rsidRPr="00D86D87">
              <w:rPr>
                <w:lang w:val="en-AU"/>
              </w:rPr>
              <w:t>Outcomes</w:t>
            </w:r>
          </w:p>
        </w:tc>
        <w:tc>
          <w:tcPr>
            <w:tcW w:w="607" w:type="pct"/>
            <w:vAlign w:val="center"/>
          </w:tcPr>
          <w:p w14:paraId="5581C386" w14:textId="51A83A35" w:rsidR="00D85532" w:rsidRPr="00D86D87" w:rsidRDefault="00D85532" w:rsidP="004B679A">
            <w:pPr>
              <w:pStyle w:val="In-tableHeading"/>
              <w:widowControl w:val="0"/>
              <w:jc w:val="center"/>
              <w:rPr>
                <w:lang w:val="en-AU"/>
              </w:rPr>
            </w:pPr>
            <w:r w:rsidRPr="00D86D87">
              <w:rPr>
                <w:lang w:val="en-AU"/>
              </w:rPr>
              <w:t>Use</w:t>
            </w:r>
            <w:r w:rsidR="00016F27">
              <w:rPr>
                <w:lang w:val="en-AU"/>
              </w:rPr>
              <w:t>d</w:t>
            </w:r>
            <w:r w:rsidRPr="00D86D87">
              <w:rPr>
                <w:lang w:val="en-AU"/>
              </w:rPr>
              <w:t xml:space="preserve"> in </w:t>
            </w:r>
            <w:r w:rsidR="0006191C">
              <w:rPr>
                <w:lang w:val="en-AU"/>
              </w:rPr>
              <w:t>CMA</w:t>
            </w:r>
          </w:p>
        </w:tc>
      </w:tr>
      <w:tr w:rsidR="00D85532" w:rsidRPr="007F2249" w14:paraId="103A9C9F" w14:textId="77777777" w:rsidTr="004B68FB">
        <w:trPr>
          <w:cantSplit/>
        </w:trPr>
        <w:tc>
          <w:tcPr>
            <w:tcW w:w="5000" w:type="pct"/>
            <w:gridSpan w:val="8"/>
            <w:vAlign w:val="center"/>
          </w:tcPr>
          <w:p w14:paraId="49384EFA" w14:textId="77777777" w:rsidR="00D85532" w:rsidRPr="007F2249" w:rsidRDefault="00D85532" w:rsidP="004B679A">
            <w:pPr>
              <w:pStyle w:val="TableText0"/>
              <w:widowControl w:val="0"/>
              <w:rPr>
                <w:b/>
                <w:bCs w:val="0"/>
              </w:rPr>
            </w:pPr>
            <w:r>
              <w:rPr>
                <w:b/>
                <w:bCs w:val="0"/>
              </w:rPr>
              <w:t>Nemolizumab vs. placebo</w:t>
            </w:r>
          </w:p>
        </w:tc>
      </w:tr>
      <w:tr w:rsidR="00D85532" w:rsidRPr="00D86D87" w14:paraId="2C445F3C" w14:textId="77777777" w:rsidTr="00016F27">
        <w:trPr>
          <w:gridAfter w:val="1"/>
          <w:wAfter w:w="4" w:type="pct"/>
          <w:cantSplit/>
        </w:trPr>
        <w:tc>
          <w:tcPr>
            <w:tcW w:w="594" w:type="pct"/>
            <w:vAlign w:val="center"/>
          </w:tcPr>
          <w:p w14:paraId="33974466" w14:textId="77777777" w:rsidR="00D85532" w:rsidRPr="00D86D87" w:rsidRDefault="00D85532" w:rsidP="004B679A">
            <w:pPr>
              <w:pStyle w:val="TableText0"/>
              <w:widowControl w:val="0"/>
            </w:pPr>
            <w:r>
              <w:t>ARCADIA 1</w:t>
            </w:r>
          </w:p>
        </w:tc>
        <w:tc>
          <w:tcPr>
            <w:tcW w:w="268" w:type="pct"/>
            <w:vAlign w:val="center"/>
          </w:tcPr>
          <w:p w14:paraId="4D27BF37" w14:textId="77777777" w:rsidR="00D85532" w:rsidRPr="00D86D87" w:rsidRDefault="00D85532" w:rsidP="004B679A">
            <w:pPr>
              <w:pStyle w:val="TableText0"/>
              <w:widowControl w:val="0"/>
              <w:jc w:val="center"/>
            </w:pPr>
            <w:r>
              <w:t>941</w:t>
            </w:r>
          </w:p>
        </w:tc>
        <w:tc>
          <w:tcPr>
            <w:tcW w:w="466" w:type="pct"/>
            <w:vAlign w:val="center"/>
          </w:tcPr>
          <w:p w14:paraId="08DF89BC" w14:textId="77777777" w:rsidR="00D85532" w:rsidRPr="00D86D87" w:rsidRDefault="00D85532" w:rsidP="004B679A">
            <w:pPr>
              <w:pStyle w:val="TableText0"/>
              <w:widowControl w:val="0"/>
              <w:jc w:val="center"/>
            </w:pPr>
            <w:r w:rsidRPr="00D86D87">
              <w:t>R, DB</w:t>
            </w:r>
            <w:r>
              <w:t>, MC</w:t>
            </w:r>
          </w:p>
          <w:p w14:paraId="02B3A23B" w14:textId="77777777" w:rsidR="00D85532" w:rsidRPr="00D86D87" w:rsidRDefault="00D85532" w:rsidP="004B679A">
            <w:pPr>
              <w:pStyle w:val="TableText0"/>
              <w:widowControl w:val="0"/>
              <w:jc w:val="center"/>
            </w:pPr>
            <w:r>
              <w:t>48 weeks</w:t>
            </w:r>
          </w:p>
        </w:tc>
        <w:tc>
          <w:tcPr>
            <w:tcW w:w="333" w:type="pct"/>
            <w:vAlign w:val="center"/>
          </w:tcPr>
          <w:p w14:paraId="40635600" w14:textId="77777777" w:rsidR="00D85532" w:rsidRPr="00D86D87" w:rsidRDefault="00D85532" w:rsidP="004B679A">
            <w:pPr>
              <w:pStyle w:val="TableText0"/>
              <w:widowControl w:val="0"/>
              <w:jc w:val="center"/>
            </w:pPr>
            <w:r w:rsidRPr="00D86D87">
              <w:t>Low</w:t>
            </w:r>
          </w:p>
        </w:tc>
        <w:tc>
          <w:tcPr>
            <w:tcW w:w="1264" w:type="pct"/>
            <w:vAlign w:val="center"/>
          </w:tcPr>
          <w:p w14:paraId="3DE70A0E" w14:textId="77777777" w:rsidR="00D85532" w:rsidRPr="00D86D87" w:rsidRDefault="00D85532" w:rsidP="004B679A">
            <w:pPr>
              <w:pStyle w:val="TableText0"/>
              <w:widowControl w:val="0"/>
              <w:jc w:val="center"/>
            </w:pPr>
            <w:r>
              <w:t>Adult and adolescent patients with moderate to severe AD with inadequate response to topical steroids</w:t>
            </w:r>
          </w:p>
        </w:tc>
        <w:tc>
          <w:tcPr>
            <w:tcW w:w="1464" w:type="pct"/>
            <w:vAlign w:val="center"/>
          </w:tcPr>
          <w:p w14:paraId="63799393" w14:textId="77777777" w:rsidR="00D85532" w:rsidRDefault="00D85532" w:rsidP="004B679A">
            <w:pPr>
              <w:pStyle w:val="TableText0"/>
              <w:widowControl w:val="0"/>
              <w:jc w:val="center"/>
            </w:pPr>
            <w:r>
              <w:t>EASI-75</w:t>
            </w:r>
          </w:p>
          <w:p w14:paraId="4A1F5C19" w14:textId="77777777" w:rsidR="00D85532" w:rsidRDefault="00D85532" w:rsidP="004B679A">
            <w:pPr>
              <w:pStyle w:val="TableText0"/>
              <w:widowControl w:val="0"/>
              <w:jc w:val="center"/>
            </w:pPr>
            <w:r>
              <w:t>IGA success</w:t>
            </w:r>
          </w:p>
          <w:p w14:paraId="301D01ED" w14:textId="77777777" w:rsidR="00D85532" w:rsidRDefault="00D85532" w:rsidP="004B679A">
            <w:pPr>
              <w:pStyle w:val="TableText0"/>
              <w:widowControl w:val="0"/>
              <w:jc w:val="center"/>
            </w:pPr>
            <w:r>
              <w:t>EASI-50</w:t>
            </w:r>
          </w:p>
          <w:p w14:paraId="63DFA894" w14:textId="77777777" w:rsidR="00D85532" w:rsidRDefault="00D85532" w:rsidP="004B679A">
            <w:pPr>
              <w:pStyle w:val="TableText0"/>
              <w:widowControl w:val="0"/>
              <w:jc w:val="center"/>
            </w:pPr>
            <w:r>
              <w:rPr>
                <w:rFonts w:cs="Calibri"/>
              </w:rPr>
              <w:t>≥</w:t>
            </w:r>
            <w:r>
              <w:t>4-point improvement in DLQI</w:t>
            </w:r>
          </w:p>
          <w:p w14:paraId="16531A8C" w14:textId="77777777" w:rsidR="00D85532" w:rsidRDefault="00D85532" w:rsidP="004B679A">
            <w:pPr>
              <w:pStyle w:val="TableText0"/>
              <w:widowControl w:val="0"/>
              <w:jc w:val="center"/>
            </w:pPr>
            <w:r>
              <w:rPr>
                <w:rFonts w:cs="Calibri"/>
              </w:rPr>
              <w:t>≥</w:t>
            </w:r>
            <w:r>
              <w:t>4-point improvement in PP-NRS</w:t>
            </w:r>
          </w:p>
          <w:p w14:paraId="0D2E2C1A" w14:textId="77777777" w:rsidR="00D85532" w:rsidRPr="00D86D87" w:rsidRDefault="00D85532" w:rsidP="004B679A">
            <w:pPr>
              <w:pStyle w:val="TableText0"/>
              <w:widowControl w:val="0"/>
              <w:jc w:val="center"/>
            </w:pPr>
            <w:r>
              <w:t>Safety</w:t>
            </w:r>
          </w:p>
        </w:tc>
        <w:tc>
          <w:tcPr>
            <w:tcW w:w="607" w:type="pct"/>
            <w:vAlign w:val="center"/>
          </w:tcPr>
          <w:p w14:paraId="3F5EA09C" w14:textId="27237569" w:rsidR="00D85532" w:rsidRPr="00D86D87" w:rsidRDefault="00B254CF" w:rsidP="004B679A">
            <w:pPr>
              <w:pStyle w:val="TableText0"/>
              <w:widowControl w:val="0"/>
              <w:jc w:val="center"/>
            </w:pPr>
            <w:r>
              <w:t>U</w:t>
            </w:r>
            <w:r w:rsidR="00D85532">
              <w:t>sed</w:t>
            </w:r>
          </w:p>
        </w:tc>
      </w:tr>
      <w:tr w:rsidR="00D85532" w:rsidRPr="00D86D87" w14:paraId="51BE30FB" w14:textId="77777777" w:rsidTr="00016F27">
        <w:trPr>
          <w:gridAfter w:val="1"/>
          <w:wAfter w:w="4" w:type="pct"/>
          <w:cantSplit/>
        </w:trPr>
        <w:tc>
          <w:tcPr>
            <w:tcW w:w="594" w:type="pct"/>
            <w:vAlign w:val="center"/>
          </w:tcPr>
          <w:p w14:paraId="56063D1D" w14:textId="77777777" w:rsidR="00D85532" w:rsidRPr="00D86D87" w:rsidRDefault="00D85532" w:rsidP="004B679A">
            <w:pPr>
              <w:pStyle w:val="TableText0"/>
              <w:widowControl w:val="0"/>
            </w:pPr>
            <w:r>
              <w:t>ARCADIA 2</w:t>
            </w:r>
          </w:p>
        </w:tc>
        <w:tc>
          <w:tcPr>
            <w:tcW w:w="268" w:type="pct"/>
            <w:vAlign w:val="center"/>
          </w:tcPr>
          <w:p w14:paraId="486363D7" w14:textId="77777777" w:rsidR="00D85532" w:rsidRPr="00D86D87" w:rsidRDefault="00D85532" w:rsidP="004B679A">
            <w:pPr>
              <w:pStyle w:val="TableText0"/>
              <w:widowControl w:val="0"/>
              <w:jc w:val="center"/>
            </w:pPr>
            <w:r>
              <w:t>787</w:t>
            </w:r>
          </w:p>
        </w:tc>
        <w:tc>
          <w:tcPr>
            <w:tcW w:w="466" w:type="pct"/>
            <w:vAlign w:val="center"/>
          </w:tcPr>
          <w:p w14:paraId="27FA14EF" w14:textId="77777777" w:rsidR="00D85532" w:rsidRPr="00D86D87" w:rsidRDefault="00D85532" w:rsidP="004B679A">
            <w:pPr>
              <w:pStyle w:val="TableText0"/>
              <w:widowControl w:val="0"/>
              <w:jc w:val="center"/>
            </w:pPr>
            <w:r w:rsidRPr="00D86D87">
              <w:t>R, DB</w:t>
            </w:r>
            <w:r>
              <w:t>, MC</w:t>
            </w:r>
          </w:p>
          <w:p w14:paraId="4001E8E5" w14:textId="77777777" w:rsidR="00D85532" w:rsidRPr="00D86D87" w:rsidRDefault="00D85532" w:rsidP="004B679A">
            <w:pPr>
              <w:pStyle w:val="TableText0"/>
              <w:widowControl w:val="0"/>
              <w:jc w:val="center"/>
            </w:pPr>
            <w:r>
              <w:t>48 weeks</w:t>
            </w:r>
          </w:p>
        </w:tc>
        <w:tc>
          <w:tcPr>
            <w:tcW w:w="333" w:type="pct"/>
            <w:vAlign w:val="center"/>
          </w:tcPr>
          <w:p w14:paraId="24506B64" w14:textId="77777777" w:rsidR="00D85532" w:rsidRPr="00D86D87" w:rsidRDefault="00D85532" w:rsidP="004B679A">
            <w:pPr>
              <w:pStyle w:val="TableText0"/>
              <w:widowControl w:val="0"/>
              <w:jc w:val="center"/>
            </w:pPr>
            <w:r>
              <w:t>Low</w:t>
            </w:r>
          </w:p>
        </w:tc>
        <w:tc>
          <w:tcPr>
            <w:tcW w:w="1264" w:type="pct"/>
            <w:vAlign w:val="center"/>
          </w:tcPr>
          <w:p w14:paraId="3C3498C5" w14:textId="77777777" w:rsidR="00D85532" w:rsidRPr="00D86D87" w:rsidRDefault="00D85532" w:rsidP="004B679A">
            <w:pPr>
              <w:pStyle w:val="TableText0"/>
              <w:widowControl w:val="0"/>
              <w:jc w:val="center"/>
            </w:pPr>
            <w:r w:rsidRPr="0063205D">
              <w:t xml:space="preserve">Adult and adolescent patients </w:t>
            </w:r>
            <w:r>
              <w:t>with moderate to severe AD with inadequate response to topical steroids</w:t>
            </w:r>
          </w:p>
        </w:tc>
        <w:tc>
          <w:tcPr>
            <w:tcW w:w="1464" w:type="pct"/>
            <w:vAlign w:val="center"/>
          </w:tcPr>
          <w:p w14:paraId="48D5954F" w14:textId="77777777" w:rsidR="00D85532" w:rsidRDefault="00D85532" w:rsidP="004B679A">
            <w:pPr>
              <w:pStyle w:val="TableText0"/>
              <w:widowControl w:val="0"/>
              <w:jc w:val="center"/>
            </w:pPr>
            <w:r>
              <w:t>EASI-75</w:t>
            </w:r>
          </w:p>
          <w:p w14:paraId="44CDC613" w14:textId="77777777" w:rsidR="00D85532" w:rsidRDefault="00D85532" w:rsidP="004B679A">
            <w:pPr>
              <w:pStyle w:val="TableText0"/>
              <w:widowControl w:val="0"/>
              <w:jc w:val="center"/>
            </w:pPr>
            <w:r>
              <w:t>IGA success</w:t>
            </w:r>
          </w:p>
          <w:p w14:paraId="2534A098" w14:textId="77777777" w:rsidR="00D85532" w:rsidRDefault="00D85532" w:rsidP="004B679A">
            <w:pPr>
              <w:pStyle w:val="TableText0"/>
              <w:widowControl w:val="0"/>
              <w:jc w:val="center"/>
            </w:pPr>
            <w:r>
              <w:t>EASI-50</w:t>
            </w:r>
          </w:p>
          <w:p w14:paraId="6F01AAF4" w14:textId="77777777" w:rsidR="00D85532" w:rsidRDefault="00D85532" w:rsidP="004B679A">
            <w:pPr>
              <w:pStyle w:val="TableText0"/>
              <w:widowControl w:val="0"/>
              <w:jc w:val="center"/>
            </w:pPr>
            <w:r>
              <w:rPr>
                <w:rFonts w:cs="Calibri"/>
              </w:rPr>
              <w:t>≥</w:t>
            </w:r>
            <w:r>
              <w:t>4-point improvement in DLQI</w:t>
            </w:r>
          </w:p>
          <w:p w14:paraId="2E083446" w14:textId="77777777" w:rsidR="00D85532" w:rsidRDefault="00D85532" w:rsidP="004B679A">
            <w:pPr>
              <w:pStyle w:val="TableText0"/>
              <w:widowControl w:val="0"/>
              <w:jc w:val="center"/>
            </w:pPr>
            <w:r>
              <w:rPr>
                <w:rFonts w:cs="Calibri"/>
              </w:rPr>
              <w:t>≥</w:t>
            </w:r>
            <w:r>
              <w:t>4-point improvement in PP-NRS</w:t>
            </w:r>
          </w:p>
          <w:p w14:paraId="0BCA2EFC" w14:textId="77777777" w:rsidR="00D85532" w:rsidRPr="00D86D87" w:rsidRDefault="00D85532" w:rsidP="004B679A">
            <w:pPr>
              <w:pStyle w:val="TableText0"/>
              <w:widowControl w:val="0"/>
              <w:jc w:val="center"/>
            </w:pPr>
            <w:r>
              <w:t>Safety</w:t>
            </w:r>
          </w:p>
        </w:tc>
        <w:tc>
          <w:tcPr>
            <w:tcW w:w="607" w:type="pct"/>
            <w:vAlign w:val="center"/>
          </w:tcPr>
          <w:p w14:paraId="66792CF2" w14:textId="165BFA4A" w:rsidR="00D85532" w:rsidRPr="00D86D87" w:rsidRDefault="000837B2" w:rsidP="004B679A">
            <w:pPr>
              <w:pStyle w:val="TableText0"/>
              <w:widowControl w:val="0"/>
              <w:jc w:val="center"/>
            </w:pPr>
            <w:r>
              <w:t>U</w:t>
            </w:r>
            <w:r w:rsidR="00D85532">
              <w:t>sed</w:t>
            </w:r>
          </w:p>
        </w:tc>
      </w:tr>
      <w:tr w:rsidR="00D85532" w:rsidRPr="00D86D87" w14:paraId="411319C4" w14:textId="77777777" w:rsidTr="00016F27">
        <w:trPr>
          <w:gridAfter w:val="1"/>
          <w:wAfter w:w="4" w:type="pct"/>
          <w:cantSplit/>
        </w:trPr>
        <w:tc>
          <w:tcPr>
            <w:tcW w:w="594" w:type="pct"/>
            <w:vAlign w:val="center"/>
          </w:tcPr>
          <w:p w14:paraId="0869EAB3" w14:textId="77777777" w:rsidR="00D85532" w:rsidRPr="00D86D87" w:rsidRDefault="00D85532" w:rsidP="004B679A">
            <w:pPr>
              <w:pStyle w:val="TableText0"/>
              <w:widowControl w:val="0"/>
            </w:pPr>
            <w:r>
              <w:t>ARCADIA CYCLO</w:t>
            </w:r>
          </w:p>
        </w:tc>
        <w:tc>
          <w:tcPr>
            <w:tcW w:w="268" w:type="pct"/>
            <w:vAlign w:val="center"/>
          </w:tcPr>
          <w:p w14:paraId="625D7C83" w14:textId="77777777" w:rsidR="00D85532" w:rsidRPr="00D86D87" w:rsidRDefault="00D85532" w:rsidP="004B679A">
            <w:pPr>
              <w:pStyle w:val="TableText0"/>
              <w:widowControl w:val="0"/>
              <w:jc w:val="center"/>
            </w:pPr>
            <w:r>
              <w:t>276</w:t>
            </w:r>
          </w:p>
        </w:tc>
        <w:tc>
          <w:tcPr>
            <w:tcW w:w="466" w:type="pct"/>
            <w:vAlign w:val="center"/>
          </w:tcPr>
          <w:p w14:paraId="377EA33A" w14:textId="77777777" w:rsidR="00D85532" w:rsidRPr="00D86D87" w:rsidRDefault="00D85532" w:rsidP="004B679A">
            <w:pPr>
              <w:pStyle w:val="TableText0"/>
              <w:widowControl w:val="0"/>
              <w:jc w:val="center"/>
            </w:pPr>
            <w:r w:rsidRPr="00D86D87">
              <w:t>R, DB</w:t>
            </w:r>
            <w:r>
              <w:t>, MC</w:t>
            </w:r>
          </w:p>
          <w:p w14:paraId="1048C8A8" w14:textId="77777777" w:rsidR="00D85532" w:rsidRPr="00D86D87" w:rsidRDefault="00D85532" w:rsidP="004B679A">
            <w:pPr>
              <w:pStyle w:val="TableText0"/>
              <w:widowControl w:val="0"/>
              <w:jc w:val="center"/>
            </w:pPr>
            <w:r>
              <w:t>16 weeks</w:t>
            </w:r>
          </w:p>
        </w:tc>
        <w:tc>
          <w:tcPr>
            <w:tcW w:w="333" w:type="pct"/>
            <w:vAlign w:val="center"/>
          </w:tcPr>
          <w:p w14:paraId="53468DAD" w14:textId="77777777" w:rsidR="00D85532" w:rsidRPr="00D86D87" w:rsidRDefault="00D85532" w:rsidP="004B679A">
            <w:pPr>
              <w:pStyle w:val="TableText0"/>
              <w:widowControl w:val="0"/>
              <w:jc w:val="center"/>
            </w:pPr>
            <w:r w:rsidRPr="00D86D87">
              <w:t>Low</w:t>
            </w:r>
          </w:p>
        </w:tc>
        <w:tc>
          <w:tcPr>
            <w:tcW w:w="1264" w:type="pct"/>
            <w:vAlign w:val="center"/>
          </w:tcPr>
          <w:p w14:paraId="54B60BF9" w14:textId="77777777" w:rsidR="00D85532" w:rsidRPr="00D86D87" w:rsidRDefault="00D85532" w:rsidP="004B679A">
            <w:pPr>
              <w:pStyle w:val="TableText0"/>
              <w:widowControl w:val="0"/>
              <w:jc w:val="center"/>
            </w:pPr>
            <w:r>
              <w:t xml:space="preserve">Adult patients with moderate to severe AD with recent exposure to </w:t>
            </w:r>
            <w:proofErr w:type="spellStart"/>
            <w:r>
              <w:t>CsA</w:t>
            </w:r>
            <w:proofErr w:type="spellEnd"/>
            <w:r>
              <w:t xml:space="preserve"> or medically inadvisable to received </w:t>
            </w:r>
            <w:proofErr w:type="spellStart"/>
            <w:r>
              <w:t>CsA</w:t>
            </w:r>
            <w:proofErr w:type="spellEnd"/>
          </w:p>
        </w:tc>
        <w:tc>
          <w:tcPr>
            <w:tcW w:w="1464" w:type="pct"/>
            <w:vAlign w:val="center"/>
          </w:tcPr>
          <w:p w14:paraId="66F63F66" w14:textId="77777777" w:rsidR="00D85532" w:rsidRDefault="00D85532" w:rsidP="004B679A">
            <w:pPr>
              <w:pStyle w:val="TableText0"/>
              <w:widowControl w:val="0"/>
              <w:jc w:val="center"/>
            </w:pPr>
            <w:r>
              <w:t>EASI-75</w:t>
            </w:r>
          </w:p>
          <w:p w14:paraId="0FEB1422" w14:textId="77777777" w:rsidR="00D85532" w:rsidRDefault="00D85532" w:rsidP="004B679A">
            <w:pPr>
              <w:pStyle w:val="TableText0"/>
              <w:widowControl w:val="0"/>
              <w:jc w:val="center"/>
            </w:pPr>
            <w:r>
              <w:t>IGA success</w:t>
            </w:r>
          </w:p>
          <w:p w14:paraId="48701B4B" w14:textId="77777777" w:rsidR="00D85532" w:rsidRDefault="00D85532" w:rsidP="004B679A">
            <w:pPr>
              <w:pStyle w:val="TableText0"/>
              <w:widowControl w:val="0"/>
              <w:jc w:val="center"/>
            </w:pPr>
            <w:r>
              <w:t>EASI-50</w:t>
            </w:r>
          </w:p>
          <w:p w14:paraId="0FD3D5E7" w14:textId="77777777" w:rsidR="00D85532" w:rsidRPr="00D86D87" w:rsidRDefault="00D85532" w:rsidP="004B679A">
            <w:pPr>
              <w:pStyle w:val="TableText0"/>
              <w:widowControl w:val="0"/>
              <w:jc w:val="center"/>
            </w:pPr>
            <w:r>
              <w:t>Safety</w:t>
            </w:r>
          </w:p>
        </w:tc>
        <w:tc>
          <w:tcPr>
            <w:tcW w:w="607" w:type="pct"/>
            <w:vAlign w:val="center"/>
          </w:tcPr>
          <w:p w14:paraId="4CC1C799" w14:textId="77777777" w:rsidR="00D85532" w:rsidRPr="00D86D87" w:rsidRDefault="00D85532" w:rsidP="004B679A">
            <w:pPr>
              <w:pStyle w:val="TableText0"/>
              <w:widowControl w:val="0"/>
              <w:jc w:val="center"/>
            </w:pPr>
            <w:r>
              <w:t>Not used</w:t>
            </w:r>
          </w:p>
        </w:tc>
      </w:tr>
      <w:tr w:rsidR="00D85532" w:rsidRPr="00D86D87" w14:paraId="20C69958" w14:textId="77777777" w:rsidTr="00016F27">
        <w:trPr>
          <w:gridAfter w:val="1"/>
          <w:wAfter w:w="4" w:type="pct"/>
          <w:cantSplit/>
        </w:trPr>
        <w:tc>
          <w:tcPr>
            <w:tcW w:w="594" w:type="pct"/>
            <w:vAlign w:val="center"/>
          </w:tcPr>
          <w:p w14:paraId="14D03E3C" w14:textId="77777777" w:rsidR="00D85532" w:rsidRPr="00D86D87" w:rsidRDefault="00D85532" w:rsidP="004B679A">
            <w:pPr>
              <w:pStyle w:val="TableText0"/>
              <w:widowControl w:val="0"/>
            </w:pPr>
            <w:r>
              <w:t>Study 114322</w:t>
            </w:r>
          </w:p>
        </w:tc>
        <w:tc>
          <w:tcPr>
            <w:tcW w:w="268" w:type="pct"/>
            <w:vAlign w:val="center"/>
          </w:tcPr>
          <w:p w14:paraId="13F048F5" w14:textId="77777777" w:rsidR="00D85532" w:rsidRPr="00D86D87" w:rsidRDefault="00D85532" w:rsidP="004B679A">
            <w:pPr>
              <w:pStyle w:val="TableText0"/>
              <w:widowControl w:val="0"/>
              <w:jc w:val="center"/>
            </w:pPr>
            <w:r>
              <w:t>114</w:t>
            </w:r>
          </w:p>
        </w:tc>
        <w:tc>
          <w:tcPr>
            <w:tcW w:w="466" w:type="pct"/>
            <w:vAlign w:val="center"/>
          </w:tcPr>
          <w:p w14:paraId="042BAB96" w14:textId="77777777" w:rsidR="00D85532" w:rsidRPr="00D86D87" w:rsidRDefault="00D85532" w:rsidP="004B679A">
            <w:pPr>
              <w:pStyle w:val="TableText0"/>
              <w:widowControl w:val="0"/>
              <w:jc w:val="center"/>
            </w:pPr>
            <w:r w:rsidRPr="00D86D87">
              <w:t>R, DB</w:t>
            </w:r>
            <w:r>
              <w:t>, MC</w:t>
            </w:r>
          </w:p>
          <w:p w14:paraId="1A623F09" w14:textId="77777777" w:rsidR="00D85532" w:rsidRPr="00D86D87" w:rsidRDefault="00D85532" w:rsidP="004B679A">
            <w:pPr>
              <w:pStyle w:val="TableText0"/>
              <w:widowControl w:val="0"/>
              <w:jc w:val="center"/>
            </w:pPr>
            <w:r>
              <w:t>24 weeks</w:t>
            </w:r>
          </w:p>
        </w:tc>
        <w:tc>
          <w:tcPr>
            <w:tcW w:w="333" w:type="pct"/>
            <w:vAlign w:val="center"/>
          </w:tcPr>
          <w:p w14:paraId="4618EFD2" w14:textId="77777777" w:rsidR="00D85532" w:rsidRPr="00D86D87" w:rsidRDefault="00D85532" w:rsidP="004B679A">
            <w:pPr>
              <w:pStyle w:val="TableText0"/>
              <w:widowControl w:val="0"/>
              <w:jc w:val="center"/>
            </w:pPr>
            <w:r>
              <w:t>Low</w:t>
            </w:r>
          </w:p>
        </w:tc>
        <w:tc>
          <w:tcPr>
            <w:tcW w:w="1264" w:type="pct"/>
            <w:vAlign w:val="center"/>
          </w:tcPr>
          <w:p w14:paraId="45B523EE" w14:textId="77777777" w:rsidR="00D85532" w:rsidRPr="00D86D87" w:rsidRDefault="00D85532" w:rsidP="004B679A">
            <w:pPr>
              <w:pStyle w:val="TableText0"/>
              <w:widowControl w:val="0"/>
              <w:jc w:val="center"/>
            </w:pPr>
            <w:r>
              <w:t>Adult patients with moderate to severe AD with inadequate response to topical steroids</w:t>
            </w:r>
          </w:p>
        </w:tc>
        <w:tc>
          <w:tcPr>
            <w:tcW w:w="1464" w:type="pct"/>
            <w:vAlign w:val="center"/>
          </w:tcPr>
          <w:p w14:paraId="513036BB" w14:textId="77777777" w:rsidR="00D85532" w:rsidRDefault="00D85532" w:rsidP="004B679A">
            <w:pPr>
              <w:pStyle w:val="TableText0"/>
              <w:widowControl w:val="0"/>
              <w:jc w:val="center"/>
            </w:pPr>
            <w:r>
              <w:t>EASI-75</w:t>
            </w:r>
          </w:p>
          <w:p w14:paraId="41B07289" w14:textId="77777777" w:rsidR="00D85532" w:rsidRDefault="00D85532" w:rsidP="004B679A">
            <w:pPr>
              <w:pStyle w:val="TableText0"/>
              <w:widowControl w:val="0"/>
              <w:jc w:val="center"/>
            </w:pPr>
            <w:r>
              <w:t>IGA success</w:t>
            </w:r>
          </w:p>
          <w:p w14:paraId="2926BA01" w14:textId="77777777" w:rsidR="00D85532" w:rsidRDefault="00D85532" w:rsidP="004B679A">
            <w:pPr>
              <w:pStyle w:val="TableText0"/>
              <w:widowControl w:val="0"/>
              <w:jc w:val="center"/>
            </w:pPr>
            <w:r>
              <w:t>EASI-50</w:t>
            </w:r>
          </w:p>
          <w:p w14:paraId="4DBA6FBC" w14:textId="77777777" w:rsidR="00D85532" w:rsidRDefault="00D85532" w:rsidP="004B679A">
            <w:pPr>
              <w:pStyle w:val="TableText0"/>
              <w:widowControl w:val="0"/>
              <w:jc w:val="center"/>
            </w:pPr>
            <w:r>
              <w:rPr>
                <w:rFonts w:cs="Calibri"/>
              </w:rPr>
              <w:t>≥</w:t>
            </w:r>
            <w:r>
              <w:t>4-point improvement in DLQI</w:t>
            </w:r>
          </w:p>
          <w:p w14:paraId="045D620E" w14:textId="77777777" w:rsidR="00D85532" w:rsidRPr="00D86D87" w:rsidRDefault="00D85532" w:rsidP="004B679A">
            <w:pPr>
              <w:pStyle w:val="TableText0"/>
              <w:widowControl w:val="0"/>
              <w:jc w:val="center"/>
            </w:pPr>
            <w:r>
              <w:t>Safety</w:t>
            </w:r>
          </w:p>
        </w:tc>
        <w:tc>
          <w:tcPr>
            <w:tcW w:w="607" w:type="pct"/>
            <w:vAlign w:val="center"/>
          </w:tcPr>
          <w:p w14:paraId="0D877600" w14:textId="619DA4C0" w:rsidR="00D85532" w:rsidRPr="00D86D87" w:rsidRDefault="000837B2" w:rsidP="004B679A">
            <w:pPr>
              <w:pStyle w:val="TableText0"/>
              <w:widowControl w:val="0"/>
              <w:jc w:val="center"/>
            </w:pPr>
            <w:r>
              <w:t>U</w:t>
            </w:r>
            <w:r w:rsidR="00D85532">
              <w:t>sed</w:t>
            </w:r>
          </w:p>
        </w:tc>
      </w:tr>
      <w:tr w:rsidR="00D85532" w:rsidRPr="00D86D87" w14:paraId="71707FE8" w14:textId="77777777" w:rsidTr="00016F27">
        <w:trPr>
          <w:gridAfter w:val="1"/>
          <w:wAfter w:w="4" w:type="pct"/>
          <w:cantSplit/>
        </w:trPr>
        <w:tc>
          <w:tcPr>
            <w:tcW w:w="594" w:type="pct"/>
            <w:vAlign w:val="center"/>
          </w:tcPr>
          <w:p w14:paraId="7DF59969" w14:textId="77777777" w:rsidR="00D85532" w:rsidRPr="00D86D87" w:rsidRDefault="00D85532" w:rsidP="004B679A">
            <w:pPr>
              <w:pStyle w:val="TableText0"/>
              <w:widowControl w:val="0"/>
            </w:pPr>
            <w:r w:rsidRPr="00D86D87">
              <w:t>Meta-analysis</w:t>
            </w:r>
          </w:p>
        </w:tc>
        <w:tc>
          <w:tcPr>
            <w:tcW w:w="268" w:type="pct"/>
            <w:vAlign w:val="center"/>
          </w:tcPr>
          <w:p w14:paraId="520B462F" w14:textId="77777777" w:rsidR="00D85532" w:rsidRPr="00D86D87" w:rsidRDefault="00D85532" w:rsidP="004B679A">
            <w:pPr>
              <w:pStyle w:val="TableText0"/>
              <w:widowControl w:val="0"/>
              <w:jc w:val="center"/>
            </w:pPr>
            <w:r>
              <w:t>2118</w:t>
            </w:r>
          </w:p>
        </w:tc>
        <w:tc>
          <w:tcPr>
            <w:tcW w:w="3527" w:type="pct"/>
            <w:gridSpan w:val="4"/>
            <w:vAlign w:val="center"/>
          </w:tcPr>
          <w:p w14:paraId="1590486D" w14:textId="48586FAA" w:rsidR="00D85532" w:rsidRPr="00D86D87" w:rsidRDefault="00D85532" w:rsidP="004B679A">
            <w:pPr>
              <w:pStyle w:val="TableText0"/>
              <w:widowControl w:val="0"/>
            </w:pPr>
            <w:r w:rsidRPr="00D86D87">
              <w:t xml:space="preserve">Included </w:t>
            </w:r>
            <w:r>
              <w:t>ARC</w:t>
            </w:r>
            <w:r w:rsidR="0014274D">
              <w:t>A</w:t>
            </w:r>
            <w:r>
              <w:t>DIA 1, ARCADIA 2, and Study 114322 for efficacy and ARC</w:t>
            </w:r>
            <w:r w:rsidR="0014274D">
              <w:t>A</w:t>
            </w:r>
            <w:r>
              <w:t>DIA 1, ARCADIA 2, ARCADIA CYCLO, and Study 114322 for safety.</w:t>
            </w:r>
          </w:p>
        </w:tc>
        <w:tc>
          <w:tcPr>
            <w:tcW w:w="607" w:type="pct"/>
            <w:vAlign w:val="center"/>
          </w:tcPr>
          <w:p w14:paraId="5B373EC9" w14:textId="77777777" w:rsidR="00D85532" w:rsidRPr="00D86D87" w:rsidRDefault="00D85532" w:rsidP="004B679A">
            <w:pPr>
              <w:pStyle w:val="TableText0"/>
              <w:widowControl w:val="0"/>
              <w:jc w:val="center"/>
            </w:pPr>
            <w:r>
              <w:t>Not used</w:t>
            </w:r>
          </w:p>
        </w:tc>
      </w:tr>
      <w:tr w:rsidR="00D85532" w:rsidRPr="007F2249" w14:paraId="6ECE5E13" w14:textId="77777777" w:rsidTr="004B68FB">
        <w:trPr>
          <w:cantSplit/>
        </w:trPr>
        <w:tc>
          <w:tcPr>
            <w:tcW w:w="5000" w:type="pct"/>
            <w:gridSpan w:val="8"/>
            <w:vAlign w:val="center"/>
          </w:tcPr>
          <w:p w14:paraId="03E7CDCA" w14:textId="77777777" w:rsidR="00D85532" w:rsidRPr="007F2249" w:rsidRDefault="00D85532" w:rsidP="004B679A">
            <w:pPr>
              <w:pStyle w:val="TableText0"/>
              <w:widowControl w:val="0"/>
              <w:rPr>
                <w:b/>
                <w:bCs w:val="0"/>
              </w:rPr>
            </w:pPr>
            <w:r>
              <w:rPr>
                <w:b/>
                <w:bCs w:val="0"/>
              </w:rPr>
              <w:t>Dupilumab vs placebo</w:t>
            </w:r>
          </w:p>
        </w:tc>
      </w:tr>
      <w:tr w:rsidR="00D85532" w:rsidRPr="00D86D87" w14:paraId="76F7A2FE" w14:textId="77777777" w:rsidTr="00016F27">
        <w:trPr>
          <w:gridAfter w:val="1"/>
          <w:wAfter w:w="4" w:type="pct"/>
          <w:cantSplit/>
        </w:trPr>
        <w:tc>
          <w:tcPr>
            <w:tcW w:w="594" w:type="pct"/>
            <w:shd w:val="clear" w:color="auto" w:fill="B8CCE4"/>
            <w:vAlign w:val="center"/>
          </w:tcPr>
          <w:p w14:paraId="7DFBF8BB" w14:textId="77777777" w:rsidR="00D85532" w:rsidRPr="00D86D87" w:rsidRDefault="00D85532" w:rsidP="004B679A">
            <w:pPr>
              <w:pStyle w:val="TableText0"/>
              <w:widowControl w:val="0"/>
            </w:pPr>
            <w:r>
              <w:t>CHRONOS</w:t>
            </w:r>
          </w:p>
        </w:tc>
        <w:tc>
          <w:tcPr>
            <w:tcW w:w="268" w:type="pct"/>
            <w:shd w:val="clear" w:color="auto" w:fill="B8CCE4"/>
            <w:vAlign w:val="center"/>
          </w:tcPr>
          <w:p w14:paraId="46822B9F" w14:textId="77777777" w:rsidR="00D85532" w:rsidRPr="00D86D87" w:rsidRDefault="00D85532" w:rsidP="004B679A">
            <w:pPr>
              <w:pStyle w:val="TableText0"/>
              <w:widowControl w:val="0"/>
              <w:jc w:val="center"/>
            </w:pPr>
            <w:r>
              <w:t>421</w:t>
            </w:r>
          </w:p>
        </w:tc>
        <w:tc>
          <w:tcPr>
            <w:tcW w:w="466" w:type="pct"/>
            <w:shd w:val="clear" w:color="auto" w:fill="B8CCE4"/>
            <w:vAlign w:val="center"/>
          </w:tcPr>
          <w:p w14:paraId="0AD05F30" w14:textId="77777777" w:rsidR="00D85532" w:rsidRDefault="00D85532" w:rsidP="004B679A">
            <w:pPr>
              <w:pStyle w:val="TableText0"/>
              <w:widowControl w:val="0"/>
              <w:jc w:val="center"/>
            </w:pPr>
            <w:r>
              <w:t>R, DB, MC</w:t>
            </w:r>
          </w:p>
          <w:p w14:paraId="76E0618B" w14:textId="77777777" w:rsidR="00D85532" w:rsidRPr="00D86D87" w:rsidRDefault="00D85532" w:rsidP="004B679A">
            <w:pPr>
              <w:pStyle w:val="TableText0"/>
              <w:widowControl w:val="0"/>
              <w:jc w:val="center"/>
            </w:pPr>
            <w:r>
              <w:t>1 year</w:t>
            </w:r>
          </w:p>
        </w:tc>
        <w:tc>
          <w:tcPr>
            <w:tcW w:w="333" w:type="pct"/>
            <w:shd w:val="clear" w:color="auto" w:fill="B8CCE4"/>
            <w:vAlign w:val="center"/>
          </w:tcPr>
          <w:p w14:paraId="190AF8AD" w14:textId="77777777" w:rsidR="00D85532" w:rsidRPr="00D86D87" w:rsidRDefault="00D85532" w:rsidP="004B679A">
            <w:pPr>
              <w:pStyle w:val="TableText0"/>
              <w:widowControl w:val="0"/>
              <w:jc w:val="center"/>
            </w:pPr>
            <w:r>
              <w:t>Low</w:t>
            </w:r>
          </w:p>
        </w:tc>
        <w:tc>
          <w:tcPr>
            <w:tcW w:w="1264" w:type="pct"/>
            <w:shd w:val="clear" w:color="auto" w:fill="B8CCE4"/>
            <w:vAlign w:val="center"/>
          </w:tcPr>
          <w:p w14:paraId="54F2BCF8" w14:textId="77777777" w:rsidR="00D85532" w:rsidRPr="00D86D87" w:rsidRDefault="00D85532" w:rsidP="004B679A">
            <w:pPr>
              <w:pStyle w:val="TableText0"/>
              <w:widowControl w:val="0"/>
              <w:jc w:val="center"/>
            </w:pPr>
            <w:r>
              <w:t>Adult patients with moderate to severe AD with inadequate response to topical steroids</w:t>
            </w:r>
          </w:p>
        </w:tc>
        <w:tc>
          <w:tcPr>
            <w:tcW w:w="1464" w:type="pct"/>
            <w:shd w:val="clear" w:color="auto" w:fill="B8CCE4"/>
            <w:vAlign w:val="center"/>
          </w:tcPr>
          <w:p w14:paraId="7F4851CD" w14:textId="77777777" w:rsidR="00D85532" w:rsidRDefault="00D85532" w:rsidP="004B679A">
            <w:pPr>
              <w:pStyle w:val="TableText0"/>
              <w:widowControl w:val="0"/>
              <w:jc w:val="center"/>
            </w:pPr>
            <w:r>
              <w:t>EASI-75</w:t>
            </w:r>
          </w:p>
          <w:p w14:paraId="14773244" w14:textId="77777777" w:rsidR="00D85532" w:rsidRDefault="00D85532" w:rsidP="004B679A">
            <w:pPr>
              <w:pStyle w:val="TableText0"/>
              <w:widowControl w:val="0"/>
              <w:jc w:val="center"/>
            </w:pPr>
            <w:r>
              <w:t>IGA success</w:t>
            </w:r>
          </w:p>
          <w:p w14:paraId="3BD019DE" w14:textId="77777777" w:rsidR="00D85532" w:rsidRDefault="00D85532" w:rsidP="004B679A">
            <w:pPr>
              <w:pStyle w:val="TableText0"/>
              <w:widowControl w:val="0"/>
              <w:jc w:val="center"/>
            </w:pPr>
            <w:r>
              <w:t>EASI-50</w:t>
            </w:r>
          </w:p>
          <w:p w14:paraId="397D3835" w14:textId="77777777" w:rsidR="00D85532" w:rsidRDefault="00D85532" w:rsidP="004B679A">
            <w:pPr>
              <w:pStyle w:val="TableText0"/>
              <w:widowControl w:val="0"/>
              <w:jc w:val="center"/>
            </w:pPr>
            <w:r>
              <w:rPr>
                <w:rFonts w:cs="Calibri"/>
              </w:rPr>
              <w:t>≥</w:t>
            </w:r>
            <w:r>
              <w:t>4-point improvement in DLQI</w:t>
            </w:r>
          </w:p>
          <w:p w14:paraId="13E22BF0" w14:textId="77777777" w:rsidR="00D85532" w:rsidRDefault="00D85532" w:rsidP="004B679A">
            <w:pPr>
              <w:pStyle w:val="TableText0"/>
              <w:widowControl w:val="0"/>
              <w:jc w:val="center"/>
            </w:pPr>
            <w:r>
              <w:rPr>
                <w:rFonts w:cs="Calibri"/>
              </w:rPr>
              <w:t>≥</w:t>
            </w:r>
            <w:r>
              <w:t>4-point improvement in PP-NRS</w:t>
            </w:r>
          </w:p>
          <w:p w14:paraId="66BC5221" w14:textId="77777777" w:rsidR="00D85532" w:rsidRPr="00D86D87" w:rsidRDefault="00D85532" w:rsidP="004B679A">
            <w:pPr>
              <w:pStyle w:val="TableText0"/>
              <w:widowControl w:val="0"/>
              <w:jc w:val="center"/>
            </w:pPr>
            <w:r>
              <w:t>Safety</w:t>
            </w:r>
          </w:p>
        </w:tc>
        <w:tc>
          <w:tcPr>
            <w:tcW w:w="607" w:type="pct"/>
            <w:shd w:val="clear" w:color="auto" w:fill="B8CCE4"/>
            <w:vAlign w:val="center"/>
          </w:tcPr>
          <w:p w14:paraId="61A7A1D0" w14:textId="03C0A39B" w:rsidR="00D85532" w:rsidRPr="00D86D87" w:rsidRDefault="000837B2" w:rsidP="004B679A">
            <w:pPr>
              <w:pStyle w:val="TableText0"/>
              <w:widowControl w:val="0"/>
              <w:jc w:val="center"/>
            </w:pPr>
            <w:r>
              <w:t>U</w:t>
            </w:r>
            <w:r w:rsidR="00D85532">
              <w:t>sed</w:t>
            </w:r>
          </w:p>
        </w:tc>
      </w:tr>
      <w:tr w:rsidR="00D85532" w:rsidRPr="00D86D87" w14:paraId="5A5440A8" w14:textId="77777777" w:rsidTr="00016F27">
        <w:trPr>
          <w:gridAfter w:val="1"/>
          <w:wAfter w:w="4" w:type="pct"/>
          <w:cantSplit/>
        </w:trPr>
        <w:tc>
          <w:tcPr>
            <w:tcW w:w="594" w:type="pct"/>
            <w:shd w:val="clear" w:color="auto" w:fill="B8CCE4"/>
            <w:vAlign w:val="center"/>
          </w:tcPr>
          <w:p w14:paraId="1534E2D6" w14:textId="77777777" w:rsidR="00D85532" w:rsidRPr="00D86D87" w:rsidRDefault="00D85532" w:rsidP="004B679A">
            <w:pPr>
              <w:pStyle w:val="TableText0"/>
              <w:widowControl w:val="0"/>
            </w:pPr>
            <w:r>
              <w:t>JADE COMPARE</w:t>
            </w:r>
          </w:p>
        </w:tc>
        <w:tc>
          <w:tcPr>
            <w:tcW w:w="268" w:type="pct"/>
            <w:shd w:val="clear" w:color="auto" w:fill="B8CCE4"/>
            <w:vAlign w:val="center"/>
          </w:tcPr>
          <w:p w14:paraId="28EEE943" w14:textId="77777777" w:rsidR="00D85532" w:rsidRPr="00D86D87" w:rsidRDefault="00D85532" w:rsidP="004B679A">
            <w:pPr>
              <w:pStyle w:val="TableText0"/>
              <w:widowControl w:val="0"/>
              <w:jc w:val="center"/>
            </w:pPr>
            <w:r>
              <w:t>373</w:t>
            </w:r>
          </w:p>
        </w:tc>
        <w:tc>
          <w:tcPr>
            <w:tcW w:w="466" w:type="pct"/>
            <w:shd w:val="clear" w:color="auto" w:fill="B8CCE4"/>
            <w:vAlign w:val="center"/>
          </w:tcPr>
          <w:p w14:paraId="707767AF" w14:textId="77777777" w:rsidR="00D85532" w:rsidRDefault="00D85532" w:rsidP="004B679A">
            <w:pPr>
              <w:pStyle w:val="TableText0"/>
              <w:widowControl w:val="0"/>
              <w:jc w:val="center"/>
            </w:pPr>
            <w:r>
              <w:t>R, DB, MC</w:t>
            </w:r>
          </w:p>
          <w:p w14:paraId="2FD19531" w14:textId="77777777" w:rsidR="00D85532" w:rsidRPr="00D86D87" w:rsidRDefault="00D85532" w:rsidP="004B679A">
            <w:pPr>
              <w:pStyle w:val="TableText0"/>
              <w:widowControl w:val="0"/>
              <w:jc w:val="center"/>
            </w:pPr>
            <w:r>
              <w:t>24 weeks.</w:t>
            </w:r>
          </w:p>
        </w:tc>
        <w:tc>
          <w:tcPr>
            <w:tcW w:w="333" w:type="pct"/>
            <w:shd w:val="clear" w:color="auto" w:fill="B8CCE4"/>
            <w:vAlign w:val="center"/>
          </w:tcPr>
          <w:p w14:paraId="165552F1" w14:textId="77777777" w:rsidR="00D85532" w:rsidRPr="00D86D87" w:rsidRDefault="00D85532" w:rsidP="004B679A">
            <w:pPr>
              <w:pStyle w:val="TableText0"/>
              <w:widowControl w:val="0"/>
              <w:jc w:val="center"/>
            </w:pPr>
            <w:r>
              <w:t>Low</w:t>
            </w:r>
          </w:p>
        </w:tc>
        <w:tc>
          <w:tcPr>
            <w:tcW w:w="1264" w:type="pct"/>
            <w:shd w:val="clear" w:color="auto" w:fill="B8CCE4"/>
            <w:vAlign w:val="center"/>
          </w:tcPr>
          <w:p w14:paraId="625BAEBB" w14:textId="77777777" w:rsidR="00D85532" w:rsidRPr="00D86D87" w:rsidRDefault="00D85532" w:rsidP="004B679A">
            <w:pPr>
              <w:pStyle w:val="TableText0"/>
              <w:widowControl w:val="0"/>
              <w:jc w:val="center"/>
            </w:pPr>
            <w:r>
              <w:t>Adult patients with moderate to severe AD with inadequate response to topical steroids</w:t>
            </w:r>
          </w:p>
        </w:tc>
        <w:tc>
          <w:tcPr>
            <w:tcW w:w="1464" w:type="pct"/>
            <w:shd w:val="clear" w:color="auto" w:fill="B8CCE4"/>
            <w:vAlign w:val="center"/>
          </w:tcPr>
          <w:p w14:paraId="724B2B33" w14:textId="77777777" w:rsidR="00D85532" w:rsidRDefault="00D85532" w:rsidP="004B679A">
            <w:pPr>
              <w:pStyle w:val="TableText0"/>
              <w:widowControl w:val="0"/>
              <w:jc w:val="center"/>
            </w:pPr>
            <w:r>
              <w:t>EASI-75</w:t>
            </w:r>
          </w:p>
          <w:p w14:paraId="48C5399D" w14:textId="77777777" w:rsidR="00D85532" w:rsidRDefault="00D85532" w:rsidP="004B679A">
            <w:pPr>
              <w:pStyle w:val="TableText0"/>
              <w:widowControl w:val="0"/>
              <w:jc w:val="center"/>
            </w:pPr>
            <w:r>
              <w:t>IGA success</w:t>
            </w:r>
          </w:p>
          <w:p w14:paraId="51402010" w14:textId="77777777" w:rsidR="00D85532" w:rsidRDefault="00D85532" w:rsidP="004B679A">
            <w:pPr>
              <w:pStyle w:val="TableText0"/>
              <w:widowControl w:val="0"/>
              <w:jc w:val="center"/>
            </w:pPr>
            <w:r>
              <w:t>EASI-50</w:t>
            </w:r>
          </w:p>
          <w:p w14:paraId="241AF276" w14:textId="77777777" w:rsidR="00D85532" w:rsidRDefault="00D85532" w:rsidP="004B679A">
            <w:pPr>
              <w:pStyle w:val="TableText0"/>
              <w:widowControl w:val="0"/>
              <w:jc w:val="center"/>
            </w:pPr>
            <w:r>
              <w:rPr>
                <w:rFonts w:cs="Calibri"/>
              </w:rPr>
              <w:t>≥</w:t>
            </w:r>
            <w:r>
              <w:t>4-point improvement in DLQI</w:t>
            </w:r>
          </w:p>
          <w:p w14:paraId="38D45AE1" w14:textId="77777777" w:rsidR="00D85532" w:rsidRDefault="00D85532" w:rsidP="004B679A">
            <w:pPr>
              <w:pStyle w:val="TableText0"/>
              <w:widowControl w:val="0"/>
              <w:jc w:val="center"/>
            </w:pPr>
            <w:r>
              <w:rPr>
                <w:rFonts w:cs="Calibri"/>
              </w:rPr>
              <w:t>≥</w:t>
            </w:r>
            <w:r>
              <w:t>4-point improvement in PP-NRS</w:t>
            </w:r>
          </w:p>
          <w:p w14:paraId="45AF448D" w14:textId="77777777" w:rsidR="00D85532" w:rsidRPr="00D86D87" w:rsidRDefault="00D85532" w:rsidP="004B679A">
            <w:pPr>
              <w:pStyle w:val="TableText0"/>
              <w:widowControl w:val="0"/>
              <w:jc w:val="center"/>
            </w:pPr>
            <w:r>
              <w:t>Safety</w:t>
            </w:r>
          </w:p>
        </w:tc>
        <w:tc>
          <w:tcPr>
            <w:tcW w:w="607" w:type="pct"/>
            <w:shd w:val="clear" w:color="auto" w:fill="B8CCE4"/>
            <w:vAlign w:val="center"/>
          </w:tcPr>
          <w:p w14:paraId="6FE5B4C1" w14:textId="1051126E" w:rsidR="00D85532" w:rsidRPr="00D86D87" w:rsidRDefault="005A6042" w:rsidP="004B679A">
            <w:pPr>
              <w:pStyle w:val="TableText0"/>
              <w:widowControl w:val="0"/>
              <w:jc w:val="center"/>
            </w:pPr>
            <w:r>
              <w:t>U</w:t>
            </w:r>
            <w:r w:rsidR="00D85532">
              <w:t>sed</w:t>
            </w:r>
          </w:p>
        </w:tc>
      </w:tr>
      <w:tr w:rsidR="00D85532" w:rsidRPr="00D86D87" w14:paraId="40AC16D5" w14:textId="77777777" w:rsidTr="00016F27">
        <w:trPr>
          <w:gridAfter w:val="1"/>
          <w:wAfter w:w="4" w:type="pct"/>
          <w:cantSplit/>
        </w:trPr>
        <w:tc>
          <w:tcPr>
            <w:tcW w:w="594" w:type="pct"/>
            <w:shd w:val="clear" w:color="auto" w:fill="B8CCE4"/>
            <w:vAlign w:val="center"/>
          </w:tcPr>
          <w:p w14:paraId="6D414046" w14:textId="77777777" w:rsidR="00D85532" w:rsidRDefault="00D85532" w:rsidP="004B679A">
            <w:pPr>
              <w:pStyle w:val="TableText0"/>
              <w:widowControl w:val="0"/>
            </w:pPr>
            <w:r>
              <w:t>CAF</w:t>
            </w:r>
            <w:r w:rsidRPr="00B010D7">
              <w:t>É</w:t>
            </w:r>
          </w:p>
        </w:tc>
        <w:tc>
          <w:tcPr>
            <w:tcW w:w="268" w:type="pct"/>
            <w:shd w:val="clear" w:color="auto" w:fill="B8CCE4"/>
            <w:vAlign w:val="center"/>
          </w:tcPr>
          <w:p w14:paraId="7B4BB610" w14:textId="77777777" w:rsidR="00D85532" w:rsidRPr="00D86D87" w:rsidRDefault="00D85532" w:rsidP="004B679A">
            <w:pPr>
              <w:pStyle w:val="TableText0"/>
              <w:widowControl w:val="0"/>
              <w:jc w:val="center"/>
            </w:pPr>
            <w:r>
              <w:t>215</w:t>
            </w:r>
          </w:p>
        </w:tc>
        <w:tc>
          <w:tcPr>
            <w:tcW w:w="466" w:type="pct"/>
            <w:shd w:val="clear" w:color="auto" w:fill="B8CCE4"/>
            <w:vAlign w:val="center"/>
          </w:tcPr>
          <w:p w14:paraId="22946EBD" w14:textId="77777777" w:rsidR="00D85532" w:rsidRDefault="00D85532" w:rsidP="004B679A">
            <w:pPr>
              <w:pStyle w:val="TableText0"/>
              <w:widowControl w:val="0"/>
              <w:jc w:val="center"/>
            </w:pPr>
            <w:r>
              <w:t>R, DB, MC</w:t>
            </w:r>
          </w:p>
          <w:p w14:paraId="336903EE" w14:textId="77777777" w:rsidR="00D85532" w:rsidRPr="00D86D87" w:rsidRDefault="00D85532" w:rsidP="004B679A">
            <w:pPr>
              <w:pStyle w:val="TableText0"/>
              <w:widowControl w:val="0"/>
              <w:jc w:val="center"/>
            </w:pPr>
            <w:r>
              <w:t>16 weeks</w:t>
            </w:r>
          </w:p>
        </w:tc>
        <w:tc>
          <w:tcPr>
            <w:tcW w:w="333" w:type="pct"/>
            <w:shd w:val="clear" w:color="auto" w:fill="B8CCE4"/>
            <w:vAlign w:val="center"/>
          </w:tcPr>
          <w:p w14:paraId="5EC88EEF" w14:textId="77777777" w:rsidR="00D85532" w:rsidRPr="00D86D87" w:rsidRDefault="00D85532" w:rsidP="004B679A">
            <w:pPr>
              <w:pStyle w:val="TableText0"/>
              <w:widowControl w:val="0"/>
              <w:jc w:val="center"/>
            </w:pPr>
            <w:r>
              <w:t>Low</w:t>
            </w:r>
          </w:p>
        </w:tc>
        <w:tc>
          <w:tcPr>
            <w:tcW w:w="1264" w:type="pct"/>
            <w:shd w:val="clear" w:color="auto" w:fill="B8CCE4"/>
            <w:vAlign w:val="center"/>
          </w:tcPr>
          <w:p w14:paraId="4F205FFC" w14:textId="77777777" w:rsidR="00D85532" w:rsidRPr="00D86D87" w:rsidRDefault="00D85532" w:rsidP="004B679A">
            <w:pPr>
              <w:pStyle w:val="TableText0"/>
              <w:widowControl w:val="0"/>
              <w:jc w:val="center"/>
            </w:pPr>
            <w:r>
              <w:t>Adult patients with moderate to severe AD with inadequate response to topical steroids</w:t>
            </w:r>
          </w:p>
        </w:tc>
        <w:tc>
          <w:tcPr>
            <w:tcW w:w="1464" w:type="pct"/>
            <w:shd w:val="clear" w:color="auto" w:fill="B8CCE4"/>
            <w:vAlign w:val="center"/>
          </w:tcPr>
          <w:p w14:paraId="280F1560" w14:textId="77777777" w:rsidR="00D85532" w:rsidRDefault="00D85532" w:rsidP="004B679A">
            <w:pPr>
              <w:pStyle w:val="TableText0"/>
              <w:widowControl w:val="0"/>
              <w:jc w:val="center"/>
            </w:pPr>
            <w:r>
              <w:t>EASI-75</w:t>
            </w:r>
          </w:p>
          <w:p w14:paraId="65B3BAA5" w14:textId="77777777" w:rsidR="00D85532" w:rsidRDefault="00D85532" w:rsidP="004B679A">
            <w:pPr>
              <w:pStyle w:val="TableText0"/>
              <w:widowControl w:val="0"/>
              <w:jc w:val="center"/>
            </w:pPr>
            <w:r>
              <w:t>IGA success</w:t>
            </w:r>
          </w:p>
          <w:p w14:paraId="3B0C43AD" w14:textId="77777777" w:rsidR="00D85532" w:rsidRDefault="00D85532" w:rsidP="004B679A">
            <w:pPr>
              <w:pStyle w:val="TableText0"/>
              <w:widowControl w:val="0"/>
              <w:jc w:val="center"/>
            </w:pPr>
            <w:r>
              <w:t>EASI-50</w:t>
            </w:r>
          </w:p>
          <w:p w14:paraId="608D27BA" w14:textId="77777777" w:rsidR="00D85532" w:rsidRDefault="00D85532" w:rsidP="004B679A">
            <w:pPr>
              <w:pStyle w:val="TableText0"/>
              <w:widowControl w:val="0"/>
              <w:jc w:val="center"/>
            </w:pPr>
            <w:r>
              <w:rPr>
                <w:rFonts w:cs="Calibri"/>
              </w:rPr>
              <w:t>≥</w:t>
            </w:r>
            <w:r>
              <w:t>4-point improvement in DLQI</w:t>
            </w:r>
          </w:p>
          <w:p w14:paraId="2239E948" w14:textId="77777777" w:rsidR="00D85532" w:rsidRDefault="00D85532" w:rsidP="004B679A">
            <w:pPr>
              <w:pStyle w:val="TableText0"/>
              <w:widowControl w:val="0"/>
              <w:jc w:val="center"/>
            </w:pPr>
            <w:r>
              <w:rPr>
                <w:rFonts w:cs="Calibri"/>
              </w:rPr>
              <w:t>≥</w:t>
            </w:r>
            <w:r>
              <w:t>4-point improvement in PP-NRS</w:t>
            </w:r>
          </w:p>
          <w:p w14:paraId="22B7396A" w14:textId="77777777" w:rsidR="00D85532" w:rsidRPr="00D86D87" w:rsidRDefault="00D85532" w:rsidP="004B679A">
            <w:pPr>
              <w:pStyle w:val="TableText0"/>
              <w:widowControl w:val="0"/>
              <w:jc w:val="center"/>
            </w:pPr>
            <w:r>
              <w:t>Safety</w:t>
            </w:r>
          </w:p>
        </w:tc>
        <w:tc>
          <w:tcPr>
            <w:tcW w:w="607" w:type="pct"/>
            <w:shd w:val="clear" w:color="auto" w:fill="B8CCE4"/>
            <w:vAlign w:val="center"/>
          </w:tcPr>
          <w:p w14:paraId="6A224B35" w14:textId="77777777" w:rsidR="00D85532" w:rsidRPr="00D86D87" w:rsidRDefault="00D85532" w:rsidP="004B679A">
            <w:pPr>
              <w:pStyle w:val="TableText0"/>
              <w:widowControl w:val="0"/>
              <w:jc w:val="center"/>
            </w:pPr>
            <w:r>
              <w:t>Not used</w:t>
            </w:r>
          </w:p>
        </w:tc>
      </w:tr>
      <w:tr w:rsidR="00D85532" w:rsidRPr="00D86D87" w14:paraId="1C435B52" w14:textId="77777777" w:rsidTr="00016F27">
        <w:trPr>
          <w:gridAfter w:val="1"/>
          <w:wAfter w:w="4" w:type="pct"/>
          <w:cantSplit/>
        </w:trPr>
        <w:tc>
          <w:tcPr>
            <w:tcW w:w="594" w:type="pct"/>
            <w:vAlign w:val="center"/>
          </w:tcPr>
          <w:p w14:paraId="24F4B668" w14:textId="77777777" w:rsidR="00D85532" w:rsidRDefault="00D85532" w:rsidP="004B679A">
            <w:pPr>
              <w:pStyle w:val="TableText0"/>
              <w:widowControl w:val="0"/>
            </w:pPr>
            <w:r>
              <w:t>Meta-analysis</w:t>
            </w:r>
          </w:p>
        </w:tc>
        <w:tc>
          <w:tcPr>
            <w:tcW w:w="268" w:type="pct"/>
            <w:vAlign w:val="center"/>
          </w:tcPr>
          <w:p w14:paraId="5B068321" w14:textId="77777777" w:rsidR="00D85532" w:rsidRPr="00D86D87" w:rsidRDefault="00D85532" w:rsidP="004B679A">
            <w:pPr>
              <w:pStyle w:val="TableText0"/>
              <w:widowControl w:val="0"/>
              <w:jc w:val="center"/>
            </w:pPr>
            <w:r>
              <w:t>1009</w:t>
            </w:r>
          </w:p>
        </w:tc>
        <w:tc>
          <w:tcPr>
            <w:tcW w:w="3527" w:type="pct"/>
            <w:gridSpan w:val="4"/>
            <w:vAlign w:val="center"/>
          </w:tcPr>
          <w:p w14:paraId="23E1708B" w14:textId="77777777" w:rsidR="00D85532" w:rsidRPr="00D86D87" w:rsidRDefault="00D85532" w:rsidP="004B679A">
            <w:pPr>
              <w:pStyle w:val="TableText0"/>
              <w:widowControl w:val="0"/>
            </w:pPr>
            <w:r>
              <w:t>Included CHRONOS, and JADE COMPARE for efficacy and CHRONOS, JADE COMPARE, and CAFÉ for safety.</w:t>
            </w:r>
          </w:p>
        </w:tc>
        <w:tc>
          <w:tcPr>
            <w:tcW w:w="607" w:type="pct"/>
            <w:vAlign w:val="center"/>
          </w:tcPr>
          <w:p w14:paraId="1AA73906" w14:textId="77777777" w:rsidR="00D85532" w:rsidRPr="00D86D87" w:rsidRDefault="00D85532" w:rsidP="004B679A">
            <w:pPr>
              <w:pStyle w:val="TableText0"/>
              <w:widowControl w:val="0"/>
              <w:jc w:val="center"/>
            </w:pPr>
            <w:r>
              <w:t>Not used</w:t>
            </w:r>
          </w:p>
        </w:tc>
      </w:tr>
    </w:tbl>
    <w:p w14:paraId="5F131ED8" w14:textId="77777777" w:rsidR="00D85532" w:rsidRPr="00D86D87" w:rsidRDefault="00D85532" w:rsidP="004B679A">
      <w:pPr>
        <w:pStyle w:val="TableFigureFooter"/>
        <w:keepNext/>
        <w:widowControl w:val="0"/>
      </w:pPr>
      <w:r w:rsidRPr="00D86D87">
        <w:t xml:space="preserve">Source: </w:t>
      </w:r>
      <w:r w:rsidRPr="00016F27">
        <w:t>Compiled during the evaluation,</w:t>
      </w:r>
      <w:r>
        <w:t xml:space="preserve"> based on Section 2.3.2, pp86-91 and Table 2-26, 146 of the submission.</w:t>
      </w:r>
    </w:p>
    <w:p w14:paraId="7B933E4D" w14:textId="41B609DA" w:rsidR="00D85532" w:rsidRDefault="00D85532" w:rsidP="004B679A">
      <w:pPr>
        <w:pStyle w:val="TableFigureFooter"/>
        <w:keepNext/>
        <w:widowControl w:val="0"/>
      </w:pPr>
      <w:r>
        <w:t xml:space="preserve">AD = atopic dermatitis; </w:t>
      </w:r>
      <w:r w:rsidR="00117258">
        <w:t xml:space="preserve">CMA =cost minimisation approach; </w:t>
      </w:r>
      <w:proofErr w:type="spellStart"/>
      <w:r>
        <w:t>CsA</w:t>
      </w:r>
      <w:proofErr w:type="spellEnd"/>
      <w:r>
        <w:t xml:space="preserve"> = </w:t>
      </w:r>
      <w:r w:rsidRPr="00F71404">
        <w:t>cyclosporine A</w:t>
      </w:r>
      <w:r>
        <w:t>;</w:t>
      </w:r>
      <w:r w:rsidRPr="00F71404">
        <w:t xml:space="preserve"> </w:t>
      </w:r>
      <w:r w:rsidRPr="00D86D87">
        <w:t xml:space="preserve">DB = double blind; </w:t>
      </w:r>
      <w:r>
        <w:t xml:space="preserve">DLQI = </w:t>
      </w:r>
      <w:r w:rsidRPr="00410FE0">
        <w:t>Dermatology Life Quality Index</w:t>
      </w:r>
      <w:r>
        <w:t xml:space="preserve">; EASI-50/75 = improvement of at least 50%/75% from baseline in </w:t>
      </w:r>
      <w:r w:rsidRPr="0012443B">
        <w:t>Eczema Area and Severity Index</w:t>
      </w:r>
      <w:r>
        <w:t xml:space="preserve">; IGA = </w:t>
      </w:r>
      <w:r w:rsidRPr="00B36088">
        <w:t>Investigator's Global Assessment</w:t>
      </w:r>
      <w:r>
        <w:t>;</w:t>
      </w:r>
      <w:r w:rsidRPr="00D86D87">
        <w:t xml:space="preserve"> MC = multi-centre; </w:t>
      </w:r>
      <w:r>
        <w:t xml:space="preserve">PP-NRS = </w:t>
      </w:r>
      <w:r w:rsidRPr="00F71404">
        <w:t>Peak Pruritus Numerical Rating Score</w:t>
      </w:r>
      <w:r>
        <w:t>;</w:t>
      </w:r>
      <w:r w:rsidRPr="00F71404">
        <w:t xml:space="preserve"> </w:t>
      </w:r>
      <w:r w:rsidRPr="00D86D87">
        <w:t>R = randomised.</w:t>
      </w:r>
    </w:p>
    <w:p w14:paraId="5AC9F726" w14:textId="3AE5AF35" w:rsidR="00D85532" w:rsidRDefault="00D85532" w:rsidP="004B679A">
      <w:pPr>
        <w:pStyle w:val="TableFigureFooter"/>
        <w:keepNext/>
        <w:widowControl w:val="0"/>
      </w:pPr>
      <w:r>
        <w:t xml:space="preserve">Note: </w:t>
      </w:r>
      <w:r w:rsidRPr="00905492">
        <w:t>some trials had multiple intervention treatment arms, only those</w:t>
      </w:r>
      <w:r w:rsidR="001A6946">
        <w:t xml:space="preserve"> which</w:t>
      </w:r>
      <w:r w:rsidRPr="00905492">
        <w:t xml:space="preserve"> used </w:t>
      </w:r>
      <w:r w:rsidR="00281BB3">
        <w:t xml:space="preserve">the </w:t>
      </w:r>
      <w:r w:rsidRPr="00905492">
        <w:t>recommended dose regimens for NEMO and DUPI were presented in the submission</w:t>
      </w:r>
      <w:r>
        <w:t>.</w:t>
      </w:r>
    </w:p>
    <w:p w14:paraId="111B4B4B" w14:textId="77777777" w:rsidR="00D85532" w:rsidRPr="00B863D9" w:rsidRDefault="00D85532" w:rsidP="004B679A">
      <w:pPr>
        <w:pStyle w:val="TableFigureFooter"/>
        <w:keepNext/>
        <w:spacing w:after="240"/>
        <w:contextualSpacing w:val="0"/>
        <w:rPr>
          <w:szCs w:val="18"/>
        </w:rPr>
      </w:pPr>
      <w:r w:rsidRPr="00302338">
        <w:rPr>
          <w:rStyle w:val="CommentReference"/>
          <w:b w:val="0"/>
          <w:bCs/>
          <w:sz w:val="18"/>
          <w:szCs w:val="18"/>
          <w:shd w:val="clear" w:color="auto" w:fill="B8CCE4" w:themeFill="accent1" w:themeFillTint="66"/>
        </w:rPr>
        <w:t>Blue shading</w:t>
      </w:r>
      <w:r w:rsidRPr="00302338">
        <w:rPr>
          <w:rStyle w:val="CommentReference"/>
          <w:b w:val="0"/>
          <w:bCs/>
          <w:sz w:val="18"/>
          <w:szCs w:val="18"/>
        </w:rPr>
        <w:t xml:space="preserve"> indicates data previously seen by the PBAC</w:t>
      </w:r>
      <w:r>
        <w:rPr>
          <w:rStyle w:val="CommentReference"/>
          <w:b w:val="0"/>
          <w:bCs/>
          <w:sz w:val="18"/>
          <w:szCs w:val="18"/>
        </w:rPr>
        <w:t>.</w:t>
      </w:r>
    </w:p>
    <w:p w14:paraId="5F243198" w14:textId="77777777" w:rsidR="00D85532" w:rsidRPr="0061343E" w:rsidRDefault="00D85532" w:rsidP="00D85532">
      <w:pPr>
        <w:pStyle w:val="3-BodyText"/>
      </w:pPr>
      <w:bookmarkStart w:id="27" w:name="_Ref205814169"/>
      <w:proofErr w:type="gramStart"/>
      <w:r w:rsidRPr="0061343E">
        <w:lastRenderedPageBreak/>
        <w:t>All of</w:t>
      </w:r>
      <w:proofErr w:type="gramEnd"/>
      <w:r w:rsidRPr="0061343E">
        <w:t xml:space="preserve"> the NEMO and DUPI trials were randomised, double-blind, placebo-controlled trials and were at a low risk of bias within individual studies. However, the ITCs were at a higher risk of bias due to transitivity concerns between the NEMO and DUPI trials:</w:t>
      </w:r>
      <w:bookmarkEnd w:id="27"/>
      <w:r w:rsidRPr="0061343E">
        <w:t xml:space="preserve"> </w:t>
      </w:r>
    </w:p>
    <w:p w14:paraId="0A8F7AA6" w14:textId="1302EDB9" w:rsidR="00D85532" w:rsidRPr="0061343E" w:rsidRDefault="00D85532" w:rsidP="00753218">
      <w:pPr>
        <w:pStyle w:val="3-BodyText"/>
        <w:numPr>
          <w:ilvl w:val="0"/>
          <w:numId w:val="8"/>
        </w:numPr>
        <w:ind w:left="1134" w:hanging="306"/>
      </w:pPr>
      <w:r w:rsidRPr="0061343E">
        <w:t xml:space="preserve">Two of the NEMO trials with the largest </w:t>
      </w:r>
      <w:r w:rsidR="00B57AA8" w:rsidRPr="0061343E">
        <w:t>sample</w:t>
      </w:r>
      <w:r w:rsidRPr="0061343E">
        <w:t xml:space="preserve"> size, i.e. ARCADIA 1 and ARCADIA 2, enrolled patients aged ≥12 years; whereas all included DUPI trials and the other two NEMO trials included adult patients ≥18 years of age only. </w:t>
      </w:r>
    </w:p>
    <w:p w14:paraId="3D60F165" w14:textId="5B9C608E" w:rsidR="00D85532" w:rsidRPr="0061343E" w:rsidRDefault="00D85532" w:rsidP="00753218">
      <w:pPr>
        <w:pStyle w:val="3-BodyText"/>
        <w:numPr>
          <w:ilvl w:val="0"/>
          <w:numId w:val="8"/>
        </w:numPr>
        <w:ind w:left="1134" w:hanging="306"/>
      </w:pPr>
      <w:r w:rsidRPr="0061343E">
        <w:t xml:space="preserve">Of the trials included in the efficacy ITCs, ARCADIA 1, ARCADIA 2, CHRONOS and JADE COMPARE required </w:t>
      </w:r>
      <w:r w:rsidR="0044597F" w:rsidRPr="0061343E">
        <w:t xml:space="preserve">patients </w:t>
      </w:r>
      <w:r w:rsidRPr="0061343E">
        <w:t xml:space="preserve">to have an EASI score of </w:t>
      </w:r>
      <w:r w:rsidRPr="0061343E">
        <w:rPr>
          <w:rFonts w:cs="Calibri"/>
        </w:rPr>
        <w:t>≥</w:t>
      </w:r>
      <w:r w:rsidRPr="0061343E">
        <w:t xml:space="preserve">16 at baseline, compared to an EASI score of </w:t>
      </w:r>
      <w:r w:rsidRPr="0061343E">
        <w:rPr>
          <w:rFonts w:cs="Calibri"/>
        </w:rPr>
        <w:t>≥</w:t>
      </w:r>
      <w:r w:rsidRPr="0061343E">
        <w:t>12 in Study 114322.</w:t>
      </w:r>
    </w:p>
    <w:p w14:paraId="4B198748" w14:textId="73C0180C" w:rsidR="00D85532" w:rsidRPr="0061343E" w:rsidRDefault="00D85532" w:rsidP="00753218">
      <w:pPr>
        <w:pStyle w:val="3-BodyText"/>
        <w:numPr>
          <w:ilvl w:val="0"/>
          <w:numId w:val="8"/>
        </w:numPr>
        <w:ind w:left="1134" w:hanging="306"/>
      </w:pPr>
      <w:r w:rsidRPr="0061343E">
        <w:t xml:space="preserve">The proportion of patients having an IGA of 4 </w:t>
      </w:r>
      <w:r w:rsidR="00572ACD" w:rsidRPr="0061343E">
        <w:t xml:space="preserve">(corresponds to severe AD) </w:t>
      </w:r>
      <w:r w:rsidRPr="0061343E">
        <w:t>at baseline was lower in NEMO trials than in DUPI trials (31% vs. 40%).</w:t>
      </w:r>
    </w:p>
    <w:p w14:paraId="2D67BBF6" w14:textId="0B742A4B" w:rsidR="00D85532" w:rsidRPr="0061343E" w:rsidRDefault="00D85532" w:rsidP="00D85532">
      <w:pPr>
        <w:pStyle w:val="3-BodyText"/>
        <w:numPr>
          <w:ilvl w:val="0"/>
          <w:numId w:val="0"/>
        </w:numPr>
        <w:ind w:left="720"/>
      </w:pPr>
      <w:r w:rsidRPr="0061343E">
        <w:t xml:space="preserve">The direction and magnitude of the impact of the observed differences across trial sets on the ITC results </w:t>
      </w:r>
      <w:r w:rsidR="003D779B" w:rsidRPr="0061343E">
        <w:t xml:space="preserve">could not </w:t>
      </w:r>
      <w:r w:rsidRPr="0061343E">
        <w:t>be accurately estimated</w:t>
      </w:r>
      <w:r w:rsidR="003D779B" w:rsidRPr="0061343E">
        <w:t>; however, the ESC noted that the placebo response rates across the NEMO and DUPI trials were similar</w:t>
      </w:r>
      <w:r w:rsidRPr="0061343E">
        <w:t xml:space="preserve">.  </w:t>
      </w:r>
    </w:p>
    <w:p w14:paraId="7FA287EE" w14:textId="77777777" w:rsidR="00D85532" w:rsidRPr="0061343E" w:rsidRDefault="00D85532" w:rsidP="00D85532">
      <w:pPr>
        <w:pStyle w:val="3-BodyText"/>
      </w:pPr>
      <w:r w:rsidRPr="0061343E">
        <w:t xml:space="preserve">The submission provided data on the baseline patient characteristics in the severe AD subgroup (as defined in the PBS restriction) of the NEMO trials. Overall, the NEMO and placebo treatment arms in the subgroup were comparable in terms of the demographics and disease characteristics presented in the submission despite it not being a prespecified subgroup. </w:t>
      </w:r>
    </w:p>
    <w:p w14:paraId="1945C52D" w14:textId="77777777" w:rsidR="00D85532" w:rsidRPr="0061343E" w:rsidRDefault="00D85532" w:rsidP="00D85532">
      <w:pPr>
        <w:pStyle w:val="3-BodyText"/>
      </w:pPr>
      <w:r w:rsidRPr="0061343E">
        <w:t xml:space="preserve">The primary endpoints in the submission were EASI-75, which corresponds to a </w:t>
      </w:r>
      <w:r w:rsidRPr="0061343E">
        <w:rPr>
          <w:rFonts w:cstheme="minorHAnsi"/>
        </w:rPr>
        <w:t>≥</w:t>
      </w:r>
      <w:r w:rsidRPr="0061343E">
        <w:t xml:space="preserve"> 75% improvement in EASI from baseline, and IGA success, defined as achieving an IGA score of </w:t>
      </w:r>
      <w:r w:rsidRPr="0061343E">
        <w:rPr>
          <w:rFonts w:hint="eastAsia"/>
        </w:rPr>
        <w:t xml:space="preserve">0 (clear) or 1 (almost clear) and a </w:t>
      </w:r>
      <w:r w:rsidRPr="0061343E">
        <w:rPr>
          <w:rFonts w:cs="Calibri"/>
        </w:rPr>
        <w:t>≥</w:t>
      </w:r>
      <w:r w:rsidRPr="0061343E">
        <w:rPr>
          <w:rFonts w:hint="eastAsia"/>
        </w:rPr>
        <w:t xml:space="preserve">2-point improvement </w:t>
      </w:r>
      <w:r w:rsidRPr="0061343E">
        <w:t xml:space="preserve">in IGA score </w:t>
      </w:r>
      <w:r w:rsidRPr="0061343E">
        <w:rPr>
          <w:rFonts w:hint="eastAsia"/>
        </w:rPr>
        <w:t>from baseline</w:t>
      </w:r>
      <w:r w:rsidRPr="0061343E">
        <w:t>. EASI-50 was one of the key secondary outcomes. The other secondary outcome, ≥4-point improvement in DLQI outcome, was calculated post hoc based on individual patient data from the NEMO trials. This allowed for the submission to report the PBAC preferred composite outcome of EASI-50 and ≥4-point improvement in DLQI for assessment of treatments for severe AD.</w:t>
      </w:r>
    </w:p>
    <w:p w14:paraId="24AA11D0" w14:textId="77777777" w:rsidR="00D85532" w:rsidRPr="00D86D87" w:rsidRDefault="00D85532" w:rsidP="00D85532">
      <w:pPr>
        <w:pStyle w:val="4-SubsectionHeading"/>
      </w:pPr>
      <w:bookmarkStart w:id="28" w:name="_Toc22897641"/>
      <w:bookmarkStart w:id="29" w:name="_Toc197466441"/>
      <w:bookmarkStart w:id="30" w:name="_Toc197899845"/>
      <w:bookmarkStart w:id="31" w:name="_Toc197963443"/>
      <w:bookmarkStart w:id="32" w:name="_Toc198648773"/>
      <w:r w:rsidRPr="00D86D87">
        <w:t>Comparative effectiveness</w:t>
      </w:r>
      <w:bookmarkEnd w:id="28"/>
      <w:bookmarkEnd w:id="29"/>
      <w:bookmarkEnd w:id="30"/>
      <w:bookmarkEnd w:id="31"/>
      <w:bookmarkEnd w:id="32"/>
    </w:p>
    <w:p w14:paraId="0E7DEBC5" w14:textId="0418AE25" w:rsidR="00DC787A" w:rsidRPr="00DC787A" w:rsidRDefault="00D85532" w:rsidP="00DC787A">
      <w:pPr>
        <w:pStyle w:val="5-SubsectionSubheading"/>
        <w:rPr>
          <w:b w:val="0"/>
          <w:bCs/>
          <w:u w:val="single"/>
        </w:rPr>
      </w:pPr>
      <w:r w:rsidRPr="00083067">
        <w:rPr>
          <w:b w:val="0"/>
          <w:bCs/>
          <w:u w:val="single"/>
        </w:rPr>
        <w:t xml:space="preserve">ITCs of NEMO versus DUPI in the </w:t>
      </w:r>
      <w:r>
        <w:rPr>
          <w:b w:val="0"/>
          <w:bCs/>
          <w:u w:val="single"/>
        </w:rPr>
        <w:t>intention-to-treat (</w:t>
      </w:r>
      <w:r w:rsidRPr="00083067">
        <w:rPr>
          <w:b w:val="0"/>
          <w:bCs/>
          <w:u w:val="single"/>
        </w:rPr>
        <w:t>ITT</w:t>
      </w:r>
      <w:r>
        <w:rPr>
          <w:b w:val="0"/>
          <w:bCs/>
          <w:u w:val="single"/>
        </w:rPr>
        <w:t>)</w:t>
      </w:r>
      <w:r w:rsidRPr="00083067">
        <w:rPr>
          <w:b w:val="0"/>
          <w:bCs/>
          <w:u w:val="single"/>
        </w:rPr>
        <w:t xml:space="preserve"> population of patient with moderate and severe AD</w:t>
      </w:r>
    </w:p>
    <w:p w14:paraId="2FCBC3C3" w14:textId="37950823" w:rsidR="00D85532" w:rsidRPr="0061343E" w:rsidRDefault="00DC787A" w:rsidP="00D85532">
      <w:pPr>
        <w:pStyle w:val="3-BodyText"/>
        <w:rPr>
          <w:color w:val="0066FF"/>
        </w:rPr>
      </w:pPr>
      <w:r w:rsidRPr="0061343E">
        <w:fldChar w:fldCharType="begin"/>
      </w:r>
      <w:r w:rsidRPr="0061343E">
        <w:instrText xml:space="preserve"> REF _Ref197331286 \h </w:instrText>
      </w:r>
      <w:r w:rsidR="0061343E" w:rsidRPr="0061343E">
        <w:instrText xml:space="preserve"> \* MERGEFORMAT </w:instrText>
      </w:r>
      <w:r w:rsidRPr="0061343E">
        <w:fldChar w:fldCharType="separate"/>
      </w:r>
      <w:r w:rsidR="00E5780E" w:rsidRPr="0061343E">
        <w:t xml:space="preserve">Table </w:t>
      </w:r>
      <w:r w:rsidR="00E5780E">
        <w:rPr>
          <w:noProof/>
        </w:rPr>
        <w:t>4</w:t>
      </w:r>
      <w:r w:rsidRPr="0061343E">
        <w:fldChar w:fldCharType="end"/>
      </w:r>
      <w:r w:rsidRPr="0061343E">
        <w:t xml:space="preserve"> </w:t>
      </w:r>
      <w:proofErr w:type="spellStart"/>
      <w:r w:rsidRPr="0061343E">
        <w:t>to</w:t>
      </w:r>
      <w:r w:rsidRPr="0061343E">
        <w:fldChar w:fldCharType="begin"/>
      </w:r>
      <w:r w:rsidRPr="0061343E">
        <w:instrText xml:space="preserve"> REF _Ref197332394 \h </w:instrText>
      </w:r>
      <w:r w:rsidR="0061343E" w:rsidRPr="0061343E">
        <w:instrText xml:space="preserve"> \* MERGEFORMAT </w:instrText>
      </w:r>
      <w:r w:rsidRPr="0061343E">
        <w:fldChar w:fldCharType="separate"/>
      </w:r>
      <w:r w:rsidR="00E5780E" w:rsidRPr="0061343E">
        <w:t>Table</w:t>
      </w:r>
      <w:proofErr w:type="spellEnd"/>
      <w:r w:rsidR="00E5780E" w:rsidRPr="0061343E">
        <w:rPr>
          <w:noProof/>
        </w:rPr>
        <w:t xml:space="preserve"> </w:t>
      </w:r>
      <w:r w:rsidR="00E5780E">
        <w:rPr>
          <w:noProof/>
        </w:rPr>
        <w:t>7</w:t>
      </w:r>
      <w:r w:rsidRPr="0061343E">
        <w:fldChar w:fldCharType="end"/>
      </w:r>
      <w:r w:rsidR="00D85532" w:rsidRPr="0061343E">
        <w:t xml:space="preserve"> summarise the results of primary endpoints (EASI-75 and IGA success) and key secondary outcomes (EASI-50 and </w:t>
      </w:r>
      <w:r w:rsidR="00D85532" w:rsidRPr="0061343E">
        <w:rPr>
          <w:rFonts w:cs="Calibri"/>
        </w:rPr>
        <w:t>≥</w:t>
      </w:r>
      <w:r w:rsidR="00D85532" w:rsidRPr="0061343E">
        <w:rPr>
          <w:rFonts w:hint="eastAsia"/>
        </w:rPr>
        <w:t>4-point improvement in DLQI</w:t>
      </w:r>
      <w:r w:rsidR="00D85532" w:rsidRPr="0061343E">
        <w:t xml:space="preserve">) specified in the submission at Week 16 in the NEMO and DUPI trials, as well as the ITC results. ITCs for the PBAC preferred composite endpoint of EASI-50 and ≥4-point improvement in DLQI were not performed, due to the lack of data in the comparator DUPI trials. </w:t>
      </w:r>
    </w:p>
    <w:p w14:paraId="3721CBA2" w14:textId="1CBE78D3" w:rsidR="00D85532" w:rsidRPr="0061343E" w:rsidRDefault="00D85532" w:rsidP="00D85532">
      <w:pPr>
        <w:pStyle w:val="Caption"/>
      </w:pPr>
      <w:bookmarkStart w:id="33" w:name="_Ref197331286"/>
      <w:r w:rsidRPr="0061343E">
        <w:lastRenderedPageBreak/>
        <w:t xml:space="preserve">Table </w:t>
      </w:r>
      <w:r w:rsidR="00167892">
        <w:fldChar w:fldCharType="begin"/>
      </w:r>
      <w:r w:rsidR="00167892">
        <w:instrText xml:space="preserve"> SEQ Table \* ARABIC </w:instrText>
      </w:r>
      <w:r w:rsidR="00167892">
        <w:fldChar w:fldCharType="separate"/>
      </w:r>
      <w:r w:rsidR="00E5780E">
        <w:rPr>
          <w:noProof/>
        </w:rPr>
        <w:t>4</w:t>
      </w:r>
      <w:r w:rsidR="00167892">
        <w:rPr>
          <w:noProof/>
        </w:rPr>
        <w:fldChar w:fldCharType="end"/>
      </w:r>
      <w:bookmarkEnd w:id="33"/>
      <w:r w:rsidRPr="0061343E">
        <w:t>: ITC of NEMO 30 mg Q4W vs DUPI 300 mg Q2W: EASI-75 at Week 16 (NRI) – ITT population</w:t>
      </w:r>
    </w:p>
    <w:tbl>
      <w:tblPr>
        <w:tblStyle w:val="Submissionstandard"/>
        <w:tblW w:w="0" w:type="auto"/>
        <w:tblLook w:val="04A0" w:firstRow="1" w:lastRow="0" w:firstColumn="1" w:lastColumn="0" w:noHBand="0" w:noVBand="1"/>
        <w:tblCaption w:val="Table 4: ITC of NEMO 30 mg Q4W vs DUPI 300 mg Q2W: EASI-75 at Week 16 (NRI) – ITT population"/>
      </w:tblPr>
      <w:tblGrid>
        <w:gridCol w:w="3115"/>
        <w:gridCol w:w="1440"/>
        <w:gridCol w:w="1440"/>
        <w:gridCol w:w="1560"/>
        <w:gridCol w:w="1462"/>
      </w:tblGrid>
      <w:tr w:rsidR="00D85532" w:rsidRPr="0061343E" w14:paraId="125300EF" w14:textId="77777777" w:rsidTr="00DA0D1F">
        <w:trPr>
          <w:cnfStyle w:val="100000000000" w:firstRow="1" w:lastRow="0" w:firstColumn="0" w:lastColumn="0" w:oddVBand="0" w:evenVBand="0" w:oddHBand="0" w:evenHBand="0" w:firstRowFirstColumn="0" w:firstRowLastColumn="0" w:lastRowFirstColumn="0" w:lastRowLastColumn="0"/>
        </w:trPr>
        <w:tc>
          <w:tcPr>
            <w:tcW w:w="3115" w:type="dxa"/>
            <w:shd w:val="clear" w:color="auto" w:fill="auto"/>
            <w:tcMar>
              <w:left w:w="20" w:type="dxa"/>
              <w:right w:w="20" w:type="dxa"/>
            </w:tcMar>
          </w:tcPr>
          <w:p w14:paraId="268DDDBF" w14:textId="77777777" w:rsidR="00D85532" w:rsidRPr="0061343E" w:rsidRDefault="00D85532" w:rsidP="00E7466A">
            <w:pPr>
              <w:pStyle w:val="TableLeft"/>
              <w:keepNext/>
              <w:rPr>
                <w:rFonts w:ascii="Arial Narrow" w:hAnsi="Arial Narrow"/>
                <w:sz w:val="20"/>
                <w:szCs w:val="20"/>
              </w:rPr>
            </w:pPr>
          </w:p>
        </w:tc>
        <w:tc>
          <w:tcPr>
            <w:tcW w:w="1440" w:type="dxa"/>
            <w:shd w:val="clear" w:color="auto" w:fill="auto"/>
            <w:tcMar>
              <w:left w:w="20" w:type="dxa"/>
              <w:right w:w="20" w:type="dxa"/>
            </w:tcMar>
          </w:tcPr>
          <w:p w14:paraId="2B809E56" w14:textId="77777777" w:rsidR="00D85532" w:rsidRPr="0061343E" w:rsidRDefault="00D85532" w:rsidP="00E7466A">
            <w:pPr>
              <w:pStyle w:val="TableCentre"/>
              <w:keepNext/>
              <w:rPr>
                <w:rFonts w:ascii="Arial Narrow" w:hAnsi="Arial Narrow"/>
                <w:b w:val="0"/>
                <w:sz w:val="20"/>
                <w:szCs w:val="20"/>
              </w:rPr>
            </w:pPr>
            <w:r w:rsidRPr="0061343E">
              <w:rPr>
                <w:rFonts w:ascii="Arial Narrow" w:hAnsi="Arial Narrow"/>
                <w:sz w:val="20"/>
                <w:szCs w:val="20"/>
              </w:rPr>
              <w:t>Intervention</w:t>
            </w:r>
          </w:p>
          <w:p w14:paraId="00471AB2" w14:textId="77777777" w:rsidR="00D85532" w:rsidRPr="0061343E" w:rsidRDefault="00D85532" w:rsidP="00E7466A">
            <w:pPr>
              <w:pStyle w:val="TableCentre"/>
              <w:keepNext/>
              <w:rPr>
                <w:rFonts w:ascii="Arial Narrow" w:hAnsi="Arial Narrow"/>
                <w:sz w:val="20"/>
                <w:szCs w:val="20"/>
              </w:rPr>
            </w:pPr>
            <w:r w:rsidRPr="0061343E">
              <w:rPr>
                <w:rFonts w:ascii="Arial Narrow" w:hAnsi="Arial Narrow"/>
                <w:sz w:val="20"/>
                <w:szCs w:val="20"/>
              </w:rPr>
              <w:t>n/N (%)</w:t>
            </w:r>
          </w:p>
        </w:tc>
        <w:tc>
          <w:tcPr>
            <w:tcW w:w="1440" w:type="dxa"/>
            <w:shd w:val="clear" w:color="auto" w:fill="auto"/>
            <w:tcMar>
              <w:left w:w="20" w:type="dxa"/>
              <w:right w:w="20" w:type="dxa"/>
            </w:tcMar>
          </w:tcPr>
          <w:p w14:paraId="42D7BCC9" w14:textId="77777777" w:rsidR="00D85532" w:rsidRPr="0061343E" w:rsidRDefault="00D85532" w:rsidP="00E7466A">
            <w:pPr>
              <w:pStyle w:val="TableCentre"/>
              <w:keepNext/>
              <w:rPr>
                <w:rFonts w:ascii="Arial Narrow" w:hAnsi="Arial Narrow"/>
                <w:b w:val="0"/>
                <w:sz w:val="20"/>
                <w:szCs w:val="20"/>
              </w:rPr>
            </w:pPr>
            <w:r w:rsidRPr="0061343E">
              <w:rPr>
                <w:rFonts w:ascii="Arial Narrow" w:hAnsi="Arial Narrow"/>
                <w:sz w:val="20"/>
                <w:szCs w:val="20"/>
              </w:rPr>
              <w:t>Comparator</w:t>
            </w:r>
          </w:p>
          <w:p w14:paraId="6972459B" w14:textId="77777777" w:rsidR="00D85532" w:rsidRPr="0061343E" w:rsidRDefault="00D85532" w:rsidP="00E7466A">
            <w:pPr>
              <w:pStyle w:val="TableCentre"/>
              <w:keepNext/>
              <w:rPr>
                <w:rFonts w:ascii="Arial Narrow" w:hAnsi="Arial Narrow"/>
                <w:sz w:val="20"/>
                <w:szCs w:val="20"/>
              </w:rPr>
            </w:pPr>
            <w:r w:rsidRPr="0061343E">
              <w:rPr>
                <w:rFonts w:ascii="Arial Narrow" w:hAnsi="Arial Narrow"/>
                <w:sz w:val="20"/>
                <w:szCs w:val="20"/>
              </w:rPr>
              <w:t>n/N (%)</w:t>
            </w:r>
          </w:p>
        </w:tc>
        <w:tc>
          <w:tcPr>
            <w:tcW w:w="1560" w:type="dxa"/>
            <w:shd w:val="clear" w:color="auto" w:fill="auto"/>
            <w:tcMar>
              <w:left w:w="20" w:type="dxa"/>
              <w:right w:w="20" w:type="dxa"/>
            </w:tcMar>
          </w:tcPr>
          <w:p w14:paraId="5FE54AAF" w14:textId="77777777" w:rsidR="00D85532" w:rsidRPr="0061343E" w:rsidRDefault="00D85532" w:rsidP="00E7466A">
            <w:pPr>
              <w:pStyle w:val="TableCentre"/>
              <w:keepNext/>
              <w:rPr>
                <w:rFonts w:ascii="Arial Narrow" w:hAnsi="Arial Narrow"/>
                <w:sz w:val="20"/>
                <w:szCs w:val="20"/>
              </w:rPr>
            </w:pPr>
            <w:r w:rsidRPr="0061343E">
              <w:rPr>
                <w:rFonts w:ascii="Arial Narrow" w:hAnsi="Arial Narrow"/>
                <w:sz w:val="20"/>
                <w:szCs w:val="20"/>
              </w:rPr>
              <w:t>RR (95% CI)</w:t>
            </w:r>
          </w:p>
        </w:tc>
        <w:tc>
          <w:tcPr>
            <w:tcW w:w="1462" w:type="dxa"/>
            <w:shd w:val="clear" w:color="auto" w:fill="auto"/>
            <w:tcMar>
              <w:left w:w="20" w:type="dxa"/>
              <w:right w:w="20" w:type="dxa"/>
            </w:tcMar>
          </w:tcPr>
          <w:p w14:paraId="7A6F13AE" w14:textId="77777777" w:rsidR="00D85532" w:rsidRPr="0061343E" w:rsidRDefault="00D85532" w:rsidP="00E7466A">
            <w:pPr>
              <w:pStyle w:val="TableCentre"/>
              <w:keepNext/>
              <w:rPr>
                <w:rFonts w:ascii="Arial Narrow" w:hAnsi="Arial Narrow"/>
                <w:sz w:val="20"/>
                <w:szCs w:val="20"/>
              </w:rPr>
            </w:pPr>
            <w:r w:rsidRPr="0061343E">
              <w:rPr>
                <w:rFonts w:ascii="Arial Narrow" w:hAnsi="Arial Narrow"/>
                <w:sz w:val="20"/>
                <w:szCs w:val="20"/>
              </w:rPr>
              <w:t>RD (95% CI)</w:t>
            </w:r>
          </w:p>
        </w:tc>
      </w:tr>
      <w:tr w:rsidR="00D85532" w:rsidRPr="0061343E" w14:paraId="5CE52854" w14:textId="77777777" w:rsidTr="00DA0D1F">
        <w:tc>
          <w:tcPr>
            <w:tcW w:w="9017" w:type="dxa"/>
            <w:gridSpan w:val="5"/>
            <w:shd w:val="clear" w:color="auto" w:fill="auto"/>
            <w:tcMar>
              <w:left w:w="20" w:type="dxa"/>
              <w:right w:w="20" w:type="dxa"/>
            </w:tcMar>
          </w:tcPr>
          <w:p w14:paraId="15579B15" w14:textId="77777777" w:rsidR="00D85532" w:rsidRPr="0061343E" w:rsidRDefault="00D85532" w:rsidP="00E7466A">
            <w:pPr>
              <w:pStyle w:val="TableCentre"/>
              <w:keepNext/>
              <w:jc w:val="left"/>
              <w:rPr>
                <w:rFonts w:ascii="Arial Narrow" w:hAnsi="Arial Narrow"/>
                <w:b/>
                <w:bCs/>
                <w:sz w:val="20"/>
                <w:szCs w:val="20"/>
              </w:rPr>
            </w:pPr>
            <w:r w:rsidRPr="0061343E">
              <w:rPr>
                <w:rFonts w:ascii="Arial Narrow" w:hAnsi="Arial Narrow"/>
                <w:b/>
                <w:bCs/>
                <w:sz w:val="20"/>
                <w:szCs w:val="20"/>
              </w:rPr>
              <w:t>NEMO 30 mg Q4W vs placebo</w:t>
            </w:r>
          </w:p>
        </w:tc>
      </w:tr>
      <w:tr w:rsidR="00D85532" w:rsidRPr="0061343E" w14:paraId="3A0F2359" w14:textId="77777777" w:rsidTr="00DA0D1F">
        <w:tc>
          <w:tcPr>
            <w:tcW w:w="3115" w:type="dxa"/>
            <w:shd w:val="clear" w:color="auto" w:fill="auto"/>
            <w:tcMar>
              <w:left w:w="20" w:type="dxa"/>
              <w:right w:w="20" w:type="dxa"/>
            </w:tcMar>
          </w:tcPr>
          <w:p w14:paraId="5E490517" w14:textId="77777777" w:rsidR="00D85532" w:rsidRPr="0061343E" w:rsidRDefault="00D85532" w:rsidP="00E7466A">
            <w:pPr>
              <w:pStyle w:val="TableLeft"/>
              <w:keepNext/>
              <w:rPr>
                <w:rFonts w:ascii="Arial Narrow" w:hAnsi="Arial Narrow"/>
                <w:sz w:val="20"/>
                <w:szCs w:val="20"/>
              </w:rPr>
            </w:pPr>
            <w:r w:rsidRPr="0061343E">
              <w:rPr>
                <w:rFonts w:ascii="Arial Narrow" w:hAnsi="Arial Narrow"/>
                <w:sz w:val="20"/>
                <w:szCs w:val="20"/>
              </w:rPr>
              <w:t>ARCADIA 1</w:t>
            </w:r>
          </w:p>
        </w:tc>
        <w:tc>
          <w:tcPr>
            <w:tcW w:w="1440" w:type="dxa"/>
            <w:shd w:val="clear" w:color="auto" w:fill="auto"/>
            <w:tcMar>
              <w:left w:w="20" w:type="dxa"/>
              <w:right w:w="20" w:type="dxa"/>
            </w:tcMar>
          </w:tcPr>
          <w:p w14:paraId="325536BF" w14:textId="77777777" w:rsidR="00D85532" w:rsidRPr="0061343E" w:rsidRDefault="00D85532" w:rsidP="00E7466A">
            <w:pPr>
              <w:pStyle w:val="TableCentre"/>
              <w:keepNext/>
              <w:rPr>
                <w:rFonts w:ascii="Arial Narrow" w:hAnsi="Arial Narrow"/>
                <w:sz w:val="20"/>
                <w:szCs w:val="20"/>
              </w:rPr>
            </w:pPr>
            <w:r w:rsidRPr="0061343E">
              <w:rPr>
                <w:rFonts w:ascii="Arial Narrow" w:hAnsi="Arial Narrow"/>
                <w:sz w:val="20"/>
                <w:szCs w:val="20"/>
              </w:rPr>
              <w:t>270/620 (43.5)</w:t>
            </w:r>
          </w:p>
        </w:tc>
        <w:tc>
          <w:tcPr>
            <w:tcW w:w="1440" w:type="dxa"/>
            <w:shd w:val="clear" w:color="auto" w:fill="auto"/>
            <w:tcMar>
              <w:left w:w="20" w:type="dxa"/>
              <w:right w:w="20" w:type="dxa"/>
            </w:tcMar>
          </w:tcPr>
          <w:p w14:paraId="0A220CBD" w14:textId="77777777" w:rsidR="00D85532" w:rsidRPr="0061343E" w:rsidRDefault="00D85532" w:rsidP="00E7466A">
            <w:pPr>
              <w:pStyle w:val="TableCentre"/>
              <w:keepNext/>
              <w:rPr>
                <w:rFonts w:ascii="Arial Narrow" w:hAnsi="Arial Narrow"/>
                <w:sz w:val="20"/>
                <w:szCs w:val="20"/>
              </w:rPr>
            </w:pPr>
            <w:r w:rsidRPr="0061343E">
              <w:rPr>
                <w:rFonts w:ascii="Arial Narrow" w:hAnsi="Arial Narrow"/>
                <w:sz w:val="20"/>
                <w:szCs w:val="20"/>
              </w:rPr>
              <w:t>93/321 (29.0)</w:t>
            </w:r>
          </w:p>
        </w:tc>
        <w:tc>
          <w:tcPr>
            <w:tcW w:w="1560" w:type="dxa"/>
            <w:shd w:val="clear" w:color="auto" w:fill="auto"/>
            <w:tcMar>
              <w:left w:w="20" w:type="dxa"/>
              <w:right w:w="20" w:type="dxa"/>
            </w:tcMar>
          </w:tcPr>
          <w:p w14:paraId="574F6FD9" w14:textId="77777777" w:rsidR="00D85532" w:rsidRPr="0061343E" w:rsidRDefault="00D85532" w:rsidP="00E7466A">
            <w:pPr>
              <w:pStyle w:val="TableCentre"/>
              <w:keepNext/>
              <w:rPr>
                <w:rFonts w:ascii="Arial Narrow" w:hAnsi="Arial Narrow"/>
                <w:b/>
                <w:bCs/>
                <w:sz w:val="20"/>
                <w:szCs w:val="20"/>
              </w:rPr>
            </w:pPr>
            <w:r w:rsidRPr="0061343E">
              <w:rPr>
                <w:rFonts w:ascii="Arial Narrow" w:hAnsi="Arial Narrow"/>
                <w:b/>
                <w:bCs/>
                <w:sz w:val="20"/>
                <w:szCs w:val="20"/>
              </w:rPr>
              <w:t>1.50 (1.24,1.82)</w:t>
            </w:r>
          </w:p>
        </w:tc>
        <w:tc>
          <w:tcPr>
            <w:tcW w:w="1462" w:type="dxa"/>
            <w:shd w:val="clear" w:color="auto" w:fill="auto"/>
            <w:tcMar>
              <w:left w:w="20" w:type="dxa"/>
              <w:right w:w="20" w:type="dxa"/>
            </w:tcMar>
          </w:tcPr>
          <w:p w14:paraId="1D82B2B9" w14:textId="77777777" w:rsidR="00D85532" w:rsidRPr="0061343E" w:rsidRDefault="00D85532" w:rsidP="00E7466A">
            <w:pPr>
              <w:pStyle w:val="TableCentre"/>
              <w:keepNext/>
              <w:rPr>
                <w:rFonts w:ascii="Arial Narrow" w:hAnsi="Arial Narrow"/>
                <w:b/>
                <w:bCs/>
                <w:sz w:val="20"/>
                <w:szCs w:val="20"/>
              </w:rPr>
            </w:pPr>
            <w:r w:rsidRPr="0061343E">
              <w:rPr>
                <w:rFonts w:ascii="Arial Narrow" w:hAnsi="Arial Narrow"/>
                <w:b/>
                <w:bCs/>
                <w:sz w:val="20"/>
                <w:szCs w:val="20"/>
              </w:rPr>
              <w:t>0.15 (0.08, 0.21)</w:t>
            </w:r>
          </w:p>
        </w:tc>
      </w:tr>
      <w:tr w:rsidR="00D85532" w:rsidRPr="0061343E" w14:paraId="1DF0E9D9" w14:textId="77777777" w:rsidTr="00DA0D1F">
        <w:tc>
          <w:tcPr>
            <w:tcW w:w="3115" w:type="dxa"/>
            <w:shd w:val="clear" w:color="auto" w:fill="auto"/>
            <w:tcMar>
              <w:left w:w="20" w:type="dxa"/>
              <w:right w:w="20" w:type="dxa"/>
            </w:tcMar>
          </w:tcPr>
          <w:p w14:paraId="71CBD363" w14:textId="77777777" w:rsidR="00D85532" w:rsidRPr="0061343E" w:rsidRDefault="00D85532" w:rsidP="00E7466A">
            <w:pPr>
              <w:pStyle w:val="TableLeft"/>
              <w:keepNext/>
              <w:rPr>
                <w:rFonts w:ascii="Arial Narrow" w:hAnsi="Arial Narrow"/>
                <w:sz w:val="20"/>
                <w:szCs w:val="20"/>
              </w:rPr>
            </w:pPr>
            <w:r w:rsidRPr="0061343E">
              <w:rPr>
                <w:rFonts w:ascii="Arial Narrow" w:hAnsi="Arial Narrow"/>
                <w:sz w:val="20"/>
                <w:szCs w:val="20"/>
              </w:rPr>
              <w:t>ARCADIA 2</w:t>
            </w:r>
          </w:p>
        </w:tc>
        <w:tc>
          <w:tcPr>
            <w:tcW w:w="1440" w:type="dxa"/>
            <w:shd w:val="clear" w:color="auto" w:fill="auto"/>
            <w:tcMar>
              <w:left w:w="20" w:type="dxa"/>
              <w:right w:w="20" w:type="dxa"/>
            </w:tcMar>
          </w:tcPr>
          <w:p w14:paraId="337976CD" w14:textId="77777777" w:rsidR="00D85532" w:rsidRPr="0061343E" w:rsidRDefault="00D85532" w:rsidP="00E7466A">
            <w:pPr>
              <w:pStyle w:val="TableCentre"/>
              <w:keepNext/>
              <w:rPr>
                <w:rFonts w:ascii="Arial Narrow" w:hAnsi="Arial Narrow"/>
                <w:sz w:val="20"/>
                <w:szCs w:val="20"/>
              </w:rPr>
            </w:pPr>
            <w:r w:rsidRPr="0061343E">
              <w:rPr>
                <w:rFonts w:ascii="Arial Narrow" w:hAnsi="Arial Narrow"/>
                <w:sz w:val="20"/>
                <w:szCs w:val="20"/>
              </w:rPr>
              <w:t>220/522 (42.1)</w:t>
            </w:r>
          </w:p>
        </w:tc>
        <w:tc>
          <w:tcPr>
            <w:tcW w:w="1440" w:type="dxa"/>
            <w:shd w:val="clear" w:color="auto" w:fill="auto"/>
            <w:tcMar>
              <w:left w:w="20" w:type="dxa"/>
              <w:right w:w="20" w:type="dxa"/>
            </w:tcMar>
          </w:tcPr>
          <w:p w14:paraId="55CF576F" w14:textId="77777777" w:rsidR="00D85532" w:rsidRPr="0061343E" w:rsidRDefault="00D85532" w:rsidP="00E7466A">
            <w:pPr>
              <w:pStyle w:val="TableCentre"/>
              <w:keepNext/>
              <w:rPr>
                <w:rFonts w:ascii="Arial Narrow" w:hAnsi="Arial Narrow"/>
                <w:sz w:val="20"/>
                <w:szCs w:val="20"/>
              </w:rPr>
            </w:pPr>
            <w:r w:rsidRPr="0061343E">
              <w:rPr>
                <w:rFonts w:ascii="Arial Narrow" w:hAnsi="Arial Narrow"/>
                <w:sz w:val="20"/>
                <w:szCs w:val="20"/>
              </w:rPr>
              <w:t>80/265 (30.2)</w:t>
            </w:r>
          </w:p>
        </w:tc>
        <w:tc>
          <w:tcPr>
            <w:tcW w:w="1560" w:type="dxa"/>
            <w:shd w:val="clear" w:color="auto" w:fill="auto"/>
            <w:tcMar>
              <w:left w:w="20" w:type="dxa"/>
              <w:right w:w="20" w:type="dxa"/>
            </w:tcMar>
          </w:tcPr>
          <w:p w14:paraId="0E5A29AD" w14:textId="77777777" w:rsidR="00D85532" w:rsidRPr="0061343E" w:rsidRDefault="00D85532" w:rsidP="00E7466A">
            <w:pPr>
              <w:pStyle w:val="TableCentre"/>
              <w:keepNext/>
              <w:rPr>
                <w:rFonts w:ascii="Arial Narrow" w:hAnsi="Arial Narrow"/>
                <w:b/>
                <w:bCs/>
                <w:sz w:val="20"/>
                <w:szCs w:val="20"/>
              </w:rPr>
            </w:pPr>
            <w:r w:rsidRPr="0061343E">
              <w:rPr>
                <w:rFonts w:ascii="Arial Narrow" w:hAnsi="Arial Narrow"/>
                <w:b/>
                <w:bCs/>
                <w:sz w:val="20"/>
                <w:szCs w:val="20"/>
              </w:rPr>
              <w:t>1.40 (1.13, 1.72)</w:t>
            </w:r>
          </w:p>
        </w:tc>
        <w:tc>
          <w:tcPr>
            <w:tcW w:w="1462" w:type="dxa"/>
            <w:shd w:val="clear" w:color="auto" w:fill="auto"/>
            <w:tcMar>
              <w:left w:w="20" w:type="dxa"/>
              <w:right w:w="20" w:type="dxa"/>
            </w:tcMar>
          </w:tcPr>
          <w:p w14:paraId="33FD77FD" w14:textId="77777777" w:rsidR="00D85532" w:rsidRPr="0061343E" w:rsidRDefault="00D85532" w:rsidP="00E7466A">
            <w:pPr>
              <w:pStyle w:val="TableCentre"/>
              <w:keepNext/>
              <w:rPr>
                <w:rFonts w:ascii="Arial Narrow" w:hAnsi="Arial Narrow"/>
                <w:b/>
                <w:bCs/>
                <w:sz w:val="20"/>
                <w:szCs w:val="20"/>
              </w:rPr>
            </w:pPr>
            <w:r w:rsidRPr="0061343E">
              <w:rPr>
                <w:rFonts w:ascii="Arial Narrow" w:hAnsi="Arial Narrow"/>
                <w:b/>
                <w:bCs/>
                <w:sz w:val="20"/>
                <w:szCs w:val="20"/>
              </w:rPr>
              <w:t>0.12 (0.05, 0.19)</w:t>
            </w:r>
          </w:p>
        </w:tc>
      </w:tr>
      <w:tr w:rsidR="00D85532" w:rsidRPr="0061343E" w14:paraId="1D7A7DE8" w14:textId="77777777" w:rsidTr="00DA0D1F">
        <w:tc>
          <w:tcPr>
            <w:tcW w:w="3115" w:type="dxa"/>
            <w:shd w:val="clear" w:color="auto" w:fill="auto"/>
            <w:tcMar>
              <w:left w:w="20" w:type="dxa"/>
              <w:right w:w="20" w:type="dxa"/>
            </w:tcMar>
          </w:tcPr>
          <w:p w14:paraId="3E47E181" w14:textId="77777777" w:rsidR="00D85532" w:rsidRPr="0061343E" w:rsidRDefault="00D85532" w:rsidP="00E7466A">
            <w:pPr>
              <w:pStyle w:val="TableLeft"/>
              <w:keepNext/>
              <w:rPr>
                <w:rFonts w:ascii="Arial Narrow" w:hAnsi="Arial Narrow"/>
                <w:sz w:val="20"/>
                <w:szCs w:val="20"/>
              </w:rPr>
            </w:pPr>
            <w:r w:rsidRPr="0061343E">
              <w:rPr>
                <w:rFonts w:ascii="Arial Narrow" w:hAnsi="Arial Narrow"/>
                <w:sz w:val="20"/>
                <w:szCs w:val="20"/>
              </w:rPr>
              <w:t>Study 114322</w:t>
            </w:r>
          </w:p>
        </w:tc>
        <w:tc>
          <w:tcPr>
            <w:tcW w:w="1440" w:type="dxa"/>
            <w:shd w:val="clear" w:color="auto" w:fill="auto"/>
            <w:tcMar>
              <w:left w:w="20" w:type="dxa"/>
              <w:right w:w="20" w:type="dxa"/>
            </w:tcMar>
          </w:tcPr>
          <w:p w14:paraId="66A2EA20" w14:textId="77777777" w:rsidR="00D85532" w:rsidRPr="0061343E" w:rsidRDefault="00D85532" w:rsidP="00E7466A">
            <w:pPr>
              <w:pStyle w:val="TableCentre"/>
              <w:keepNext/>
              <w:rPr>
                <w:rFonts w:ascii="Arial Narrow" w:hAnsi="Arial Narrow"/>
                <w:sz w:val="20"/>
                <w:szCs w:val="20"/>
              </w:rPr>
            </w:pPr>
            <w:r w:rsidRPr="0061343E">
              <w:rPr>
                <w:rFonts w:ascii="Arial Narrow" w:hAnsi="Arial Narrow"/>
                <w:sz w:val="20"/>
                <w:szCs w:val="20"/>
              </w:rPr>
              <w:t>28/57 (49.1)</w:t>
            </w:r>
          </w:p>
        </w:tc>
        <w:tc>
          <w:tcPr>
            <w:tcW w:w="1440" w:type="dxa"/>
            <w:shd w:val="clear" w:color="auto" w:fill="auto"/>
            <w:tcMar>
              <w:left w:w="20" w:type="dxa"/>
              <w:right w:w="20" w:type="dxa"/>
            </w:tcMar>
          </w:tcPr>
          <w:p w14:paraId="12FCCCC8" w14:textId="77777777" w:rsidR="00D85532" w:rsidRPr="0061343E" w:rsidRDefault="00D85532" w:rsidP="00E7466A">
            <w:pPr>
              <w:pStyle w:val="TableCentre"/>
              <w:keepNext/>
              <w:rPr>
                <w:rFonts w:ascii="Arial Narrow" w:hAnsi="Arial Narrow"/>
                <w:sz w:val="20"/>
                <w:szCs w:val="20"/>
              </w:rPr>
            </w:pPr>
            <w:r w:rsidRPr="0061343E">
              <w:rPr>
                <w:rFonts w:ascii="Arial Narrow" w:hAnsi="Arial Narrow"/>
                <w:sz w:val="20"/>
                <w:szCs w:val="20"/>
              </w:rPr>
              <w:t>11/57 (19.3)</w:t>
            </w:r>
          </w:p>
        </w:tc>
        <w:tc>
          <w:tcPr>
            <w:tcW w:w="1560" w:type="dxa"/>
            <w:shd w:val="clear" w:color="auto" w:fill="auto"/>
            <w:tcMar>
              <w:left w:w="20" w:type="dxa"/>
              <w:right w:w="20" w:type="dxa"/>
            </w:tcMar>
          </w:tcPr>
          <w:p w14:paraId="0748D180" w14:textId="77777777" w:rsidR="00D85532" w:rsidRPr="0061343E" w:rsidRDefault="00D85532" w:rsidP="00E7466A">
            <w:pPr>
              <w:pStyle w:val="TableCentre"/>
              <w:keepNext/>
              <w:rPr>
                <w:rFonts w:ascii="Arial Narrow" w:hAnsi="Arial Narrow"/>
                <w:b/>
                <w:bCs/>
                <w:sz w:val="20"/>
                <w:szCs w:val="20"/>
              </w:rPr>
            </w:pPr>
            <w:r w:rsidRPr="0061343E">
              <w:rPr>
                <w:rFonts w:ascii="Arial Narrow" w:hAnsi="Arial Narrow"/>
                <w:b/>
                <w:bCs/>
                <w:sz w:val="20"/>
                <w:szCs w:val="20"/>
              </w:rPr>
              <w:t>2.55 (1.41, 4.61)</w:t>
            </w:r>
          </w:p>
        </w:tc>
        <w:tc>
          <w:tcPr>
            <w:tcW w:w="1462" w:type="dxa"/>
            <w:shd w:val="clear" w:color="auto" w:fill="auto"/>
            <w:tcMar>
              <w:left w:w="20" w:type="dxa"/>
              <w:right w:w="20" w:type="dxa"/>
            </w:tcMar>
          </w:tcPr>
          <w:p w14:paraId="0F99E1DC" w14:textId="77777777" w:rsidR="00D85532" w:rsidRPr="0061343E" w:rsidRDefault="00D85532" w:rsidP="00E7466A">
            <w:pPr>
              <w:pStyle w:val="TableCentre"/>
              <w:keepNext/>
              <w:rPr>
                <w:rFonts w:ascii="Arial Narrow" w:hAnsi="Arial Narrow"/>
                <w:b/>
                <w:bCs/>
                <w:sz w:val="20"/>
                <w:szCs w:val="20"/>
              </w:rPr>
            </w:pPr>
            <w:r w:rsidRPr="0061343E">
              <w:rPr>
                <w:rFonts w:ascii="Arial Narrow" w:hAnsi="Arial Narrow"/>
                <w:b/>
                <w:bCs/>
                <w:sz w:val="20"/>
                <w:szCs w:val="20"/>
              </w:rPr>
              <w:t>0.30 (0.13, 0.46)</w:t>
            </w:r>
          </w:p>
        </w:tc>
      </w:tr>
      <w:tr w:rsidR="00D85532" w:rsidRPr="0061343E" w14:paraId="02DB868A" w14:textId="77777777" w:rsidTr="00DA0D1F">
        <w:tc>
          <w:tcPr>
            <w:tcW w:w="3115" w:type="dxa"/>
            <w:shd w:val="clear" w:color="auto" w:fill="auto"/>
            <w:tcMar>
              <w:left w:w="20" w:type="dxa"/>
              <w:right w:w="20" w:type="dxa"/>
            </w:tcMar>
          </w:tcPr>
          <w:p w14:paraId="7F3CDD9B" w14:textId="77777777" w:rsidR="00D85532" w:rsidRPr="0061343E" w:rsidRDefault="00D85532" w:rsidP="00E7466A">
            <w:pPr>
              <w:pStyle w:val="TableLeft"/>
              <w:keepNext/>
              <w:rPr>
                <w:rFonts w:ascii="Arial Narrow" w:hAnsi="Arial Narrow"/>
                <w:sz w:val="20"/>
                <w:szCs w:val="20"/>
              </w:rPr>
            </w:pPr>
            <w:r w:rsidRPr="0061343E">
              <w:rPr>
                <w:rFonts w:ascii="Arial Narrow" w:hAnsi="Arial Narrow"/>
                <w:sz w:val="20"/>
                <w:szCs w:val="20"/>
              </w:rPr>
              <w:t>ARCADIA CYCLO</w:t>
            </w:r>
          </w:p>
        </w:tc>
        <w:tc>
          <w:tcPr>
            <w:tcW w:w="1440" w:type="dxa"/>
            <w:shd w:val="clear" w:color="auto" w:fill="auto"/>
            <w:tcMar>
              <w:left w:w="20" w:type="dxa"/>
              <w:right w:w="20" w:type="dxa"/>
            </w:tcMar>
          </w:tcPr>
          <w:p w14:paraId="5D0E8994" w14:textId="77777777" w:rsidR="00D85532" w:rsidRPr="0061343E" w:rsidRDefault="00D85532" w:rsidP="00E7466A">
            <w:pPr>
              <w:pStyle w:val="TableCentre"/>
              <w:keepNext/>
              <w:rPr>
                <w:rFonts w:ascii="Arial Narrow" w:hAnsi="Arial Narrow"/>
                <w:sz w:val="20"/>
                <w:szCs w:val="20"/>
              </w:rPr>
            </w:pPr>
            <w:r w:rsidRPr="0061343E">
              <w:rPr>
                <w:rFonts w:ascii="Arial Narrow" w:hAnsi="Arial Narrow"/>
                <w:sz w:val="20"/>
                <w:szCs w:val="20"/>
              </w:rPr>
              <w:t>65/138 (47.1)</w:t>
            </w:r>
          </w:p>
        </w:tc>
        <w:tc>
          <w:tcPr>
            <w:tcW w:w="1440" w:type="dxa"/>
            <w:shd w:val="clear" w:color="auto" w:fill="auto"/>
            <w:tcMar>
              <w:left w:w="20" w:type="dxa"/>
              <w:right w:w="20" w:type="dxa"/>
            </w:tcMar>
          </w:tcPr>
          <w:p w14:paraId="11C0DFCA" w14:textId="77777777" w:rsidR="00D85532" w:rsidRPr="0061343E" w:rsidRDefault="00D85532" w:rsidP="00E7466A">
            <w:pPr>
              <w:pStyle w:val="TableCentre"/>
              <w:keepNext/>
              <w:rPr>
                <w:rFonts w:ascii="Arial Narrow" w:hAnsi="Arial Narrow"/>
                <w:sz w:val="20"/>
                <w:szCs w:val="20"/>
              </w:rPr>
            </w:pPr>
            <w:r w:rsidRPr="0061343E">
              <w:rPr>
                <w:rFonts w:ascii="Arial Narrow" w:hAnsi="Arial Narrow"/>
                <w:sz w:val="20"/>
                <w:szCs w:val="20"/>
              </w:rPr>
              <w:t>48/138 (34.8)</w:t>
            </w:r>
          </w:p>
        </w:tc>
        <w:tc>
          <w:tcPr>
            <w:tcW w:w="1560" w:type="dxa"/>
            <w:shd w:val="clear" w:color="auto" w:fill="auto"/>
            <w:tcMar>
              <w:left w:w="20" w:type="dxa"/>
              <w:right w:w="20" w:type="dxa"/>
            </w:tcMar>
          </w:tcPr>
          <w:p w14:paraId="2F5606E0" w14:textId="77777777" w:rsidR="00D85532" w:rsidRPr="0061343E" w:rsidRDefault="00D85532" w:rsidP="00E7466A">
            <w:pPr>
              <w:keepNext/>
              <w:jc w:val="center"/>
              <w:rPr>
                <w:rFonts w:ascii="Arial Narrow" w:hAnsi="Arial Narrow"/>
                <w:b/>
                <w:bCs/>
                <w:sz w:val="20"/>
                <w:szCs w:val="20"/>
              </w:rPr>
            </w:pPr>
            <w:r w:rsidRPr="0061343E">
              <w:rPr>
                <w:rFonts w:ascii="Arial Narrow" w:hAnsi="Arial Narrow"/>
                <w:b/>
                <w:bCs/>
                <w:sz w:val="20"/>
                <w:szCs w:val="20"/>
              </w:rPr>
              <w:t>1.35 (1.01, 1.81)</w:t>
            </w:r>
          </w:p>
        </w:tc>
        <w:tc>
          <w:tcPr>
            <w:tcW w:w="1462" w:type="dxa"/>
            <w:shd w:val="clear" w:color="auto" w:fill="auto"/>
            <w:tcMar>
              <w:left w:w="20" w:type="dxa"/>
              <w:right w:w="20" w:type="dxa"/>
            </w:tcMar>
          </w:tcPr>
          <w:p w14:paraId="12528596" w14:textId="77777777" w:rsidR="00D85532" w:rsidRPr="0061343E" w:rsidRDefault="00D85532" w:rsidP="00E7466A">
            <w:pPr>
              <w:keepNext/>
              <w:jc w:val="center"/>
              <w:rPr>
                <w:rFonts w:ascii="Arial Narrow" w:hAnsi="Arial Narrow"/>
                <w:b/>
                <w:bCs/>
                <w:sz w:val="20"/>
                <w:szCs w:val="20"/>
              </w:rPr>
            </w:pPr>
            <w:r w:rsidRPr="0061343E">
              <w:rPr>
                <w:rFonts w:ascii="Arial Narrow" w:hAnsi="Arial Narrow"/>
                <w:b/>
                <w:bCs/>
                <w:sz w:val="20"/>
                <w:szCs w:val="20"/>
              </w:rPr>
              <w:t>0.12 (0.01, 0.24)</w:t>
            </w:r>
          </w:p>
        </w:tc>
      </w:tr>
      <w:tr w:rsidR="00DA0D1F" w:rsidRPr="0061343E" w14:paraId="64FACC2F" w14:textId="77777777" w:rsidTr="00DA0D1F">
        <w:tc>
          <w:tcPr>
            <w:tcW w:w="5995" w:type="dxa"/>
            <w:gridSpan w:val="3"/>
            <w:shd w:val="clear" w:color="auto" w:fill="auto"/>
            <w:tcMar>
              <w:left w:w="20" w:type="dxa"/>
              <w:right w:w="20" w:type="dxa"/>
            </w:tcMar>
          </w:tcPr>
          <w:p w14:paraId="732C31EC" w14:textId="679F736C" w:rsidR="00DA0D1F" w:rsidRPr="0061343E" w:rsidRDefault="00DA0D1F" w:rsidP="00DA0D1F">
            <w:pPr>
              <w:pStyle w:val="TableCentre"/>
              <w:keepNext/>
              <w:jc w:val="left"/>
              <w:rPr>
                <w:rFonts w:ascii="Arial Narrow" w:hAnsi="Arial Narrow"/>
                <w:sz w:val="20"/>
                <w:szCs w:val="20"/>
              </w:rPr>
            </w:pPr>
            <w:r w:rsidRPr="0061343E">
              <w:rPr>
                <w:rFonts w:ascii="Arial Narrow" w:hAnsi="Arial Narrow"/>
                <w:sz w:val="20"/>
                <w:szCs w:val="20"/>
              </w:rPr>
              <w:t>Pooled (REM)</w:t>
            </w:r>
          </w:p>
        </w:tc>
        <w:tc>
          <w:tcPr>
            <w:tcW w:w="1560" w:type="dxa"/>
            <w:shd w:val="clear" w:color="auto" w:fill="auto"/>
            <w:tcMar>
              <w:left w:w="20" w:type="dxa"/>
              <w:right w:w="20" w:type="dxa"/>
            </w:tcMar>
          </w:tcPr>
          <w:p w14:paraId="01842FBC" w14:textId="77777777" w:rsidR="00DA0D1F" w:rsidRPr="0061343E" w:rsidRDefault="00DA0D1F" w:rsidP="00E7466A">
            <w:pPr>
              <w:keepNext/>
              <w:jc w:val="center"/>
              <w:rPr>
                <w:rFonts w:ascii="Arial Narrow" w:hAnsi="Arial Narrow"/>
                <w:b/>
                <w:bCs/>
                <w:sz w:val="20"/>
                <w:szCs w:val="20"/>
              </w:rPr>
            </w:pPr>
            <w:r w:rsidRPr="0061343E">
              <w:rPr>
                <w:rFonts w:ascii="Arial Narrow" w:hAnsi="Arial Narrow"/>
                <w:b/>
                <w:bCs/>
                <w:sz w:val="20"/>
                <w:szCs w:val="20"/>
              </w:rPr>
              <w:t>1.48 (1.27, 1.72)</w:t>
            </w:r>
          </w:p>
        </w:tc>
        <w:tc>
          <w:tcPr>
            <w:tcW w:w="1462" w:type="dxa"/>
            <w:shd w:val="clear" w:color="auto" w:fill="auto"/>
            <w:tcMar>
              <w:left w:w="20" w:type="dxa"/>
              <w:right w:w="20" w:type="dxa"/>
            </w:tcMar>
          </w:tcPr>
          <w:p w14:paraId="472802A8" w14:textId="77777777" w:rsidR="00DA0D1F" w:rsidRPr="0061343E" w:rsidRDefault="00DA0D1F" w:rsidP="00E7466A">
            <w:pPr>
              <w:keepNext/>
              <w:jc w:val="center"/>
              <w:rPr>
                <w:rFonts w:ascii="Arial Narrow" w:hAnsi="Arial Narrow"/>
                <w:b/>
                <w:bCs/>
                <w:sz w:val="20"/>
                <w:szCs w:val="20"/>
              </w:rPr>
            </w:pPr>
            <w:r w:rsidRPr="0061343E">
              <w:rPr>
                <w:rFonts w:ascii="Arial Narrow" w:hAnsi="Arial Narrow"/>
                <w:b/>
                <w:bCs/>
                <w:sz w:val="20"/>
                <w:szCs w:val="20"/>
              </w:rPr>
              <w:t>0.15 (0.10, 0.20)</w:t>
            </w:r>
          </w:p>
        </w:tc>
      </w:tr>
      <w:tr w:rsidR="00DA0D1F" w:rsidRPr="0061343E" w14:paraId="0B3E41E8" w14:textId="77777777" w:rsidTr="00DA0D1F">
        <w:tc>
          <w:tcPr>
            <w:tcW w:w="5995" w:type="dxa"/>
            <w:gridSpan w:val="3"/>
            <w:shd w:val="clear" w:color="auto" w:fill="auto"/>
            <w:tcMar>
              <w:left w:w="20" w:type="dxa"/>
              <w:right w:w="20" w:type="dxa"/>
            </w:tcMar>
          </w:tcPr>
          <w:p w14:paraId="7BA6CFD7" w14:textId="1D4FD2C0" w:rsidR="00DA0D1F" w:rsidRPr="0061343E" w:rsidRDefault="00DA0D1F" w:rsidP="00DA0D1F">
            <w:pPr>
              <w:pStyle w:val="TableCentre"/>
              <w:keepNext/>
              <w:jc w:val="left"/>
              <w:rPr>
                <w:rFonts w:ascii="Arial Narrow" w:hAnsi="Arial Narrow"/>
                <w:sz w:val="20"/>
                <w:szCs w:val="20"/>
              </w:rPr>
            </w:pPr>
            <w:r w:rsidRPr="0061343E">
              <w:rPr>
                <w:rFonts w:ascii="Arial Narrow" w:hAnsi="Arial Narrow"/>
                <w:sz w:val="20"/>
                <w:szCs w:val="20"/>
              </w:rPr>
              <w:t>Pooled (REM) excl. ARCADIA CYCLO</w:t>
            </w:r>
          </w:p>
        </w:tc>
        <w:tc>
          <w:tcPr>
            <w:tcW w:w="1560" w:type="dxa"/>
            <w:shd w:val="clear" w:color="auto" w:fill="auto"/>
            <w:tcMar>
              <w:left w:w="20" w:type="dxa"/>
              <w:right w:w="20" w:type="dxa"/>
            </w:tcMar>
          </w:tcPr>
          <w:p w14:paraId="4980757F" w14:textId="77777777" w:rsidR="00DA0D1F" w:rsidRPr="0061343E" w:rsidRDefault="00DA0D1F" w:rsidP="00E7466A">
            <w:pPr>
              <w:keepNext/>
              <w:jc w:val="center"/>
              <w:rPr>
                <w:rFonts w:ascii="Arial Narrow" w:hAnsi="Arial Narrow"/>
                <w:b/>
                <w:bCs/>
                <w:sz w:val="20"/>
                <w:szCs w:val="20"/>
              </w:rPr>
            </w:pPr>
            <w:r w:rsidRPr="0061343E">
              <w:rPr>
                <w:rFonts w:ascii="Arial Narrow" w:hAnsi="Arial Narrow"/>
                <w:b/>
                <w:bCs/>
                <w:sz w:val="20"/>
                <w:szCs w:val="20"/>
              </w:rPr>
              <w:t>1.54 (1.25, 1.89)</w:t>
            </w:r>
          </w:p>
        </w:tc>
        <w:tc>
          <w:tcPr>
            <w:tcW w:w="1462" w:type="dxa"/>
            <w:shd w:val="clear" w:color="auto" w:fill="auto"/>
            <w:tcMar>
              <w:left w:w="20" w:type="dxa"/>
              <w:right w:w="20" w:type="dxa"/>
            </w:tcMar>
          </w:tcPr>
          <w:p w14:paraId="602875DB" w14:textId="77777777" w:rsidR="00DA0D1F" w:rsidRPr="0061343E" w:rsidRDefault="00DA0D1F" w:rsidP="00E7466A">
            <w:pPr>
              <w:keepNext/>
              <w:jc w:val="center"/>
              <w:rPr>
                <w:rFonts w:ascii="Arial Narrow" w:hAnsi="Arial Narrow"/>
                <w:b/>
                <w:bCs/>
                <w:sz w:val="20"/>
                <w:szCs w:val="20"/>
              </w:rPr>
            </w:pPr>
            <w:r w:rsidRPr="0061343E">
              <w:rPr>
                <w:rFonts w:ascii="Arial Narrow" w:hAnsi="Arial Narrow"/>
                <w:b/>
                <w:bCs/>
                <w:sz w:val="20"/>
                <w:szCs w:val="20"/>
              </w:rPr>
              <w:t>0.16 (0.09, 0.22)</w:t>
            </w:r>
          </w:p>
        </w:tc>
      </w:tr>
      <w:tr w:rsidR="00D85532" w:rsidRPr="0061343E" w14:paraId="4F776D94" w14:textId="77777777" w:rsidTr="00DA0D1F">
        <w:tc>
          <w:tcPr>
            <w:tcW w:w="9017" w:type="dxa"/>
            <w:gridSpan w:val="5"/>
            <w:shd w:val="clear" w:color="auto" w:fill="auto"/>
            <w:tcMar>
              <w:left w:w="20" w:type="dxa"/>
              <w:right w:w="20" w:type="dxa"/>
            </w:tcMar>
          </w:tcPr>
          <w:p w14:paraId="6E73119C" w14:textId="77777777" w:rsidR="00D85532" w:rsidRPr="0061343E" w:rsidRDefault="00D85532" w:rsidP="00E7466A">
            <w:pPr>
              <w:pStyle w:val="TableCentre"/>
              <w:keepNext/>
              <w:jc w:val="left"/>
              <w:rPr>
                <w:rFonts w:ascii="Arial Narrow" w:hAnsi="Arial Narrow"/>
                <w:b/>
                <w:bCs/>
                <w:sz w:val="20"/>
                <w:szCs w:val="20"/>
              </w:rPr>
            </w:pPr>
            <w:r w:rsidRPr="0061343E">
              <w:rPr>
                <w:rFonts w:ascii="Arial Narrow" w:hAnsi="Arial Narrow"/>
                <w:b/>
                <w:bCs/>
                <w:sz w:val="20"/>
                <w:szCs w:val="20"/>
              </w:rPr>
              <w:t>DUPI 300 mg Q2W vs placebo</w:t>
            </w:r>
          </w:p>
        </w:tc>
      </w:tr>
      <w:tr w:rsidR="00D85532" w:rsidRPr="0061343E" w14:paraId="0F36608E" w14:textId="77777777" w:rsidTr="00DA0D1F">
        <w:tc>
          <w:tcPr>
            <w:tcW w:w="3115" w:type="dxa"/>
            <w:shd w:val="clear" w:color="auto" w:fill="B8CCE4"/>
            <w:tcMar>
              <w:left w:w="20" w:type="dxa"/>
              <w:right w:w="20" w:type="dxa"/>
            </w:tcMar>
          </w:tcPr>
          <w:p w14:paraId="33B3B3CA" w14:textId="77777777" w:rsidR="00D85532" w:rsidRPr="0061343E" w:rsidRDefault="00D85532" w:rsidP="00E7466A">
            <w:pPr>
              <w:pStyle w:val="TableLeft"/>
              <w:keepNext/>
              <w:rPr>
                <w:rFonts w:ascii="Arial Narrow" w:hAnsi="Arial Narrow"/>
                <w:sz w:val="20"/>
                <w:szCs w:val="20"/>
              </w:rPr>
            </w:pPr>
            <w:r w:rsidRPr="0061343E">
              <w:rPr>
                <w:rFonts w:ascii="Arial Narrow" w:hAnsi="Arial Narrow"/>
                <w:sz w:val="20"/>
                <w:szCs w:val="20"/>
              </w:rPr>
              <w:t>CHRONOS</w:t>
            </w:r>
          </w:p>
        </w:tc>
        <w:tc>
          <w:tcPr>
            <w:tcW w:w="1440" w:type="dxa"/>
            <w:shd w:val="clear" w:color="auto" w:fill="B8CCE4"/>
            <w:tcMar>
              <w:left w:w="20" w:type="dxa"/>
              <w:right w:w="20" w:type="dxa"/>
            </w:tcMar>
          </w:tcPr>
          <w:p w14:paraId="10050AE0" w14:textId="77777777" w:rsidR="00D85532" w:rsidRPr="0061343E" w:rsidRDefault="00D85532" w:rsidP="00E7466A">
            <w:pPr>
              <w:pStyle w:val="TableCentre"/>
              <w:keepNext/>
              <w:rPr>
                <w:rFonts w:ascii="Arial Narrow" w:hAnsi="Arial Narrow"/>
                <w:sz w:val="20"/>
                <w:szCs w:val="20"/>
              </w:rPr>
            </w:pPr>
            <w:r w:rsidRPr="0061343E">
              <w:rPr>
                <w:rFonts w:ascii="Arial Narrow" w:hAnsi="Arial Narrow"/>
                <w:sz w:val="20"/>
                <w:szCs w:val="20"/>
              </w:rPr>
              <w:t>73/106 (68.9)</w:t>
            </w:r>
          </w:p>
        </w:tc>
        <w:tc>
          <w:tcPr>
            <w:tcW w:w="1440" w:type="dxa"/>
            <w:shd w:val="clear" w:color="auto" w:fill="B8CCE4"/>
            <w:tcMar>
              <w:left w:w="20" w:type="dxa"/>
              <w:right w:w="20" w:type="dxa"/>
            </w:tcMar>
          </w:tcPr>
          <w:p w14:paraId="2C7EF996" w14:textId="77777777" w:rsidR="00D85532" w:rsidRPr="0061343E" w:rsidRDefault="00D85532" w:rsidP="00E7466A">
            <w:pPr>
              <w:pStyle w:val="TableCentre"/>
              <w:keepNext/>
              <w:rPr>
                <w:rFonts w:ascii="Arial Narrow" w:hAnsi="Arial Narrow"/>
                <w:sz w:val="20"/>
                <w:szCs w:val="20"/>
              </w:rPr>
            </w:pPr>
            <w:r w:rsidRPr="0061343E">
              <w:rPr>
                <w:rFonts w:ascii="Arial Narrow" w:hAnsi="Arial Narrow"/>
                <w:sz w:val="20"/>
                <w:szCs w:val="20"/>
              </w:rPr>
              <w:t>73/315 (23.2)</w:t>
            </w:r>
          </w:p>
        </w:tc>
        <w:tc>
          <w:tcPr>
            <w:tcW w:w="1560" w:type="dxa"/>
            <w:shd w:val="clear" w:color="auto" w:fill="B8CCE4"/>
            <w:tcMar>
              <w:left w:w="20" w:type="dxa"/>
              <w:right w:w="20" w:type="dxa"/>
            </w:tcMar>
          </w:tcPr>
          <w:p w14:paraId="1E39AA8A" w14:textId="77777777" w:rsidR="00D85532" w:rsidRPr="0061343E" w:rsidRDefault="00D85532" w:rsidP="00E7466A">
            <w:pPr>
              <w:pStyle w:val="TableCentre"/>
              <w:keepNext/>
              <w:rPr>
                <w:rFonts w:ascii="Arial Narrow" w:hAnsi="Arial Narrow"/>
                <w:b/>
                <w:bCs/>
                <w:sz w:val="20"/>
                <w:szCs w:val="20"/>
              </w:rPr>
            </w:pPr>
            <w:r w:rsidRPr="0061343E">
              <w:rPr>
                <w:rFonts w:ascii="Arial Narrow" w:hAnsi="Arial Narrow"/>
                <w:b/>
                <w:bCs/>
                <w:sz w:val="20"/>
                <w:szCs w:val="20"/>
              </w:rPr>
              <w:t>2.97 (2.34, 3.77)</w:t>
            </w:r>
          </w:p>
        </w:tc>
        <w:tc>
          <w:tcPr>
            <w:tcW w:w="1462" w:type="dxa"/>
            <w:shd w:val="clear" w:color="auto" w:fill="B8CCE4"/>
            <w:tcMar>
              <w:left w:w="20" w:type="dxa"/>
              <w:right w:w="20" w:type="dxa"/>
            </w:tcMar>
          </w:tcPr>
          <w:p w14:paraId="255028B5" w14:textId="77777777" w:rsidR="00D85532" w:rsidRPr="0061343E" w:rsidRDefault="00D85532" w:rsidP="00E7466A">
            <w:pPr>
              <w:pStyle w:val="TableCentre"/>
              <w:keepNext/>
              <w:rPr>
                <w:rFonts w:ascii="Arial Narrow" w:hAnsi="Arial Narrow"/>
                <w:b/>
                <w:bCs/>
                <w:sz w:val="20"/>
                <w:szCs w:val="20"/>
              </w:rPr>
            </w:pPr>
            <w:r w:rsidRPr="0061343E">
              <w:rPr>
                <w:rFonts w:ascii="Arial Narrow" w:hAnsi="Arial Narrow"/>
                <w:b/>
                <w:bCs/>
                <w:sz w:val="20"/>
                <w:szCs w:val="20"/>
              </w:rPr>
              <w:t>0.46 (0.36, 0.56)</w:t>
            </w:r>
          </w:p>
        </w:tc>
      </w:tr>
      <w:tr w:rsidR="00D85532" w:rsidRPr="0061343E" w14:paraId="5EAFEBB7" w14:textId="77777777" w:rsidTr="00DA0D1F">
        <w:tc>
          <w:tcPr>
            <w:tcW w:w="3115" w:type="dxa"/>
            <w:shd w:val="clear" w:color="auto" w:fill="B8CCE4"/>
            <w:tcMar>
              <w:left w:w="20" w:type="dxa"/>
              <w:right w:w="20" w:type="dxa"/>
            </w:tcMar>
          </w:tcPr>
          <w:p w14:paraId="3422CEED" w14:textId="77777777" w:rsidR="00D85532" w:rsidRPr="0061343E" w:rsidRDefault="00D85532" w:rsidP="00E7466A">
            <w:pPr>
              <w:pStyle w:val="TableLeft"/>
              <w:keepNext/>
              <w:rPr>
                <w:rFonts w:ascii="Arial Narrow" w:hAnsi="Arial Narrow"/>
                <w:sz w:val="20"/>
                <w:szCs w:val="20"/>
              </w:rPr>
            </w:pPr>
            <w:r w:rsidRPr="0061343E">
              <w:rPr>
                <w:rFonts w:ascii="Arial Narrow" w:hAnsi="Arial Narrow"/>
                <w:sz w:val="20"/>
                <w:szCs w:val="20"/>
              </w:rPr>
              <w:t>JADE COMPARE</w:t>
            </w:r>
          </w:p>
        </w:tc>
        <w:tc>
          <w:tcPr>
            <w:tcW w:w="1440" w:type="dxa"/>
            <w:shd w:val="clear" w:color="auto" w:fill="B8CCE4"/>
            <w:tcMar>
              <w:left w:w="20" w:type="dxa"/>
              <w:right w:w="20" w:type="dxa"/>
            </w:tcMar>
          </w:tcPr>
          <w:p w14:paraId="36691B70" w14:textId="77777777" w:rsidR="00D85532" w:rsidRPr="0061343E" w:rsidRDefault="00D85532" w:rsidP="00E7466A">
            <w:pPr>
              <w:pStyle w:val="TableCentre"/>
              <w:keepNext/>
              <w:rPr>
                <w:rFonts w:ascii="Arial Narrow" w:hAnsi="Arial Narrow"/>
                <w:sz w:val="20"/>
                <w:szCs w:val="20"/>
              </w:rPr>
            </w:pPr>
            <w:r w:rsidRPr="0061343E">
              <w:rPr>
                <w:rFonts w:ascii="Arial Narrow" w:hAnsi="Arial Narrow"/>
                <w:sz w:val="20"/>
                <w:szCs w:val="20"/>
              </w:rPr>
              <w:t>152/232 (65.5)</w:t>
            </w:r>
          </w:p>
        </w:tc>
        <w:tc>
          <w:tcPr>
            <w:tcW w:w="1440" w:type="dxa"/>
            <w:shd w:val="clear" w:color="auto" w:fill="B8CCE4"/>
            <w:tcMar>
              <w:left w:w="20" w:type="dxa"/>
              <w:right w:w="20" w:type="dxa"/>
            </w:tcMar>
          </w:tcPr>
          <w:p w14:paraId="794E5A25" w14:textId="77777777" w:rsidR="00D85532" w:rsidRPr="0061343E" w:rsidRDefault="00D85532" w:rsidP="00E7466A">
            <w:pPr>
              <w:pStyle w:val="TableCentre"/>
              <w:keepNext/>
              <w:rPr>
                <w:rFonts w:ascii="Arial Narrow" w:hAnsi="Arial Narrow"/>
                <w:sz w:val="20"/>
                <w:szCs w:val="20"/>
              </w:rPr>
            </w:pPr>
            <w:r w:rsidRPr="0061343E">
              <w:rPr>
                <w:rFonts w:ascii="Arial Narrow" w:hAnsi="Arial Narrow"/>
                <w:sz w:val="20"/>
                <w:szCs w:val="20"/>
              </w:rPr>
              <w:t>38/124 (30.6)</w:t>
            </w:r>
          </w:p>
        </w:tc>
        <w:tc>
          <w:tcPr>
            <w:tcW w:w="1560" w:type="dxa"/>
            <w:shd w:val="clear" w:color="auto" w:fill="B8CCE4"/>
            <w:tcMar>
              <w:left w:w="20" w:type="dxa"/>
              <w:right w:w="20" w:type="dxa"/>
            </w:tcMar>
          </w:tcPr>
          <w:p w14:paraId="4DE54210" w14:textId="77777777" w:rsidR="00D85532" w:rsidRPr="0061343E" w:rsidRDefault="00D85532" w:rsidP="00E7466A">
            <w:pPr>
              <w:pStyle w:val="TableCentre"/>
              <w:keepNext/>
              <w:rPr>
                <w:rFonts w:ascii="Arial Narrow" w:hAnsi="Arial Narrow"/>
                <w:b/>
                <w:bCs/>
                <w:sz w:val="20"/>
                <w:szCs w:val="20"/>
              </w:rPr>
            </w:pPr>
            <w:r w:rsidRPr="0061343E">
              <w:rPr>
                <w:rFonts w:ascii="Arial Narrow" w:hAnsi="Arial Narrow"/>
                <w:b/>
                <w:bCs/>
                <w:sz w:val="20"/>
                <w:szCs w:val="20"/>
              </w:rPr>
              <w:t>2.14 (1.62, 2.83)</w:t>
            </w:r>
          </w:p>
        </w:tc>
        <w:tc>
          <w:tcPr>
            <w:tcW w:w="1462" w:type="dxa"/>
            <w:shd w:val="clear" w:color="auto" w:fill="B8CCE4"/>
            <w:tcMar>
              <w:left w:w="20" w:type="dxa"/>
              <w:right w:w="20" w:type="dxa"/>
            </w:tcMar>
          </w:tcPr>
          <w:p w14:paraId="6F244D21" w14:textId="77777777" w:rsidR="00D85532" w:rsidRPr="0061343E" w:rsidRDefault="00D85532" w:rsidP="00E7466A">
            <w:pPr>
              <w:pStyle w:val="TableCentre"/>
              <w:keepNext/>
              <w:rPr>
                <w:rFonts w:ascii="Arial Narrow" w:hAnsi="Arial Narrow"/>
                <w:b/>
                <w:bCs/>
                <w:sz w:val="20"/>
                <w:szCs w:val="20"/>
              </w:rPr>
            </w:pPr>
            <w:r w:rsidRPr="0061343E">
              <w:rPr>
                <w:rFonts w:ascii="Arial Narrow" w:hAnsi="Arial Narrow"/>
                <w:b/>
                <w:bCs/>
                <w:sz w:val="20"/>
                <w:szCs w:val="20"/>
              </w:rPr>
              <w:t>0.35 (0.25, 0.45)</w:t>
            </w:r>
          </w:p>
        </w:tc>
      </w:tr>
      <w:tr w:rsidR="00D85532" w:rsidRPr="0061343E" w14:paraId="06A36325" w14:textId="77777777" w:rsidTr="00DA0D1F">
        <w:tc>
          <w:tcPr>
            <w:tcW w:w="3115" w:type="dxa"/>
            <w:shd w:val="clear" w:color="auto" w:fill="B8CCE4"/>
            <w:tcMar>
              <w:left w:w="20" w:type="dxa"/>
              <w:right w:w="20" w:type="dxa"/>
            </w:tcMar>
          </w:tcPr>
          <w:p w14:paraId="1DF2A7B8" w14:textId="77777777" w:rsidR="00D85532" w:rsidRPr="0061343E" w:rsidRDefault="00D85532" w:rsidP="00E7466A">
            <w:pPr>
              <w:pStyle w:val="TableLeft"/>
              <w:keepNext/>
              <w:rPr>
                <w:rFonts w:ascii="Arial Narrow" w:hAnsi="Arial Narrow"/>
                <w:sz w:val="20"/>
                <w:szCs w:val="20"/>
              </w:rPr>
            </w:pPr>
            <w:r w:rsidRPr="0061343E">
              <w:rPr>
                <w:rFonts w:ascii="Arial Narrow" w:hAnsi="Arial Narrow"/>
                <w:sz w:val="20"/>
                <w:szCs w:val="20"/>
              </w:rPr>
              <w:t>CAFÉ</w:t>
            </w:r>
          </w:p>
        </w:tc>
        <w:tc>
          <w:tcPr>
            <w:tcW w:w="1440" w:type="dxa"/>
            <w:shd w:val="clear" w:color="auto" w:fill="B8CCE4"/>
            <w:tcMar>
              <w:left w:w="20" w:type="dxa"/>
              <w:right w:w="20" w:type="dxa"/>
            </w:tcMar>
          </w:tcPr>
          <w:p w14:paraId="01190854" w14:textId="77777777" w:rsidR="00D85532" w:rsidRPr="0061343E" w:rsidRDefault="00D85532" w:rsidP="00E7466A">
            <w:pPr>
              <w:pStyle w:val="TableCentre"/>
              <w:keepNext/>
              <w:rPr>
                <w:rFonts w:ascii="Arial Narrow" w:hAnsi="Arial Narrow"/>
                <w:sz w:val="20"/>
                <w:szCs w:val="20"/>
              </w:rPr>
            </w:pPr>
            <w:r w:rsidRPr="0061343E">
              <w:rPr>
                <w:rFonts w:ascii="Arial Narrow" w:hAnsi="Arial Narrow"/>
                <w:sz w:val="20"/>
                <w:szCs w:val="20"/>
              </w:rPr>
              <w:t>67/107 (62.6)</w:t>
            </w:r>
          </w:p>
        </w:tc>
        <w:tc>
          <w:tcPr>
            <w:tcW w:w="1440" w:type="dxa"/>
            <w:shd w:val="clear" w:color="auto" w:fill="B8CCE4"/>
            <w:tcMar>
              <w:left w:w="20" w:type="dxa"/>
              <w:right w:w="20" w:type="dxa"/>
            </w:tcMar>
          </w:tcPr>
          <w:p w14:paraId="386120C2" w14:textId="77777777" w:rsidR="00D85532" w:rsidRPr="0061343E" w:rsidRDefault="00D85532" w:rsidP="00E7466A">
            <w:pPr>
              <w:pStyle w:val="TableCentre"/>
              <w:keepNext/>
              <w:rPr>
                <w:rFonts w:ascii="Arial Narrow" w:hAnsi="Arial Narrow"/>
                <w:sz w:val="20"/>
                <w:szCs w:val="20"/>
              </w:rPr>
            </w:pPr>
            <w:r w:rsidRPr="0061343E">
              <w:rPr>
                <w:rFonts w:ascii="Arial Narrow" w:hAnsi="Arial Narrow"/>
                <w:sz w:val="20"/>
                <w:szCs w:val="20"/>
              </w:rPr>
              <w:t>32/108 (29.6)</w:t>
            </w:r>
          </w:p>
        </w:tc>
        <w:tc>
          <w:tcPr>
            <w:tcW w:w="1560" w:type="dxa"/>
            <w:shd w:val="clear" w:color="auto" w:fill="B8CCE4"/>
            <w:tcMar>
              <w:left w:w="20" w:type="dxa"/>
              <w:right w:w="20" w:type="dxa"/>
            </w:tcMar>
          </w:tcPr>
          <w:p w14:paraId="01328CB2" w14:textId="77777777" w:rsidR="00D85532" w:rsidRPr="0061343E" w:rsidRDefault="00D85532" w:rsidP="00E7466A">
            <w:pPr>
              <w:pStyle w:val="TableCentre"/>
              <w:keepNext/>
              <w:rPr>
                <w:rFonts w:ascii="Arial Narrow" w:hAnsi="Arial Narrow"/>
                <w:b/>
                <w:bCs/>
                <w:sz w:val="20"/>
                <w:szCs w:val="20"/>
              </w:rPr>
            </w:pPr>
            <w:r w:rsidRPr="0061343E">
              <w:rPr>
                <w:rFonts w:ascii="Arial Narrow" w:hAnsi="Arial Narrow"/>
                <w:b/>
                <w:bCs/>
                <w:sz w:val="20"/>
                <w:szCs w:val="20"/>
              </w:rPr>
              <w:t>2.11 (1.53, 2.93)</w:t>
            </w:r>
          </w:p>
        </w:tc>
        <w:tc>
          <w:tcPr>
            <w:tcW w:w="1462" w:type="dxa"/>
            <w:shd w:val="clear" w:color="auto" w:fill="B8CCE4"/>
            <w:tcMar>
              <w:left w:w="20" w:type="dxa"/>
              <w:right w:w="20" w:type="dxa"/>
            </w:tcMar>
          </w:tcPr>
          <w:p w14:paraId="0B4C3BEB" w14:textId="77777777" w:rsidR="00D85532" w:rsidRPr="0061343E" w:rsidRDefault="00D85532" w:rsidP="00E7466A">
            <w:pPr>
              <w:pStyle w:val="TableCentre"/>
              <w:keepNext/>
              <w:rPr>
                <w:rFonts w:ascii="Arial Narrow" w:hAnsi="Arial Narrow"/>
                <w:b/>
                <w:bCs/>
                <w:sz w:val="20"/>
                <w:szCs w:val="20"/>
              </w:rPr>
            </w:pPr>
            <w:r w:rsidRPr="0061343E">
              <w:rPr>
                <w:rFonts w:ascii="Arial Narrow" w:hAnsi="Arial Narrow"/>
                <w:b/>
                <w:bCs/>
                <w:sz w:val="20"/>
                <w:szCs w:val="20"/>
              </w:rPr>
              <w:t>0.33 (0.20, 0.46)</w:t>
            </w:r>
          </w:p>
        </w:tc>
      </w:tr>
      <w:tr w:rsidR="00DA0D1F" w:rsidRPr="0061343E" w14:paraId="6D8877D4" w14:textId="77777777" w:rsidTr="00DA0D1F">
        <w:tc>
          <w:tcPr>
            <w:tcW w:w="5995" w:type="dxa"/>
            <w:gridSpan w:val="3"/>
            <w:shd w:val="clear" w:color="auto" w:fill="auto"/>
            <w:tcMar>
              <w:left w:w="20" w:type="dxa"/>
              <w:right w:w="20" w:type="dxa"/>
            </w:tcMar>
          </w:tcPr>
          <w:p w14:paraId="0799DC3D" w14:textId="6B603CD2" w:rsidR="00DA0D1F" w:rsidRPr="0061343E" w:rsidRDefault="00DA0D1F" w:rsidP="00DA0D1F">
            <w:pPr>
              <w:pStyle w:val="TableCentre"/>
              <w:keepNext/>
              <w:jc w:val="left"/>
              <w:rPr>
                <w:rFonts w:ascii="Arial Narrow" w:hAnsi="Arial Narrow"/>
                <w:sz w:val="20"/>
                <w:szCs w:val="20"/>
              </w:rPr>
            </w:pPr>
            <w:r w:rsidRPr="0061343E">
              <w:rPr>
                <w:rFonts w:ascii="Arial Narrow" w:hAnsi="Arial Narrow"/>
                <w:sz w:val="20"/>
                <w:szCs w:val="20"/>
              </w:rPr>
              <w:t>Pooled (REM)</w:t>
            </w:r>
          </w:p>
        </w:tc>
        <w:tc>
          <w:tcPr>
            <w:tcW w:w="1560" w:type="dxa"/>
            <w:shd w:val="clear" w:color="auto" w:fill="auto"/>
            <w:tcMar>
              <w:left w:w="20" w:type="dxa"/>
              <w:right w:w="20" w:type="dxa"/>
            </w:tcMar>
          </w:tcPr>
          <w:p w14:paraId="34A2D0AD" w14:textId="77777777" w:rsidR="00DA0D1F" w:rsidRPr="0061343E" w:rsidRDefault="00DA0D1F" w:rsidP="00E7466A">
            <w:pPr>
              <w:pStyle w:val="TableCentre"/>
              <w:keepNext/>
              <w:rPr>
                <w:rFonts w:ascii="Arial Narrow" w:hAnsi="Arial Narrow"/>
                <w:b/>
                <w:bCs/>
                <w:sz w:val="20"/>
                <w:szCs w:val="20"/>
              </w:rPr>
            </w:pPr>
            <w:r w:rsidRPr="0061343E">
              <w:rPr>
                <w:rFonts w:ascii="Arial Narrow" w:hAnsi="Arial Narrow"/>
                <w:b/>
                <w:bCs/>
                <w:sz w:val="20"/>
                <w:szCs w:val="20"/>
              </w:rPr>
              <w:t>2.42 (1.90, 3.07)</w:t>
            </w:r>
          </w:p>
        </w:tc>
        <w:tc>
          <w:tcPr>
            <w:tcW w:w="1462" w:type="dxa"/>
            <w:shd w:val="clear" w:color="auto" w:fill="auto"/>
            <w:tcMar>
              <w:left w:w="20" w:type="dxa"/>
              <w:right w:w="20" w:type="dxa"/>
            </w:tcMar>
          </w:tcPr>
          <w:p w14:paraId="652C3F62" w14:textId="77777777" w:rsidR="00DA0D1F" w:rsidRPr="0061343E" w:rsidRDefault="00DA0D1F" w:rsidP="00E7466A">
            <w:pPr>
              <w:pStyle w:val="TableCentre"/>
              <w:keepNext/>
              <w:rPr>
                <w:rFonts w:ascii="Arial Narrow" w:hAnsi="Arial Narrow"/>
                <w:b/>
                <w:bCs/>
                <w:sz w:val="20"/>
                <w:szCs w:val="20"/>
              </w:rPr>
            </w:pPr>
            <w:r w:rsidRPr="0061343E">
              <w:rPr>
                <w:rFonts w:ascii="Arial Narrow" w:hAnsi="Arial Narrow"/>
                <w:b/>
                <w:bCs/>
                <w:sz w:val="20"/>
                <w:szCs w:val="20"/>
              </w:rPr>
              <w:t>0.38 (0.30, 0.46)</w:t>
            </w:r>
          </w:p>
        </w:tc>
      </w:tr>
      <w:tr w:rsidR="00DA0D1F" w:rsidRPr="0061343E" w14:paraId="3A8A357F" w14:textId="77777777" w:rsidTr="00DA0D1F">
        <w:tc>
          <w:tcPr>
            <w:tcW w:w="5995" w:type="dxa"/>
            <w:gridSpan w:val="3"/>
            <w:shd w:val="clear" w:color="auto" w:fill="auto"/>
            <w:tcMar>
              <w:left w:w="20" w:type="dxa"/>
              <w:right w:w="20" w:type="dxa"/>
            </w:tcMar>
          </w:tcPr>
          <w:p w14:paraId="3108005F" w14:textId="761F35E6" w:rsidR="00DA0D1F" w:rsidRPr="0061343E" w:rsidRDefault="00DA0D1F" w:rsidP="00DA0D1F">
            <w:pPr>
              <w:pStyle w:val="TableCentre"/>
              <w:keepNext/>
              <w:jc w:val="left"/>
              <w:rPr>
                <w:rFonts w:ascii="Arial Narrow" w:hAnsi="Arial Narrow"/>
                <w:sz w:val="20"/>
                <w:szCs w:val="20"/>
              </w:rPr>
            </w:pPr>
            <w:r w:rsidRPr="0061343E">
              <w:rPr>
                <w:rFonts w:ascii="Arial Narrow" w:hAnsi="Arial Narrow"/>
                <w:sz w:val="20"/>
                <w:szCs w:val="20"/>
              </w:rPr>
              <w:t>Pooled (REM) excl. CAFÉ</w:t>
            </w:r>
          </w:p>
        </w:tc>
        <w:tc>
          <w:tcPr>
            <w:tcW w:w="1560" w:type="dxa"/>
            <w:shd w:val="clear" w:color="auto" w:fill="auto"/>
            <w:tcMar>
              <w:left w:w="20" w:type="dxa"/>
              <w:right w:w="20" w:type="dxa"/>
            </w:tcMar>
          </w:tcPr>
          <w:p w14:paraId="1B0301D3" w14:textId="77777777" w:rsidR="00DA0D1F" w:rsidRPr="0061343E" w:rsidRDefault="00DA0D1F" w:rsidP="00E7466A">
            <w:pPr>
              <w:keepNext/>
              <w:jc w:val="center"/>
              <w:rPr>
                <w:rFonts w:ascii="Arial Narrow" w:hAnsi="Arial Narrow"/>
                <w:b/>
                <w:bCs/>
                <w:sz w:val="20"/>
                <w:szCs w:val="20"/>
              </w:rPr>
            </w:pPr>
            <w:r w:rsidRPr="0061343E">
              <w:rPr>
                <w:rFonts w:ascii="Arial Narrow" w:hAnsi="Arial Narrow"/>
                <w:b/>
                <w:bCs/>
                <w:sz w:val="20"/>
                <w:szCs w:val="20"/>
              </w:rPr>
              <w:t>2.54 (1.83, 3.54)</w:t>
            </w:r>
          </w:p>
        </w:tc>
        <w:tc>
          <w:tcPr>
            <w:tcW w:w="1462" w:type="dxa"/>
            <w:shd w:val="clear" w:color="auto" w:fill="auto"/>
            <w:tcMar>
              <w:left w:w="20" w:type="dxa"/>
              <w:right w:w="20" w:type="dxa"/>
            </w:tcMar>
          </w:tcPr>
          <w:p w14:paraId="5D69AFCD" w14:textId="77777777" w:rsidR="00DA0D1F" w:rsidRPr="0061343E" w:rsidRDefault="00DA0D1F" w:rsidP="00E7466A">
            <w:pPr>
              <w:keepNext/>
              <w:jc w:val="center"/>
              <w:rPr>
                <w:rFonts w:ascii="Arial Narrow" w:hAnsi="Arial Narrow"/>
                <w:b/>
                <w:bCs/>
                <w:sz w:val="20"/>
                <w:szCs w:val="20"/>
              </w:rPr>
            </w:pPr>
            <w:r w:rsidRPr="0061343E">
              <w:rPr>
                <w:rFonts w:ascii="Arial Narrow" w:hAnsi="Arial Narrow"/>
                <w:b/>
                <w:bCs/>
                <w:sz w:val="20"/>
                <w:szCs w:val="20"/>
              </w:rPr>
              <w:t>0.40 (0.30, 0.51)</w:t>
            </w:r>
          </w:p>
        </w:tc>
      </w:tr>
      <w:tr w:rsidR="00D85532" w:rsidRPr="0061343E" w14:paraId="3BF14112" w14:textId="77777777" w:rsidTr="00DA0D1F">
        <w:tc>
          <w:tcPr>
            <w:tcW w:w="9017" w:type="dxa"/>
            <w:gridSpan w:val="5"/>
            <w:shd w:val="clear" w:color="auto" w:fill="auto"/>
            <w:tcMar>
              <w:left w:w="20" w:type="dxa"/>
              <w:right w:w="20" w:type="dxa"/>
            </w:tcMar>
          </w:tcPr>
          <w:p w14:paraId="633323CC" w14:textId="77777777" w:rsidR="00D85532" w:rsidRPr="0061343E" w:rsidRDefault="00D85532" w:rsidP="00E7466A">
            <w:pPr>
              <w:keepNext/>
              <w:rPr>
                <w:rFonts w:ascii="Arial Narrow" w:hAnsi="Arial Narrow"/>
                <w:b/>
                <w:bCs/>
                <w:sz w:val="20"/>
                <w:szCs w:val="20"/>
              </w:rPr>
            </w:pPr>
            <w:r w:rsidRPr="0061343E">
              <w:rPr>
                <w:rFonts w:ascii="Arial Narrow" w:hAnsi="Arial Narrow"/>
                <w:b/>
                <w:bCs/>
                <w:sz w:val="20"/>
                <w:szCs w:val="20"/>
              </w:rPr>
              <w:t>Indirect comparison</w:t>
            </w:r>
          </w:p>
        </w:tc>
      </w:tr>
      <w:tr w:rsidR="00D85532" w:rsidRPr="0061343E" w14:paraId="1DB3CE6C" w14:textId="77777777" w:rsidTr="00DA0D1F">
        <w:tc>
          <w:tcPr>
            <w:tcW w:w="5995" w:type="dxa"/>
            <w:gridSpan w:val="3"/>
            <w:shd w:val="clear" w:color="auto" w:fill="auto"/>
            <w:tcMar>
              <w:left w:w="20" w:type="dxa"/>
              <w:right w:w="20" w:type="dxa"/>
            </w:tcMar>
          </w:tcPr>
          <w:p w14:paraId="315A21F6" w14:textId="77777777" w:rsidR="00D85532" w:rsidRPr="0061343E" w:rsidRDefault="00D85532" w:rsidP="00E7466A">
            <w:pPr>
              <w:pStyle w:val="TableCentre"/>
              <w:keepNext/>
              <w:jc w:val="both"/>
              <w:rPr>
                <w:rFonts w:ascii="Arial Narrow" w:hAnsi="Arial Narrow"/>
                <w:sz w:val="20"/>
                <w:szCs w:val="20"/>
              </w:rPr>
            </w:pPr>
            <w:r w:rsidRPr="0061343E">
              <w:rPr>
                <w:rFonts w:ascii="Arial Narrow" w:hAnsi="Arial Narrow"/>
                <w:sz w:val="20"/>
                <w:szCs w:val="20"/>
              </w:rPr>
              <w:t>NEMO 30 mg Q4W (pooled excl. ARCADIA CYCLO) vs DUPI 300 mg Q2W (pooled excl. CAFÉ)</w:t>
            </w:r>
          </w:p>
        </w:tc>
        <w:tc>
          <w:tcPr>
            <w:tcW w:w="1560" w:type="dxa"/>
            <w:shd w:val="clear" w:color="auto" w:fill="auto"/>
            <w:tcMar>
              <w:left w:w="20" w:type="dxa"/>
              <w:right w:w="20" w:type="dxa"/>
            </w:tcMar>
          </w:tcPr>
          <w:p w14:paraId="69D5ACB6" w14:textId="77777777" w:rsidR="00D85532" w:rsidRPr="0061343E" w:rsidRDefault="00D85532" w:rsidP="00E7466A">
            <w:pPr>
              <w:keepNext/>
              <w:jc w:val="center"/>
              <w:rPr>
                <w:rFonts w:ascii="Arial Narrow" w:hAnsi="Arial Narrow"/>
                <w:b/>
                <w:bCs/>
                <w:sz w:val="20"/>
                <w:szCs w:val="20"/>
              </w:rPr>
            </w:pPr>
            <w:r w:rsidRPr="0061343E">
              <w:rPr>
                <w:rFonts w:ascii="Arial Narrow" w:hAnsi="Arial Narrow"/>
                <w:b/>
                <w:bCs/>
                <w:sz w:val="20"/>
                <w:szCs w:val="20"/>
              </w:rPr>
              <w:t>0.61 (0.41, 0.90)</w:t>
            </w:r>
          </w:p>
        </w:tc>
        <w:tc>
          <w:tcPr>
            <w:tcW w:w="1462" w:type="dxa"/>
            <w:shd w:val="clear" w:color="auto" w:fill="auto"/>
            <w:tcMar>
              <w:left w:w="20" w:type="dxa"/>
              <w:right w:w="20" w:type="dxa"/>
            </w:tcMar>
          </w:tcPr>
          <w:p w14:paraId="454FB3DC" w14:textId="77777777" w:rsidR="00D85532" w:rsidRPr="0061343E" w:rsidRDefault="00D85532" w:rsidP="00E7466A">
            <w:pPr>
              <w:keepNext/>
              <w:jc w:val="center"/>
              <w:rPr>
                <w:rFonts w:ascii="Arial Narrow" w:hAnsi="Arial Narrow"/>
                <w:b/>
                <w:bCs/>
                <w:sz w:val="20"/>
                <w:szCs w:val="20"/>
              </w:rPr>
            </w:pPr>
            <w:r w:rsidRPr="0061343E">
              <w:rPr>
                <w:rFonts w:ascii="Arial Narrow" w:hAnsi="Arial Narrow"/>
                <w:b/>
                <w:bCs/>
                <w:sz w:val="20"/>
                <w:szCs w:val="20"/>
              </w:rPr>
              <w:t>-0.24 (-0.37, -0.12)</w:t>
            </w:r>
          </w:p>
        </w:tc>
      </w:tr>
    </w:tbl>
    <w:p w14:paraId="1602D45D" w14:textId="77777777" w:rsidR="00D85532" w:rsidRPr="0061343E" w:rsidRDefault="00D85532" w:rsidP="00D85532">
      <w:pPr>
        <w:pStyle w:val="CaptionFootnote"/>
        <w:keepNext/>
        <w:rPr>
          <w:rFonts w:ascii="Arial Narrow" w:hAnsi="Arial Narrow"/>
          <w:sz w:val="18"/>
          <w:szCs w:val="18"/>
        </w:rPr>
      </w:pPr>
      <w:r w:rsidRPr="0061343E">
        <w:rPr>
          <w:rFonts w:ascii="Arial Narrow" w:hAnsi="Arial Narrow"/>
          <w:sz w:val="18"/>
          <w:szCs w:val="18"/>
        </w:rPr>
        <w:t>Source: Table 2-83, p213 of the submission.</w:t>
      </w:r>
    </w:p>
    <w:p w14:paraId="0599A012" w14:textId="77777777" w:rsidR="00D85532" w:rsidRPr="0061343E" w:rsidRDefault="00D85532" w:rsidP="00D85532">
      <w:pPr>
        <w:pStyle w:val="CaptionFootnote"/>
        <w:keepNext/>
        <w:rPr>
          <w:rFonts w:ascii="Arial Narrow" w:hAnsi="Arial Narrow"/>
          <w:sz w:val="18"/>
          <w:szCs w:val="18"/>
        </w:rPr>
      </w:pPr>
      <w:r w:rsidRPr="0061343E">
        <w:rPr>
          <w:rFonts w:ascii="Arial Narrow" w:hAnsi="Arial Narrow"/>
          <w:sz w:val="18"/>
          <w:szCs w:val="18"/>
        </w:rPr>
        <w:t>CI = confidence interval; DUPI = dupilumab; EASI-75 = proportion of patients with ≥ 75% improvement in Eczema Area and Severity Index from baseline; ITC = indirect treatment comparison; ITT = intention-to-treat; NEMO = nemolizumab; NRI = non responder imputation; Q2W = every 2 weeks; Q4W = every 4 weeks; RD = risk difference; REM = random effects model; RR = relative risk</w:t>
      </w:r>
    </w:p>
    <w:p w14:paraId="719E936D" w14:textId="77777777" w:rsidR="00D85532" w:rsidRPr="0061343E" w:rsidRDefault="00D85532" w:rsidP="00D85532">
      <w:pPr>
        <w:pStyle w:val="CaptionFootnote"/>
        <w:keepNext/>
        <w:rPr>
          <w:rFonts w:ascii="Arial Narrow" w:hAnsi="Arial Narrow"/>
          <w:sz w:val="18"/>
          <w:szCs w:val="18"/>
        </w:rPr>
      </w:pPr>
      <w:r w:rsidRPr="0061343E">
        <w:rPr>
          <w:rFonts w:ascii="Arial Narrow" w:hAnsi="Arial Narrow"/>
          <w:b/>
          <w:bCs/>
          <w:sz w:val="18"/>
          <w:szCs w:val="18"/>
        </w:rPr>
        <w:t>Bold</w:t>
      </w:r>
      <w:r w:rsidRPr="0061343E">
        <w:rPr>
          <w:rFonts w:ascii="Arial Narrow" w:hAnsi="Arial Narrow"/>
          <w:sz w:val="18"/>
          <w:szCs w:val="18"/>
        </w:rPr>
        <w:t xml:space="preserve"> = statistically significant</w:t>
      </w:r>
    </w:p>
    <w:p w14:paraId="6B8AA1F9" w14:textId="77777777" w:rsidR="00D85532" w:rsidRPr="0061343E" w:rsidRDefault="00D85532" w:rsidP="00D85532">
      <w:pPr>
        <w:pStyle w:val="TableFigureFooter"/>
        <w:keepNext/>
        <w:spacing w:after="0"/>
        <w:rPr>
          <w:rStyle w:val="CommentReference"/>
          <w:b w:val="0"/>
          <w:bCs/>
          <w:sz w:val="18"/>
          <w:szCs w:val="18"/>
        </w:rPr>
      </w:pPr>
      <w:r w:rsidRPr="0061343E">
        <w:rPr>
          <w:rStyle w:val="CommentReference"/>
          <w:b w:val="0"/>
          <w:bCs/>
          <w:sz w:val="18"/>
          <w:szCs w:val="18"/>
          <w:shd w:val="clear" w:color="auto" w:fill="B8CCE4" w:themeFill="accent1" w:themeFillTint="66"/>
        </w:rPr>
        <w:t>Blue shading</w:t>
      </w:r>
      <w:r w:rsidRPr="0061343E">
        <w:rPr>
          <w:rStyle w:val="CommentReference"/>
          <w:b w:val="0"/>
          <w:bCs/>
          <w:sz w:val="18"/>
          <w:szCs w:val="18"/>
        </w:rPr>
        <w:t xml:space="preserve"> indicates data previously seen by the PBAC.</w:t>
      </w:r>
      <w:bookmarkStart w:id="34" w:name="_Ref197331921"/>
    </w:p>
    <w:p w14:paraId="4074C485" w14:textId="77777777" w:rsidR="00D85532" w:rsidRPr="0061343E" w:rsidRDefault="00D85532" w:rsidP="00D85532">
      <w:pPr>
        <w:rPr>
          <w:rStyle w:val="CommentReference"/>
          <w:rFonts w:asciiTheme="minorHAnsi" w:hAnsiTheme="minorHAnsi" w:cstheme="minorHAnsi"/>
          <w:b w:val="0"/>
          <w:bCs/>
          <w:sz w:val="24"/>
          <w:szCs w:val="24"/>
        </w:rPr>
      </w:pPr>
    </w:p>
    <w:p w14:paraId="5AA3EDEB" w14:textId="0A8B436E" w:rsidR="00D85532" w:rsidRPr="0061343E" w:rsidRDefault="00D85532" w:rsidP="00D85532">
      <w:pPr>
        <w:pStyle w:val="Caption"/>
        <w:keepLines w:val="0"/>
        <w:widowControl w:val="0"/>
      </w:pPr>
      <w:bookmarkStart w:id="35" w:name="_Ref197936894"/>
      <w:r w:rsidRPr="0061343E">
        <w:t xml:space="preserve">Table </w:t>
      </w:r>
      <w:r w:rsidR="00167892">
        <w:fldChar w:fldCharType="begin"/>
      </w:r>
      <w:r w:rsidR="00167892">
        <w:instrText xml:space="preserve"> SEQ Table \* ARABIC </w:instrText>
      </w:r>
      <w:r w:rsidR="00167892">
        <w:fldChar w:fldCharType="separate"/>
      </w:r>
      <w:r w:rsidR="00E5780E">
        <w:rPr>
          <w:noProof/>
        </w:rPr>
        <w:t>5</w:t>
      </w:r>
      <w:r w:rsidR="00167892">
        <w:rPr>
          <w:noProof/>
        </w:rPr>
        <w:fldChar w:fldCharType="end"/>
      </w:r>
      <w:bookmarkEnd w:id="34"/>
      <w:bookmarkEnd w:id="35"/>
      <w:r w:rsidRPr="0061343E">
        <w:t>: ITC of NEMO 30 mg Q4W vs DUPI 300 mg Q2W: IGA success at Week 16 (NRI) – ITT population</w:t>
      </w:r>
    </w:p>
    <w:tbl>
      <w:tblPr>
        <w:tblStyle w:val="Submissionstandard"/>
        <w:tblW w:w="5000" w:type="pct"/>
        <w:tblLook w:val="04A0" w:firstRow="1" w:lastRow="0" w:firstColumn="1" w:lastColumn="0" w:noHBand="0" w:noVBand="1"/>
        <w:tblCaption w:val="Table 5: ITC of NEMO 30 mg Q4W vs DUPI 300 mg Q2W: IGA success at Week 16 (NRI) – ITT population"/>
      </w:tblPr>
      <w:tblGrid>
        <w:gridCol w:w="3114"/>
        <w:gridCol w:w="1439"/>
        <w:gridCol w:w="1443"/>
        <w:gridCol w:w="1558"/>
        <w:gridCol w:w="1463"/>
      </w:tblGrid>
      <w:tr w:rsidR="00D85532" w:rsidRPr="0061343E" w14:paraId="3C2FDC32" w14:textId="77777777" w:rsidTr="00DA0D1F">
        <w:trPr>
          <w:cnfStyle w:val="100000000000" w:firstRow="1" w:lastRow="0" w:firstColumn="0" w:lastColumn="0" w:oddVBand="0" w:evenVBand="0" w:oddHBand="0" w:evenHBand="0" w:firstRowFirstColumn="0" w:firstRowLastColumn="0" w:lastRowFirstColumn="0" w:lastRowLastColumn="0"/>
        </w:trPr>
        <w:tc>
          <w:tcPr>
            <w:tcW w:w="1727" w:type="pct"/>
            <w:shd w:val="clear" w:color="auto" w:fill="auto"/>
            <w:tcMar>
              <w:left w:w="20" w:type="dxa"/>
              <w:right w:w="20" w:type="dxa"/>
            </w:tcMar>
          </w:tcPr>
          <w:p w14:paraId="5DEB34C6" w14:textId="77777777" w:rsidR="00D85532" w:rsidRPr="0061343E" w:rsidRDefault="00D85532" w:rsidP="00E7466A">
            <w:pPr>
              <w:pStyle w:val="TableLeft"/>
              <w:keepNext/>
              <w:widowControl w:val="0"/>
              <w:rPr>
                <w:rFonts w:ascii="Arial Narrow" w:hAnsi="Arial Narrow"/>
                <w:sz w:val="20"/>
                <w:szCs w:val="20"/>
              </w:rPr>
            </w:pPr>
          </w:p>
        </w:tc>
        <w:tc>
          <w:tcPr>
            <w:tcW w:w="798" w:type="pct"/>
            <w:shd w:val="clear" w:color="auto" w:fill="auto"/>
            <w:tcMar>
              <w:left w:w="20" w:type="dxa"/>
              <w:right w:w="20" w:type="dxa"/>
            </w:tcMar>
          </w:tcPr>
          <w:p w14:paraId="2354790E" w14:textId="77777777" w:rsidR="00D85532" w:rsidRPr="0061343E" w:rsidRDefault="00D85532" w:rsidP="00E7466A">
            <w:pPr>
              <w:pStyle w:val="TableCentre"/>
              <w:keepNext/>
              <w:widowControl w:val="0"/>
              <w:rPr>
                <w:rFonts w:ascii="Arial Narrow" w:hAnsi="Arial Narrow"/>
                <w:b w:val="0"/>
                <w:sz w:val="20"/>
                <w:szCs w:val="20"/>
              </w:rPr>
            </w:pPr>
            <w:r w:rsidRPr="0061343E">
              <w:rPr>
                <w:rFonts w:ascii="Arial Narrow" w:hAnsi="Arial Narrow"/>
                <w:sz w:val="20"/>
                <w:szCs w:val="20"/>
              </w:rPr>
              <w:t>Intervention</w:t>
            </w:r>
          </w:p>
          <w:p w14:paraId="7AB4E1DA" w14:textId="77777777" w:rsidR="00D85532" w:rsidRPr="0061343E" w:rsidRDefault="00D85532" w:rsidP="00E7466A">
            <w:pPr>
              <w:pStyle w:val="TableCentre"/>
              <w:keepNext/>
              <w:widowControl w:val="0"/>
              <w:rPr>
                <w:rFonts w:ascii="Arial Narrow" w:hAnsi="Arial Narrow"/>
                <w:sz w:val="20"/>
                <w:szCs w:val="20"/>
              </w:rPr>
            </w:pPr>
            <w:r w:rsidRPr="0061343E">
              <w:rPr>
                <w:rFonts w:ascii="Arial Narrow" w:hAnsi="Arial Narrow"/>
                <w:sz w:val="20"/>
                <w:szCs w:val="20"/>
              </w:rPr>
              <w:t>n/N (%)</w:t>
            </w:r>
          </w:p>
        </w:tc>
        <w:tc>
          <w:tcPr>
            <w:tcW w:w="800" w:type="pct"/>
            <w:shd w:val="clear" w:color="auto" w:fill="auto"/>
            <w:tcMar>
              <w:left w:w="20" w:type="dxa"/>
              <w:right w:w="20" w:type="dxa"/>
            </w:tcMar>
          </w:tcPr>
          <w:p w14:paraId="08496B40" w14:textId="77777777" w:rsidR="00D85532" w:rsidRPr="0061343E" w:rsidRDefault="00D85532" w:rsidP="00E7466A">
            <w:pPr>
              <w:pStyle w:val="TableCentre"/>
              <w:keepNext/>
              <w:widowControl w:val="0"/>
              <w:rPr>
                <w:rFonts w:ascii="Arial Narrow" w:hAnsi="Arial Narrow"/>
                <w:b w:val="0"/>
                <w:sz w:val="20"/>
                <w:szCs w:val="20"/>
              </w:rPr>
            </w:pPr>
            <w:r w:rsidRPr="0061343E">
              <w:rPr>
                <w:rFonts w:ascii="Arial Narrow" w:hAnsi="Arial Narrow"/>
                <w:sz w:val="20"/>
                <w:szCs w:val="20"/>
              </w:rPr>
              <w:t>Comparator</w:t>
            </w:r>
          </w:p>
          <w:p w14:paraId="03A41DE4" w14:textId="77777777" w:rsidR="00D85532" w:rsidRPr="0061343E" w:rsidRDefault="00D85532" w:rsidP="00E7466A">
            <w:pPr>
              <w:pStyle w:val="TableCentre"/>
              <w:keepNext/>
              <w:widowControl w:val="0"/>
              <w:rPr>
                <w:rFonts w:ascii="Arial Narrow" w:hAnsi="Arial Narrow"/>
                <w:sz w:val="20"/>
                <w:szCs w:val="20"/>
              </w:rPr>
            </w:pPr>
            <w:r w:rsidRPr="0061343E">
              <w:rPr>
                <w:rFonts w:ascii="Arial Narrow" w:hAnsi="Arial Narrow"/>
                <w:sz w:val="20"/>
                <w:szCs w:val="20"/>
              </w:rPr>
              <w:t>n/N (%)</w:t>
            </w:r>
          </w:p>
        </w:tc>
        <w:tc>
          <w:tcPr>
            <w:tcW w:w="864" w:type="pct"/>
            <w:shd w:val="clear" w:color="auto" w:fill="auto"/>
            <w:tcMar>
              <w:left w:w="20" w:type="dxa"/>
              <w:right w:w="20" w:type="dxa"/>
            </w:tcMar>
          </w:tcPr>
          <w:p w14:paraId="4A1B6AAD" w14:textId="77777777" w:rsidR="00D85532" w:rsidRPr="0061343E" w:rsidRDefault="00D85532" w:rsidP="00E7466A">
            <w:pPr>
              <w:pStyle w:val="TableCentre"/>
              <w:keepNext/>
              <w:widowControl w:val="0"/>
              <w:rPr>
                <w:rFonts w:ascii="Arial Narrow" w:hAnsi="Arial Narrow"/>
                <w:sz w:val="20"/>
                <w:szCs w:val="20"/>
              </w:rPr>
            </w:pPr>
            <w:r w:rsidRPr="0061343E">
              <w:rPr>
                <w:rFonts w:ascii="Arial Narrow" w:hAnsi="Arial Narrow"/>
                <w:sz w:val="20"/>
                <w:szCs w:val="20"/>
              </w:rPr>
              <w:t>RR (95% CI)</w:t>
            </w:r>
          </w:p>
        </w:tc>
        <w:tc>
          <w:tcPr>
            <w:tcW w:w="811" w:type="pct"/>
            <w:shd w:val="clear" w:color="auto" w:fill="auto"/>
            <w:tcMar>
              <w:left w:w="20" w:type="dxa"/>
              <w:right w:w="20" w:type="dxa"/>
            </w:tcMar>
          </w:tcPr>
          <w:p w14:paraId="18D84731" w14:textId="77777777" w:rsidR="00D85532" w:rsidRPr="0061343E" w:rsidRDefault="00D85532" w:rsidP="00E7466A">
            <w:pPr>
              <w:pStyle w:val="TableCentre"/>
              <w:keepNext/>
              <w:widowControl w:val="0"/>
              <w:rPr>
                <w:rFonts w:ascii="Arial Narrow" w:hAnsi="Arial Narrow"/>
                <w:sz w:val="20"/>
                <w:szCs w:val="20"/>
              </w:rPr>
            </w:pPr>
            <w:r w:rsidRPr="0061343E">
              <w:rPr>
                <w:rFonts w:ascii="Arial Narrow" w:hAnsi="Arial Narrow"/>
                <w:sz w:val="20"/>
                <w:szCs w:val="20"/>
              </w:rPr>
              <w:t>RD (95% CI)</w:t>
            </w:r>
          </w:p>
        </w:tc>
      </w:tr>
      <w:tr w:rsidR="00D85532" w:rsidRPr="0061343E" w14:paraId="3249E2FC" w14:textId="77777777" w:rsidTr="00DA0D1F">
        <w:tc>
          <w:tcPr>
            <w:tcW w:w="0" w:type="auto"/>
            <w:gridSpan w:val="5"/>
            <w:shd w:val="clear" w:color="auto" w:fill="auto"/>
            <w:tcMar>
              <w:left w:w="20" w:type="dxa"/>
              <w:right w:w="20" w:type="dxa"/>
            </w:tcMar>
          </w:tcPr>
          <w:p w14:paraId="131F4940" w14:textId="77777777" w:rsidR="00D85532" w:rsidRPr="0061343E" w:rsidRDefault="00D85532" w:rsidP="00E7466A">
            <w:pPr>
              <w:pStyle w:val="TableCentre"/>
              <w:keepNext/>
              <w:widowControl w:val="0"/>
              <w:jc w:val="left"/>
              <w:rPr>
                <w:rFonts w:ascii="Arial Narrow" w:hAnsi="Arial Narrow"/>
                <w:b/>
                <w:bCs/>
                <w:sz w:val="20"/>
                <w:szCs w:val="20"/>
              </w:rPr>
            </w:pPr>
            <w:r w:rsidRPr="0061343E">
              <w:rPr>
                <w:rFonts w:ascii="Arial Narrow" w:hAnsi="Arial Narrow"/>
                <w:b/>
                <w:bCs/>
                <w:sz w:val="20"/>
                <w:szCs w:val="20"/>
              </w:rPr>
              <w:t>NEMO 30 mg Q4W vs placebo</w:t>
            </w:r>
          </w:p>
        </w:tc>
      </w:tr>
      <w:tr w:rsidR="00D85532" w:rsidRPr="0061343E" w14:paraId="4146591B" w14:textId="77777777" w:rsidTr="00DA0D1F">
        <w:tc>
          <w:tcPr>
            <w:tcW w:w="1727" w:type="pct"/>
            <w:shd w:val="clear" w:color="auto" w:fill="auto"/>
            <w:tcMar>
              <w:left w:w="20" w:type="dxa"/>
              <w:right w:w="20" w:type="dxa"/>
            </w:tcMar>
          </w:tcPr>
          <w:p w14:paraId="5795A301" w14:textId="77777777" w:rsidR="00D85532" w:rsidRPr="0061343E" w:rsidRDefault="00D85532" w:rsidP="00E7466A">
            <w:pPr>
              <w:pStyle w:val="TableLeft"/>
              <w:keepNext/>
              <w:widowControl w:val="0"/>
              <w:rPr>
                <w:rFonts w:ascii="Arial Narrow" w:hAnsi="Arial Narrow"/>
                <w:sz w:val="20"/>
                <w:szCs w:val="20"/>
              </w:rPr>
            </w:pPr>
            <w:r w:rsidRPr="0061343E">
              <w:rPr>
                <w:rFonts w:ascii="Arial Narrow" w:hAnsi="Arial Narrow"/>
                <w:sz w:val="20"/>
                <w:szCs w:val="20"/>
              </w:rPr>
              <w:t>ARCADIA 1</w:t>
            </w:r>
          </w:p>
        </w:tc>
        <w:tc>
          <w:tcPr>
            <w:tcW w:w="798" w:type="pct"/>
            <w:shd w:val="clear" w:color="auto" w:fill="auto"/>
            <w:tcMar>
              <w:left w:w="20" w:type="dxa"/>
              <w:right w:w="20" w:type="dxa"/>
            </w:tcMar>
          </w:tcPr>
          <w:p w14:paraId="229B45D1" w14:textId="77777777" w:rsidR="00D85532" w:rsidRPr="0061343E" w:rsidRDefault="00D85532" w:rsidP="00E7466A">
            <w:pPr>
              <w:pStyle w:val="TableCentre"/>
              <w:keepNext/>
              <w:widowControl w:val="0"/>
              <w:rPr>
                <w:rFonts w:ascii="Arial Narrow" w:hAnsi="Arial Narrow"/>
                <w:sz w:val="20"/>
                <w:szCs w:val="20"/>
              </w:rPr>
            </w:pPr>
            <w:r w:rsidRPr="0061343E">
              <w:rPr>
                <w:rFonts w:ascii="Arial Narrow" w:hAnsi="Arial Narrow"/>
                <w:sz w:val="20"/>
                <w:szCs w:val="20"/>
              </w:rPr>
              <w:t>221/620 (35.6)</w:t>
            </w:r>
          </w:p>
        </w:tc>
        <w:tc>
          <w:tcPr>
            <w:tcW w:w="800" w:type="pct"/>
            <w:shd w:val="clear" w:color="auto" w:fill="auto"/>
            <w:tcMar>
              <w:left w:w="20" w:type="dxa"/>
              <w:right w:w="20" w:type="dxa"/>
            </w:tcMar>
          </w:tcPr>
          <w:p w14:paraId="39D21E58" w14:textId="77777777" w:rsidR="00D85532" w:rsidRPr="0061343E" w:rsidRDefault="00D85532" w:rsidP="00E7466A">
            <w:pPr>
              <w:pStyle w:val="TableCentre"/>
              <w:keepNext/>
              <w:widowControl w:val="0"/>
              <w:rPr>
                <w:rFonts w:ascii="Arial Narrow" w:hAnsi="Arial Narrow"/>
                <w:sz w:val="20"/>
                <w:szCs w:val="20"/>
              </w:rPr>
            </w:pPr>
            <w:r w:rsidRPr="0061343E">
              <w:rPr>
                <w:rFonts w:ascii="Arial Narrow" w:hAnsi="Arial Narrow"/>
                <w:sz w:val="20"/>
                <w:szCs w:val="20"/>
              </w:rPr>
              <w:t>79/321 (24.6)</w:t>
            </w:r>
          </w:p>
        </w:tc>
        <w:tc>
          <w:tcPr>
            <w:tcW w:w="864" w:type="pct"/>
            <w:shd w:val="clear" w:color="auto" w:fill="auto"/>
            <w:tcMar>
              <w:left w:w="20" w:type="dxa"/>
              <w:right w:w="20" w:type="dxa"/>
            </w:tcMar>
          </w:tcPr>
          <w:p w14:paraId="4CE2F161" w14:textId="77777777" w:rsidR="00D85532" w:rsidRPr="0061343E" w:rsidRDefault="00D85532" w:rsidP="00E7466A">
            <w:pPr>
              <w:pStyle w:val="TableCentre"/>
              <w:keepNext/>
              <w:widowControl w:val="0"/>
              <w:rPr>
                <w:rFonts w:ascii="Arial Narrow" w:hAnsi="Arial Narrow"/>
                <w:b/>
                <w:bCs/>
                <w:sz w:val="20"/>
                <w:szCs w:val="20"/>
              </w:rPr>
            </w:pPr>
            <w:r w:rsidRPr="0061343E">
              <w:rPr>
                <w:rFonts w:ascii="Arial Narrow" w:hAnsi="Arial Narrow"/>
                <w:b/>
                <w:bCs/>
                <w:sz w:val="20"/>
                <w:szCs w:val="20"/>
              </w:rPr>
              <w:t>1.45 (1.16, 1.80)</w:t>
            </w:r>
          </w:p>
        </w:tc>
        <w:tc>
          <w:tcPr>
            <w:tcW w:w="811" w:type="pct"/>
            <w:shd w:val="clear" w:color="auto" w:fill="auto"/>
            <w:tcMar>
              <w:left w:w="20" w:type="dxa"/>
              <w:right w:w="20" w:type="dxa"/>
            </w:tcMar>
          </w:tcPr>
          <w:p w14:paraId="39530728" w14:textId="77777777" w:rsidR="00D85532" w:rsidRPr="0061343E" w:rsidRDefault="00D85532" w:rsidP="00E7466A">
            <w:pPr>
              <w:keepNext/>
              <w:widowControl w:val="0"/>
              <w:jc w:val="center"/>
              <w:rPr>
                <w:rFonts w:ascii="Arial Narrow" w:hAnsi="Arial Narrow"/>
                <w:b/>
                <w:bCs/>
                <w:sz w:val="20"/>
                <w:szCs w:val="20"/>
              </w:rPr>
            </w:pPr>
            <w:r w:rsidRPr="0061343E">
              <w:rPr>
                <w:rFonts w:ascii="Arial Narrow" w:hAnsi="Arial Narrow"/>
                <w:b/>
                <w:bCs/>
                <w:sz w:val="20"/>
                <w:szCs w:val="20"/>
              </w:rPr>
              <w:t>0.11 (0.05, 0.17)</w:t>
            </w:r>
          </w:p>
        </w:tc>
      </w:tr>
      <w:tr w:rsidR="00D85532" w:rsidRPr="0061343E" w14:paraId="32B0175D" w14:textId="77777777" w:rsidTr="00DA0D1F">
        <w:tc>
          <w:tcPr>
            <w:tcW w:w="1727" w:type="pct"/>
            <w:shd w:val="clear" w:color="auto" w:fill="auto"/>
            <w:tcMar>
              <w:left w:w="20" w:type="dxa"/>
              <w:right w:w="20" w:type="dxa"/>
            </w:tcMar>
          </w:tcPr>
          <w:p w14:paraId="42D536E7" w14:textId="77777777" w:rsidR="00D85532" w:rsidRPr="0061343E" w:rsidRDefault="00D85532" w:rsidP="00E7466A">
            <w:pPr>
              <w:pStyle w:val="TableLeft"/>
              <w:keepNext/>
              <w:widowControl w:val="0"/>
              <w:rPr>
                <w:rFonts w:ascii="Arial Narrow" w:hAnsi="Arial Narrow"/>
                <w:sz w:val="20"/>
                <w:szCs w:val="20"/>
              </w:rPr>
            </w:pPr>
            <w:r w:rsidRPr="0061343E">
              <w:rPr>
                <w:rFonts w:ascii="Arial Narrow" w:hAnsi="Arial Narrow"/>
                <w:sz w:val="20"/>
                <w:szCs w:val="20"/>
              </w:rPr>
              <w:t>ARCADIA 2</w:t>
            </w:r>
          </w:p>
        </w:tc>
        <w:tc>
          <w:tcPr>
            <w:tcW w:w="798" w:type="pct"/>
            <w:shd w:val="clear" w:color="auto" w:fill="auto"/>
            <w:tcMar>
              <w:left w:w="20" w:type="dxa"/>
              <w:right w:w="20" w:type="dxa"/>
            </w:tcMar>
          </w:tcPr>
          <w:p w14:paraId="08A80A72" w14:textId="77777777" w:rsidR="00D85532" w:rsidRPr="0061343E" w:rsidRDefault="00D85532" w:rsidP="00E7466A">
            <w:pPr>
              <w:pStyle w:val="TableCentre"/>
              <w:keepNext/>
              <w:widowControl w:val="0"/>
              <w:rPr>
                <w:rFonts w:ascii="Arial Narrow" w:hAnsi="Arial Narrow"/>
                <w:sz w:val="20"/>
                <w:szCs w:val="20"/>
              </w:rPr>
            </w:pPr>
            <w:r w:rsidRPr="0061343E">
              <w:rPr>
                <w:rFonts w:ascii="Arial Narrow" w:hAnsi="Arial Narrow"/>
                <w:sz w:val="20"/>
                <w:szCs w:val="20"/>
              </w:rPr>
              <w:t>197/522 (37.7)</w:t>
            </w:r>
          </w:p>
        </w:tc>
        <w:tc>
          <w:tcPr>
            <w:tcW w:w="800" w:type="pct"/>
            <w:shd w:val="clear" w:color="auto" w:fill="auto"/>
            <w:tcMar>
              <w:left w:w="20" w:type="dxa"/>
              <w:right w:w="20" w:type="dxa"/>
            </w:tcMar>
          </w:tcPr>
          <w:p w14:paraId="31A578AE" w14:textId="77777777" w:rsidR="00D85532" w:rsidRPr="0061343E" w:rsidRDefault="00D85532" w:rsidP="00E7466A">
            <w:pPr>
              <w:pStyle w:val="TableCentre"/>
              <w:keepNext/>
              <w:widowControl w:val="0"/>
              <w:rPr>
                <w:rFonts w:ascii="Arial Narrow" w:hAnsi="Arial Narrow"/>
                <w:sz w:val="20"/>
                <w:szCs w:val="20"/>
              </w:rPr>
            </w:pPr>
            <w:r w:rsidRPr="0061343E">
              <w:rPr>
                <w:rFonts w:ascii="Arial Narrow" w:hAnsi="Arial Narrow"/>
                <w:sz w:val="20"/>
                <w:szCs w:val="20"/>
              </w:rPr>
              <w:t>69/265 (26.0)</w:t>
            </w:r>
          </w:p>
        </w:tc>
        <w:tc>
          <w:tcPr>
            <w:tcW w:w="864" w:type="pct"/>
            <w:shd w:val="clear" w:color="auto" w:fill="auto"/>
            <w:tcMar>
              <w:left w:w="20" w:type="dxa"/>
              <w:right w:w="20" w:type="dxa"/>
            </w:tcMar>
          </w:tcPr>
          <w:p w14:paraId="341366B4" w14:textId="77777777" w:rsidR="00D85532" w:rsidRPr="0061343E" w:rsidRDefault="00D85532" w:rsidP="00E7466A">
            <w:pPr>
              <w:keepNext/>
              <w:widowControl w:val="0"/>
              <w:jc w:val="center"/>
              <w:rPr>
                <w:rFonts w:ascii="Arial Narrow" w:hAnsi="Arial Narrow"/>
                <w:b/>
                <w:bCs/>
                <w:sz w:val="20"/>
                <w:szCs w:val="20"/>
              </w:rPr>
            </w:pPr>
            <w:r w:rsidRPr="0061343E">
              <w:rPr>
                <w:rFonts w:ascii="Arial Narrow" w:hAnsi="Arial Narrow"/>
                <w:b/>
                <w:bCs/>
                <w:sz w:val="20"/>
                <w:szCs w:val="20"/>
              </w:rPr>
              <w:t>1.45 (1.15, 1.83)</w:t>
            </w:r>
          </w:p>
        </w:tc>
        <w:tc>
          <w:tcPr>
            <w:tcW w:w="811" w:type="pct"/>
            <w:shd w:val="clear" w:color="auto" w:fill="auto"/>
            <w:tcMar>
              <w:left w:w="20" w:type="dxa"/>
              <w:right w:w="20" w:type="dxa"/>
            </w:tcMar>
          </w:tcPr>
          <w:p w14:paraId="6757E9C5" w14:textId="77777777" w:rsidR="00D85532" w:rsidRPr="0061343E" w:rsidRDefault="00D85532" w:rsidP="00E7466A">
            <w:pPr>
              <w:keepNext/>
              <w:widowControl w:val="0"/>
              <w:jc w:val="center"/>
              <w:rPr>
                <w:rFonts w:ascii="Arial Narrow" w:hAnsi="Arial Narrow"/>
                <w:b/>
                <w:bCs/>
                <w:sz w:val="20"/>
                <w:szCs w:val="20"/>
              </w:rPr>
            </w:pPr>
            <w:r w:rsidRPr="0061343E">
              <w:rPr>
                <w:rFonts w:ascii="Arial Narrow" w:hAnsi="Arial Narrow"/>
                <w:b/>
                <w:bCs/>
                <w:sz w:val="20"/>
                <w:szCs w:val="20"/>
              </w:rPr>
              <w:t>0.12 (0.05, 0.18)</w:t>
            </w:r>
          </w:p>
        </w:tc>
      </w:tr>
      <w:tr w:rsidR="00D85532" w:rsidRPr="0061343E" w14:paraId="7021DD7A" w14:textId="77777777" w:rsidTr="00DA0D1F">
        <w:tc>
          <w:tcPr>
            <w:tcW w:w="1727" w:type="pct"/>
            <w:shd w:val="clear" w:color="auto" w:fill="auto"/>
            <w:tcMar>
              <w:left w:w="20" w:type="dxa"/>
              <w:right w:w="20" w:type="dxa"/>
            </w:tcMar>
          </w:tcPr>
          <w:p w14:paraId="287D1ABC" w14:textId="77777777" w:rsidR="00D85532" w:rsidRPr="0061343E" w:rsidRDefault="00D85532" w:rsidP="00E7466A">
            <w:pPr>
              <w:pStyle w:val="TableLeft"/>
              <w:keepNext/>
              <w:widowControl w:val="0"/>
              <w:rPr>
                <w:rFonts w:ascii="Arial Narrow" w:hAnsi="Arial Narrow"/>
                <w:sz w:val="20"/>
                <w:szCs w:val="20"/>
              </w:rPr>
            </w:pPr>
            <w:r w:rsidRPr="0061343E">
              <w:rPr>
                <w:rFonts w:ascii="Arial Narrow" w:hAnsi="Arial Narrow"/>
                <w:sz w:val="20"/>
                <w:szCs w:val="20"/>
              </w:rPr>
              <w:t>Study 114322</w:t>
            </w:r>
          </w:p>
        </w:tc>
        <w:tc>
          <w:tcPr>
            <w:tcW w:w="798" w:type="pct"/>
            <w:shd w:val="clear" w:color="auto" w:fill="auto"/>
            <w:tcMar>
              <w:left w:w="20" w:type="dxa"/>
              <w:right w:w="20" w:type="dxa"/>
            </w:tcMar>
          </w:tcPr>
          <w:p w14:paraId="627770DE" w14:textId="77777777" w:rsidR="00D85532" w:rsidRPr="0061343E" w:rsidRDefault="00D85532" w:rsidP="00E7466A">
            <w:pPr>
              <w:pStyle w:val="TableCentre"/>
              <w:keepNext/>
              <w:widowControl w:val="0"/>
              <w:rPr>
                <w:rFonts w:ascii="Arial Narrow" w:hAnsi="Arial Narrow"/>
                <w:sz w:val="20"/>
                <w:szCs w:val="20"/>
              </w:rPr>
            </w:pPr>
            <w:r w:rsidRPr="0061343E">
              <w:rPr>
                <w:rFonts w:ascii="Arial Narrow" w:hAnsi="Arial Narrow"/>
                <w:sz w:val="20"/>
                <w:szCs w:val="20"/>
              </w:rPr>
              <w:t>19/57 (33.3)</w:t>
            </w:r>
          </w:p>
        </w:tc>
        <w:tc>
          <w:tcPr>
            <w:tcW w:w="800" w:type="pct"/>
            <w:shd w:val="clear" w:color="auto" w:fill="auto"/>
            <w:tcMar>
              <w:left w:w="20" w:type="dxa"/>
              <w:right w:w="20" w:type="dxa"/>
            </w:tcMar>
          </w:tcPr>
          <w:p w14:paraId="1B31D4EF" w14:textId="77777777" w:rsidR="00D85532" w:rsidRPr="0061343E" w:rsidRDefault="00D85532" w:rsidP="00E7466A">
            <w:pPr>
              <w:pStyle w:val="TableCentre"/>
              <w:keepNext/>
              <w:widowControl w:val="0"/>
              <w:rPr>
                <w:rFonts w:ascii="Arial Narrow" w:hAnsi="Arial Narrow"/>
                <w:sz w:val="20"/>
                <w:szCs w:val="20"/>
              </w:rPr>
            </w:pPr>
            <w:r w:rsidRPr="0061343E">
              <w:rPr>
                <w:rFonts w:ascii="Arial Narrow" w:hAnsi="Arial Narrow"/>
                <w:sz w:val="20"/>
                <w:szCs w:val="20"/>
              </w:rPr>
              <w:t>7/57 (12.3)</w:t>
            </w:r>
          </w:p>
        </w:tc>
        <w:tc>
          <w:tcPr>
            <w:tcW w:w="864" w:type="pct"/>
            <w:shd w:val="clear" w:color="auto" w:fill="auto"/>
            <w:tcMar>
              <w:left w:w="20" w:type="dxa"/>
              <w:right w:w="20" w:type="dxa"/>
            </w:tcMar>
          </w:tcPr>
          <w:p w14:paraId="61C297F5" w14:textId="77777777" w:rsidR="00D85532" w:rsidRPr="0061343E" w:rsidRDefault="00D85532" w:rsidP="00E7466A">
            <w:pPr>
              <w:keepNext/>
              <w:widowControl w:val="0"/>
              <w:jc w:val="center"/>
              <w:rPr>
                <w:rFonts w:ascii="Arial Narrow" w:hAnsi="Arial Narrow"/>
                <w:b/>
                <w:bCs/>
                <w:sz w:val="20"/>
                <w:szCs w:val="20"/>
              </w:rPr>
            </w:pPr>
            <w:r w:rsidRPr="0061343E">
              <w:rPr>
                <w:rFonts w:ascii="Arial Narrow" w:hAnsi="Arial Narrow"/>
                <w:b/>
                <w:bCs/>
                <w:sz w:val="20"/>
                <w:szCs w:val="20"/>
              </w:rPr>
              <w:t>2.71 (1.24, 5.95)</w:t>
            </w:r>
          </w:p>
        </w:tc>
        <w:tc>
          <w:tcPr>
            <w:tcW w:w="811" w:type="pct"/>
            <w:shd w:val="clear" w:color="auto" w:fill="auto"/>
            <w:tcMar>
              <w:left w:w="20" w:type="dxa"/>
              <w:right w:w="20" w:type="dxa"/>
            </w:tcMar>
          </w:tcPr>
          <w:p w14:paraId="014C889F" w14:textId="77777777" w:rsidR="00D85532" w:rsidRPr="0061343E" w:rsidRDefault="00D85532" w:rsidP="00E7466A">
            <w:pPr>
              <w:keepNext/>
              <w:widowControl w:val="0"/>
              <w:jc w:val="center"/>
              <w:rPr>
                <w:rFonts w:ascii="Arial Narrow" w:hAnsi="Arial Narrow"/>
                <w:b/>
                <w:bCs/>
                <w:sz w:val="20"/>
                <w:szCs w:val="20"/>
              </w:rPr>
            </w:pPr>
            <w:r w:rsidRPr="0061343E">
              <w:rPr>
                <w:rFonts w:ascii="Arial Narrow" w:hAnsi="Arial Narrow"/>
                <w:b/>
                <w:bCs/>
                <w:sz w:val="20"/>
                <w:szCs w:val="20"/>
              </w:rPr>
              <w:t>0.21 (0.06, 0.36)</w:t>
            </w:r>
          </w:p>
        </w:tc>
      </w:tr>
      <w:tr w:rsidR="00D85532" w:rsidRPr="0061343E" w14:paraId="296276CB" w14:textId="77777777" w:rsidTr="00DA0D1F">
        <w:tc>
          <w:tcPr>
            <w:tcW w:w="1727" w:type="pct"/>
            <w:shd w:val="clear" w:color="auto" w:fill="auto"/>
            <w:tcMar>
              <w:left w:w="20" w:type="dxa"/>
              <w:right w:w="20" w:type="dxa"/>
            </w:tcMar>
          </w:tcPr>
          <w:p w14:paraId="5E3A877B" w14:textId="77777777" w:rsidR="00D85532" w:rsidRPr="0061343E" w:rsidRDefault="00D85532" w:rsidP="00E7466A">
            <w:pPr>
              <w:pStyle w:val="TableLeft"/>
              <w:keepNext/>
              <w:widowControl w:val="0"/>
              <w:rPr>
                <w:rFonts w:ascii="Arial Narrow" w:hAnsi="Arial Narrow"/>
                <w:sz w:val="20"/>
                <w:szCs w:val="20"/>
              </w:rPr>
            </w:pPr>
            <w:r w:rsidRPr="0061343E">
              <w:rPr>
                <w:rFonts w:ascii="Arial Narrow" w:hAnsi="Arial Narrow"/>
                <w:sz w:val="20"/>
                <w:szCs w:val="20"/>
              </w:rPr>
              <w:t>ARCADIA CYCLO</w:t>
            </w:r>
          </w:p>
        </w:tc>
        <w:tc>
          <w:tcPr>
            <w:tcW w:w="798" w:type="pct"/>
            <w:shd w:val="clear" w:color="auto" w:fill="auto"/>
            <w:tcMar>
              <w:left w:w="20" w:type="dxa"/>
              <w:right w:w="20" w:type="dxa"/>
            </w:tcMar>
          </w:tcPr>
          <w:p w14:paraId="066C704D" w14:textId="77777777" w:rsidR="00D85532" w:rsidRPr="0061343E" w:rsidRDefault="00D85532" w:rsidP="00E7466A">
            <w:pPr>
              <w:pStyle w:val="TableCentre"/>
              <w:keepNext/>
              <w:widowControl w:val="0"/>
              <w:rPr>
                <w:rFonts w:ascii="Arial Narrow" w:hAnsi="Arial Narrow"/>
                <w:sz w:val="20"/>
                <w:szCs w:val="20"/>
              </w:rPr>
            </w:pPr>
            <w:r w:rsidRPr="0061343E">
              <w:rPr>
                <w:rFonts w:ascii="Arial Narrow" w:hAnsi="Arial Narrow"/>
                <w:sz w:val="20"/>
                <w:szCs w:val="20"/>
              </w:rPr>
              <w:t>25/138 (18.1)</w:t>
            </w:r>
          </w:p>
        </w:tc>
        <w:tc>
          <w:tcPr>
            <w:tcW w:w="800" w:type="pct"/>
            <w:shd w:val="clear" w:color="auto" w:fill="auto"/>
            <w:tcMar>
              <w:left w:w="20" w:type="dxa"/>
              <w:right w:w="20" w:type="dxa"/>
            </w:tcMar>
          </w:tcPr>
          <w:p w14:paraId="091CDBB2" w14:textId="77777777" w:rsidR="00D85532" w:rsidRPr="0061343E" w:rsidRDefault="00D85532" w:rsidP="00E7466A">
            <w:pPr>
              <w:pStyle w:val="TableCentre"/>
              <w:keepNext/>
              <w:widowControl w:val="0"/>
              <w:rPr>
                <w:rFonts w:ascii="Arial Narrow" w:hAnsi="Arial Narrow"/>
                <w:sz w:val="20"/>
                <w:szCs w:val="20"/>
              </w:rPr>
            </w:pPr>
            <w:r w:rsidRPr="0061343E">
              <w:rPr>
                <w:rFonts w:ascii="Arial Narrow" w:hAnsi="Arial Narrow"/>
                <w:sz w:val="20"/>
                <w:szCs w:val="20"/>
              </w:rPr>
              <w:t>20/138 (14.5)</w:t>
            </w:r>
          </w:p>
        </w:tc>
        <w:tc>
          <w:tcPr>
            <w:tcW w:w="864" w:type="pct"/>
            <w:shd w:val="clear" w:color="auto" w:fill="auto"/>
            <w:tcMar>
              <w:left w:w="20" w:type="dxa"/>
              <w:right w:w="20" w:type="dxa"/>
            </w:tcMar>
          </w:tcPr>
          <w:p w14:paraId="3324E51A" w14:textId="77777777" w:rsidR="00D85532" w:rsidRPr="0061343E" w:rsidRDefault="00D85532" w:rsidP="00E7466A">
            <w:pPr>
              <w:keepNext/>
              <w:widowControl w:val="0"/>
              <w:jc w:val="center"/>
              <w:rPr>
                <w:rFonts w:ascii="Arial Narrow" w:hAnsi="Arial Narrow"/>
                <w:sz w:val="20"/>
                <w:szCs w:val="20"/>
              </w:rPr>
            </w:pPr>
            <w:r w:rsidRPr="0061343E">
              <w:rPr>
                <w:rFonts w:ascii="Arial Narrow" w:hAnsi="Arial Narrow"/>
                <w:sz w:val="20"/>
                <w:szCs w:val="20"/>
              </w:rPr>
              <w:t>1.25 (0.73, 2.14)</w:t>
            </w:r>
          </w:p>
        </w:tc>
        <w:tc>
          <w:tcPr>
            <w:tcW w:w="811" w:type="pct"/>
            <w:shd w:val="clear" w:color="auto" w:fill="auto"/>
            <w:tcMar>
              <w:left w:w="20" w:type="dxa"/>
              <w:right w:w="20" w:type="dxa"/>
            </w:tcMar>
          </w:tcPr>
          <w:p w14:paraId="2975DB15" w14:textId="77777777" w:rsidR="00D85532" w:rsidRPr="0061343E" w:rsidRDefault="00D85532" w:rsidP="00E7466A">
            <w:pPr>
              <w:keepNext/>
              <w:widowControl w:val="0"/>
              <w:jc w:val="center"/>
              <w:rPr>
                <w:rFonts w:ascii="Arial Narrow" w:hAnsi="Arial Narrow"/>
                <w:sz w:val="20"/>
                <w:szCs w:val="20"/>
              </w:rPr>
            </w:pPr>
            <w:r w:rsidRPr="0061343E">
              <w:rPr>
                <w:rFonts w:ascii="Arial Narrow" w:hAnsi="Arial Narrow"/>
                <w:sz w:val="20"/>
                <w:szCs w:val="20"/>
              </w:rPr>
              <w:t>0.04 (-0.05, 0.12)</w:t>
            </w:r>
          </w:p>
        </w:tc>
      </w:tr>
      <w:tr w:rsidR="00DA0D1F" w:rsidRPr="0061343E" w14:paraId="00EF4129" w14:textId="77777777" w:rsidTr="00DA0D1F">
        <w:tc>
          <w:tcPr>
            <w:tcW w:w="3325" w:type="pct"/>
            <w:gridSpan w:val="3"/>
            <w:shd w:val="clear" w:color="auto" w:fill="auto"/>
            <w:tcMar>
              <w:left w:w="20" w:type="dxa"/>
              <w:right w:w="20" w:type="dxa"/>
            </w:tcMar>
          </w:tcPr>
          <w:p w14:paraId="1F1CC3DF" w14:textId="47653B2F" w:rsidR="00DA0D1F" w:rsidRPr="0061343E" w:rsidRDefault="00DA0D1F" w:rsidP="00DA0D1F">
            <w:pPr>
              <w:pStyle w:val="TableCentre"/>
              <w:keepNext/>
              <w:widowControl w:val="0"/>
              <w:jc w:val="left"/>
              <w:rPr>
                <w:rFonts w:ascii="Arial Narrow" w:hAnsi="Arial Narrow"/>
                <w:sz w:val="20"/>
                <w:szCs w:val="20"/>
              </w:rPr>
            </w:pPr>
            <w:r w:rsidRPr="0061343E">
              <w:rPr>
                <w:rFonts w:ascii="Arial Narrow" w:hAnsi="Arial Narrow"/>
                <w:sz w:val="20"/>
                <w:szCs w:val="20"/>
              </w:rPr>
              <w:t>Pooled (REM)</w:t>
            </w:r>
          </w:p>
        </w:tc>
        <w:tc>
          <w:tcPr>
            <w:tcW w:w="864" w:type="pct"/>
            <w:shd w:val="clear" w:color="auto" w:fill="auto"/>
            <w:tcMar>
              <w:left w:w="20" w:type="dxa"/>
              <w:right w:w="20" w:type="dxa"/>
            </w:tcMar>
          </w:tcPr>
          <w:p w14:paraId="2D930E11" w14:textId="77777777" w:rsidR="00DA0D1F" w:rsidRPr="0061343E" w:rsidRDefault="00DA0D1F" w:rsidP="00E7466A">
            <w:pPr>
              <w:keepNext/>
              <w:widowControl w:val="0"/>
              <w:jc w:val="center"/>
              <w:rPr>
                <w:rFonts w:ascii="Arial Narrow" w:hAnsi="Arial Narrow"/>
                <w:b/>
                <w:bCs/>
                <w:sz w:val="20"/>
                <w:szCs w:val="20"/>
              </w:rPr>
            </w:pPr>
            <w:r w:rsidRPr="0061343E">
              <w:rPr>
                <w:rFonts w:ascii="Arial Narrow" w:hAnsi="Arial Narrow"/>
                <w:b/>
                <w:bCs/>
                <w:sz w:val="20"/>
                <w:szCs w:val="20"/>
              </w:rPr>
              <w:t>1.47 (1.26, 1.70)</w:t>
            </w:r>
          </w:p>
        </w:tc>
        <w:tc>
          <w:tcPr>
            <w:tcW w:w="811" w:type="pct"/>
            <w:shd w:val="clear" w:color="auto" w:fill="auto"/>
            <w:tcMar>
              <w:left w:w="20" w:type="dxa"/>
              <w:right w:w="20" w:type="dxa"/>
            </w:tcMar>
          </w:tcPr>
          <w:p w14:paraId="7D8F63A9" w14:textId="77777777" w:rsidR="00DA0D1F" w:rsidRPr="0061343E" w:rsidRDefault="00DA0D1F" w:rsidP="00E7466A">
            <w:pPr>
              <w:keepNext/>
              <w:widowControl w:val="0"/>
              <w:jc w:val="center"/>
              <w:rPr>
                <w:rFonts w:ascii="Arial Narrow" w:hAnsi="Arial Narrow"/>
                <w:b/>
                <w:bCs/>
                <w:sz w:val="20"/>
                <w:szCs w:val="20"/>
              </w:rPr>
            </w:pPr>
            <w:r w:rsidRPr="0061343E">
              <w:rPr>
                <w:rFonts w:ascii="Arial Narrow" w:hAnsi="Arial Narrow"/>
                <w:b/>
                <w:bCs/>
                <w:sz w:val="20"/>
                <w:szCs w:val="20"/>
              </w:rPr>
              <w:t>0.11 (0.06, 0.16)</w:t>
            </w:r>
          </w:p>
        </w:tc>
      </w:tr>
      <w:tr w:rsidR="00DA0D1F" w:rsidRPr="0061343E" w14:paraId="0D628FDC" w14:textId="77777777" w:rsidTr="00DA0D1F">
        <w:tc>
          <w:tcPr>
            <w:tcW w:w="3325" w:type="pct"/>
            <w:gridSpan w:val="3"/>
            <w:shd w:val="clear" w:color="auto" w:fill="auto"/>
            <w:tcMar>
              <w:left w:w="20" w:type="dxa"/>
              <w:right w:w="20" w:type="dxa"/>
            </w:tcMar>
          </w:tcPr>
          <w:p w14:paraId="43F33478" w14:textId="7E26DABD" w:rsidR="00DA0D1F" w:rsidRPr="0061343E" w:rsidRDefault="00DA0D1F" w:rsidP="00DA0D1F">
            <w:pPr>
              <w:pStyle w:val="TableCentre"/>
              <w:keepNext/>
              <w:widowControl w:val="0"/>
              <w:jc w:val="left"/>
              <w:rPr>
                <w:rFonts w:ascii="Arial Narrow" w:hAnsi="Arial Narrow"/>
                <w:sz w:val="20"/>
                <w:szCs w:val="20"/>
              </w:rPr>
            </w:pPr>
            <w:r w:rsidRPr="0061343E">
              <w:rPr>
                <w:rFonts w:ascii="Arial Narrow" w:hAnsi="Arial Narrow"/>
                <w:sz w:val="20"/>
                <w:szCs w:val="20"/>
              </w:rPr>
              <w:t>Pooled (REM) excl. ARCADIA CYCLO</w:t>
            </w:r>
          </w:p>
        </w:tc>
        <w:tc>
          <w:tcPr>
            <w:tcW w:w="864" w:type="pct"/>
            <w:shd w:val="clear" w:color="auto" w:fill="auto"/>
            <w:tcMar>
              <w:left w:w="20" w:type="dxa"/>
              <w:right w:w="20" w:type="dxa"/>
            </w:tcMar>
          </w:tcPr>
          <w:p w14:paraId="6430C066" w14:textId="77777777" w:rsidR="00DA0D1F" w:rsidRPr="0061343E" w:rsidRDefault="00DA0D1F" w:rsidP="00E7466A">
            <w:pPr>
              <w:keepNext/>
              <w:widowControl w:val="0"/>
              <w:jc w:val="center"/>
              <w:rPr>
                <w:rFonts w:ascii="Arial Narrow" w:hAnsi="Arial Narrow"/>
                <w:b/>
                <w:bCs/>
                <w:sz w:val="20"/>
                <w:szCs w:val="20"/>
              </w:rPr>
            </w:pPr>
            <w:r w:rsidRPr="0061343E">
              <w:rPr>
                <w:rFonts w:ascii="Arial Narrow" w:hAnsi="Arial Narrow"/>
                <w:b/>
                <w:bCs/>
                <w:sz w:val="20"/>
                <w:szCs w:val="20"/>
              </w:rPr>
              <w:t>1.50 (1.25, 1.79)</w:t>
            </w:r>
          </w:p>
        </w:tc>
        <w:tc>
          <w:tcPr>
            <w:tcW w:w="811" w:type="pct"/>
            <w:shd w:val="clear" w:color="auto" w:fill="auto"/>
            <w:tcMar>
              <w:left w:w="20" w:type="dxa"/>
              <w:right w:w="20" w:type="dxa"/>
            </w:tcMar>
          </w:tcPr>
          <w:p w14:paraId="3D51FCF8" w14:textId="77777777" w:rsidR="00DA0D1F" w:rsidRPr="0061343E" w:rsidRDefault="00DA0D1F" w:rsidP="00E7466A">
            <w:pPr>
              <w:keepNext/>
              <w:widowControl w:val="0"/>
              <w:jc w:val="center"/>
              <w:rPr>
                <w:rFonts w:ascii="Arial Narrow" w:hAnsi="Arial Narrow"/>
                <w:b/>
                <w:bCs/>
                <w:sz w:val="20"/>
                <w:szCs w:val="20"/>
              </w:rPr>
            </w:pPr>
            <w:r w:rsidRPr="0061343E">
              <w:rPr>
                <w:rFonts w:ascii="Arial Narrow" w:hAnsi="Arial Narrow"/>
                <w:b/>
                <w:bCs/>
                <w:sz w:val="20"/>
                <w:szCs w:val="20"/>
              </w:rPr>
              <w:t>0.12 (0.18, 0.16)</w:t>
            </w:r>
          </w:p>
        </w:tc>
      </w:tr>
      <w:tr w:rsidR="00D85532" w:rsidRPr="0061343E" w14:paraId="3C8598A3" w14:textId="77777777" w:rsidTr="00DA0D1F">
        <w:tc>
          <w:tcPr>
            <w:tcW w:w="0" w:type="auto"/>
            <w:gridSpan w:val="5"/>
            <w:shd w:val="clear" w:color="auto" w:fill="auto"/>
            <w:tcMar>
              <w:left w:w="20" w:type="dxa"/>
              <w:right w:w="20" w:type="dxa"/>
            </w:tcMar>
          </w:tcPr>
          <w:p w14:paraId="1935B5A1" w14:textId="77777777" w:rsidR="00D85532" w:rsidRPr="0061343E" w:rsidRDefault="00D85532" w:rsidP="00E7466A">
            <w:pPr>
              <w:pStyle w:val="TableCentre"/>
              <w:keepNext/>
              <w:widowControl w:val="0"/>
              <w:jc w:val="left"/>
              <w:rPr>
                <w:rFonts w:ascii="Arial Narrow" w:hAnsi="Arial Narrow"/>
                <w:b/>
                <w:bCs/>
                <w:sz w:val="20"/>
                <w:szCs w:val="20"/>
              </w:rPr>
            </w:pPr>
            <w:r w:rsidRPr="0061343E">
              <w:rPr>
                <w:rFonts w:ascii="Arial Narrow" w:hAnsi="Arial Narrow"/>
                <w:b/>
                <w:bCs/>
                <w:sz w:val="20"/>
                <w:szCs w:val="20"/>
              </w:rPr>
              <w:t>DUPI 300 mg Q2W vs placebo</w:t>
            </w:r>
          </w:p>
        </w:tc>
      </w:tr>
      <w:tr w:rsidR="00D85532" w:rsidRPr="0061343E" w14:paraId="6BCBAC57" w14:textId="77777777" w:rsidTr="00DA0D1F">
        <w:tc>
          <w:tcPr>
            <w:tcW w:w="1727" w:type="pct"/>
            <w:tcBorders>
              <w:bottom w:val="single" w:sz="4" w:space="0" w:color="auto"/>
            </w:tcBorders>
            <w:shd w:val="clear" w:color="auto" w:fill="B8CCE4"/>
            <w:tcMar>
              <w:left w:w="20" w:type="dxa"/>
              <w:right w:w="20" w:type="dxa"/>
            </w:tcMar>
          </w:tcPr>
          <w:p w14:paraId="6C3D7310" w14:textId="77777777" w:rsidR="00D85532" w:rsidRPr="0061343E" w:rsidRDefault="00D85532" w:rsidP="00E7466A">
            <w:pPr>
              <w:pStyle w:val="TableLeft"/>
              <w:keepNext/>
              <w:widowControl w:val="0"/>
              <w:rPr>
                <w:rFonts w:ascii="Arial Narrow" w:hAnsi="Arial Narrow"/>
                <w:sz w:val="20"/>
                <w:szCs w:val="20"/>
              </w:rPr>
            </w:pPr>
            <w:r w:rsidRPr="0061343E">
              <w:rPr>
                <w:rFonts w:ascii="Arial Narrow" w:hAnsi="Arial Narrow"/>
                <w:sz w:val="20"/>
                <w:szCs w:val="20"/>
              </w:rPr>
              <w:t>CHRONOS</w:t>
            </w:r>
          </w:p>
        </w:tc>
        <w:tc>
          <w:tcPr>
            <w:tcW w:w="798" w:type="pct"/>
            <w:shd w:val="clear" w:color="auto" w:fill="B8CCE4"/>
            <w:tcMar>
              <w:left w:w="20" w:type="dxa"/>
              <w:right w:w="20" w:type="dxa"/>
            </w:tcMar>
          </w:tcPr>
          <w:p w14:paraId="0C742274" w14:textId="77777777" w:rsidR="00D85532" w:rsidRPr="0061343E" w:rsidRDefault="00D85532" w:rsidP="00E7466A">
            <w:pPr>
              <w:pStyle w:val="TableCentre"/>
              <w:keepNext/>
              <w:widowControl w:val="0"/>
              <w:rPr>
                <w:rFonts w:ascii="Arial Narrow" w:hAnsi="Arial Narrow"/>
                <w:sz w:val="20"/>
                <w:szCs w:val="20"/>
              </w:rPr>
            </w:pPr>
            <w:r w:rsidRPr="0061343E">
              <w:rPr>
                <w:rFonts w:ascii="Arial Narrow" w:hAnsi="Arial Narrow"/>
                <w:sz w:val="20"/>
                <w:szCs w:val="20"/>
              </w:rPr>
              <w:t>41/106 (38.7)</w:t>
            </w:r>
          </w:p>
        </w:tc>
        <w:tc>
          <w:tcPr>
            <w:tcW w:w="800" w:type="pct"/>
            <w:shd w:val="clear" w:color="auto" w:fill="B8CCE4"/>
            <w:tcMar>
              <w:left w:w="20" w:type="dxa"/>
              <w:right w:w="20" w:type="dxa"/>
            </w:tcMar>
          </w:tcPr>
          <w:p w14:paraId="5E5A7682" w14:textId="77777777" w:rsidR="00D85532" w:rsidRPr="0061343E" w:rsidRDefault="00D85532" w:rsidP="00E7466A">
            <w:pPr>
              <w:pStyle w:val="TableCentre"/>
              <w:keepNext/>
              <w:widowControl w:val="0"/>
              <w:rPr>
                <w:rFonts w:ascii="Arial Narrow" w:hAnsi="Arial Narrow"/>
                <w:sz w:val="20"/>
                <w:szCs w:val="20"/>
              </w:rPr>
            </w:pPr>
            <w:r w:rsidRPr="0061343E">
              <w:rPr>
                <w:rFonts w:ascii="Arial Narrow" w:hAnsi="Arial Narrow"/>
                <w:sz w:val="20"/>
                <w:szCs w:val="20"/>
              </w:rPr>
              <w:t>39/315 (12.3)</w:t>
            </w:r>
          </w:p>
        </w:tc>
        <w:tc>
          <w:tcPr>
            <w:tcW w:w="864" w:type="pct"/>
            <w:shd w:val="clear" w:color="auto" w:fill="B8CCE4"/>
            <w:tcMar>
              <w:left w:w="20" w:type="dxa"/>
              <w:right w:w="20" w:type="dxa"/>
            </w:tcMar>
          </w:tcPr>
          <w:p w14:paraId="4F81462C" w14:textId="77777777" w:rsidR="00D85532" w:rsidRPr="0061343E" w:rsidRDefault="00D85532" w:rsidP="00E7466A">
            <w:pPr>
              <w:keepNext/>
              <w:widowControl w:val="0"/>
              <w:jc w:val="center"/>
              <w:rPr>
                <w:rFonts w:ascii="Arial Narrow" w:hAnsi="Arial Narrow"/>
                <w:b/>
                <w:bCs/>
                <w:sz w:val="20"/>
                <w:szCs w:val="20"/>
              </w:rPr>
            </w:pPr>
            <w:r w:rsidRPr="0061343E">
              <w:rPr>
                <w:rFonts w:ascii="Arial Narrow" w:hAnsi="Arial Narrow"/>
                <w:b/>
                <w:bCs/>
                <w:sz w:val="20"/>
                <w:szCs w:val="20"/>
              </w:rPr>
              <w:t>3.12 (2.14, 4.56)</w:t>
            </w:r>
          </w:p>
        </w:tc>
        <w:tc>
          <w:tcPr>
            <w:tcW w:w="811" w:type="pct"/>
            <w:shd w:val="clear" w:color="auto" w:fill="B8CCE4"/>
            <w:tcMar>
              <w:left w:w="20" w:type="dxa"/>
              <w:right w:w="20" w:type="dxa"/>
            </w:tcMar>
          </w:tcPr>
          <w:p w14:paraId="2D6DE3DF" w14:textId="77777777" w:rsidR="00D85532" w:rsidRPr="0061343E" w:rsidRDefault="00D85532" w:rsidP="00E7466A">
            <w:pPr>
              <w:keepNext/>
              <w:widowControl w:val="0"/>
              <w:jc w:val="center"/>
              <w:rPr>
                <w:rFonts w:ascii="Arial Narrow" w:hAnsi="Arial Narrow"/>
                <w:b/>
                <w:bCs/>
                <w:sz w:val="20"/>
                <w:szCs w:val="20"/>
              </w:rPr>
            </w:pPr>
            <w:r w:rsidRPr="0061343E">
              <w:rPr>
                <w:rFonts w:ascii="Arial Narrow" w:hAnsi="Arial Narrow"/>
                <w:b/>
                <w:bCs/>
                <w:sz w:val="20"/>
                <w:szCs w:val="20"/>
              </w:rPr>
              <w:t>0.26 (0.16, 0.36)</w:t>
            </w:r>
          </w:p>
        </w:tc>
      </w:tr>
      <w:tr w:rsidR="00D85532" w:rsidRPr="0061343E" w14:paraId="0FC707E1" w14:textId="77777777" w:rsidTr="00DA0D1F">
        <w:tc>
          <w:tcPr>
            <w:tcW w:w="1727" w:type="pct"/>
            <w:tcBorders>
              <w:bottom w:val="nil"/>
            </w:tcBorders>
            <w:shd w:val="clear" w:color="auto" w:fill="B8CCE4"/>
            <w:tcMar>
              <w:left w:w="20" w:type="dxa"/>
              <w:right w:w="20" w:type="dxa"/>
            </w:tcMar>
          </w:tcPr>
          <w:p w14:paraId="7F9F66A2" w14:textId="77777777" w:rsidR="00D85532" w:rsidRPr="0061343E" w:rsidRDefault="00D85532" w:rsidP="00E7466A">
            <w:pPr>
              <w:pStyle w:val="TableLeft"/>
              <w:keepNext/>
              <w:widowControl w:val="0"/>
              <w:rPr>
                <w:rFonts w:ascii="Arial Narrow" w:hAnsi="Arial Narrow"/>
                <w:sz w:val="20"/>
                <w:szCs w:val="20"/>
              </w:rPr>
            </w:pPr>
            <w:r w:rsidRPr="0061343E">
              <w:rPr>
                <w:rFonts w:ascii="Arial Narrow" w:hAnsi="Arial Narrow"/>
                <w:sz w:val="20"/>
                <w:szCs w:val="20"/>
              </w:rPr>
              <w:t>JADE COMPARE</w:t>
            </w:r>
          </w:p>
        </w:tc>
        <w:tc>
          <w:tcPr>
            <w:tcW w:w="798" w:type="pct"/>
            <w:shd w:val="clear" w:color="auto" w:fill="B8CCE4"/>
            <w:tcMar>
              <w:left w:w="20" w:type="dxa"/>
              <w:right w:w="20" w:type="dxa"/>
            </w:tcMar>
          </w:tcPr>
          <w:p w14:paraId="21315DBF" w14:textId="77777777" w:rsidR="00D85532" w:rsidRPr="0061343E" w:rsidRDefault="00D85532" w:rsidP="00E7466A">
            <w:pPr>
              <w:pStyle w:val="TableCentre"/>
              <w:keepNext/>
              <w:widowControl w:val="0"/>
              <w:rPr>
                <w:rFonts w:ascii="Arial Narrow" w:hAnsi="Arial Narrow"/>
                <w:sz w:val="20"/>
                <w:szCs w:val="20"/>
              </w:rPr>
            </w:pPr>
            <w:r w:rsidRPr="0061343E">
              <w:rPr>
                <w:rFonts w:ascii="Arial Narrow" w:hAnsi="Arial Narrow"/>
                <w:sz w:val="20"/>
                <w:szCs w:val="20"/>
              </w:rPr>
              <w:t>90/232 (38.8)</w:t>
            </w:r>
          </w:p>
        </w:tc>
        <w:tc>
          <w:tcPr>
            <w:tcW w:w="800" w:type="pct"/>
            <w:shd w:val="clear" w:color="auto" w:fill="B8CCE4"/>
            <w:tcMar>
              <w:left w:w="20" w:type="dxa"/>
              <w:right w:w="20" w:type="dxa"/>
            </w:tcMar>
          </w:tcPr>
          <w:p w14:paraId="7DE63CD4" w14:textId="77777777" w:rsidR="00D85532" w:rsidRPr="0061343E" w:rsidRDefault="00D85532" w:rsidP="00E7466A">
            <w:pPr>
              <w:pStyle w:val="TableCentre"/>
              <w:keepNext/>
              <w:widowControl w:val="0"/>
              <w:rPr>
                <w:rFonts w:ascii="Arial Narrow" w:hAnsi="Arial Narrow"/>
                <w:sz w:val="20"/>
                <w:szCs w:val="20"/>
              </w:rPr>
            </w:pPr>
            <w:r w:rsidRPr="0061343E">
              <w:rPr>
                <w:rFonts w:ascii="Arial Narrow" w:hAnsi="Arial Narrow"/>
                <w:sz w:val="20"/>
                <w:szCs w:val="20"/>
              </w:rPr>
              <w:t>16/124 (12.9)</w:t>
            </w:r>
          </w:p>
        </w:tc>
        <w:tc>
          <w:tcPr>
            <w:tcW w:w="864" w:type="pct"/>
            <w:shd w:val="clear" w:color="auto" w:fill="B8CCE4"/>
            <w:tcMar>
              <w:left w:w="20" w:type="dxa"/>
              <w:right w:w="20" w:type="dxa"/>
            </w:tcMar>
          </w:tcPr>
          <w:p w14:paraId="04B8860F" w14:textId="77777777" w:rsidR="00D85532" w:rsidRPr="0061343E" w:rsidRDefault="00D85532" w:rsidP="00E7466A">
            <w:pPr>
              <w:keepNext/>
              <w:widowControl w:val="0"/>
              <w:jc w:val="center"/>
              <w:rPr>
                <w:rFonts w:ascii="Arial Narrow" w:hAnsi="Arial Narrow"/>
                <w:b/>
                <w:bCs/>
                <w:sz w:val="20"/>
                <w:szCs w:val="20"/>
              </w:rPr>
            </w:pPr>
            <w:r w:rsidRPr="0061343E">
              <w:rPr>
                <w:rFonts w:ascii="Arial Narrow" w:hAnsi="Arial Narrow"/>
                <w:b/>
                <w:bCs/>
                <w:sz w:val="20"/>
                <w:szCs w:val="20"/>
              </w:rPr>
              <w:t>3.01 (1.85, 4.88)</w:t>
            </w:r>
          </w:p>
        </w:tc>
        <w:tc>
          <w:tcPr>
            <w:tcW w:w="811" w:type="pct"/>
            <w:shd w:val="clear" w:color="auto" w:fill="B8CCE4"/>
            <w:tcMar>
              <w:left w:w="20" w:type="dxa"/>
              <w:right w:w="20" w:type="dxa"/>
            </w:tcMar>
          </w:tcPr>
          <w:p w14:paraId="35FB9670" w14:textId="77777777" w:rsidR="00D85532" w:rsidRPr="0061343E" w:rsidRDefault="00D85532" w:rsidP="00E7466A">
            <w:pPr>
              <w:keepNext/>
              <w:widowControl w:val="0"/>
              <w:jc w:val="center"/>
              <w:rPr>
                <w:rFonts w:ascii="Arial Narrow" w:hAnsi="Arial Narrow"/>
                <w:b/>
                <w:bCs/>
                <w:sz w:val="20"/>
                <w:szCs w:val="20"/>
              </w:rPr>
            </w:pPr>
            <w:r w:rsidRPr="0061343E">
              <w:rPr>
                <w:rFonts w:ascii="Arial Narrow" w:hAnsi="Arial Narrow"/>
                <w:b/>
                <w:bCs/>
                <w:sz w:val="20"/>
                <w:szCs w:val="20"/>
              </w:rPr>
              <w:t>0.26 (0.17, 0.35)</w:t>
            </w:r>
          </w:p>
        </w:tc>
      </w:tr>
      <w:tr w:rsidR="00D85532" w:rsidRPr="0061343E" w14:paraId="3B715C81" w14:textId="77777777" w:rsidTr="00DA0D1F">
        <w:tc>
          <w:tcPr>
            <w:tcW w:w="1727" w:type="pct"/>
            <w:tcBorders>
              <w:top w:val="nil"/>
            </w:tcBorders>
            <w:shd w:val="clear" w:color="auto" w:fill="B8CCE4"/>
            <w:tcMar>
              <w:left w:w="20" w:type="dxa"/>
              <w:right w:w="20" w:type="dxa"/>
            </w:tcMar>
          </w:tcPr>
          <w:p w14:paraId="6185F743" w14:textId="77777777" w:rsidR="00D85532" w:rsidRPr="0061343E" w:rsidRDefault="00D85532" w:rsidP="00E7466A">
            <w:pPr>
              <w:pStyle w:val="TableLeft"/>
              <w:keepNext/>
              <w:widowControl w:val="0"/>
              <w:rPr>
                <w:rFonts w:ascii="Arial Narrow" w:hAnsi="Arial Narrow"/>
                <w:sz w:val="20"/>
                <w:szCs w:val="20"/>
              </w:rPr>
            </w:pPr>
            <w:r w:rsidRPr="0061343E">
              <w:rPr>
                <w:rFonts w:ascii="Arial Narrow" w:hAnsi="Arial Narrow"/>
                <w:sz w:val="20"/>
                <w:szCs w:val="20"/>
              </w:rPr>
              <w:t>CAFÉ</w:t>
            </w:r>
          </w:p>
        </w:tc>
        <w:tc>
          <w:tcPr>
            <w:tcW w:w="798" w:type="pct"/>
            <w:shd w:val="clear" w:color="auto" w:fill="B8CCE4"/>
            <w:tcMar>
              <w:left w:w="20" w:type="dxa"/>
              <w:right w:w="20" w:type="dxa"/>
            </w:tcMar>
          </w:tcPr>
          <w:p w14:paraId="6B6BABD7" w14:textId="77777777" w:rsidR="00D85532" w:rsidRPr="0061343E" w:rsidRDefault="00D85532" w:rsidP="00E7466A">
            <w:pPr>
              <w:pStyle w:val="TableCentre"/>
              <w:keepNext/>
              <w:widowControl w:val="0"/>
              <w:rPr>
                <w:rFonts w:ascii="Arial Narrow" w:hAnsi="Arial Narrow"/>
                <w:sz w:val="20"/>
                <w:szCs w:val="20"/>
              </w:rPr>
            </w:pPr>
            <w:r w:rsidRPr="0061343E">
              <w:rPr>
                <w:rFonts w:ascii="Arial Narrow" w:hAnsi="Arial Narrow"/>
                <w:sz w:val="20"/>
                <w:szCs w:val="20"/>
              </w:rPr>
              <w:t>43/107 (40.2)</w:t>
            </w:r>
          </w:p>
        </w:tc>
        <w:tc>
          <w:tcPr>
            <w:tcW w:w="800" w:type="pct"/>
            <w:shd w:val="clear" w:color="auto" w:fill="B8CCE4"/>
            <w:tcMar>
              <w:left w:w="20" w:type="dxa"/>
              <w:right w:w="20" w:type="dxa"/>
            </w:tcMar>
          </w:tcPr>
          <w:p w14:paraId="1CAC4387" w14:textId="77777777" w:rsidR="00D85532" w:rsidRPr="0061343E" w:rsidRDefault="00D85532" w:rsidP="00E7466A">
            <w:pPr>
              <w:pStyle w:val="TableCentre"/>
              <w:keepNext/>
              <w:widowControl w:val="0"/>
              <w:rPr>
                <w:rFonts w:ascii="Arial Narrow" w:hAnsi="Arial Narrow"/>
                <w:sz w:val="20"/>
                <w:szCs w:val="20"/>
              </w:rPr>
            </w:pPr>
            <w:r w:rsidRPr="0061343E">
              <w:rPr>
                <w:rFonts w:ascii="Arial Narrow" w:hAnsi="Arial Narrow"/>
                <w:sz w:val="20"/>
                <w:szCs w:val="20"/>
              </w:rPr>
              <w:t>15/108 (13.9)</w:t>
            </w:r>
          </w:p>
        </w:tc>
        <w:tc>
          <w:tcPr>
            <w:tcW w:w="864" w:type="pct"/>
            <w:shd w:val="clear" w:color="auto" w:fill="B8CCE4"/>
            <w:tcMar>
              <w:left w:w="20" w:type="dxa"/>
              <w:right w:w="20" w:type="dxa"/>
            </w:tcMar>
          </w:tcPr>
          <w:p w14:paraId="17A76597" w14:textId="77777777" w:rsidR="00D85532" w:rsidRPr="0061343E" w:rsidRDefault="00D85532" w:rsidP="00E7466A">
            <w:pPr>
              <w:keepNext/>
              <w:widowControl w:val="0"/>
              <w:jc w:val="center"/>
              <w:rPr>
                <w:rFonts w:ascii="Arial Narrow" w:hAnsi="Arial Narrow"/>
                <w:b/>
                <w:bCs/>
                <w:sz w:val="20"/>
                <w:szCs w:val="20"/>
              </w:rPr>
            </w:pPr>
            <w:r w:rsidRPr="0061343E">
              <w:rPr>
                <w:rFonts w:ascii="Arial Narrow" w:hAnsi="Arial Narrow"/>
                <w:b/>
                <w:bCs/>
                <w:sz w:val="20"/>
                <w:szCs w:val="20"/>
              </w:rPr>
              <w:t>2.89 (1.71, 4.88)</w:t>
            </w:r>
          </w:p>
        </w:tc>
        <w:tc>
          <w:tcPr>
            <w:tcW w:w="811" w:type="pct"/>
            <w:shd w:val="clear" w:color="auto" w:fill="B8CCE4"/>
            <w:tcMar>
              <w:left w:w="20" w:type="dxa"/>
              <w:right w:w="20" w:type="dxa"/>
            </w:tcMar>
          </w:tcPr>
          <w:p w14:paraId="0BF119A4" w14:textId="77777777" w:rsidR="00D85532" w:rsidRPr="0061343E" w:rsidRDefault="00D85532" w:rsidP="00E7466A">
            <w:pPr>
              <w:keepNext/>
              <w:widowControl w:val="0"/>
              <w:jc w:val="center"/>
              <w:rPr>
                <w:rFonts w:ascii="Arial Narrow" w:hAnsi="Arial Narrow"/>
                <w:b/>
                <w:bCs/>
                <w:sz w:val="20"/>
                <w:szCs w:val="20"/>
              </w:rPr>
            </w:pPr>
            <w:r w:rsidRPr="0061343E">
              <w:rPr>
                <w:rFonts w:ascii="Arial Narrow" w:hAnsi="Arial Narrow"/>
                <w:b/>
                <w:bCs/>
                <w:sz w:val="20"/>
                <w:szCs w:val="20"/>
              </w:rPr>
              <w:t>0.26 (0.15, 0.38)</w:t>
            </w:r>
          </w:p>
        </w:tc>
      </w:tr>
      <w:tr w:rsidR="00DA0D1F" w:rsidRPr="0061343E" w14:paraId="7272E689" w14:textId="77777777" w:rsidTr="00DA0D1F">
        <w:tc>
          <w:tcPr>
            <w:tcW w:w="3325" w:type="pct"/>
            <w:gridSpan w:val="3"/>
            <w:shd w:val="clear" w:color="auto" w:fill="auto"/>
            <w:tcMar>
              <w:left w:w="20" w:type="dxa"/>
              <w:right w:w="20" w:type="dxa"/>
            </w:tcMar>
          </w:tcPr>
          <w:p w14:paraId="2AA2D918" w14:textId="2379B46E" w:rsidR="00DA0D1F" w:rsidRPr="0061343E" w:rsidRDefault="00DA0D1F" w:rsidP="00DA0D1F">
            <w:pPr>
              <w:pStyle w:val="TableCentre"/>
              <w:keepNext/>
              <w:widowControl w:val="0"/>
              <w:jc w:val="left"/>
              <w:rPr>
                <w:rFonts w:ascii="Arial Narrow" w:hAnsi="Arial Narrow"/>
                <w:sz w:val="20"/>
                <w:szCs w:val="20"/>
              </w:rPr>
            </w:pPr>
            <w:r w:rsidRPr="0061343E">
              <w:rPr>
                <w:rFonts w:ascii="Arial Narrow" w:hAnsi="Arial Narrow"/>
                <w:sz w:val="20"/>
                <w:szCs w:val="20"/>
              </w:rPr>
              <w:t>Pooled (REM)</w:t>
            </w:r>
          </w:p>
        </w:tc>
        <w:tc>
          <w:tcPr>
            <w:tcW w:w="864" w:type="pct"/>
            <w:shd w:val="clear" w:color="auto" w:fill="auto"/>
            <w:tcMar>
              <w:left w:w="20" w:type="dxa"/>
              <w:right w:w="20" w:type="dxa"/>
            </w:tcMar>
          </w:tcPr>
          <w:p w14:paraId="446F2457" w14:textId="77777777" w:rsidR="00DA0D1F" w:rsidRPr="0061343E" w:rsidRDefault="00DA0D1F" w:rsidP="00E7466A">
            <w:pPr>
              <w:keepNext/>
              <w:widowControl w:val="0"/>
              <w:jc w:val="center"/>
              <w:rPr>
                <w:rFonts w:ascii="Arial Narrow" w:hAnsi="Arial Narrow"/>
                <w:b/>
                <w:bCs/>
                <w:sz w:val="20"/>
                <w:szCs w:val="20"/>
              </w:rPr>
            </w:pPr>
            <w:r w:rsidRPr="0061343E">
              <w:rPr>
                <w:rFonts w:ascii="Arial Narrow" w:hAnsi="Arial Narrow"/>
                <w:b/>
                <w:bCs/>
                <w:sz w:val="20"/>
                <w:szCs w:val="20"/>
              </w:rPr>
              <w:t>3.03 (2.34, 3.90)</w:t>
            </w:r>
          </w:p>
        </w:tc>
        <w:tc>
          <w:tcPr>
            <w:tcW w:w="811" w:type="pct"/>
            <w:shd w:val="clear" w:color="auto" w:fill="auto"/>
            <w:tcMar>
              <w:left w:w="20" w:type="dxa"/>
              <w:right w:w="20" w:type="dxa"/>
            </w:tcMar>
          </w:tcPr>
          <w:p w14:paraId="76D20767" w14:textId="77777777" w:rsidR="00DA0D1F" w:rsidRPr="0061343E" w:rsidRDefault="00DA0D1F" w:rsidP="00E7466A">
            <w:pPr>
              <w:keepNext/>
              <w:widowControl w:val="0"/>
              <w:jc w:val="center"/>
              <w:rPr>
                <w:rFonts w:ascii="Arial Narrow" w:hAnsi="Arial Narrow"/>
                <w:b/>
                <w:bCs/>
                <w:sz w:val="20"/>
                <w:szCs w:val="20"/>
              </w:rPr>
            </w:pPr>
            <w:r w:rsidRPr="0061343E">
              <w:rPr>
                <w:rFonts w:ascii="Arial Narrow" w:hAnsi="Arial Narrow"/>
                <w:b/>
                <w:bCs/>
                <w:sz w:val="20"/>
                <w:szCs w:val="20"/>
              </w:rPr>
              <w:t>0.26 (0.20, 0.32)</w:t>
            </w:r>
          </w:p>
        </w:tc>
      </w:tr>
      <w:tr w:rsidR="00DA0D1F" w:rsidRPr="0061343E" w14:paraId="2297A2A8" w14:textId="77777777" w:rsidTr="00DA0D1F">
        <w:tc>
          <w:tcPr>
            <w:tcW w:w="3325" w:type="pct"/>
            <w:gridSpan w:val="3"/>
            <w:shd w:val="clear" w:color="auto" w:fill="auto"/>
            <w:tcMar>
              <w:left w:w="20" w:type="dxa"/>
              <w:right w:w="20" w:type="dxa"/>
            </w:tcMar>
          </w:tcPr>
          <w:p w14:paraId="65AAAC20" w14:textId="1A99C3CE" w:rsidR="00DA0D1F" w:rsidRPr="0061343E" w:rsidRDefault="00DA0D1F" w:rsidP="00DA0D1F">
            <w:pPr>
              <w:pStyle w:val="TableCentre"/>
              <w:keepNext/>
              <w:widowControl w:val="0"/>
              <w:jc w:val="left"/>
              <w:rPr>
                <w:rFonts w:ascii="Arial Narrow" w:hAnsi="Arial Narrow"/>
                <w:sz w:val="20"/>
                <w:szCs w:val="20"/>
              </w:rPr>
            </w:pPr>
            <w:r w:rsidRPr="0061343E">
              <w:rPr>
                <w:rFonts w:ascii="Arial Narrow" w:hAnsi="Arial Narrow"/>
                <w:sz w:val="20"/>
                <w:szCs w:val="20"/>
              </w:rPr>
              <w:t>Pooled (REM) excl. CAFÉ</w:t>
            </w:r>
          </w:p>
        </w:tc>
        <w:tc>
          <w:tcPr>
            <w:tcW w:w="864" w:type="pct"/>
            <w:shd w:val="clear" w:color="auto" w:fill="auto"/>
            <w:tcMar>
              <w:left w:w="20" w:type="dxa"/>
              <w:right w:w="20" w:type="dxa"/>
            </w:tcMar>
          </w:tcPr>
          <w:p w14:paraId="5F9A26B5" w14:textId="77777777" w:rsidR="00DA0D1F" w:rsidRPr="0061343E" w:rsidRDefault="00DA0D1F" w:rsidP="00E7466A">
            <w:pPr>
              <w:keepNext/>
              <w:widowControl w:val="0"/>
              <w:jc w:val="center"/>
              <w:rPr>
                <w:rFonts w:ascii="Arial Narrow" w:hAnsi="Arial Narrow"/>
                <w:b/>
                <w:bCs/>
                <w:sz w:val="20"/>
                <w:szCs w:val="20"/>
              </w:rPr>
            </w:pPr>
            <w:r w:rsidRPr="0061343E">
              <w:rPr>
                <w:rFonts w:ascii="Arial Narrow" w:hAnsi="Arial Narrow"/>
                <w:b/>
                <w:bCs/>
                <w:sz w:val="20"/>
                <w:szCs w:val="20"/>
              </w:rPr>
              <w:t>3.08 (2.28, 4.15)</w:t>
            </w:r>
          </w:p>
        </w:tc>
        <w:tc>
          <w:tcPr>
            <w:tcW w:w="811" w:type="pct"/>
            <w:shd w:val="clear" w:color="auto" w:fill="auto"/>
            <w:tcMar>
              <w:left w:w="20" w:type="dxa"/>
              <w:right w:w="20" w:type="dxa"/>
            </w:tcMar>
          </w:tcPr>
          <w:p w14:paraId="37CBDADA" w14:textId="77777777" w:rsidR="00DA0D1F" w:rsidRPr="0061343E" w:rsidRDefault="00DA0D1F" w:rsidP="00E7466A">
            <w:pPr>
              <w:keepNext/>
              <w:widowControl w:val="0"/>
              <w:jc w:val="center"/>
              <w:rPr>
                <w:rFonts w:ascii="Arial Narrow" w:hAnsi="Arial Narrow"/>
                <w:b/>
                <w:bCs/>
                <w:sz w:val="20"/>
                <w:szCs w:val="20"/>
              </w:rPr>
            </w:pPr>
            <w:r w:rsidRPr="0061343E">
              <w:rPr>
                <w:rFonts w:ascii="Arial Narrow" w:hAnsi="Arial Narrow"/>
                <w:b/>
                <w:bCs/>
                <w:sz w:val="20"/>
                <w:szCs w:val="20"/>
              </w:rPr>
              <w:t>0.26 (0.20, 0.33)</w:t>
            </w:r>
          </w:p>
        </w:tc>
      </w:tr>
      <w:tr w:rsidR="00D85532" w:rsidRPr="0061343E" w14:paraId="12FB65AF" w14:textId="77777777" w:rsidTr="00DA0D1F">
        <w:tc>
          <w:tcPr>
            <w:tcW w:w="0" w:type="auto"/>
            <w:gridSpan w:val="5"/>
            <w:shd w:val="clear" w:color="auto" w:fill="auto"/>
            <w:tcMar>
              <w:left w:w="20" w:type="dxa"/>
              <w:right w:w="20" w:type="dxa"/>
            </w:tcMar>
          </w:tcPr>
          <w:p w14:paraId="2E47C91F" w14:textId="77777777" w:rsidR="00D85532" w:rsidRPr="0061343E" w:rsidRDefault="00D85532" w:rsidP="00E7466A">
            <w:pPr>
              <w:keepNext/>
              <w:widowControl w:val="0"/>
              <w:rPr>
                <w:rFonts w:ascii="Arial Narrow" w:hAnsi="Arial Narrow"/>
                <w:b/>
                <w:bCs/>
                <w:sz w:val="20"/>
                <w:szCs w:val="20"/>
              </w:rPr>
            </w:pPr>
            <w:r w:rsidRPr="0061343E">
              <w:rPr>
                <w:rFonts w:ascii="Arial Narrow" w:hAnsi="Arial Narrow"/>
                <w:b/>
                <w:bCs/>
                <w:sz w:val="20"/>
                <w:szCs w:val="20"/>
              </w:rPr>
              <w:t>Indirect comparison</w:t>
            </w:r>
          </w:p>
        </w:tc>
      </w:tr>
      <w:tr w:rsidR="00D85532" w:rsidRPr="0061343E" w14:paraId="4EFC0E1D" w14:textId="77777777" w:rsidTr="00DA0D1F">
        <w:tc>
          <w:tcPr>
            <w:tcW w:w="3325" w:type="pct"/>
            <w:gridSpan w:val="3"/>
            <w:shd w:val="clear" w:color="auto" w:fill="auto"/>
            <w:tcMar>
              <w:left w:w="20" w:type="dxa"/>
              <w:right w:w="20" w:type="dxa"/>
            </w:tcMar>
          </w:tcPr>
          <w:p w14:paraId="51789F9F" w14:textId="77777777" w:rsidR="00D85532" w:rsidRPr="0061343E" w:rsidRDefault="00D85532" w:rsidP="00E7466A">
            <w:pPr>
              <w:pStyle w:val="TableCentre"/>
              <w:keepNext/>
              <w:widowControl w:val="0"/>
              <w:jc w:val="both"/>
              <w:rPr>
                <w:rFonts w:ascii="Arial Narrow" w:hAnsi="Arial Narrow"/>
                <w:sz w:val="20"/>
                <w:szCs w:val="20"/>
              </w:rPr>
            </w:pPr>
            <w:r w:rsidRPr="0061343E">
              <w:rPr>
                <w:rFonts w:ascii="Arial Narrow" w:hAnsi="Arial Narrow"/>
                <w:sz w:val="20"/>
                <w:szCs w:val="20"/>
              </w:rPr>
              <w:t>NEMO 30 mg Q4W (pooled excl. ARCADIA CYCLO) vs DUPI 300 mg Q2W (pooled excl. CAFÉ)</w:t>
            </w:r>
          </w:p>
        </w:tc>
        <w:tc>
          <w:tcPr>
            <w:tcW w:w="864" w:type="pct"/>
            <w:shd w:val="clear" w:color="auto" w:fill="auto"/>
            <w:tcMar>
              <w:left w:w="20" w:type="dxa"/>
              <w:right w:w="20" w:type="dxa"/>
            </w:tcMar>
          </w:tcPr>
          <w:p w14:paraId="1B9087AE" w14:textId="77777777" w:rsidR="00D85532" w:rsidRPr="0061343E" w:rsidRDefault="00D85532" w:rsidP="00E7466A">
            <w:pPr>
              <w:keepNext/>
              <w:widowControl w:val="0"/>
              <w:jc w:val="center"/>
              <w:rPr>
                <w:rFonts w:ascii="Arial Narrow" w:hAnsi="Arial Narrow"/>
                <w:b/>
                <w:bCs/>
                <w:sz w:val="20"/>
                <w:szCs w:val="20"/>
              </w:rPr>
            </w:pPr>
            <w:r w:rsidRPr="0061343E">
              <w:rPr>
                <w:rFonts w:ascii="Arial Narrow" w:hAnsi="Arial Narrow"/>
                <w:b/>
                <w:bCs/>
                <w:sz w:val="20"/>
                <w:szCs w:val="20"/>
              </w:rPr>
              <w:t>0.49 (0.34, 0.69)</w:t>
            </w:r>
          </w:p>
        </w:tc>
        <w:tc>
          <w:tcPr>
            <w:tcW w:w="811" w:type="pct"/>
            <w:shd w:val="clear" w:color="auto" w:fill="auto"/>
            <w:tcMar>
              <w:left w:w="20" w:type="dxa"/>
              <w:right w:w="20" w:type="dxa"/>
            </w:tcMar>
          </w:tcPr>
          <w:p w14:paraId="12B1EDCA" w14:textId="77777777" w:rsidR="00D85532" w:rsidRPr="0061343E" w:rsidRDefault="00D85532" w:rsidP="00E7466A">
            <w:pPr>
              <w:keepNext/>
              <w:widowControl w:val="0"/>
              <w:jc w:val="center"/>
              <w:rPr>
                <w:rFonts w:ascii="Arial Narrow" w:hAnsi="Arial Narrow"/>
                <w:b/>
                <w:bCs/>
                <w:sz w:val="20"/>
                <w:szCs w:val="20"/>
              </w:rPr>
            </w:pPr>
            <w:r w:rsidRPr="0061343E">
              <w:rPr>
                <w:rFonts w:ascii="Arial Narrow" w:hAnsi="Arial Narrow"/>
                <w:b/>
                <w:bCs/>
                <w:sz w:val="20"/>
                <w:szCs w:val="20"/>
              </w:rPr>
              <w:t>-0.14 (-0.22, -0.06)</w:t>
            </w:r>
          </w:p>
        </w:tc>
      </w:tr>
    </w:tbl>
    <w:p w14:paraId="36B63D10" w14:textId="77777777" w:rsidR="00D85532" w:rsidRPr="0061343E" w:rsidRDefault="00D85532" w:rsidP="00D85532">
      <w:pPr>
        <w:pStyle w:val="CaptionFootnote"/>
        <w:keepNext/>
        <w:widowControl w:val="0"/>
        <w:rPr>
          <w:rFonts w:ascii="Arial Narrow" w:hAnsi="Arial Narrow"/>
          <w:sz w:val="18"/>
          <w:szCs w:val="18"/>
        </w:rPr>
      </w:pPr>
      <w:r w:rsidRPr="0061343E">
        <w:rPr>
          <w:rFonts w:ascii="Arial Narrow" w:hAnsi="Arial Narrow"/>
          <w:sz w:val="18"/>
          <w:szCs w:val="18"/>
        </w:rPr>
        <w:t>Source: Table 2-84, p213 of the submission.</w:t>
      </w:r>
    </w:p>
    <w:p w14:paraId="08515014" w14:textId="77777777" w:rsidR="00D85532" w:rsidRPr="0061343E" w:rsidRDefault="00D85532" w:rsidP="00D85532">
      <w:pPr>
        <w:pStyle w:val="CaptionFootnote"/>
        <w:keepNext/>
        <w:widowControl w:val="0"/>
        <w:rPr>
          <w:rFonts w:ascii="Arial Narrow" w:hAnsi="Arial Narrow"/>
          <w:sz w:val="18"/>
          <w:szCs w:val="18"/>
        </w:rPr>
      </w:pPr>
      <w:r w:rsidRPr="0061343E">
        <w:rPr>
          <w:rFonts w:ascii="Arial Narrow" w:hAnsi="Arial Narrow"/>
          <w:sz w:val="18"/>
          <w:szCs w:val="18"/>
        </w:rPr>
        <w:t>CI = confidence interval; DUPI = dupilumab; IGA = Investigator’s Global Assessment; ITC = indirect treatment comparison; ITT = intention-to-treat; NEMO = nemolizumab; NRI = non responder imputation; Q2W = every 2 weeks; Q4W = every 4 weeks; RD = risk difference; REM = random effects model; RR = relative risk</w:t>
      </w:r>
    </w:p>
    <w:p w14:paraId="3279CAC3" w14:textId="77777777" w:rsidR="00D85532" w:rsidRPr="0061343E" w:rsidRDefault="00D85532" w:rsidP="00D85532">
      <w:pPr>
        <w:pStyle w:val="CaptionFootnote"/>
        <w:keepNext/>
        <w:widowControl w:val="0"/>
        <w:rPr>
          <w:rFonts w:ascii="Arial Narrow" w:hAnsi="Arial Narrow"/>
          <w:sz w:val="18"/>
          <w:szCs w:val="18"/>
        </w:rPr>
      </w:pPr>
      <w:r w:rsidRPr="0061343E">
        <w:rPr>
          <w:rFonts w:ascii="Arial Narrow" w:hAnsi="Arial Narrow"/>
          <w:b/>
          <w:bCs/>
          <w:sz w:val="18"/>
          <w:szCs w:val="18"/>
        </w:rPr>
        <w:t>Bold</w:t>
      </w:r>
      <w:r w:rsidRPr="0061343E">
        <w:rPr>
          <w:rFonts w:ascii="Arial Narrow" w:hAnsi="Arial Narrow"/>
          <w:sz w:val="18"/>
          <w:szCs w:val="18"/>
        </w:rPr>
        <w:t xml:space="preserve"> = statistically significant</w:t>
      </w:r>
    </w:p>
    <w:p w14:paraId="056456DC" w14:textId="77777777" w:rsidR="00D85532" w:rsidRPr="0061343E" w:rsidRDefault="00D85532" w:rsidP="00D85532">
      <w:pPr>
        <w:pStyle w:val="TableFigureFooter"/>
        <w:keepNext/>
        <w:keepLines w:val="0"/>
        <w:widowControl w:val="0"/>
        <w:spacing w:after="0"/>
        <w:rPr>
          <w:rStyle w:val="CommentReference"/>
          <w:b w:val="0"/>
          <w:bCs/>
          <w:sz w:val="18"/>
          <w:szCs w:val="18"/>
        </w:rPr>
      </w:pPr>
      <w:r w:rsidRPr="0061343E">
        <w:rPr>
          <w:rStyle w:val="CommentReference"/>
          <w:b w:val="0"/>
          <w:bCs/>
          <w:sz w:val="18"/>
          <w:szCs w:val="18"/>
          <w:shd w:val="clear" w:color="auto" w:fill="B8CCE4" w:themeFill="accent1" w:themeFillTint="66"/>
        </w:rPr>
        <w:t>Blue shading</w:t>
      </w:r>
      <w:r w:rsidRPr="0061343E">
        <w:rPr>
          <w:rStyle w:val="CommentReference"/>
          <w:b w:val="0"/>
          <w:bCs/>
          <w:sz w:val="18"/>
          <w:szCs w:val="18"/>
        </w:rPr>
        <w:t xml:space="preserve"> indicates data previously seen by the PBAC.</w:t>
      </w:r>
      <w:bookmarkStart w:id="36" w:name="_Ref197332223"/>
    </w:p>
    <w:p w14:paraId="7564FC5A" w14:textId="77777777" w:rsidR="00D85532" w:rsidRPr="0061343E" w:rsidRDefault="00D85532" w:rsidP="00D85532">
      <w:pPr>
        <w:rPr>
          <w:rStyle w:val="CommentReference"/>
          <w:rFonts w:asciiTheme="minorHAnsi" w:hAnsiTheme="minorHAnsi" w:cstheme="minorHAnsi"/>
          <w:b w:val="0"/>
          <w:bCs/>
          <w:sz w:val="24"/>
          <w:szCs w:val="24"/>
        </w:rPr>
      </w:pPr>
    </w:p>
    <w:p w14:paraId="3E31FF02" w14:textId="532B9135" w:rsidR="00D85532" w:rsidRPr="0061343E" w:rsidRDefault="00D85532" w:rsidP="00D85532">
      <w:pPr>
        <w:pStyle w:val="Caption"/>
      </w:pPr>
      <w:r w:rsidRPr="0061343E">
        <w:lastRenderedPageBreak/>
        <w:t xml:space="preserve">Table </w:t>
      </w:r>
      <w:r w:rsidR="00167892">
        <w:fldChar w:fldCharType="begin"/>
      </w:r>
      <w:r w:rsidR="00167892">
        <w:instrText xml:space="preserve"> SEQ Table \* ARABIC </w:instrText>
      </w:r>
      <w:r w:rsidR="00167892">
        <w:fldChar w:fldCharType="separate"/>
      </w:r>
      <w:r w:rsidR="00E5780E">
        <w:rPr>
          <w:noProof/>
        </w:rPr>
        <w:t>6</w:t>
      </w:r>
      <w:r w:rsidR="00167892">
        <w:rPr>
          <w:noProof/>
        </w:rPr>
        <w:fldChar w:fldCharType="end"/>
      </w:r>
      <w:bookmarkEnd w:id="36"/>
      <w:r w:rsidRPr="0061343E">
        <w:t>: ITC of NEMO 30 mg Q4W vs DUPI 300 mg Q2W: EASI-50 at Week 16 (NRI) – ITT population</w:t>
      </w:r>
    </w:p>
    <w:tbl>
      <w:tblPr>
        <w:tblStyle w:val="Submissionstandard"/>
        <w:tblW w:w="5000" w:type="pct"/>
        <w:tblLook w:val="04A0" w:firstRow="1" w:lastRow="0" w:firstColumn="1" w:lastColumn="0" w:noHBand="0" w:noVBand="1"/>
        <w:tblCaption w:val="Table 6: ITC of NEMO 30 mg Q4W vs DUPI 300 mg Q2W: EASI-50 at Week 16 (NRI) – ITT population"/>
      </w:tblPr>
      <w:tblGrid>
        <w:gridCol w:w="3354"/>
        <w:gridCol w:w="1318"/>
        <w:gridCol w:w="1324"/>
        <w:gridCol w:w="1558"/>
        <w:gridCol w:w="1463"/>
      </w:tblGrid>
      <w:tr w:rsidR="00D85532" w:rsidRPr="0061343E" w14:paraId="70239CAE" w14:textId="77777777" w:rsidTr="00DA0D1F">
        <w:trPr>
          <w:cnfStyle w:val="100000000000" w:firstRow="1" w:lastRow="0" w:firstColumn="0" w:lastColumn="0" w:oddVBand="0" w:evenVBand="0" w:oddHBand="0" w:evenHBand="0" w:firstRowFirstColumn="0" w:firstRowLastColumn="0" w:lastRowFirstColumn="0" w:lastRowLastColumn="0"/>
        </w:trPr>
        <w:tc>
          <w:tcPr>
            <w:tcW w:w="1860" w:type="pct"/>
            <w:shd w:val="clear" w:color="auto" w:fill="auto"/>
            <w:tcMar>
              <w:left w:w="20" w:type="dxa"/>
              <w:right w:w="20" w:type="dxa"/>
            </w:tcMar>
          </w:tcPr>
          <w:p w14:paraId="1F10C260" w14:textId="77777777" w:rsidR="00D85532" w:rsidRPr="0061343E" w:rsidRDefault="00D85532" w:rsidP="00E7466A">
            <w:pPr>
              <w:pStyle w:val="TableLeft"/>
              <w:keepNext/>
              <w:rPr>
                <w:rFonts w:ascii="Arial Narrow" w:hAnsi="Arial Narrow"/>
                <w:sz w:val="20"/>
                <w:szCs w:val="20"/>
              </w:rPr>
            </w:pPr>
          </w:p>
        </w:tc>
        <w:tc>
          <w:tcPr>
            <w:tcW w:w="731" w:type="pct"/>
            <w:shd w:val="clear" w:color="auto" w:fill="auto"/>
            <w:tcMar>
              <w:left w:w="20" w:type="dxa"/>
              <w:right w:w="20" w:type="dxa"/>
            </w:tcMar>
          </w:tcPr>
          <w:p w14:paraId="60FD9DC3" w14:textId="77777777" w:rsidR="00D85532" w:rsidRPr="0061343E" w:rsidRDefault="00D85532" w:rsidP="00E7466A">
            <w:pPr>
              <w:pStyle w:val="TableCentre"/>
              <w:keepNext/>
              <w:rPr>
                <w:rFonts w:ascii="Arial Narrow" w:hAnsi="Arial Narrow"/>
                <w:b w:val="0"/>
                <w:sz w:val="20"/>
                <w:szCs w:val="20"/>
              </w:rPr>
            </w:pPr>
            <w:r w:rsidRPr="0061343E">
              <w:rPr>
                <w:rFonts w:ascii="Arial Narrow" w:hAnsi="Arial Narrow"/>
                <w:sz w:val="20"/>
                <w:szCs w:val="20"/>
              </w:rPr>
              <w:t>Intervention</w:t>
            </w:r>
          </w:p>
          <w:p w14:paraId="7C9A2737" w14:textId="77777777" w:rsidR="00D85532" w:rsidRPr="0061343E" w:rsidRDefault="00D85532" w:rsidP="00E7466A">
            <w:pPr>
              <w:pStyle w:val="TableCentre"/>
              <w:keepNext/>
              <w:rPr>
                <w:rFonts w:ascii="Arial Narrow" w:hAnsi="Arial Narrow"/>
                <w:sz w:val="20"/>
                <w:szCs w:val="20"/>
              </w:rPr>
            </w:pPr>
            <w:r w:rsidRPr="0061343E">
              <w:rPr>
                <w:rFonts w:ascii="Arial Narrow" w:hAnsi="Arial Narrow"/>
                <w:sz w:val="20"/>
                <w:szCs w:val="20"/>
              </w:rPr>
              <w:t>n/N (%)</w:t>
            </w:r>
          </w:p>
        </w:tc>
        <w:tc>
          <w:tcPr>
            <w:tcW w:w="734" w:type="pct"/>
            <w:shd w:val="clear" w:color="auto" w:fill="auto"/>
            <w:tcMar>
              <w:left w:w="20" w:type="dxa"/>
              <w:right w:w="20" w:type="dxa"/>
            </w:tcMar>
          </w:tcPr>
          <w:p w14:paraId="40DF5FF8" w14:textId="77777777" w:rsidR="00D85532" w:rsidRPr="0061343E" w:rsidRDefault="00D85532" w:rsidP="00E7466A">
            <w:pPr>
              <w:pStyle w:val="TableCentre"/>
              <w:keepNext/>
              <w:rPr>
                <w:rFonts w:ascii="Arial Narrow" w:hAnsi="Arial Narrow"/>
                <w:b w:val="0"/>
                <w:sz w:val="20"/>
                <w:szCs w:val="20"/>
              </w:rPr>
            </w:pPr>
            <w:r w:rsidRPr="0061343E">
              <w:rPr>
                <w:rFonts w:ascii="Arial Narrow" w:hAnsi="Arial Narrow"/>
                <w:sz w:val="20"/>
                <w:szCs w:val="20"/>
              </w:rPr>
              <w:t>Comparator</w:t>
            </w:r>
          </w:p>
          <w:p w14:paraId="547171A7" w14:textId="77777777" w:rsidR="00D85532" w:rsidRPr="0061343E" w:rsidRDefault="00D85532" w:rsidP="00E7466A">
            <w:pPr>
              <w:pStyle w:val="TableCentre"/>
              <w:keepNext/>
              <w:rPr>
                <w:rFonts w:ascii="Arial Narrow" w:hAnsi="Arial Narrow"/>
                <w:sz w:val="20"/>
                <w:szCs w:val="20"/>
              </w:rPr>
            </w:pPr>
            <w:r w:rsidRPr="0061343E">
              <w:rPr>
                <w:rFonts w:ascii="Arial Narrow" w:hAnsi="Arial Narrow"/>
                <w:sz w:val="20"/>
                <w:szCs w:val="20"/>
              </w:rPr>
              <w:t>n/N (%)</w:t>
            </w:r>
          </w:p>
        </w:tc>
        <w:tc>
          <w:tcPr>
            <w:tcW w:w="864" w:type="pct"/>
            <w:shd w:val="clear" w:color="auto" w:fill="auto"/>
            <w:tcMar>
              <w:left w:w="20" w:type="dxa"/>
              <w:right w:w="20" w:type="dxa"/>
            </w:tcMar>
          </w:tcPr>
          <w:p w14:paraId="1F21F53A" w14:textId="77777777" w:rsidR="00D85532" w:rsidRPr="0061343E" w:rsidRDefault="00D85532" w:rsidP="00E7466A">
            <w:pPr>
              <w:pStyle w:val="TableCentre"/>
              <w:keepNext/>
              <w:rPr>
                <w:rFonts w:ascii="Arial Narrow" w:hAnsi="Arial Narrow"/>
                <w:sz w:val="20"/>
                <w:szCs w:val="20"/>
              </w:rPr>
            </w:pPr>
            <w:r w:rsidRPr="0061343E">
              <w:rPr>
                <w:rFonts w:ascii="Arial Narrow" w:hAnsi="Arial Narrow"/>
                <w:sz w:val="20"/>
                <w:szCs w:val="20"/>
              </w:rPr>
              <w:t>RR (95% CI)</w:t>
            </w:r>
          </w:p>
        </w:tc>
        <w:tc>
          <w:tcPr>
            <w:tcW w:w="811" w:type="pct"/>
            <w:shd w:val="clear" w:color="auto" w:fill="auto"/>
            <w:tcMar>
              <w:left w:w="20" w:type="dxa"/>
              <w:right w:w="20" w:type="dxa"/>
            </w:tcMar>
          </w:tcPr>
          <w:p w14:paraId="74C97893" w14:textId="77777777" w:rsidR="00D85532" w:rsidRPr="0061343E" w:rsidRDefault="00D85532" w:rsidP="00E7466A">
            <w:pPr>
              <w:pStyle w:val="TableCentre"/>
              <w:keepNext/>
              <w:rPr>
                <w:rFonts w:ascii="Arial Narrow" w:hAnsi="Arial Narrow"/>
                <w:sz w:val="20"/>
                <w:szCs w:val="20"/>
              </w:rPr>
            </w:pPr>
            <w:r w:rsidRPr="0061343E">
              <w:rPr>
                <w:rFonts w:ascii="Arial Narrow" w:hAnsi="Arial Narrow"/>
                <w:sz w:val="20"/>
                <w:szCs w:val="20"/>
              </w:rPr>
              <w:t>RD (95% CI)</w:t>
            </w:r>
          </w:p>
        </w:tc>
      </w:tr>
      <w:tr w:rsidR="00D85532" w:rsidRPr="0061343E" w14:paraId="7D8D2AE9" w14:textId="77777777" w:rsidTr="00DA0D1F">
        <w:tc>
          <w:tcPr>
            <w:tcW w:w="0" w:type="auto"/>
            <w:gridSpan w:val="5"/>
            <w:shd w:val="clear" w:color="auto" w:fill="auto"/>
            <w:tcMar>
              <w:left w:w="20" w:type="dxa"/>
              <w:right w:w="20" w:type="dxa"/>
            </w:tcMar>
          </w:tcPr>
          <w:p w14:paraId="213EB407" w14:textId="77777777" w:rsidR="00D85532" w:rsidRPr="0061343E" w:rsidRDefault="00D85532" w:rsidP="00E7466A">
            <w:pPr>
              <w:pStyle w:val="TableCentre"/>
              <w:keepNext/>
              <w:jc w:val="left"/>
              <w:rPr>
                <w:rFonts w:ascii="Arial Narrow" w:hAnsi="Arial Narrow"/>
                <w:b/>
                <w:bCs/>
                <w:sz w:val="20"/>
                <w:szCs w:val="20"/>
              </w:rPr>
            </w:pPr>
            <w:r w:rsidRPr="0061343E">
              <w:rPr>
                <w:rFonts w:ascii="Arial Narrow" w:hAnsi="Arial Narrow"/>
                <w:b/>
                <w:bCs/>
                <w:sz w:val="20"/>
                <w:szCs w:val="20"/>
              </w:rPr>
              <w:t>NEMO 30 mg Q4W vs placebo</w:t>
            </w:r>
          </w:p>
        </w:tc>
      </w:tr>
      <w:tr w:rsidR="00D85532" w:rsidRPr="0061343E" w14:paraId="172F59AF" w14:textId="77777777" w:rsidTr="00DA0D1F">
        <w:tc>
          <w:tcPr>
            <w:tcW w:w="1860" w:type="pct"/>
            <w:shd w:val="clear" w:color="auto" w:fill="auto"/>
            <w:tcMar>
              <w:left w:w="20" w:type="dxa"/>
              <w:right w:w="20" w:type="dxa"/>
            </w:tcMar>
          </w:tcPr>
          <w:p w14:paraId="2BB41998" w14:textId="77777777" w:rsidR="00D85532" w:rsidRPr="0061343E" w:rsidRDefault="00D85532" w:rsidP="00E7466A">
            <w:pPr>
              <w:pStyle w:val="TableLeft"/>
              <w:keepNext/>
              <w:rPr>
                <w:rFonts w:ascii="Arial Narrow" w:hAnsi="Arial Narrow"/>
                <w:sz w:val="20"/>
                <w:szCs w:val="20"/>
              </w:rPr>
            </w:pPr>
            <w:r w:rsidRPr="0061343E">
              <w:rPr>
                <w:rFonts w:ascii="Arial Narrow" w:hAnsi="Arial Narrow"/>
                <w:sz w:val="20"/>
                <w:szCs w:val="20"/>
              </w:rPr>
              <w:t>ARCADIA 1</w:t>
            </w:r>
          </w:p>
        </w:tc>
        <w:tc>
          <w:tcPr>
            <w:tcW w:w="731" w:type="pct"/>
            <w:shd w:val="clear" w:color="auto" w:fill="auto"/>
            <w:tcMar>
              <w:left w:w="20" w:type="dxa"/>
              <w:right w:w="20" w:type="dxa"/>
            </w:tcMar>
          </w:tcPr>
          <w:p w14:paraId="374693E4" w14:textId="77777777" w:rsidR="00D85532" w:rsidRPr="0061343E" w:rsidRDefault="00D85532" w:rsidP="00E7466A">
            <w:pPr>
              <w:pStyle w:val="TableCentre"/>
              <w:keepNext/>
              <w:rPr>
                <w:rFonts w:ascii="Arial Narrow" w:hAnsi="Arial Narrow"/>
                <w:sz w:val="20"/>
                <w:szCs w:val="20"/>
              </w:rPr>
            </w:pPr>
            <w:r w:rsidRPr="0061343E">
              <w:rPr>
                <w:rFonts w:ascii="Arial Narrow" w:hAnsi="Arial Narrow"/>
                <w:sz w:val="20"/>
                <w:szCs w:val="20"/>
              </w:rPr>
              <w:t>371/620 (59.8)</w:t>
            </w:r>
          </w:p>
        </w:tc>
        <w:tc>
          <w:tcPr>
            <w:tcW w:w="734" w:type="pct"/>
            <w:shd w:val="clear" w:color="auto" w:fill="auto"/>
            <w:tcMar>
              <w:left w:w="20" w:type="dxa"/>
              <w:right w:w="20" w:type="dxa"/>
            </w:tcMar>
          </w:tcPr>
          <w:p w14:paraId="29A46A18" w14:textId="77777777" w:rsidR="00D85532" w:rsidRPr="0061343E" w:rsidRDefault="00D85532" w:rsidP="00E7466A">
            <w:pPr>
              <w:pStyle w:val="TableCentre"/>
              <w:keepNext/>
              <w:rPr>
                <w:rFonts w:ascii="Arial Narrow" w:hAnsi="Arial Narrow"/>
                <w:sz w:val="20"/>
                <w:szCs w:val="20"/>
              </w:rPr>
            </w:pPr>
            <w:r w:rsidRPr="0061343E">
              <w:rPr>
                <w:rFonts w:ascii="Arial Narrow" w:hAnsi="Arial Narrow"/>
                <w:sz w:val="20"/>
                <w:szCs w:val="20"/>
              </w:rPr>
              <w:t>155/321 (48.3)</w:t>
            </w:r>
          </w:p>
        </w:tc>
        <w:tc>
          <w:tcPr>
            <w:tcW w:w="864" w:type="pct"/>
            <w:shd w:val="clear" w:color="auto" w:fill="auto"/>
            <w:tcMar>
              <w:left w:w="20" w:type="dxa"/>
              <w:right w:w="20" w:type="dxa"/>
            </w:tcMar>
          </w:tcPr>
          <w:p w14:paraId="2386F383" w14:textId="77777777" w:rsidR="00D85532" w:rsidRPr="0061343E" w:rsidRDefault="00D85532" w:rsidP="00E7466A">
            <w:pPr>
              <w:keepNext/>
              <w:jc w:val="center"/>
              <w:rPr>
                <w:rFonts w:ascii="Arial Narrow" w:hAnsi="Arial Narrow"/>
                <w:b/>
                <w:bCs/>
                <w:sz w:val="20"/>
                <w:szCs w:val="20"/>
              </w:rPr>
            </w:pPr>
            <w:r w:rsidRPr="0061343E">
              <w:rPr>
                <w:rFonts w:ascii="Arial Narrow" w:hAnsi="Arial Narrow"/>
                <w:b/>
                <w:bCs/>
                <w:sz w:val="20"/>
                <w:szCs w:val="20"/>
              </w:rPr>
              <w:t>1.24 (1.09, 1.41)</w:t>
            </w:r>
          </w:p>
        </w:tc>
        <w:tc>
          <w:tcPr>
            <w:tcW w:w="811" w:type="pct"/>
            <w:shd w:val="clear" w:color="auto" w:fill="auto"/>
            <w:tcMar>
              <w:left w:w="20" w:type="dxa"/>
              <w:right w:w="20" w:type="dxa"/>
            </w:tcMar>
          </w:tcPr>
          <w:p w14:paraId="0B38A56F" w14:textId="77777777" w:rsidR="00D85532" w:rsidRPr="0061343E" w:rsidRDefault="00D85532" w:rsidP="00E7466A">
            <w:pPr>
              <w:keepNext/>
              <w:jc w:val="center"/>
              <w:rPr>
                <w:rFonts w:ascii="Arial Narrow" w:hAnsi="Arial Narrow"/>
                <w:b/>
                <w:bCs/>
                <w:sz w:val="20"/>
                <w:szCs w:val="20"/>
              </w:rPr>
            </w:pPr>
            <w:r w:rsidRPr="0061343E">
              <w:rPr>
                <w:rFonts w:ascii="Arial Narrow" w:hAnsi="Arial Narrow"/>
                <w:b/>
                <w:bCs/>
                <w:sz w:val="20"/>
                <w:szCs w:val="20"/>
              </w:rPr>
              <w:t>0.12 (0.05, 0.18)</w:t>
            </w:r>
          </w:p>
        </w:tc>
      </w:tr>
      <w:tr w:rsidR="00D85532" w:rsidRPr="0061343E" w14:paraId="25E88910" w14:textId="77777777" w:rsidTr="00DA0D1F">
        <w:tc>
          <w:tcPr>
            <w:tcW w:w="1860" w:type="pct"/>
            <w:shd w:val="clear" w:color="auto" w:fill="auto"/>
            <w:tcMar>
              <w:left w:w="20" w:type="dxa"/>
              <w:right w:w="20" w:type="dxa"/>
            </w:tcMar>
          </w:tcPr>
          <w:p w14:paraId="0E90578F" w14:textId="77777777" w:rsidR="00D85532" w:rsidRPr="0061343E" w:rsidRDefault="00D85532" w:rsidP="00E7466A">
            <w:pPr>
              <w:pStyle w:val="TableLeft"/>
              <w:keepNext/>
              <w:rPr>
                <w:rFonts w:ascii="Arial Narrow" w:hAnsi="Arial Narrow"/>
                <w:sz w:val="20"/>
                <w:szCs w:val="20"/>
              </w:rPr>
            </w:pPr>
            <w:r w:rsidRPr="0061343E">
              <w:rPr>
                <w:rFonts w:ascii="Arial Narrow" w:hAnsi="Arial Narrow"/>
                <w:sz w:val="20"/>
                <w:szCs w:val="20"/>
              </w:rPr>
              <w:t>ARCADIA 2</w:t>
            </w:r>
          </w:p>
        </w:tc>
        <w:tc>
          <w:tcPr>
            <w:tcW w:w="731" w:type="pct"/>
            <w:shd w:val="clear" w:color="auto" w:fill="auto"/>
            <w:tcMar>
              <w:left w:w="20" w:type="dxa"/>
              <w:right w:w="20" w:type="dxa"/>
            </w:tcMar>
          </w:tcPr>
          <w:p w14:paraId="527BB947" w14:textId="77777777" w:rsidR="00D85532" w:rsidRPr="0061343E" w:rsidRDefault="00D85532" w:rsidP="00E7466A">
            <w:pPr>
              <w:pStyle w:val="TableCentre"/>
              <w:keepNext/>
              <w:rPr>
                <w:rFonts w:ascii="Arial Narrow" w:hAnsi="Arial Narrow"/>
                <w:sz w:val="20"/>
                <w:szCs w:val="20"/>
              </w:rPr>
            </w:pPr>
            <w:r w:rsidRPr="0061343E">
              <w:rPr>
                <w:rFonts w:ascii="Arial Narrow" w:hAnsi="Arial Narrow"/>
                <w:sz w:val="20"/>
                <w:szCs w:val="20"/>
              </w:rPr>
              <w:t>323/522 (61.9)</w:t>
            </w:r>
          </w:p>
        </w:tc>
        <w:tc>
          <w:tcPr>
            <w:tcW w:w="734" w:type="pct"/>
            <w:shd w:val="clear" w:color="auto" w:fill="auto"/>
            <w:tcMar>
              <w:left w:w="20" w:type="dxa"/>
              <w:right w:w="20" w:type="dxa"/>
            </w:tcMar>
          </w:tcPr>
          <w:p w14:paraId="6F7FB8B3" w14:textId="77777777" w:rsidR="00D85532" w:rsidRPr="0061343E" w:rsidRDefault="00D85532" w:rsidP="00E7466A">
            <w:pPr>
              <w:pStyle w:val="TableCentre"/>
              <w:keepNext/>
              <w:rPr>
                <w:rFonts w:ascii="Arial Narrow" w:hAnsi="Arial Narrow"/>
                <w:sz w:val="20"/>
                <w:szCs w:val="20"/>
              </w:rPr>
            </w:pPr>
            <w:r w:rsidRPr="0061343E">
              <w:rPr>
                <w:rFonts w:ascii="Arial Narrow" w:hAnsi="Arial Narrow"/>
                <w:sz w:val="20"/>
                <w:szCs w:val="20"/>
              </w:rPr>
              <w:t>130/265 (49.1)</w:t>
            </w:r>
          </w:p>
        </w:tc>
        <w:tc>
          <w:tcPr>
            <w:tcW w:w="864" w:type="pct"/>
            <w:shd w:val="clear" w:color="auto" w:fill="auto"/>
            <w:tcMar>
              <w:left w:w="20" w:type="dxa"/>
              <w:right w:w="20" w:type="dxa"/>
            </w:tcMar>
          </w:tcPr>
          <w:p w14:paraId="11DD980D" w14:textId="77777777" w:rsidR="00D85532" w:rsidRPr="0061343E" w:rsidRDefault="00D85532" w:rsidP="00E7466A">
            <w:pPr>
              <w:keepNext/>
              <w:jc w:val="center"/>
              <w:rPr>
                <w:rFonts w:ascii="Arial Narrow" w:hAnsi="Arial Narrow"/>
                <w:b/>
                <w:bCs/>
                <w:sz w:val="20"/>
                <w:szCs w:val="20"/>
              </w:rPr>
            </w:pPr>
            <w:r w:rsidRPr="0061343E">
              <w:rPr>
                <w:rFonts w:ascii="Arial Narrow" w:hAnsi="Arial Narrow"/>
                <w:b/>
                <w:bCs/>
                <w:sz w:val="20"/>
                <w:szCs w:val="20"/>
              </w:rPr>
              <w:t>1.26 (1.10, 1.45)</w:t>
            </w:r>
          </w:p>
        </w:tc>
        <w:tc>
          <w:tcPr>
            <w:tcW w:w="811" w:type="pct"/>
            <w:shd w:val="clear" w:color="auto" w:fill="auto"/>
            <w:tcMar>
              <w:left w:w="20" w:type="dxa"/>
              <w:right w:w="20" w:type="dxa"/>
            </w:tcMar>
          </w:tcPr>
          <w:p w14:paraId="7D1EE949" w14:textId="77777777" w:rsidR="00D85532" w:rsidRPr="0061343E" w:rsidRDefault="00D85532" w:rsidP="00E7466A">
            <w:pPr>
              <w:keepNext/>
              <w:jc w:val="center"/>
              <w:rPr>
                <w:rFonts w:ascii="Arial Narrow" w:hAnsi="Arial Narrow"/>
                <w:b/>
                <w:bCs/>
                <w:sz w:val="20"/>
                <w:szCs w:val="20"/>
              </w:rPr>
            </w:pPr>
            <w:r w:rsidRPr="0061343E">
              <w:rPr>
                <w:rFonts w:ascii="Arial Narrow" w:hAnsi="Arial Narrow"/>
                <w:b/>
                <w:bCs/>
                <w:sz w:val="20"/>
                <w:szCs w:val="20"/>
              </w:rPr>
              <w:t>0.13 (0.06, 0.20)</w:t>
            </w:r>
          </w:p>
        </w:tc>
      </w:tr>
      <w:tr w:rsidR="00D85532" w:rsidRPr="0061343E" w14:paraId="5E66A305" w14:textId="77777777" w:rsidTr="00DA0D1F">
        <w:tc>
          <w:tcPr>
            <w:tcW w:w="1860" w:type="pct"/>
            <w:shd w:val="clear" w:color="auto" w:fill="auto"/>
            <w:tcMar>
              <w:left w:w="20" w:type="dxa"/>
              <w:right w:w="20" w:type="dxa"/>
            </w:tcMar>
          </w:tcPr>
          <w:p w14:paraId="64DEE1E2" w14:textId="77777777" w:rsidR="00D85532" w:rsidRPr="0061343E" w:rsidRDefault="00D85532" w:rsidP="00E7466A">
            <w:pPr>
              <w:pStyle w:val="TableLeft"/>
              <w:keepNext/>
              <w:rPr>
                <w:rFonts w:ascii="Arial Narrow" w:hAnsi="Arial Narrow"/>
                <w:sz w:val="20"/>
                <w:szCs w:val="20"/>
              </w:rPr>
            </w:pPr>
            <w:r w:rsidRPr="0061343E">
              <w:rPr>
                <w:rFonts w:ascii="Arial Narrow" w:hAnsi="Arial Narrow"/>
                <w:sz w:val="20"/>
                <w:szCs w:val="20"/>
              </w:rPr>
              <w:t>Study 114322</w:t>
            </w:r>
          </w:p>
        </w:tc>
        <w:tc>
          <w:tcPr>
            <w:tcW w:w="731" w:type="pct"/>
            <w:shd w:val="clear" w:color="auto" w:fill="auto"/>
            <w:tcMar>
              <w:left w:w="20" w:type="dxa"/>
              <w:right w:w="20" w:type="dxa"/>
            </w:tcMar>
          </w:tcPr>
          <w:p w14:paraId="558C8859" w14:textId="77777777" w:rsidR="00D85532" w:rsidRPr="0061343E" w:rsidRDefault="00D85532" w:rsidP="00E7466A">
            <w:pPr>
              <w:pStyle w:val="TableCentre"/>
              <w:keepNext/>
              <w:rPr>
                <w:rFonts w:ascii="Arial Narrow" w:hAnsi="Arial Narrow"/>
                <w:sz w:val="20"/>
                <w:szCs w:val="20"/>
              </w:rPr>
            </w:pPr>
            <w:r w:rsidRPr="0061343E">
              <w:rPr>
                <w:rFonts w:ascii="Arial Narrow" w:hAnsi="Arial Narrow"/>
                <w:sz w:val="20"/>
                <w:szCs w:val="20"/>
              </w:rPr>
              <w:t>34/57 (59.6)</w:t>
            </w:r>
          </w:p>
        </w:tc>
        <w:tc>
          <w:tcPr>
            <w:tcW w:w="734" w:type="pct"/>
            <w:shd w:val="clear" w:color="auto" w:fill="auto"/>
            <w:tcMar>
              <w:left w:w="20" w:type="dxa"/>
              <w:right w:w="20" w:type="dxa"/>
            </w:tcMar>
          </w:tcPr>
          <w:p w14:paraId="0B5791BB" w14:textId="77777777" w:rsidR="00D85532" w:rsidRPr="0061343E" w:rsidRDefault="00D85532" w:rsidP="00E7466A">
            <w:pPr>
              <w:pStyle w:val="TableCentre"/>
              <w:keepNext/>
              <w:rPr>
                <w:rFonts w:ascii="Arial Narrow" w:hAnsi="Arial Narrow"/>
                <w:sz w:val="20"/>
                <w:szCs w:val="20"/>
              </w:rPr>
            </w:pPr>
            <w:r w:rsidRPr="0061343E">
              <w:rPr>
                <w:rFonts w:ascii="Arial Narrow" w:hAnsi="Arial Narrow"/>
                <w:sz w:val="20"/>
                <w:szCs w:val="20"/>
              </w:rPr>
              <w:t>21/57 (36.8)</w:t>
            </w:r>
          </w:p>
        </w:tc>
        <w:tc>
          <w:tcPr>
            <w:tcW w:w="864" w:type="pct"/>
            <w:shd w:val="clear" w:color="auto" w:fill="auto"/>
            <w:tcMar>
              <w:left w:w="20" w:type="dxa"/>
              <w:right w:w="20" w:type="dxa"/>
            </w:tcMar>
          </w:tcPr>
          <w:p w14:paraId="397E6CC7" w14:textId="77777777" w:rsidR="00D85532" w:rsidRPr="0061343E" w:rsidRDefault="00D85532" w:rsidP="00E7466A">
            <w:pPr>
              <w:keepNext/>
              <w:jc w:val="center"/>
              <w:rPr>
                <w:rFonts w:ascii="Arial Narrow" w:hAnsi="Arial Narrow"/>
                <w:b/>
                <w:bCs/>
                <w:sz w:val="20"/>
                <w:szCs w:val="20"/>
              </w:rPr>
            </w:pPr>
            <w:r w:rsidRPr="0061343E">
              <w:rPr>
                <w:rFonts w:ascii="Arial Narrow" w:hAnsi="Arial Narrow"/>
                <w:b/>
                <w:bCs/>
                <w:sz w:val="20"/>
                <w:szCs w:val="20"/>
              </w:rPr>
              <w:t>1.70 (1.13, 2.57)</w:t>
            </w:r>
          </w:p>
        </w:tc>
        <w:tc>
          <w:tcPr>
            <w:tcW w:w="811" w:type="pct"/>
            <w:shd w:val="clear" w:color="auto" w:fill="auto"/>
            <w:tcMar>
              <w:left w:w="20" w:type="dxa"/>
              <w:right w:w="20" w:type="dxa"/>
            </w:tcMar>
          </w:tcPr>
          <w:p w14:paraId="421FF0D3" w14:textId="77777777" w:rsidR="00D85532" w:rsidRPr="0061343E" w:rsidRDefault="00D85532" w:rsidP="00E7466A">
            <w:pPr>
              <w:keepNext/>
              <w:jc w:val="center"/>
              <w:rPr>
                <w:rFonts w:ascii="Arial Narrow" w:hAnsi="Arial Narrow"/>
                <w:b/>
                <w:bCs/>
                <w:sz w:val="20"/>
                <w:szCs w:val="20"/>
              </w:rPr>
            </w:pPr>
            <w:r w:rsidRPr="0061343E">
              <w:rPr>
                <w:rFonts w:ascii="Arial Narrow" w:hAnsi="Arial Narrow"/>
                <w:b/>
                <w:bCs/>
                <w:sz w:val="20"/>
                <w:szCs w:val="20"/>
              </w:rPr>
              <w:t>0.25 (0.07, 0.42)</w:t>
            </w:r>
          </w:p>
        </w:tc>
      </w:tr>
      <w:tr w:rsidR="00D85532" w:rsidRPr="0061343E" w14:paraId="13917B2B" w14:textId="77777777" w:rsidTr="00DA0D1F">
        <w:tc>
          <w:tcPr>
            <w:tcW w:w="1860" w:type="pct"/>
            <w:shd w:val="clear" w:color="auto" w:fill="auto"/>
            <w:tcMar>
              <w:left w:w="20" w:type="dxa"/>
              <w:right w:w="20" w:type="dxa"/>
            </w:tcMar>
          </w:tcPr>
          <w:p w14:paraId="2288E4E3" w14:textId="77777777" w:rsidR="00D85532" w:rsidRPr="0061343E" w:rsidRDefault="00D85532" w:rsidP="00E7466A">
            <w:pPr>
              <w:pStyle w:val="TableLeft"/>
              <w:keepNext/>
              <w:rPr>
                <w:rFonts w:ascii="Arial Narrow" w:hAnsi="Arial Narrow"/>
                <w:sz w:val="20"/>
                <w:szCs w:val="20"/>
              </w:rPr>
            </w:pPr>
            <w:r w:rsidRPr="0061343E">
              <w:rPr>
                <w:rFonts w:ascii="Arial Narrow" w:hAnsi="Arial Narrow"/>
                <w:sz w:val="20"/>
                <w:szCs w:val="20"/>
              </w:rPr>
              <w:t>ARCADIA CYCLO</w:t>
            </w:r>
          </w:p>
        </w:tc>
        <w:tc>
          <w:tcPr>
            <w:tcW w:w="731" w:type="pct"/>
            <w:shd w:val="clear" w:color="auto" w:fill="auto"/>
            <w:tcMar>
              <w:left w:w="20" w:type="dxa"/>
              <w:right w:w="20" w:type="dxa"/>
            </w:tcMar>
          </w:tcPr>
          <w:p w14:paraId="78C1ABC8" w14:textId="77777777" w:rsidR="00D85532" w:rsidRPr="0061343E" w:rsidRDefault="00D85532" w:rsidP="00E7466A">
            <w:pPr>
              <w:pStyle w:val="TableCentre"/>
              <w:keepNext/>
              <w:rPr>
                <w:rFonts w:ascii="Arial Narrow" w:hAnsi="Arial Narrow"/>
                <w:sz w:val="20"/>
                <w:szCs w:val="20"/>
              </w:rPr>
            </w:pPr>
            <w:r w:rsidRPr="0061343E">
              <w:rPr>
                <w:rFonts w:ascii="Arial Narrow" w:hAnsi="Arial Narrow"/>
                <w:sz w:val="20"/>
                <w:szCs w:val="20"/>
              </w:rPr>
              <w:t>60/138 (43.5)</w:t>
            </w:r>
          </w:p>
        </w:tc>
        <w:tc>
          <w:tcPr>
            <w:tcW w:w="734" w:type="pct"/>
            <w:shd w:val="clear" w:color="auto" w:fill="auto"/>
            <w:tcMar>
              <w:left w:w="20" w:type="dxa"/>
              <w:right w:w="20" w:type="dxa"/>
            </w:tcMar>
          </w:tcPr>
          <w:p w14:paraId="38E81743" w14:textId="77777777" w:rsidR="00D85532" w:rsidRPr="0061343E" w:rsidRDefault="00D85532" w:rsidP="00E7466A">
            <w:pPr>
              <w:pStyle w:val="TableCentre"/>
              <w:keepNext/>
              <w:rPr>
                <w:rFonts w:ascii="Arial Narrow" w:hAnsi="Arial Narrow"/>
                <w:sz w:val="20"/>
                <w:szCs w:val="20"/>
              </w:rPr>
            </w:pPr>
            <w:r w:rsidRPr="0061343E">
              <w:rPr>
                <w:rFonts w:ascii="Arial Narrow" w:hAnsi="Arial Narrow"/>
                <w:sz w:val="20"/>
                <w:szCs w:val="20"/>
              </w:rPr>
              <w:t>46/138 (33.3)</w:t>
            </w:r>
          </w:p>
        </w:tc>
        <w:tc>
          <w:tcPr>
            <w:tcW w:w="864" w:type="pct"/>
            <w:shd w:val="clear" w:color="auto" w:fill="auto"/>
            <w:tcMar>
              <w:left w:w="20" w:type="dxa"/>
              <w:right w:w="20" w:type="dxa"/>
            </w:tcMar>
          </w:tcPr>
          <w:p w14:paraId="3AD125B4" w14:textId="77777777" w:rsidR="00D85532" w:rsidRPr="0061343E" w:rsidRDefault="00D85532" w:rsidP="00E7466A">
            <w:pPr>
              <w:keepNext/>
              <w:jc w:val="center"/>
              <w:rPr>
                <w:rFonts w:ascii="Arial Narrow" w:hAnsi="Arial Narrow"/>
                <w:sz w:val="20"/>
                <w:szCs w:val="20"/>
              </w:rPr>
            </w:pPr>
            <w:r w:rsidRPr="0061343E">
              <w:rPr>
                <w:rFonts w:ascii="Arial Narrow" w:hAnsi="Arial Narrow"/>
                <w:sz w:val="20"/>
                <w:szCs w:val="20"/>
              </w:rPr>
              <w:t>1.30 (0.96, 1.77)</w:t>
            </w:r>
          </w:p>
        </w:tc>
        <w:tc>
          <w:tcPr>
            <w:tcW w:w="811" w:type="pct"/>
            <w:shd w:val="clear" w:color="auto" w:fill="auto"/>
            <w:tcMar>
              <w:left w:w="20" w:type="dxa"/>
              <w:right w:w="20" w:type="dxa"/>
            </w:tcMar>
          </w:tcPr>
          <w:p w14:paraId="04A0455C" w14:textId="77777777" w:rsidR="00D85532" w:rsidRPr="0061343E" w:rsidRDefault="00D85532" w:rsidP="00E7466A">
            <w:pPr>
              <w:keepNext/>
              <w:jc w:val="center"/>
              <w:rPr>
                <w:rFonts w:ascii="Arial Narrow" w:hAnsi="Arial Narrow"/>
                <w:sz w:val="20"/>
                <w:szCs w:val="20"/>
              </w:rPr>
            </w:pPr>
            <w:r w:rsidRPr="0061343E">
              <w:rPr>
                <w:rFonts w:ascii="Arial Narrow" w:hAnsi="Arial Narrow"/>
                <w:sz w:val="20"/>
                <w:szCs w:val="20"/>
              </w:rPr>
              <w:t>0.10 (-0.01, 0.22)</w:t>
            </w:r>
          </w:p>
        </w:tc>
      </w:tr>
      <w:tr w:rsidR="00DA0D1F" w:rsidRPr="0061343E" w14:paraId="2691FD0A" w14:textId="77777777" w:rsidTr="00DA0D1F">
        <w:tc>
          <w:tcPr>
            <w:tcW w:w="3325" w:type="pct"/>
            <w:gridSpan w:val="3"/>
            <w:shd w:val="clear" w:color="auto" w:fill="auto"/>
            <w:tcMar>
              <w:left w:w="20" w:type="dxa"/>
              <w:right w:w="20" w:type="dxa"/>
            </w:tcMar>
          </w:tcPr>
          <w:p w14:paraId="72EC5E66" w14:textId="2191D4FF" w:rsidR="00DA0D1F" w:rsidRPr="0061343E" w:rsidRDefault="00DA0D1F" w:rsidP="00DA0D1F">
            <w:pPr>
              <w:pStyle w:val="TableCentre"/>
              <w:keepNext/>
              <w:jc w:val="left"/>
              <w:rPr>
                <w:rFonts w:ascii="Arial Narrow" w:hAnsi="Arial Narrow"/>
                <w:sz w:val="20"/>
                <w:szCs w:val="20"/>
              </w:rPr>
            </w:pPr>
            <w:r w:rsidRPr="0061343E">
              <w:rPr>
                <w:rFonts w:ascii="Arial Narrow" w:hAnsi="Arial Narrow"/>
                <w:sz w:val="20"/>
                <w:szCs w:val="20"/>
              </w:rPr>
              <w:t>Pooled (REM)</w:t>
            </w:r>
          </w:p>
        </w:tc>
        <w:tc>
          <w:tcPr>
            <w:tcW w:w="864" w:type="pct"/>
            <w:shd w:val="clear" w:color="auto" w:fill="auto"/>
            <w:tcMar>
              <w:left w:w="20" w:type="dxa"/>
              <w:right w:w="20" w:type="dxa"/>
            </w:tcMar>
          </w:tcPr>
          <w:p w14:paraId="70EE5F38" w14:textId="77777777" w:rsidR="00DA0D1F" w:rsidRPr="0061343E" w:rsidRDefault="00DA0D1F" w:rsidP="00E7466A">
            <w:pPr>
              <w:keepNext/>
              <w:jc w:val="center"/>
              <w:rPr>
                <w:rFonts w:ascii="Arial Narrow" w:hAnsi="Arial Narrow"/>
                <w:b/>
                <w:bCs/>
                <w:sz w:val="20"/>
                <w:szCs w:val="20"/>
              </w:rPr>
            </w:pPr>
            <w:r w:rsidRPr="0061343E">
              <w:rPr>
                <w:rFonts w:ascii="Arial Narrow" w:hAnsi="Arial Narrow"/>
                <w:b/>
                <w:bCs/>
                <w:sz w:val="20"/>
                <w:szCs w:val="20"/>
              </w:rPr>
              <w:t>1.27 (1.16, 1.39)</w:t>
            </w:r>
          </w:p>
        </w:tc>
        <w:tc>
          <w:tcPr>
            <w:tcW w:w="811" w:type="pct"/>
            <w:shd w:val="clear" w:color="auto" w:fill="auto"/>
            <w:tcMar>
              <w:left w:w="20" w:type="dxa"/>
              <w:right w:w="20" w:type="dxa"/>
            </w:tcMar>
          </w:tcPr>
          <w:p w14:paraId="03C7E467" w14:textId="77777777" w:rsidR="00DA0D1F" w:rsidRPr="0061343E" w:rsidRDefault="00DA0D1F" w:rsidP="00E7466A">
            <w:pPr>
              <w:keepNext/>
              <w:jc w:val="center"/>
              <w:rPr>
                <w:rFonts w:ascii="Arial Narrow" w:hAnsi="Arial Narrow"/>
                <w:b/>
                <w:bCs/>
                <w:sz w:val="20"/>
                <w:szCs w:val="20"/>
              </w:rPr>
            </w:pPr>
            <w:r w:rsidRPr="0061343E">
              <w:rPr>
                <w:rFonts w:ascii="Arial Narrow" w:hAnsi="Arial Narrow"/>
                <w:b/>
                <w:bCs/>
                <w:sz w:val="20"/>
                <w:szCs w:val="20"/>
              </w:rPr>
              <w:t>0.13 (0.08, 0.17)</w:t>
            </w:r>
          </w:p>
        </w:tc>
      </w:tr>
      <w:tr w:rsidR="00DA0D1F" w:rsidRPr="0061343E" w14:paraId="364CC146" w14:textId="77777777" w:rsidTr="00DA0D1F">
        <w:tc>
          <w:tcPr>
            <w:tcW w:w="3325" w:type="pct"/>
            <w:gridSpan w:val="3"/>
            <w:shd w:val="clear" w:color="auto" w:fill="auto"/>
            <w:tcMar>
              <w:left w:w="20" w:type="dxa"/>
              <w:right w:w="20" w:type="dxa"/>
            </w:tcMar>
          </w:tcPr>
          <w:p w14:paraId="691AA6B3" w14:textId="241FEDB2" w:rsidR="00DA0D1F" w:rsidRPr="0061343E" w:rsidRDefault="00DA0D1F" w:rsidP="00DA0D1F">
            <w:pPr>
              <w:pStyle w:val="TableCentre"/>
              <w:keepNext/>
              <w:jc w:val="left"/>
              <w:rPr>
                <w:rFonts w:ascii="Arial Narrow" w:hAnsi="Arial Narrow"/>
                <w:sz w:val="20"/>
                <w:szCs w:val="20"/>
              </w:rPr>
            </w:pPr>
            <w:r w:rsidRPr="0061343E">
              <w:rPr>
                <w:rFonts w:ascii="Arial Narrow" w:hAnsi="Arial Narrow"/>
                <w:sz w:val="20"/>
                <w:szCs w:val="20"/>
              </w:rPr>
              <w:t>Pooled (REM) excl. ARCADIA CYCLO</w:t>
            </w:r>
          </w:p>
        </w:tc>
        <w:tc>
          <w:tcPr>
            <w:tcW w:w="864" w:type="pct"/>
            <w:shd w:val="clear" w:color="auto" w:fill="auto"/>
            <w:tcMar>
              <w:left w:w="20" w:type="dxa"/>
              <w:right w:w="20" w:type="dxa"/>
            </w:tcMar>
          </w:tcPr>
          <w:p w14:paraId="3E79FEEA" w14:textId="77777777" w:rsidR="00DA0D1F" w:rsidRPr="0061343E" w:rsidRDefault="00DA0D1F" w:rsidP="00E7466A">
            <w:pPr>
              <w:keepNext/>
              <w:jc w:val="center"/>
              <w:rPr>
                <w:rFonts w:ascii="Arial Narrow" w:hAnsi="Arial Narrow"/>
                <w:b/>
                <w:bCs/>
                <w:sz w:val="20"/>
                <w:szCs w:val="20"/>
              </w:rPr>
            </w:pPr>
            <w:r w:rsidRPr="0061343E">
              <w:rPr>
                <w:rFonts w:ascii="Arial Narrow" w:hAnsi="Arial Narrow"/>
                <w:b/>
                <w:bCs/>
                <w:sz w:val="20"/>
                <w:szCs w:val="20"/>
              </w:rPr>
              <w:t>1.27 (1.15, 1.40)</w:t>
            </w:r>
          </w:p>
        </w:tc>
        <w:tc>
          <w:tcPr>
            <w:tcW w:w="811" w:type="pct"/>
            <w:shd w:val="clear" w:color="auto" w:fill="auto"/>
            <w:tcMar>
              <w:left w:w="20" w:type="dxa"/>
              <w:right w:w="20" w:type="dxa"/>
            </w:tcMar>
          </w:tcPr>
          <w:p w14:paraId="69352156" w14:textId="77777777" w:rsidR="00DA0D1F" w:rsidRPr="0061343E" w:rsidRDefault="00DA0D1F" w:rsidP="00E7466A">
            <w:pPr>
              <w:keepNext/>
              <w:jc w:val="center"/>
              <w:rPr>
                <w:rFonts w:ascii="Arial Narrow" w:hAnsi="Arial Narrow"/>
                <w:b/>
                <w:bCs/>
                <w:sz w:val="20"/>
                <w:szCs w:val="20"/>
              </w:rPr>
            </w:pPr>
            <w:r w:rsidRPr="0061343E">
              <w:rPr>
                <w:rFonts w:ascii="Arial Narrow" w:hAnsi="Arial Narrow"/>
                <w:b/>
                <w:bCs/>
                <w:sz w:val="20"/>
                <w:szCs w:val="20"/>
              </w:rPr>
              <w:t>0.13 (0.08, 0.18)</w:t>
            </w:r>
          </w:p>
        </w:tc>
      </w:tr>
      <w:tr w:rsidR="00D85532" w:rsidRPr="0061343E" w14:paraId="3686DDDE" w14:textId="77777777" w:rsidTr="00DA0D1F">
        <w:tc>
          <w:tcPr>
            <w:tcW w:w="0" w:type="auto"/>
            <w:gridSpan w:val="5"/>
            <w:shd w:val="clear" w:color="auto" w:fill="auto"/>
            <w:tcMar>
              <w:left w:w="20" w:type="dxa"/>
              <w:right w:w="20" w:type="dxa"/>
            </w:tcMar>
          </w:tcPr>
          <w:p w14:paraId="399F7CE3" w14:textId="77777777" w:rsidR="00D85532" w:rsidRPr="0061343E" w:rsidRDefault="00D85532" w:rsidP="00E7466A">
            <w:pPr>
              <w:pStyle w:val="TableCentre"/>
              <w:keepNext/>
              <w:jc w:val="left"/>
              <w:rPr>
                <w:rFonts w:ascii="Arial Narrow" w:hAnsi="Arial Narrow"/>
                <w:b/>
                <w:bCs/>
                <w:sz w:val="20"/>
                <w:szCs w:val="20"/>
              </w:rPr>
            </w:pPr>
            <w:r w:rsidRPr="0061343E">
              <w:rPr>
                <w:rFonts w:ascii="Arial Narrow" w:hAnsi="Arial Narrow"/>
                <w:b/>
                <w:bCs/>
                <w:sz w:val="20"/>
                <w:szCs w:val="20"/>
              </w:rPr>
              <w:t>DUPI 300 mg Q2W vs placebo</w:t>
            </w:r>
          </w:p>
        </w:tc>
      </w:tr>
      <w:tr w:rsidR="00D85532" w:rsidRPr="0061343E" w14:paraId="33C2C02B" w14:textId="77777777" w:rsidTr="00DA0D1F">
        <w:tc>
          <w:tcPr>
            <w:tcW w:w="1860" w:type="pct"/>
            <w:shd w:val="clear" w:color="auto" w:fill="B8CCE4"/>
            <w:tcMar>
              <w:left w:w="20" w:type="dxa"/>
              <w:right w:w="20" w:type="dxa"/>
            </w:tcMar>
          </w:tcPr>
          <w:p w14:paraId="6EFA5979" w14:textId="77777777" w:rsidR="00D85532" w:rsidRPr="0061343E" w:rsidRDefault="00D85532" w:rsidP="00E7466A">
            <w:pPr>
              <w:pStyle w:val="TableLeft"/>
              <w:keepNext/>
              <w:rPr>
                <w:rFonts w:ascii="Arial Narrow" w:hAnsi="Arial Narrow"/>
                <w:sz w:val="20"/>
                <w:szCs w:val="20"/>
              </w:rPr>
            </w:pPr>
            <w:r w:rsidRPr="0061343E">
              <w:rPr>
                <w:rFonts w:ascii="Arial Narrow" w:hAnsi="Arial Narrow"/>
                <w:sz w:val="20"/>
                <w:szCs w:val="20"/>
              </w:rPr>
              <w:t>CHRONOS</w:t>
            </w:r>
          </w:p>
        </w:tc>
        <w:tc>
          <w:tcPr>
            <w:tcW w:w="731" w:type="pct"/>
            <w:shd w:val="clear" w:color="auto" w:fill="B8CCE4"/>
            <w:tcMar>
              <w:left w:w="20" w:type="dxa"/>
              <w:right w:w="20" w:type="dxa"/>
            </w:tcMar>
          </w:tcPr>
          <w:p w14:paraId="15477045" w14:textId="77777777" w:rsidR="00D85532" w:rsidRPr="0061343E" w:rsidRDefault="00D85532" w:rsidP="00E7466A">
            <w:pPr>
              <w:pStyle w:val="TableCentre"/>
              <w:keepNext/>
              <w:rPr>
                <w:rFonts w:ascii="Arial Narrow" w:hAnsi="Arial Narrow"/>
                <w:sz w:val="20"/>
                <w:szCs w:val="20"/>
              </w:rPr>
            </w:pPr>
            <w:r w:rsidRPr="0061343E">
              <w:rPr>
                <w:rFonts w:ascii="Arial Narrow" w:hAnsi="Arial Narrow"/>
                <w:sz w:val="20"/>
                <w:szCs w:val="20"/>
              </w:rPr>
              <w:t>85/106 (80.2)</w:t>
            </w:r>
          </w:p>
        </w:tc>
        <w:tc>
          <w:tcPr>
            <w:tcW w:w="734" w:type="pct"/>
            <w:shd w:val="clear" w:color="auto" w:fill="B8CCE4"/>
            <w:tcMar>
              <w:left w:w="20" w:type="dxa"/>
              <w:right w:w="20" w:type="dxa"/>
            </w:tcMar>
          </w:tcPr>
          <w:p w14:paraId="70AABD89"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118/315 (37.5)</w:t>
            </w:r>
          </w:p>
        </w:tc>
        <w:tc>
          <w:tcPr>
            <w:tcW w:w="864" w:type="pct"/>
            <w:shd w:val="clear" w:color="auto" w:fill="B8CCE4"/>
            <w:tcMar>
              <w:left w:w="20" w:type="dxa"/>
              <w:right w:w="20" w:type="dxa"/>
            </w:tcMar>
          </w:tcPr>
          <w:p w14:paraId="613632FE" w14:textId="77777777" w:rsidR="00D85532" w:rsidRPr="0061343E" w:rsidRDefault="00D85532" w:rsidP="00E7466A">
            <w:pPr>
              <w:keepNext/>
              <w:jc w:val="center"/>
              <w:rPr>
                <w:rFonts w:ascii="Arial Narrow" w:hAnsi="Arial Narrow"/>
                <w:b/>
                <w:bCs/>
                <w:sz w:val="20"/>
                <w:szCs w:val="20"/>
              </w:rPr>
            </w:pPr>
            <w:r w:rsidRPr="0061343E">
              <w:rPr>
                <w:rFonts w:ascii="Arial Narrow" w:hAnsi="Arial Narrow"/>
                <w:b/>
                <w:bCs/>
                <w:sz w:val="20"/>
                <w:szCs w:val="20"/>
              </w:rPr>
              <w:t>2.14 (1.80, 2.54)</w:t>
            </w:r>
          </w:p>
        </w:tc>
        <w:tc>
          <w:tcPr>
            <w:tcW w:w="811" w:type="pct"/>
            <w:shd w:val="clear" w:color="auto" w:fill="B8CCE4"/>
            <w:tcMar>
              <w:left w:w="20" w:type="dxa"/>
              <w:right w:w="20" w:type="dxa"/>
            </w:tcMar>
          </w:tcPr>
          <w:p w14:paraId="774F2EC9" w14:textId="77777777" w:rsidR="00D85532" w:rsidRPr="0061343E" w:rsidRDefault="00D85532" w:rsidP="00E7466A">
            <w:pPr>
              <w:keepNext/>
              <w:jc w:val="center"/>
              <w:rPr>
                <w:rFonts w:ascii="Arial Narrow" w:hAnsi="Arial Narrow"/>
                <w:b/>
                <w:bCs/>
                <w:sz w:val="20"/>
                <w:szCs w:val="20"/>
              </w:rPr>
            </w:pPr>
            <w:r w:rsidRPr="0061343E">
              <w:rPr>
                <w:rFonts w:ascii="Arial Narrow" w:hAnsi="Arial Narrow"/>
                <w:b/>
                <w:bCs/>
                <w:sz w:val="20"/>
                <w:szCs w:val="20"/>
              </w:rPr>
              <w:t>0.43 (0.33, 0.52)</w:t>
            </w:r>
          </w:p>
        </w:tc>
      </w:tr>
      <w:tr w:rsidR="00D85532" w:rsidRPr="0061343E" w14:paraId="1F012F1E" w14:textId="77777777" w:rsidTr="00DA0D1F">
        <w:tc>
          <w:tcPr>
            <w:tcW w:w="1860" w:type="pct"/>
            <w:shd w:val="clear" w:color="auto" w:fill="B8CCE4"/>
            <w:tcMar>
              <w:left w:w="20" w:type="dxa"/>
              <w:right w:w="20" w:type="dxa"/>
            </w:tcMar>
          </w:tcPr>
          <w:p w14:paraId="515301DE" w14:textId="77777777" w:rsidR="00D85532" w:rsidRPr="0061343E" w:rsidRDefault="00D85532" w:rsidP="00E7466A">
            <w:pPr>
              <w:pStyle w:val="TableLeft"/>
              <w:keepNext/>
              <w:rPr>
                <w:rFonts w:ascii="Arial Narrow" w:hAnsi="Arial Narrow"/>
                <w:sz w:val="20"/>
                <w:szCs w:val="20"/>
              </w:rPr>
            </w:pPr>
            <w:r w:rsidRPr="0061343E">
              <w:rPr>
                <w:rFonts w:ascii="Arial Narrow" w:hAnsi="Arial Narrow"/>
                <w:sz w:val="20"/>
                <w:szCs w:val="20"/>
              </w:rPr>
              <w:t>JADE COMPARE</w:t>
            </w:r>
          </w:p>
        </w:tc>
        <w:tc>
          <w:tcPr>
            <w:tcW w:w="731" w:type="pct"/>
            <w:shd w:val="clear" w:color="auto" w:fill="B8CCE4"/>
            <w:tcMar>
              <w:left w:w="20" w:type="dxa"/>
              <w:right w:w="20" w:type="dxa"/>
            </w:tcMar>
          </w:tcPr>
          <w:p w14:paraId="787B9017" w14:textId="77777777" w:rsidR="00D85532" w:rsidRPr="0061343E" w:rsidRDefault="00D85532" w:rsidP="00E7466A">
            <w:pPr>
              <w:pStyle w:val="TableCentre"/>
              <w:keepNext/>
              <w:rPr>
                <w:rFonts w:ascii="Arial Narrow" w:hAnsi="Arial Narrow"/>
                <w:sz w:val="20"/>
                <w:szCs w:val="20"/>
              </w:rPr>
            </w:pPr>
            <w:r w:rsidRPr="0061343E">
              <w:rPr>
                <w:rFonts w:ascii="Arial Narrow" w:hAnsi="Arial Narrow"/>
                <w:sz w:val="20"/>
                <w:szCs w:val="20"/>
              </w:rPr>
              <w:t>195/232 (84.1)</w:t>
            </w:r>
          </w:p>
        </w:tc>
        <w:tc>
          <w:tcPr>
            <w:tcW w:w="734" w:type="pct"/>
            <w:shd w:val="clear" w:color="auto" w:fill="B8CCE4"/>
            <w:tcMar>
              <w:left w:w="20" w:type="dxa"/>
              <w:right w:w="20" w:type="dxa"/>
            </w:tcMar>
          </w:tcPr>
          <w:p w14:paraId="3753B885" w14:textId="77777777" w:rsidR="00D85532" w:rsidRPr="0061343E" w:rsidRDefault="00D85532" w:rsidP="00E7466A">
            <w:pPr>
              <w:pStyle w:val="TableCentre"/>
              <w:keepNext/>
              <w:rPr>
                <w:rFonts w:ascii="Arial Narrow" w:hAnsi="Arial Narrow"/>
                <w:sz w:val="20"/>
                <w:szCs w:val="20"/>
              </w:rPr>
            </w:pPr>
            <w:r w:rsidRPr="0061343E">
              <w:rPr>
                <w:rFonts w:ascii="Arial Narrow" w:hAnsi="Arial Narrow"/>
                <w:sz w:val="20"/>
                <w:szCs w:val="20"/>
              </w:rPr>
              <w:t>71/124 (57.3)</w:t>
            </w:r>
          </w:p>
        </w:tc>
        <w:tc>
          <w:tcPr>
            <w:tcW w:w="864" w:type="pct"/>
            <w:shd w:val="clear" w:color="auto" w:fill="B8CCE4"/>
            <w:tcMar>
              <w:left w:w="20" w:type="dxa"/>
              <w:right w:w="20" w:type="dxa"/>
            </w:tcMar>
          </w:tcPr>
          <w:p w14:paraId="21DA8B07" w14:textId="77777777" w:rsidR="00D85532" w:rsidRPr="0061343E" w:rsidRDefault="00D85532" w:rsidP="00E7466A">
            <w:pPr>
              <w:keepNext/>
              <w:jc w:val="center"/>
              <w:rPr>
                <w:rFonts w:ascii="Arial Narrow" w:hAnsi="Arial Narrow"/>
                <w:b/>
                <w:bCs/>
                <w:sz w:val="20"/>
                <w:szCs w:val="20"/>
              </w:rPr>
            </w:pPr>
            <w:r w:rsidRPr="0061343E">
              <w:rPr>
                <w:rFonts w:ascii="Arial Narrow" w:hAnsi="Arial Narrow"/>
                <w:b/>
                <w:bCs/>
                <w:sz w:val="20"/>
                <w:szCs w:val="20"/>
              </w:rPr>
              <w:t>1.47 (1.25, 1.73)</w:t>
            </w:r>
          </w:p>
        </w:tc>
        <w:tc>
          <w:tcPr>
            <w:tcW w:w="811" w:type="pct"/>
            <w:shd w:val="clear" w:color="auto" w:fill="B8CCE4"/>
            <w:tcMar>
              <w:left w:w="20" w:type="dxa"/>
              <w:right w:w="20" w:type="dxa"/>
            </w:tcMar>
          </w:tcPr>
          <w:p w14:paraId="581454AC" w14:textId="77777777" w:rsidR="00D85532" w:rsidRPr="0061343E" w:rsidRDefault="00D85532" w:rsidP="00E7466A">
            <w:pPr>
              <w:keepNext/>
              <w:jc w:val="center"/>
              <w:rPr>
                <w:rFonts w:ascii="Arial Narrow" w:hAnsi="Arial Narrow"/>
                <w:b/>
                <w:bCs/>
                <w:sz w:val="20"/>
                <w:szCs w:val="20"/>
              </w:rPr>
            </w:pPr>
            <w:r w:rsidRPr="0061343E">
              <w:rPr>
                <w:rFonts w:ascii="Arial Narrow" w:hAnsi="Arial Narrow"/>
                <w:b/>
                <w:bCs/>
                <w:sz w:val="20"/>
                <w:szCs w:val="20"/>
              </w:rPr>
              <w:t>0.27 (0.17, 0.37)</w:t>
            </w:r>
          </w:p>
        </w:tc>
      </w:tr>
      <w:tr w:rsidR="00D85532" w:rsidRPr="0061343E" w14:paraId="5F3E1A97" w14:textId="77777777" w:rsidTr="00DA0D1F">
        <w:tc>
          <w:tcPr>
            <w:tcW w:w="1860" w:type="pct"/>
            <w:shd w:val="clear" w:color="auto" w:fill="B8CCE4"/>
            <w:tcMar>
              <w:left w:w="20" w:type="dxa"/>
              <w:right w:w="20" w:type="dxa"/>
            </w:tcMar>
          </w:tcPr>
          <w:p w14:paraId="0B794334" w14:textId="77777777" w:rsidR="00D85532" w:rsidRPr="0061343E" w:rsidRDefault="00D85532" w:rsidP="00E7466A">
            <w:pPr>
              <w:pStyle w:val="TableLeft"/>
              <w:keepNext/>
              <w:rPr>
                <w:rFonts w:ascii="Arial Narrow" w:hAnsi="Arial Narrow"/>
                <w:sz w:val="20"/>
                <w:szCs w:val="20"/>
              </w:rPr>
            </w:pPr>
            <w:r w:rsidRPr="0061343E">
              <w:rPr>
                <w:rFonts w:ascii="Arial Narrow" w:hAnsi="Arial Narrow"/>
                <w:sz w:val="20"/>
                <w:szCs w:val="20"/>
              </w:rPr>
              <w:t>CAFÉ</w:t>
            </w:r>
          </w:p>
        </w:tc>
        <w:tc>
          <w:tcPr>
            <w:tcW w:w="731" w:type="pct"/>
            <w:shd w:val="clear" w:color="auto" w:fill="B8CCE4"/>
            <w:tcMar>
              <w:left w:w="20" w:type="dxa"/>
              <w:right w:w="20" w:type="dxa"/>
            </w:tcMar>
          </w:tcPr>
          <w:p w14:paraId="4613E94C" w14:textId="77777777" w:rsidR="00D85532" w:rsidRPr="0061343E" w:rsidRDefault="00D85532" w:rsidP="00E7466A">
            <w:pPr>
              <w:pStyle w:val="TableCentre"/>
              <w:keepNext/>
              <w:rPr>
                <w:rFonts w:ascii="Arial Narrow" w:hAnsi="Arial Narrow"/>
                <w:sz w:val="20"/>
                <w:szCs w:val="20"/>
              </w:rPr>
            </w:pPr>
            <w:r w:rsidRPr="0061343E">
              <w:rPr>
                <w:rFonts w:ascii="Arial Narrow" w:hAnsi="Arial Narrow"/>
                <w:sz w:val="20"/>
                <w:szCs w:val="20"/>
              </w:rPr>
              <w:t>91/107 (85.0)</w:t>
            </w:r>
          </w:p>
        </w:tc>
        <w:tc>
          <w:tcPr>
            <w:tcW w:w="734" w:type="pct"/>
            <w:shd w:val="clear" w:color="auto" w:fill="B8CCE4"/>
            <w:tcMar>
              <w:left w:w="20" w:type="dxa"/>
              <w:right w:w="20" w:type="dxa"/>
            </w:tcMar>
          </w:tcPr>
          <w:p w14:paraId="04E9E66C" w14:textId="77777777" w:rsidR="00D85532" w:rsidRPr="0061343E" w:rsidRDefault="00D85532" w:rsidP="00E7466A">
            <w:pPr>
              <w:pStyle w:val="TableCentre"/>
              <w:keepNext/>
              <w:rPr>
                <w:rFonts w:ascii="Arial Narrow" w:hAnsi="Arial Narrow"/>
                <w:sz w:val="20"/>
                <w:szCs w:val="20"/>
              </w:rPr>
            </w:pPr>
            <w:r w:rsidRPr="0061343E">
              <w:rPr>
                <w:rFonts w:ascii="Arial Narrow" w:hAnsi="Arial Narrow"/>
                <w:sz w:val="20"/>
                <w:szCs w:val="20"/>
              </w:rPr>
              <w:t>47/108 (43.5)</w:t>
            </w:r>
          </w:p>
        </w:tc>
        <w:tc>
          <w:tcPr>
            <w:tcW w:w="864" w:type="pct"/>
            <w:shd w:val="clear" w:color="auto" w:fill="B8CCE4"/>
            <w:tcMar>
              <w:left w:w="20" w:type="dxa"/>
              <w:right w:w="20" w:type="dxa"/>
            </w:tcMar>
          </w:tcPr>
          <w:p w14:paraId="1C398099" w14:textId="77777777" w:rsidR="00D85532" w:rsidRPr="0061343E" w:rsidRDefault="00D85532" w:rsidP="00E7466A">
            <w:pPr>
              <w:keepNext/>
              <w:jc w:val="center"/>
              <w:rPr>
                <w:rFonts w:ascii="Arial Narrow" w:hAnsi="Arial Narrow"/>
                <w:b/>
                <w:bCs/>
                <w:sz w:val="20"/>
                <w:szCs w:val="20"/>
              </w:rPr>
            </w:pPr>
            <w:r w:rsidRPr="0061343E">
              <w:rPr>
                <w:rFonts w:ascii="Arial Narrow" w:hAnsi="Arial Narrow"/>
                <w:b/>
                <w:bCs/>
                <w:sz w:val="20"/>
                <w:szCs w:val="20"/>
              </w:rPr>
              <w:t>1.95 (1.55, 2.46)</w:t>
            </w:r>
          </w:p>
        </w:tc>
        <w:tc>
          <w:tcPr>
            <w:tcW w:w="811" w:type="pct"/>
            <w:shd w:val="clear" w:color="auto" w:fill="B8CCE4"/>
            <w:tcMar>
              <w:left w:w="20" w:type="dxa"/>
              <w:right w:w="20" w:type="dxa"/>
            </w:tcMar>
          </w:tcPr>
          <w:p w14:paraId="65072C5F" w14:textId="77777777" w:rsidR="00D85532" w:rsidRPr="0061343E" w:rsidRDefault="00D85532" w:rsidP="00E7466A">
            <w:pPr>
              <w:keepNext/>
              <w:jc w:val="center"/>
              <w:rPr>
                <w:rFonts w:ascii="Arial Narrow" w:hAnsi="Arial Narrow"/>
                <w:b/>
                <w:bCs/>
                <w:sz w:val="20"/>
                <w:szCs w:val="20"/>
              </w:rPr>
            </w:pPr>
            <w:r w:rsidRPr="0061343E">
              <w:rPr>
                <w:rFonts w:ascii="Arial Narrow" w:hAnsi="Arial Narrow"/>
                <w:b/>
                <w:bCs/>
                <w:sz w:val="20"/>
                <w:szCs w:val="20"/>
              </w:rPr>
              <w:t>0.42 (0.30, 0.53)</w:t>
            </w:r>
          </w:p>
        </w:tc>
      </w:tr>
      <w:tr w:rsidR="00DA0D1F" w:rsidRPr="0061343E" w14:paraId="0ECA93F9" w14:textId="77777777" w:rsidTr="00DA0D1F">
        <w:tc>
          <w:tcPr>
            <w:tcW w:w="3325" w:type="pct"/>
            <w:gridSpan w:val="3"/>
            <w:shd w:val="clear" w:color="auto" w:fill="auto"/>
            <w:tcMar>
              <w:left w:w="20" w:type="dxa"/>
              <w:right w:w="20" w:type="dxa"/>
            </w:tcMar>
          </w:tcPr>
          <w:p w14:paraId="73B25DBC" w14:textId="07676C05" w:rsidR="00DA0D1F" w:rsidRPr="0061343E" w:rsidRDefault="00DA0D1F" w:rsidP="00DA0D1F">
            <w:pPr>
              <w:pStyle w:val="TableCentre"/>
              <w:keepNext/>
              <w:jc w:val="left"/>
              <w:rPr>
                <w:rFonts w:ascii="Arial Narrow" w:hAnsi="Arial Narrow"/>
                <w:sz w:val="20"/>
                <w:szCs w:val="20"/>
              </w:rPr>
            </w:pPr>
            <w:r w:rsidRPr="0061343E">
              <w:rPr>
                <w:rFonts w:ascii="Arial Narrow" w:hAnsi="Arial Narrow"/>
                <w:sz w:val="20"/>
                <w:szCs w:val="20"/>
              </w:rPr>
              <w:t>Pooled (REM)</w:t>
            </w:r>
          </w:p>
        </w:tc>
        <w:tc>
          <w:tcPr>
            <w:tcW w:w="864" w:type="pct"/>
            <w:shd w:val="clear" w:color="auto" w:fill="auto"/>
            <w:tcMar>
              <w:left w:w="20" w:type="dxa"/>
              <w:right w:w="20" w:type="dxa"/>
            </w:tcMar>
          </w:tcPr>
          <w:p w14:paraId="1CC2EAA3" w14:textId="77777777" w:rsidR="00DA0D1F" w:rsidRPr="0061343E" w:rsidRDefault="00DA0D1F" w:rsidP="00E7466A">
            <w:pPr>
              <w:keepNext/>
              <w:jc w:val="center"/>
              <w:rPr>
                <w:rFonts w:ascii="Arial Narrow" w:hAnsi="Arial Narrow"/>
                <w:b/>
                <w:bCs/>
                <w:sz w:val="20"/>
                <w:szCs w:val="20"/>
              </w:rPr>
            </w:pPr>
            <w:r w:rsidRPr="0061343E">
              <w:rPr>
                <w:rFonts w:ascii="Arial Narrow" w:hAnsi="Arial Narrow"/>
                <w:b/>
                <w:bCs/>
                <w:sz w:val="20"/>
                <w:szCs w:val="20"/>
              </w:rPr>
              <w:t>1.82 (1.43, 2.33)</w:t>
            </w:r>
          </w:p>
        </w:tc>
        <w:tc>
          <w:tcPr>
            <w:tcW w:w="811" w:type="pct"/>
            <w:shd w:val="clear" w:color="auto" w:fill="auto"/>
            <w:tcMar>
              <w:left w:w="20" w:type="dxa"/>
              <w:right w:w="20" w:type="dxa"/>
            </w:tcMar>
          </w:tcPr>
          <w:p w14:paraId="7CB03412" w14:textId="77777777" w:rsidR="00DA0D1F" w:rsidRPr="0061343E" w:rsidRDefault="00DA0D1F" w:rsidP="00E7466A">
            <w:pPr>
              <w:keepNext/>
              <w:jc w:val="center"/>
              <w:rPr>
                <w:rFonts w:ascii="Arial Narrow" w:hAnsi="Arial Narrow"/>
                <w:b/>
                <w:bCs/>
                <w:sz w:val="20"/>
                <w:szCs w:val="20"/>
              </w:rPr>
            </w:pPr>
            <w:r w:rsidRPr="0061343E">
              <w:rPr>
                <w:rFonts w:ascii="Arial Narrow" w:hAnsi="Arial Narrow"/>
                <w:b/>
                <w:bCs/>
                <w:sz w:val="20"/>
                <w:szCs w:val="20"/>
              </w:rPr>
              <w:t>0.37 (0.27, 0.47)</w:t>
            </w:r>
          </w:p>
        </w:tc>
      </w:tr>
      <w:tr w:rsidR="00DA0D1F" w:rsidRPr="0061343E" w14:paraId="3798E0E6" w14:textId="77777777" w:rsidTr="00DA0D1F">
        <w:tc>
          <w:tcPr>
            <w:tcW w:w="3325" w:type="pct"/>
            <w:gridSpan w:val="3"/>
            <w:shd w:val="clear" w:color="auto" w:fill="auto"/>
            <w:tcMar>
              <w:left w:w="20" w:type="dxa"/>
              <w:right w:w="20" w:type="dxa"/>
            </w:tcMar>
          </w:tcPr>
          <w:p w14:paraId="6F05D996" w14:textId="65F2474A" w:rsidR="00DA0D1F" w:rsidRPr="0061343E" w:rsidRDefault="00DA0D1F" w:rsidP="00DA0D1F">
            <w:pPr>
              <w:pStyle w:val="TableCentre"/>
              <w:keepNext/>
              <w:jc w:val="left"/>
              <w:rPr>
                <w:rFonts w:ascii="Arial Narrow" w:hAnsi="Arial Narrow"/>
                <w:sz w:val="20"/>
                <w:szCs w:val="20"/>
              </w:rPr>
            </w:pPr>
            <w:r w:rsidRPr="0061343E">
              <w:rPr>
                <w:rFonts w:ascii="Arial Narrow" w:hAnsi="Arial Narrow"/>
                <w:sz w:val="20"/>
                <w:szCs w:val="20"/>
              </w:rPr>
              <w:t>Pooled (REM) excl. CAFÉ</w:t>
            </w:r>
          </w:p>
        </w:tc>
        <w:tc>
          <w:tcPr>
            <w:tcW w:w="864" w:type="pct"/>
            <w:shd w:val="clear" w:color="auto" w:fill="auto"/>
            <w:tcMar>
              <w:left w:w="20" w:type="dxa"/>
              <w:right w:w="20" w:type="dxa"/>
            </w:tcMar>
          </w:tcPr>
          <w:p w14:paraId="4E795191" w14:textId="77777777" w:rsidR="00DA0D1F" w:rsidRPr="0061343E" w:rsidRDefault="00DA0D1F" w:rsidP="00E7466A">
            <w:pPr>
              <w:keepNext/>
              <w:jc w:val="center"/>
              <w:rPr>
                <w:rFonts w:ascii="Arial Narrow" w:hAnsi="Arial Narrow"/>
                <w:b/>
                <w:bCs/>
                <w:sz w:val="20"/>
                <w:szCs w:val="20"/>
              </w:rPr>
            </w:pPr>
            <w:r w:rsidRPr="0061343E">
              <w:rPr>
                <w:rFonts w:ascii="Arial Narrow" w:hAnsi="Arial Narrow"/>
                <w:b/>
                <w:bCs/>
                <w:sz w:val="20"/>
                <w:szCs w:val="20"/>
              </w:rPr>
              <w:t>1.77 (1.22, 2.57)</w:t>
            </w:r>
          </w:p>
        </w:tc>
        <w:tc>
          <w:tcPr>
            <w:tcW w:w="811" w:type="pct"/>
            <w:shd w:val="clear" w:color="auto" w:fill="auto"/>
            <w:tcMar>
              <w:left w:w="20" w:type="dxa"/>
              <w:right w:w="20" w:type="dxa"/>
            </w:tcMar>
          </w:tcPr>
          <w:p w14:paraId="1F3B0E1B" w14:textId="77777777" w:rsidR="00DA0D1F" w:rsidRPr="0061343E" w:rsidRDefault="00DA0D1F" w:rsidP="00E7466A">
            <w:pPr>
              <w:keepNext/>
              <w:jc w:val="center"/>
              <w:rPr>
                <w:rFonts w:ascii="Arial Narrow" w:hAnsi="Arial Narrow"/>
                <w:b/>
                <w:bCs/>
                <w:sz w:val="20"/>
                <w:szCs w:val="20"/>
              </w:rPr>
            </w:pPr>
            <w:r w:rsidRPr="0061343E">
              <w:rPr>
                <w:rFonts w:ascii="Arial Narrow" w:hAnsi="Arial Narrow"/>
                <w:b/>
                <w:bCs/>
                <w:sz w:val="20"/>
                <w:szCs w:val="20"/>
              </w:rPr>
              <w:t>0.35 (0.19, 0.51)</w:t>
            </w:r>
          </w:p>
        </w:tc>
      </w:tr>
      <w:tr w:rsidR="00D85532" w:rsidRPr="0061343E" w14:paraId="2564053F" w14:textId="77777777" w:rsidTr="00DA0D1F">
        <w:tc>
          <w:tcPr>
            <w:tcW w:w="0" w:type="auto"/>
            <w:gridSpan w:val="5"/>
            <w:shd w:val="clear" w:color="auto" w:fill="auto"/>
            <w:tcMar>
              <w:left w:w="20" w:type="dxa"/>
              <w:right w:w="20" w:type="dxa"/>
            </w:tcMar>
          </w:tcPr>
          <w:p w14:paraId="7EF8AF24" w14:textId="77777777" w:rsidR="00D85532" w:rsidRPr="0061343E" w:rsidRDefault="00D85532" w:rsidP="00E7466A">
            <w:pPr>
              <w:keepNext/>
              <w:rPr>
                <w:rFonts w:ascii="Arial Narrow" w:hAnsi="Arial Narrow"/>
                <w:b/>
                <w:bCs/>
                <w:sz w:val="20"/>
                <w:szCs w:val="20"/>
              </w:rPr>
            </w:pPr>
            <w:r w:rsidRPr="0061343E">
              <w:rPr>
                <w:rFonts w:ascii="Arial Narrow" w:hAnsi="Arial Narrow"/>
                <w:b/>
                <w:bCs/>
                <w:sz w:val="20"/>
                <w:szCs w:val="20"/>
              </w:rPr>
              <w:t>Indirect comparison</w:t>
            </w:r>
          </w:p>
        </w:tc>
      </w:tr>
      <w:tr w:rsidR="00D85532" w:rsidRPr="0061343E" w14:paraId="16BEA200" w14:textId="77777777" w:rsidTr="00DA0D1F">
        <w:tc>
          <w:tcPr>
            <w:tcW w:w="3325" w:type="pct"/>
            <w:gridSpan w:val="3"/>
            <w:shd w:val="clear" w:color="auto" w:fill="auto"/>
            <w:tcMar>
              <w:left w:w="20" w:type="dxa"/>
              <w:right w:w="20" w:type="dxa"/>
            </w:tcMar>
          </w:tcPr>
          <w:p w14:paraId="0929FD75" w14:textId="77777777" w:rsidR="00D85532" w:rsidRPr="0061343E" w:rsidRDefault="00D85532" w:rsidP="00E7466A">
            <w:pPr>
              <w:pStyle w:val="TableCentre"/>
              <w:keepNext/>
              <w:jc w:val="both"/>
              <w:rPr>
                <w:rFonts w:ascii="Arial Narrow" w:hAnsi="Arial Narrow"/>
                <w:sz w:val="20"/>
                <w:szCs w:val="20"/>
              </w:rPr>
            </w:pPr>
            <w:r w:rsidRPr="0061343E">
              <w:rPr>
                <w:rFonts w:ascii="Arial Narrow" w:hAnsi="Arial Narrow"/>
                <w:sz w:val="20"/>
                <w:szCs w:val="20"/>
              </w:rPr>
              <w:t>NEMO 30 mg Q4W (pooled excl. ARCADIA CYCLO) vs DUPI 300 mg Q2W (pooled excl. CAFÉ)</w:t>
            </w:r>
          </w:p>
        </w:tc>
        <w:tc>
          <w:tcPr>
            <w:tcW w:w="864" w:type="pct"/>
            <w:shd w:val="clear" w:color="auto" w:fill="auto"/>
            <w:tcMar>
              <w:left w:w="20" w:type="dxa"/>
              <w:right w:w="20" w:type="dxa"/>
            </w:tcMar>
          </w:tcPr>
          <w:p w14:paraId="2AED347E" w14:textId="77777777" w:rsidR="00D85532" w:rsidRPr="0061343E" w:rsidRDefault="00D85532" w:rsidP="00E7466A">
            <w:pPr>
              <w:jc w:val="center"/>
              <w:rPr>
                <w:rFonts w:ascii="Arial Narrow" w:hAnsi="Arial Narrow"/>
                <w:sz w:val="20"/>
                <w:szCs w:val="20"/>
              </w:rPr>
            </w:pPr>
            <w:r w:rsidRPr="0061343E">
              <w:rPr>
                <w:rFonts w:ascii="Arial Narrow" w:hAnsi="Arial Narrow"/>
                <w:sz w:val="20"/>
                <w:szCs w:val="20"/>
              </w:rPr>
              <w:t>0.72 (0.49, 1.05)</w:t>
            </w:r>
          </w:p>
          <w:p w14:paraId="69038815" w14:textId="77777777" w:rsidR="00D85532" w:rsidRPr="0061343E" w:rsidRDefault="00D85532" w:rsidP="00E7466A">
            <w:pPr>
              <w:keepNext/>
              <w:jc w:val="center"/>
              <w:rPr>
                <w:rFonts w:ascii="Arial Narrow" w:hAnsi="Arial Narrow"/>
                <w:b/>
                <w:bCs/>
                <w:sz w:val="20"/>
                <w:szCs w:val="20"/>
              </w:rPr>
            </w:pPr>
          </w:p>
        </w:tc>
        <w:tc>
          <w:tcPr>
            <w:tcW w:w="811" w:type="pct"/>
            <w:shd w:val="clear" w:color="auto" w:fill="auto"/>
            <w:tcMar>
              <w:left w:w="20" w:type="dxa"/>
              <w:right w:w="20" w:type="dxa"/>
            </w:tcMar>
          </w:tcPr>
          <w:p w14:paraId="47888451" w14:textId="77777777" w:rsidR="00D85532" w:rsidRPr="0061343E" w:rsidRDefault="00D85532" w:rsidP="00E7466A">
            <w:pPr>
              <w:jc w:val="center"/>
              <w:rPr>
                <w:rFonts w:ascii="Arial Narrow" w:hAnsi="Arial Narrow"/>
                <w:b/>
                <w:bCs/>
                <w:sz w:val="20"/>
                <w:szCs w:val="20"/>
              </w:rPr>
            </w:pPr>
            <w:r w:rsidRPr="0061343E">
              <w:rPr>
                <w:rFonts w:ascii="Arial Narrow" w:hAnsi="Arial Narrow"/>
                <w:b/>
                <w:bCs/>
                <w:sz w:val="20"/>
                <w:szCs w:val="20"/>
              </w:rPr>
              <w:t>-0.22 (-0.39, -0.05)</w:t>
            </w:r>
          </w:p>
          <w:p w14:paraId="5B48E679" w14:textId="77777777" w:rsidR="00D85532" w:rsidRPr="0061343E" w:rsidRDefault="00D85532" w:rsidP="00E7466A">
            <w:pPr>
              <w:keepNext/>
              <w:jc w:val="center"/>
              <w:rPr>
                <w:rFonts w:ascii="Arial Narrow" w:hAnsi="Arial Narrow"/>
                <w:b/>
                <w:bCs/>
                <w:sz w:val="20"/>
                <w:szCs w:val="20"/>
              </w:rPr>
            </w:pPr>
          </w:p>
        </w:tc>
      </w:tr>
    </w:tbl>
    <w:p w14:paraId="2A599F03" w14:textId="77777777" w:rsidR="00D85532" w:rsidRPr="0061343E" w:rsidRDefault="00D85532" w:rsidP="00D85532">
      <w:pPr>
        <w:pStyle w:val="CaptionFootnote"/>
        <w:rPr>
          <w:rFonts w:ascii="Arial Narrow" w:hAnsi="Arial Narrow"/>
          <w:sz w:val="18"/>
          <w:szCs w:val="18"/>
        </w:rPr>
      </w:pPr>
      <w:r w:rsidRPr="0061343E">
        <w:rPr>
          <w:rFonts w:ascii="Arial Narrow" w:hAnsi="Arial Narrow"/>
          <w:sz w:val="18"/>
          <w:szCs w:val="18"/>
        </w:rPr>
        <w:t>Source: Table 2-85, p214 of the submission.</w:t>
      </w:r>
    </w:p>
    <w:p w14:paraId="4B35F4BB" w14:textId="77777777" w:rsidR="00D85532" w:rsidRPr="0061343E" w:rsidRDefault="00D85532" w:rsidP="00D85532">
      <w:pPr>
        <w:pStyle w:val="CaptionFootnote"/>
        <w:rPr>
          <w:rFonts w:ascii="Arial Narrow" w:hAnsi="Arial Narrow"/>
          <w:sz w:val="18"/>
          <w:szCs w:val="18"/>
        </w:rPr>
      </w:pPr>
      <w:r w:rsidRPr="0061343E">
        <w:rPr>
          <w:rFonts w:ascii="Arial Narrow" w:hAnsi="Arial Narrow"/>
          <w:sz w:val="18"/>
          <w:szCs w:val="18"/>
        </w:rPr>
        <w:t>CI = confidence interval; DUPI = dupilumab; EASI-50 = proportion of patients with ≥ 50% improvement in Eczema Area and Severity Index from baseline; ITC = indirect treatment comparison; ITT = intention-to-treat; NEMO = nemolizumab; NRI = non responder imputation; Q2W = every 2 weeks; Q4W = every 4 weeks; RD = risk difference; REM = random effects model; RR = relative risk</w:t>
      </w:r>
    </w:p>
    <w:p w14:paraId="6FFA7E13" w14:textId="77777777" w:rsidR="00D85532" w:rsidRPr="0061343E" w:rsidRDefault="00D85532" w:rsidP="00D85532">
      <w:pPr>
        <w:pStyle w:val="CaptionFootnote"/>
        <w:rPr>
          <w:rFonts w:ascii="Arial Narrow" w:hAnsi="Arial Narrow"/>
          <w:sz w:val="18"/>
          <w:szCs w:val="18"/>
        </w:rPr>
      </w:pPr>
      <w:r w:rsidRPr="0061343E">
        <w:rPr>
          <w:rFonts w:ascii="Arial Narrow" w:hAnsi="Arial Narrow"/>
          <w:b/>
          <w:bCs/>
          <w:sz w:val="18"/>
          <w:szCs w:val="18"/>
        </w:rPr>
        <w:t>Bold</w:t>
      </w:r>
      <w:r w:rsidRPr="0061343E">
        <w:rPr>
          <w:rFonts w:ascii="Arial Narrow" w:hAnsi="Arial Narrow"/>
          <w:sz w:val="18"/>
          <w:szCs w:val="18"/>
        </w:rPr>
        <w:t xml:space="preserve"> = statistically significant</w:t>
      </w:r>
    </w:p>
    <w:p w14:paraId="77C39E6D" w14:textId="77777777" w:rsidR="00D85532" w:rsidRPr="0061343E" w:rsidRDefault="00D85532" w:rsidP="00D85532">
      <w:pPr>
        <w:pStyle w:val="TableFigureFooter"/>
        <w:spacing w:after="0"/>
        <w:rPr>
          <w:rStyle w:val="CommentReference"/>
          <w:b w:val="0"/>
          <w:bCs/>
          <w:sz w:val="18"/>
          <w:szCs w:val="18"/>
        </w:rPr>
      </w:pPr>
      <w:r w:rsidRPr="0061343E">
        <w:rPr>
          <w:rStyle w:val="CommentReference"/>
          <w:b w:val="0"/>
          <w:bCs/>
          <w:sz w:val="18"/>
          <w:szCs w:val="18"/>
          <w:shd w:val="clear" w:color="auto" w:fill="B8CCE4" w:themeFill="accent1" w:themeFillTint="66"/>
        </w:rPr>
        <w:t>Blue shading</w:t>
      </w:r>
      <w:r w:rsidRPr="0061343E">
        <w:rPr>
          <w:rStyle w:val="CommentReference"/>
          <w:b w:val="0"/>
          <w:bCs/>
          <w:sz w:val="18"/>
          <w:szCs w:val="18"/>
        </w:rPr>
        <w:t xml:space="preserve"> indicates data previously seen by the PBAC.</w:t>
      </w:r>
    </w:p>
    <w:p w14:paraId="26A1C1CC" w14:textId="77777777" w:rsidR="00D85532" w:rsidRPr="0061343E" w:rsidRDefault="00D85532" w:rsidP="00D85532">
      <w:pPr>
        <w:rPr>
          <w:rStyle w:val="CommentReference"/>
          <w:rFonts w:asciiTheme="minorHAnsi" w:hAnsiTheme="minorHAnsi" w:cstheme="minorHAnsi"/>
          <w:b w:val="0"/>
          <w:bCs/>
          <w:sz w:val="24"/>
          <w:szCs w:val="24"/>
        </w:rPr>
      </w:pPr>
    </w:p>
    <w:p w14:paraId="26946EE0" w14:textId="07778B29" w:rsidR="00D85532" w:rsidRPr="0061343E" w:rsidRDefault="00D85532" w:rsidP="00D85532">
      <w:pPr>
        <w:pStyle w:val="Caption"/>
      </w:pPr>
      <w:bookmarkStart w:id="37" w:name="_Ref197332394"/>
      <w:r w:rsidRPr="0061343E">
        <w:t xml:space="preserve">Table </w:t>
      </w:r>
      <w:r w:rsidR="00167892">
        <w:fldChar w:fldCharType="begin"/>
      </w:r>
      <w:r w:rsidR="00167892">
        <w:instrText xml:space="preserve"> SEQ Table \* ARABIC </w:instrText>
      </w:r>
      <w:r w:rsidR="00167892">
        <w:fldChar w:fldCharType="separate"/>
      </w:r>
      <w:r w:rsidR="00E5780E">
        <w:rPr>
          <w:noProof/>
        </w:rPr>
        <w:t>7</w:t>
      </w:r>
      <w:r w:rsidR="00167892">
        <w:rPr>
          <w:noProof/>
        </w:rPr>
        <w:fldChar w:fldCharType="end"/>
      </w:r>
      <w:bookmarkEnd w:id="37"/>
      <w:r w:rsidRPr="0061343E">
        <w:t xml:space="preserve">: ITC of NEMO 30 mg Q4W vs DUPI 300 mg Q2W: </w:t>
      </w:r>
      <w:r w:rsidRPr="0061343E">
        <w:rPr>
          <w:rFonts w:cs="Calibri"/>
        </w:rPr>
        <w:t>≥</w:t>
      </w:r>
      <w:r w:rsidRPr="0061343E">
        <w:rPr>
          <w:rFonts w:hint="eastAsia"/>
        </w:rPr>
        <w:t>4-point improvement in DLQI</w:t>
      </w:r>
      <w:r w:rsidRPr="0061343E">
        <w:t xml:space="preserve"> at Week 16 (NRI) </w:t>
      </w:r>
    </w:p>
    <w:tbl>
      <w:tblPr>
        <w:tblStyle w:val="Submissionstandard"/>
        <w:tblW w:w="5000" w:type="pct"/>
        <w:tblLook w:val="04A0" w:firstRow="1" w:lastRow="0" w:firstColumn="1" w:lastColumn="0" w:noHBand="0" w:noVBand="1"/>
        <w:tblCaption w:val="Table 7: ITC of NEMO 30 mg Q4W vs DUPI 300 mg Q2W: ≥4-point improvement in DLQI at Week 16 (NRI) "/>
      </w:tblPr>
      <w:tblGrid>
        <w:gridCol w:w="3354"/>
        <w:gridCol w:w="1318"/>
        <w:gridCol w:w="1324"/>
        <w:gridCol w:w="1558"/>
        <w:gridCol w:w="1463"/>
      </w:tblGrid>
      <w:tr w:rsidR="00D85532" w:rsidRPr="0061343E" w14:paraId="70348B9A" w14:textId="77777777" w:rsidTr="00DA0D1F">
        <w:trPr>
          <w:cnfStyle w:val="100000000000" w:firstRow="1" w:lastRow="0" w:firstColumn="0" w:lastColumn="0" w:oddVBand="0" w:evenVBand="0" w:oddHBand="0" w:evenHBand="0" w:firstRowFirstColumn="0" w:firstRowLastColumn="0" w:lastRowFirstColumn="0" w:lastRowLastColumn="0"/>
        </w:trPr>
        <w:tc>
          <w:tcPr>
            <w:tcW w:w="1860" w:type="pct"/>
            <w:shd w:val="clear" w:color="auto" w:fill="auto"/>
            <w:tcMar>
              <w:left w:w="20" w:type="dxa"/>
              <w:right w:w="20" w:type="dxa"/>
            </w:tcMar>
          </w:tcPr>
          <w:p w14:paraId="276E50F5" w14:textId="77777777" w:rsidR="00D85532" w:rsidRPr="0061343E" w:rsidRDefault="00D85532" w:rsidP="00E7466A">
            <w:pPr>
              <w:pStyle w:val="TableLeft"/>
              <w:keepNext/>
              <w:rPr>
                <w:rFonts w:ascii="Arial Narrow" w:hAnsi="Arial Narrow"/>
                <w:sz w:val="20"/>
                <w:szCs w:val="20"/>
              </w:rPr>
            </w:pPr>
          </w:p>
        </w:tc>
        <w:tc>
          <w:tcPr>
            <w:tcW w:w="731" w:type="pct"/>
            <w:shd w:val="clear" w:color="auto" w:fill="auto"/>
            <w:tcMar>
              <w:left w:w="20" w:type="dxa"/>
              <w:right w:w="20" w:type="dxa"/>
            </w:tcMar>
          </w:tcPr>
          <w:p w14:paraId="4E2488B7" w14:textId="77777777" w:rsidR="00D85532" w:rsidRPr="0061343E" w:rsidRDefault="00D85532" w:rsidP="00E7466A">
            <w:pPr>
              <w:pStyle w:val="TableCentre"/>
              <w:keepNext/>
              <w:rPr>
                <w:rFonts w:ascii="Arial Narrow" w:hAnsi="Arial Narrow"/>
                <w:b w:val="0"/>
                <w:sz w:val="20"/>
                <w:szCs w:val="20"/>
              </w:rPr>
            </w:pPr>
            <w:r w:rsidRPr="0061343E">
              <w:rPr>
                <w:rFonts w:ascii="Arial Narrow" w:hAnsi="Arial Narrow"/>
                <w:sz w:val="20"/>
                <w:szCs w:val="20"/>
              </w:rPr>
              <w:t>Intervention</w:t>
            </w:r>
          </w:p>
          <w:p w14:paraId="6A9DB9C8" w14:textId="77777777" w:rsidR="00D85532" w:rsidRPr="0061343E" w:rsidRDefault="00D85532" w:rsidP="00E7466A">
            <w:pPr>
              <w:pStyle w:val="TableCentre"/>
              <w:keepNext/>
              <w:rPr>
                <w:rFonts w:ascii="Arial Narrow" w:hAnsi="Arial Narrow"/>
                <w:sz w:val="20"/>
                <w:szCs w:val="20"/>
              </w:rPr>
            </w:pPr>
            <w:r w:rsidRPr="0061343E">
              <w:rPr>
                <w:rFonts w:ascii="Arial Narrow" w:hAnsi="Arial Narrow"/>
                <w:sz w:val="20"/>
                <w:szCs w:val="20"/>
              </w:rPr>
              <w:t>n/N (%)</w:t>
            </w:r>
          </w:p>
        </w:tc>
        <w:tc>
          <w:tcPr>
            <w:tcW w:w="734" w:type="pct"/>
            <w:shd w:val="clear" w:color="auto" w:fill="auto"/>
            <w:tcMar>
              <w:left w:w="20" w:type="dxa"/>
              <w:right w:w="20" w:type="dxa"/>
            </w:tcMar>
          </w:tcPr>
          <w:p w14:paraId="3FED1DAD" w14:textId="77777777" w:rsidR="00D85532" w:rsidRPr="0061343E" w:rsidRDefault="00D85532" w:rsidP="00E7466A">
            <w:pPr>
              <w:pStyle w:val="TableCentre"/>
              <w:keepNext/>
              <w:rPr>
                <w:rFonts w:ascii="Arial Narrow" w:hAnsi="Arial Narrow"/>
                <w:b w:val="0"/>
                <w:sz w:val="20"/>
                <w:szCs w:val="20"/>
              </w:rPr>
            </w:pPr>
            <w:r w:rsidRPr="0061343E">
              <w:rPr>
                <w:rFonts w:ascii="Arial Narrow" w:hAnsi="Arial Narrow"/>
                <w:sz w:val="20"/>
                <w:szCs w:val="20"/>
              </w:rPr>
              <w:t>Comparator</w:t>
            </w:r>
          </w:p>
          <w:p w14:paraId="06983E88" w14:textId="77777777" w:rsidR="00D85532" w:rsidRPr="0061343E" w:rsidRDefault="00D85532" w:rsidP="00E7466A">
            <w:pPr>
              <w:pStyle w:val="TableCentre"/>
              <w:keepNext/>
              <w:rPr>
                <w:rFonts w:ascii="Arial Narrow" w:hAnsi="Arial Narrow"/>
                <w:sz w:val="20"/>
                <w:szCs w:val="20"/>
              </w:rPr>
            </w:pPr>
            <w:r w:rsidRPr="0061343E">
              <w:rPr>
                <w:rFonts w:ascii="Arial Narrow" w:hAnsi="Arial Narrow"/>
                <w:sz w:val="20"/>
                <w:szCs w:val="20"/>
              </w:rPr>
              <w:t>n/N (%)</w:t>
            </w:r>
          </w:p>
        </w:tc>
        <w:tc>
          <w:tcPr>
            <w:tcW w:w="864" w:type="pct"/>
            <w:shd w:val="clear" w:color="auto" w:fill="auto"/>
            <w:tcMar>
              <w:left w:w="20" w:type="dxa"/>
              <w:right w:w="20" w:type="dxa"/>
            </w:tcMar>
          </w:tcPr>
          <w:p w14:paraId="19A3A23A" w14:textId="77777777" w:rsidR="00D85532" w:rsidRPr="0061343E" w:rsidRDefault="00D85532" w:rsidP="00E7466A">
            <w:pPr>
              <w:pStyle w:val="TableCentre"/>
              <w:keepNext/>
              <w:rPr>
                <w:rFonts w:ascii="Arial Narrow" w:hAnsi="Arial Narrow"/>
                <w:sz w:val="20"/>
                <w:szCs w:val="20"/>
              </w:rPr>
            </w:pPr>
            <w:r w:rsidRPr="0061343E">
              <w:rPr>
                <w:rFonts w:ascii="Arial Narrow" w:hAnsi="Arial Narrow"/>
                <w:sz w:val="20"/>
                <w:szCs w:val="20"/>
              </w:rPr>
              <w:t>RR (95% CI)</w:t>
            </w:r>
          </w:p>
        </w:tc>
        <w:tc>
          <w:tcPr>
            <w:tcW w:w="811" w:type="pct"/>
            <w:shd w:val="clear" w:color="auto" w:fill="auto"/>
            <w:tcMar>
              <w:left w:w="20" w:type="dxa"/>
              <w:right w:w="20" w:type="dxa"/>
            </w:tcMar>
          </w:tcPr>
          <w:p w14:paraId="3593551A" w14:textId="77777777" w:rsidR="00D85532" w:rsidRPr="0061343E" w:rsidRDefault="00D85532" w:rsidP="00E7466A">
            <w:pPr>
              <w:pStyle w:val="TableCentre"/>
              <w:keepNext/>
              <w:rPr>
                <w:rFonts w:ascii="Arial Narrow" w:hAnsi="Arial Narrow"/>
                <w:sz w:val="20"/>
                <w:szCs w:val="20"/>
              </w:rPr>
            </w:pPr>
            <w:r w:rsidRPr="0061343E">
              <w:rPr>
                <w:rFonts w:ascii="Arial Narrow" w:hAnsi="Arial Narrow"/>
                <w:sz w:val="20"/>
                <w:szCs w:val="20"/>
              </w:rPr>
              <w:t>RD (95% CI)</w:t>
            </w:r>
          </w:p>
        </w:tc>
      </w:tr>
      <w:tr w:rsidR="00D85532" w:rsidRPr="0061343E" w14:paraId="69092184" w14:textId="77777777" w:rsidTr="00DA0D1F">
        <w:tc>
          <w:tcPr>
            <w:tcW w:w="0" w:type="auto"/>
            <w:gridSpan w:val="5"/>
            <w:shd w:val="clear" w:color="auto" w:fill="auto"/>
            <w:tcMar>
              <w:left w:w="20" w:type="dxa"/>
              <w:right w:w="20" w:type="dxa"/>
            </w:tcMar>
          </w:tcPr>
          <w:p w14:paraId="2ADC85E3" w14:textId="77777777" w:rsidR="00D85532" w:rsidRPr="0061343E" w:rsidRDefault="00D85532" w:rsidP="00E7466A">
            <w:pPr>
              <w:pStyle w:val="TableCentre"/>
              <w:keepNext/>
              <w:jc w:val="left"/>
              <w:rPr>
                <w:rFonts w:ascii="Arial Narrow" w:hAnsi="Arial Narrow"/>
                <w:b/>
                <w:bCs/>
                <w:sz w:val="20"/>
                <w:szCs w:val="20"/>
              </w:rPr>
            </w:pPr>
            <w:r w:rsidRPr="0061343E">
              <w:rPr>
                <w:rFonts w:ascii="Arial Narrow" w:hAnsi="Arial Narrow"/>
                <w:b/>
                <w:bCs/>
                <w:sz w:val="20"/>
                <w:szCs w:val="20"/>
              </w:rPr>
              <w:t>NEMO 30 mg Q4W vs placebo</w:t>
            </w:r>
          </w:p>
        </w:tc>
      </w:tr>
      <w:tr w:rsidR="00D85532" w:rsidRPr="0061343E" w14:paraId="28C3EA72" w14:textId="77777777" w:rsidTr="00DA0D1F">
        <w:tc>
          <w:tcPr>
            <w:tcW w:w="1860" w:type="pct"/>
            <w:shd w:val="clear" w:color="auto" w:fill="auto"/>
            <w:tcMar>
              <w:left w:w="20" w:type="dxa"/>
              <w:right w:w="20" w:type="dxa"/>
            </w:tcMar>
          </w:tcPr>
          <w:p w14:paraId="1E57ACCE" w14:textId="77777777" w:rsidR="00D85532" w:rsidRPr="0061343E" w:rsidRDefault="00D85532" w:rsidP="00E7466A">
            <w:pPr>
              <w:pStyle w:val="TableLeft"/>
              <w:keepNext/>
              <w:rPr>
                <w:rFonts w:ascii="Arial Narrow" w:hAnsi="Arial Narrow"/>
                <w:sz w:val="20"/>
                <w:szCs w:val="20"/>
              </w:rPr>
            </w:pPr>
            <w:r w:rsidRPr="0061343E">
              <w:rPr>
                <w:rFonts w:ascii="Arial Narrow" w:hAnsi="Arial Narrow"/>
                <w:sz w:val="20"/>
                <w:szCs w:val="20"/>
              </w:rPr>
              <w:t>ARCADIA 1</w:t>
            </w:r>
          </w:p>
        </w:tc>
        <w:tc>
          <w:tcPr>
            <w:tcW w:w="731" w:type="pct"/>
            <w:shd w:val="clear" w:color="auto" w:fill="auto"/>
            <w:tcMar>
              <w:left w:w="20" w:type="dxa"/>
              <w:right w:w="20" w:type="dxa"/>
            </w:tcMar>
          </w:tcPr>
          <w:p w14:paraId="248D2B3C" w14:textId="77777777" w:rsidR="00D85532" w:rsidRPr="0061343E" w:rsidRDefault="00D85532" w:rsidP="00E7466A">
            <w:pPr>
              <w:pStyle w:val="TableCentre"/>
              <w:keepNext/>
              <w:rPr>
                <w:rFonts w:ascii="Arial Narrow" w:hAnsi="Arial Narrow"/>
                <w:sz w:val="20"/>
                <w:szCs w:val="20"/>
              </w:rPr>
            </w:pPr>
            <w:r w:rsidRPr="0061343E">
              <w:rPr>
                <w:rFonts w:ascii="Arial Narrow" w:hAnsi="Arial Narrow"/>
                <w:sz w:val="20"/>
                <w:szCs w:val="20"/>
              </w:rPr>
              <w:t>379/535 (70.8)</w:t>
            </w:r>
          </w:p>
        </w:tc>
        <w:tc>
          <w:tcPr>
            <w:tcW w:w="734" w:type="pct"/>
            <w:shd w:val="clear" w:color="auto" w:fill="auto"/>
            <w:tcMar>
              <w:left w:w="20" w:type="dxa"/>
              <w:right w:w="20" w:type="dxa"/>
            </w:tcMar>
          </w:tcPr>
          <w:p w14:paraId="56C072D0" w14:textId="77777777" w:rsidR="00D85532" w:rsidRPr="0061343E" w:rsidRDefault="00D85532" w:rsidP="00E7466A">
            <w:pPr>
              <w:pStyle w:val="TableCentre"/>
              <w:keepNext/>
              <w:rPr>
                <w:rFonts w:ascii="Arial Narrow" w:hAnsi="Arial Narrow"/>
                <w:sz w:val="20"/>
                <w:szCs w:val="20"/>
              </w:rPr>
            </w:pPr>
            <w:r w:rsidRPr="0061343E">
              <w:rPr>
                <w:rFonts w:ascii="Arial Narrow" w:hAnsi="Arial Narrow"/>
                <w:sz w:val="20"/>
                <w:szCs w:val="20"/>
              </w:rPr>
              <w:t>160/272 (58.8)</w:t>
            </w:r>
          </w:p>
        </w:tc>
        <w:tc>
          <w:tcPr>
            <w:tcW w:w="864" w:type="pct"/>
            <w:shd w:val="clear" w:color="auto" w:fill="auto"/>
            <w:tcMar>
              <w:left w:w="20" w:type="dxa"/>
              <w:right w:w="20" w:type="dxa"/>
            </w:tcMar>
          </w:tcPr>
          <w:p w14:paraId="3001837C" w14:textId="77777777" w:rsidR="00D85532" w:rsidRPr="0061343E" w:rsidRDefault="00D85532" w:rsidP="00E7466A">
            <w:pPr>
              <w:keepNext/>
              <w:jc w:val="center"/>
              <w:rPr>
                <w:rFonts w:ascii="Arial Narrow" w:hAnsi="Arial Narrow"/>
                <w:b/>
                <w:bCs/>
                <w:sz w:val="20"/>
                <w:szCs w:val="20"/>
              </w:rPr>
            </w:pPr>
            <w:r w:rsidRPr="0061343E">
              <w:rPr>
                <w:rFonts w:ascii="Arial Narrow" w:hAnsi="Arial Narrow"/>
                <w:b/>
                <w:bCs/>
                <w:sz w:val="20"/>
                <w:szCs w:val="20"/>
              </w:rPr>
              <w:t>1.20 (1.08, 1.35)</w:t>
            </w:r>
          </w:p>
        </w:tc>
        <w:tc>
          <w:tcPr>
            <w:tcW w:w="811" w:type="pct"/>
            <w:shd w:val="clear" w:color="auto" w:fill="auto"/>
            <w:tcMar>
              <w:left w:w="20" w:type="dxa"/>
              <w:right w:w="20" w:type="dxa"/>
            </w:tcMar>
          </w:tcPr>
          <w:p w14:paraId="451DF16E" w14:textId="77777777" w:rsidR="00D85532" w:rsidRPr="0061343E" w:rsidRDefault="00D85532" w:rsidP="00E7466A">
            <w:pPr>
              <w:keepNext/>
              <w:jc w:val="center"/>
              <w:rPr>
                <w:rFonts w:ascii="Arial Narrow" w:hAnsi="Arial Narrow"/>
                <w:b/>
                <w:bCs/>
                <w:sz w:val="20"/>
                <w:szCs w:val="20"/>
              </w:rPr>
            </w:pPr>
            <w:r w:rsidRPr="0061343E">
              <w:rPr>
                <w:rFonts w:ascii="Arial Narrow" w:hAnsi="Arial Narrow"/>
                <w:b/>
                <w:bCs/>
                <w:sz w:val="20"/>
                <w:szCs w:val="20"/>
              </w:rPr>
              <w:t>0.12 (0.05, 0.19)</w:t>
            </w:r>
          </w:p>
        </w:tc>
      </w:tr>
      <w:tr w:rsidR="00D85532" w:rsidRPr="0061343E" w14:paraId="0D4C9E3A" w14:textId="77777777" w:rsidTr="00DA0D1F">
        <w:tc>
          <w:tcPr>
            <w:tcW w:w="1860" w:type="pct"/>
            <w:shd w:val="clear" w:color="auto" w:fill="auto"/>
            <w:tcMar>
              <w:left w:w="20" w:type="dxa"/>
              <w:right w:w="20" w:type="dxa"/>
            </w:tcMar>
          </w:tcPr>
          <w:p w14:paraId="7F05D6F3" w14:textId="77777777" w:rsidR="00D85532" w:rsidRPr="0061343E" w:rsidRDefault="00D85532" w:rsidP="00E7466A">
            <w:pPr>
              <w:pStyle w:val="TableLeft"/>
              <w:keepNext/>
              <w:rPr>
                <w:rFonts w:ascii="Arial Narrow" w:hAnsi="Arial Narrow"/>
                <w:sz w:val="20"/>
                <w:szCs w:val="20"/>
              </w:rPr>
            </w:pPr>
            <w:r w:rsidRPr="0061343E">
              <w:rPr>
                <w:rFonts w:ascii="Arial Narrow" w:hAnsi="Arial Narrow"/>
                <w:sz w:val="20"/>
                <w:szCs w:val="20"/>
              </w:rPr>
              <w:t>ARCADIA 2</w:t>
            </w:r>
          </w:p>
        </w:tc>
        <w:tc>
          <w:tcPr>
            <w:tcW w:w="731" w:type="pct"/>
            <w:shd w:val="clear" w:color="auto" w:fill="auto"/>
            <w:tcMar>
              <w:left w:w="20" w:type="dxa"/>
              <w:right w:w="20" w:type="dxa"/>
            </w:tcMar>
          </w:tcPr>
          <w:p w14:paraId="1E1429AE" w14:textId="77777777" w:rsidR="00D85532" w:rsidRPr="0061343E" w:rsidRDefault="00D85532" w:rsidP="00E7466A">
            <w:pPr>
              <w:pStyle w:val="TableCentre"/>
              <w:keepNext/>
              <w:rPr>
                <w:rFonts w:ascii="Arial Narrow" w:hAnsi="Arial Narrow"/>
                <w:sz w:val="20"/>
                <w:szCs w:val="20"/>
              </w:rPr>
            </w:pPr>
            <w:r w:rsidRPr="0061343E">
              <w:rPr>
                <w:rFonts w:ascii="Arial Narrow" w:hAnsi="Arial Narrow"/>
                <w:sz w:val="20"/>
                <w:szCs w:val="20"/>
              </w:rPr>
              <w:t>300/431 (69.6)</w:t>
            </w:r>
          </w:p>
        </w:tc>
        <w:tc>
          <w:tcPr>
            <w:tcW w:w="734" w:type="pct"/>
            <w:shd w:val="clear" w:color="auto" w:fill="auto"/>
            <w:tcMar>
              <w:left w:w="20" w:type="dxa"/>
              <w:right w:w="20" w:type="dxa"/>
            </w:tcMar>
          </w:tcPr>
          <w:p w14:paraId="068FC65D" w14:textId="77777777" w:rsidR="00D85532" w:rsidRPr="0061343E" w:rsidRDefault="00D85532" w:rsidP="00E7466A">
            <w:pPr>
              <w:pStyle w:val="TableCentre"/>
              <w:keepNext/>
              <w:rPr>
                <w:rFonts w:ascii="Arial Narrow" w:hAnsi="Arial Narrow"/>
                <w:sz w:val="20"/>
                <w:szCs w:val="20"/>
              </w:rPr>
            </w:pPr>
            <w:r w:rsidRPr="0061343E">
              <w:rPr>
                <w:rFonts w:ascii="Arial Narrow" w:hAnsi="Arial Narrow"/>
                <w:sz w:val="20"/>
                <w:szCs w:val="20"/>
              </w:rPr>
              <w:t>118/224 (52.7)</w:t>
            </w:r>
          </w:p>
        </w:tc>
        <w:tc>
          <w:tcPr>
            <w:tcW w:w="864" w:type="pct"/>
            <w:shd w:val="clear" w:color="auto" w:fill="auto"/>
            <w:tcMar>
              <w:left w:w="20" w:type="dxa"/>
              <w:right w:w="20" w:type="dxa"/>
            </w:tcMar>
          </w:tcPr>
          <w:p w14:paraId="54B9A292" w14:textId="77777777" w:rsidR="00D85532" w:rsidRPr="0061343E" w:rsidRDefault="00D85532" w:rsidP="00E7466A">
            <w:pPr>
              <w:keepNext/>
              <w:jc w:val="center"/>
              <w:rPr>
                <w:rFonts w:ascii="Arial Narrow" w:hAnsi="Arial Narrow"/>
                <w:b/>
                <w:bCs/>
                <w:sz w:val="20"/>
                <w:szCs w:val="20"/>
              </w:rPr>
            </w:pPr>
            <w:r w:rsidRPr="0061343E">
              <w:rPr>
                <w:rFonts w:ascii="Arial Narrow" w:hAnsi="Arial Narrow"/>
                <w:b/>
                <w:bCs/>
                <w:sz w:val="20"/>
                <w:szCs w:val="20"/>
              </w:rPr>
              <w:t>1.32 (1.15, 1.52)</w:t>
            </w:r>
          </w:p>
        </w:tc>
        <w:tc>
          <w:tcPr>
            <w:tcW w:w="811" w:type="pct"/>
            <w:shd w:val="clear" w:color="auto" w:fill="auto"/>
            <w:tcMar>
              <w:left w:w="20" w:type="dxa"/>
              <w:right w:w="20" w:type="dxa"/>
            </w:tcMar>
          </w:tcPr>
          <w:p w14:paraId="709E8B23" w14:textId="77777777" w:rsidR="00D85532" w:rsidRPr="0061343E" w:rsidRDefault="00D85532" w:rsidP="00E7466A">
            <w:pPr>
              <w:keepNext/>
              <w:jc w:val="center"/>
              <w:rPr>
                <w:rFonts w:ascii="Arial Narrow" w:hAnsi="Arial Narrow"/>
                <w:b/>
                <w:bCs/>
                <w:sz w:val="20"/>
                <w:szCs w:val="20"/>
              </w:rPr>
            </w:pPr>
            <w:r w:rsidRPr="0061343E">
              <w:rPr>
                <w:rFonts w:ascii="Arial Narrow" w:hAnsi="Arial Narrow"/>
                <w:b/>
                <w:bCs/>
                <w:sz w:val="20"/>
                <w:szCs w:val="20"/>
              </w:rPr>
              <w:t>0.17 (0.09, 0.25)</w:t>
            </w:r>
          </w:p>
        </w:tc>
      </w:tr>
      <w:tr w:rsidR="00D85532" w:rsidRPr="0061343E" w14:paraId="65E07B28" w14:textId="77777777" w:rsidTr="00DA0D1F">
        <w:tc>
          <w:tcPr>
            <w:tcW w:w="1860" w:type="pct"/>
            <w:shd w:val="clear" w:color="auto" w:fill="auto"/>
            <w:tcMar>
              <w:left w:w="20" w:type="dxa"/>
              <w:right w:w="20" w:type="dxa"/>
            </w:tcMar>
          </w:tcPr>
          <w:p w14:paraId="4F5EC8BF" w14:textId="77777777" w:rsidR="00D85532" w:rsidRPr="0061343E" w:rsidRDefault="00D85532" w:rsidP="00E7466A">
            <w:pPr>
              <w:pStyle w:val="TableLeft"/>
              <w:keepNext/>
              <w:rPr>
                <w:rFonts w:ascii="Arial Narrow" w:hAnsi="Arial Narrow"/>
                <w:sz w:val="20"/>
                <w:szCs w:val="20"/>
              </w:rPr>
            </w:pPr>
            <w:r w:rsidRPr="0061343E">
              <w:rPr>
                <w:rFonts w:ascii="Arial Narrow" w:hAnsi="Arial Narrow"/>
                <w:sz w:val="20"/>
                <w:szCs w:val="20"/>
              </w:rPr>
              <w:t>Study 114322</w:t>
            </w:r>
          </w:p>
        </w:tc>
        <w:tc>
          <w:tcPr>
            <w:tcW w:w="731" w:type="pct"/>
            <w:shd w:val="clear" w:color="auto" w:fill="auto"/>
            <w:tcMar>
              <w:left w:w="20" w:type="dxa"/>
              <w:right w:w="20" w:type="dxa"/>
            </w:tcMar>
          </w:tcPr>
          <w:p w14:paraId="024831A4" w14:textId="77777777" w:rsidR="00D85532" w:rsidRPr="0061343E" w:rsidRDefault="00D85532" w:rsidP="00E7466A">
            <w:pPr>
              <w:pStyle w:val="TableCentre"/>
              <w:keepNext/>
              <w:rPr>
                <w:rFonts w:ascii="Arial Narrow" w:hAnsi="Arial Narrow"/>
                <w:sz w:val="20"/>
                <w:szCs w:val="20"/>
              </w:rPr>
            </w:pPr>
            <w:r w:rsidRPr="0061343E">
              <w:rPr>
                <w:rFonts w:ascii="Arial Narrow" w:hAnsi="Arial Narrow"/>
                <w:sz w:val="20"/>
                <w:szCs w:val="20"/>
              </w:rPr>
              <w:t>31/47 (66.0)</w:t>
            </w:r>
          </w:p>
        </w:tc>
        <w:tc>
          <w:tcPr>
            <w:tcW w:w="734" w:type="pct"/>
            <w:shd w:val="clear" w:color="auto" w:fill="auto"/>
            <w:tcMar>
              <w:left w:w="20" w:type="dxa"/>
              <w:right w:w="20" w:type="dxa"/>
            </w:tcMar>
          </w:tcPr>
          <w:p w14:paraId="26A5036C" w14:textId="77777777" w:rsidR="00D85532" w:rsidRPr="0061343E" w:rsidRDefault="00D85532" w:rsidP="00E7466A">
            <w:pPr>
              <w:pStyle w:val="TableCentre"/>
              <w:keepNext/>
              <w:rPr>
                <w:rFonts w:ascii="Arial Narrow" w:hAnsi="Arial Narrow"/>
                <w:sz w:val="20"/>
                <w:szCs w:val="20"/>
              </w:rPr>
            </w:pPr>
            <w:r w:rsidRPr="0061343E">
              <w:rPr>
                <w:rFonts w:ascii="Arial Narrow" w:hAnsi="Arial Narrow"/>
                <w:sz w:val="20"/>
                <w:szCs w:val="20"/>
              </w:rPr>
              <w:t>28/42 (66.6)</w:t>
            </w:r>
          </w:p>
        </w:tc>
        <w:tc>
          <w:tcPr>
            <w:tcW w:w="864" w:type="pct"/>
            <w:shd w:val="clear" w:color="auto" w:fill="auto"/>
            <w:tcMar>
              <w:left w:w="20" w:type="dxa"/>
              <w:right w:w="20" w:type="dxa"/>
            </w:tcMar>
          </w:tcPr>
          <w:p w14:paraId="23810B79" w14:textId="77777777" w:rsidR="00D85532" w:rsidRPr="0061343E" w:rsidRDefault="00D85532" w:rsidP="00E7466A">
            <w:pPr>
              <w:keepNext/>
              <w:jc w:val="center"/>
              <w:rPr>
                <w:rFonts w:ascii="Arial Narrow" w:hAnsi="Arial Narrow"/>
                <w:sz w:val="20"/>
                <w:szCs w:val="20"/>
              </w:rPr>
            </w:pPr>
            <w:r w:rsidRPr="0061343E">
              <w:rPr>
                <w:rFonts w:ascii="Arial Narrow" w:hAnsi="Arial Narrow"/>
                <w:sz w:val="20"/>
                <w:szCs w:val="20"/>
              </w:rPr>
              <w:t>0.99 (0.74, 1.33)</w:t>
            </w:r>
          </w:p>
        </w:tc>
        <w:tc>
          <w:tcPr>
            <w:tcW w:w="811" w:type="pct"/>
            <w:shd w:val="clear" w:color="auto" w:fill="auto"/>
            <w:tcMar>
              <w:left w:w="20" w:type="dxa"/>
              <w:right w:w="20" w:type="dxa"/>
            </w:tcMar>
          </w:tcPr>
          <w:p w14:paraId="28A1E525" w14:textId="77777777" w:rsidR="00D85532" w:rsidRPr="0061343E" w:rsidRDefault="00D85532" w:rsidP="00E7466A">
            <w:pPr>
              <w:keepNext/>
              <w:jc w:val="center"/>
              <w:rPr>
                <w:rFonts w:ascii="Arial Narrow" w:hAnsi="Arial Narrow"/>
                <w:sz w:val="20"/>
                <w:szCs w:val="20"/>
              </w:rPr>
            </w:pPr>
            <w:r w:rsidRPr="0061343E">
              <w:rPr>
                <w:rFonts w:ascii="Arial Narrow" w:hAnsi="Arial Narrow"/>
                <w:sz w:val="20"/>
                <w:szCs w:val="20"/>
              </w:rPr>
              <w:t>-0.01 (-0.20, 0.19)</w:t>
            </w:r>
          </w:p>
        </w:tc>
      </w:tr>
      <w:tr w:rsidR="00D85532" w:rsidRPr="0061343E" w14:paraId="0438CDA5" w14:textId="77777777" w:rsidTr="00DA0D1F">
        <w:tc>
          <w:tcPr>
            <w:tcW w:w="1860" w:type="pct"/>
            <w:shd w:val="clear" w:color="auto" w:fill="auto"/>
            <w:tcMar>
              <w:left w:w="20" w:type="dxa"/>
              <w:right w:w="20" w:type="dxa"/>
            </w:tcMar>
          </w:tcPr>
          <w:p w14:paraId="6FE188A4" w14:textId="77777777" w:rsidR="00D85532" w:rsidRPr="0061343E" w:rsidRDefault="00D85532" w:rsidP="00E7466A">
            <w:pPr>
              <w:pStyle w:val="TableLeft"/>
              <w:keepNext/>
              <w:rPr>
                <w:rFonts w:ascii="Arial Narrow" w:hAnsi="Arial Narrow"/>
                <w:sz w:val="20"/>
                <w:szCs w:val="20"/>
              </w:rPr>
            </w:pPr>
            <w:r w:rsidRPr="0061343E">
              <w:rPr>
                <w:rFonts w:ascii="Arial Narrow" w:hAnsi="Arial Narrow"/>
                <w:sz w:val="20"/>
                <w:szCs w:val="20"/>
              </w:rPr>
              <w:t>ARCADIA CYCLO</w:t>
            </w:r>
          </w:p>
        </w:tc>
        <w:tc>
          <w:tcPr>
            <w:tcW w:w="731" w:type="pct"/>
            <w:shd w:val="clear" w:color="auto" w:fill="auto"/>
            <w:tcMar>
              <w:left w:w="20" w:type="dxa"/>
              <w:right w:w="20" w:type="dxa"/>
            </w:tcMar>
          </w:tcPr>
          <w:p w14:paraId="3A43F6FC" w14:textId="77777777" w:rsidR="00D85532" w:rsidRPr="0061343E" w:rsidRDefault="00D85532" w:rsidP="00E7466A">
            <w:pPr>
              <w:pStyle w:val="TableCentre"/>
              <w:keepNext/>
              <w:rPr>
                <w:rFonts w:ascii="Arial Narrow" w:hAnsi="Arial Narrow"/>
                <w:sz w:val="20"/>
                <w:szCs w:val="20"/>
              </w:rPr>
            </w:pPr>
            <w:r w:rsidRPr="0061343E">
              <w:rPr>
                <w:rFonts w:ascii="Arial Narrow" w:hAnsi="Arial Narrow"/>
                <w:sz w:val="20"/>
                <w:szCs w:val="20"/>
              </w:rPr>
              <w:t>NA</w:t>
            </w:r>
          </w:p>
        </w:tc>
        <w:tc>
          <w:tcPr>
            <w:tcW w:w="734" w:type="pct"/>
            <w:shd w:val="clear" w:color="auto" w:fill="auto"/>
            <w:tcMar>
              <w:left w:w="20" w:type="dxa"/>
              <w:right w:w="20" w:type="dxa"/>
            </w:tcMar>
          </w:tcPr>
          <w:p w14:paraId="5C6701AE" w14:textId="77777777" w:rsidR="00D85532" w:rsidRPr="0061343E" w:rsidRDefault="00D85532" w:rsidP="00E7466A">
            <w:pPr>
              <w:pStyle w:val="TableCentre"/>
              <w:keepNext/>
              <w:rPr>
                <w:rFonts w:ascii="Arial Narrow" w:hAnsi="Arial Narrow"/>
                <w:sz w:val="20"/>
                <w:szCs w:val="20"/>
              </w:rPr>
            </w:pPr>
            <w:r w:rsidRPr="0061343E">
              <w:rPr>
                <w:rFonts w:ascii="Arial Narrow" w:hAnsi="Arial Narrow"/>
                <w:sz w:val="20"/>
                <w:szCs w:val="20"/>
              </w:rPr>
              <w:t>NA</w:t>
            </w:r>
          </w:p>
        </w:tc>
        <w:tc>
          <w:tcPr>
            <w:tcW w:w="864" w:type="pct"/>
            <w:shd w:val="clear" w:color="auto" w:fill="auto"/>
            <w:tcMar>
              <w:left w:w="20" w:type="dxa"/>
              <w:right w:w="20" w:type="dxa"/>
            </w:tcMar>
          </w:tcPr>
          <w:p w14:paraId="76B84BC5" w14:textId="77777777" w:rsidR="00D85532" w:rsidRPr="0061343E" w:rsidRDefault="00D85532" w:rsidP="00E7466A">
            <w:pPr>
              <w:keepNext/>
              <w:jc w:val="center"/>
              <w:rPr>
                <w:rFonts w:ascii="Arial Narrow" w:hAnsi="Arial Narrow"/>
                <w:sz w:val="20"/>
                <w:szCs w:val="20"/>
              </w:rPr>
            </w:pPr>
            <w:r w:rsidRPr="0061343E">
              <w:rPr>
                <w:rFonts w:ascii="Arial Narrow" w:hAnsi="Arial Narrow"/>
                <w:sz w:val="20"/>
                <w:szCs w:val="20"/>
              </w:rPr>
              <w:t>NA</w:t>
            </w:r>
          </w:p>
        </w:tc>
        <w:tc>
          <w:tcPr>
            <w:tcW w:w="811" w:type="pct"/>
            <w:shd w:val="clear" w:color="auto" w:fill="auto"/>
            <w:tcMar>
              <w:left w:w="20" w:type="dxa"/>
              <w:right w:w="20" w:type="dxa"/>
            </w:tcMar>
          </w:tcPr>
          <w:p w14:paraId="173FC36C" w14:textId="77777777" w:rsidR="00D85532" w:rsidRPr="0061343E" w:rsidRDefault="00D85532" w:rsidP="00E7466A">
            <w:pPr>
              <w:keepNext/>
              <w:jc w:val="center"/>
              <w:rPr>
                <w:rFonts w:ascii="Arial Narrow" w:hAnsi="Arial Narrow"/>
                <w:sz w:val="20"/>
                <w:szCs w:val="20"/>
              </w:rPr>
            </w:pPr>
            <w:r w:rsidRPr="0061343E">
              <w:rPr>
                <w:rFonts w:ascii="Arial Narrow" w:hAnsi="Arial Narrow"/>
                <w:sz w:val="20"/>
                <w:szCs w:val="20"/>
              </w:rPr>
              <w:t>NA</w:t>
            </w:r>
          </w:p>
        </w:tc>
      </w:tr>
      <w:tr w:rsidR="00DA0D1F" w:rsidRPr="0061343E" w14:paraId="135EB41C" w14:textId="77777777" w:rsidTr="00DA0D1F">
        <w:tc>
          <w:tcPr>
            <w:tcW w:w="3325" w:type="pct"/>
            <w:gridSpan w:val="3"/>
            <w:shd w:val="clear" w:color="auto" w:fill="auto"/>
            <w:tcMar>
              <w:left w:w="20" w:type="dxa"/>
              <w:right w:w="20" w:type="dxa"/>
            </w:tcMar>
          </w:tcPr>
          <w:p w14:paraId="42AC6217" w14:textId="53AF0B66" w:rsidR="00DA0D1F" w:rsidRPr="0061343E" w:rsidRDefault="00DA0D1F" w:rsidP="00DA0D1F">
            <w:pPr>
              <w:pStyle w:val="TableCentre"/>
              <w:keepNext/>
              <w:jc w:val="left"/>
              <w:rPr>
                <w:rFonts w:ascii="Arial Narrow" w:hAnsi="Arial Narrow"/>
                <w:sz w:val="20"/>
                <w:szCs w:val="20"/>
              </w:rPr>
            </w:pPr>
            <w:r w:rsidRPr="0061343E">
              <w:rPr>
                <w:rFonts w:ascii="Arial Narrow" w:hAnsi="Arial Narrow"/>
                <w:sz w:val="20"/>
                <w:szCs w:val="20"/>
              </w:rPr>
              <w:t>Pooled (REM)</w:t>
            </w:r>
          </w:p>
        </w:tc>
        <w:tc>
          <w:tcPr>
            <w:tcW w:w="864" w:type="pct"/>
            <w:shd w:val="clear" w:color="auto" w:fill="auto"/>
            <w:tcMar>
              <w:left w:w="20" w:type="dxa"/>
              <w:right w:w="20" w:type="dxa"/>
            </w:tcMar>
          </w:tcPr>
          <w:p w14:paraId="6A3BEE6F" w14:textId="77777777" w:rsidR="00DA0D1F" w:rsidRPr="0061343E" w:rsidRDefault="00DA0D1F" w:rsidP="00E7466A">
            <w:pPr>
              <w:keepNext/>
              <w:jc w:val="center"/>
              <w:rPr>
                <w:rFonts w:ascii="Arial Narrow" w:hAnsi="Arial Narrow"/>
                <w:b/>
                <w:bCs/>
                <w:sz w:val="20"/>
                <w:szCs w:val="20"/>
              </w:rPr>
            </w:pPr>
            <w:r w:rsidRPr="0061343E">
              <w:rPr>
                <w:rFonts w:ascii="Arial Narrow" w:hAnsi="Arial Narrow"/>
                <w:b/>
                <w:bCs/>
                <w:sz w:val="20"/>
                <w:szCs w:val="20"/>
              </w:rPr>
              <w:t>1.25 (1.14, 1.37)</w:t>
            </w:r>
          </w:p>
        </w:tc>
        <w:tc>
          <w:tcPr>
            <w:tcW w:w="811" w:type="pct"/>
            <w:shd w:val="clear" w:color="auto" w:fill="auto"/>
            <w:tcMar>
              <w:left w:w="20" w:type="dxa"/>
              <w:right w:w="20" w:type="dxa"/>
            </w:tcMar>
          </w:tcPr>
          <w:p w14:paraId="18370F9D" w14:textId="77777777" w:rsidR="00DA0D1F" w:rsidRPr="0061343E" w:rsidRDefault="00DA0D1F" w:rsidP="00E7466A">
            <w:pPr>
              <w:keepNext/>
              <w:jc w:val="center"/>
              <w:rPr>
                <w:rFonts w:ascii="Arial Narrow" w:hAnsi="Arial Narrow"/>
                <w:b/>
                <w:bCs/>
                <w:sz w:val="20"/>
                <w:szCs w:val="20"/>
              </w:rPr>
            </w:pPr>
            <w:r w:rsidRPr="0061343E">
              <w:rPr>
                <w:rFonts w:ascii="Arial Narrow" w:hAnsi="Arial Narrow"/>
                <w:b/>
                <w:bCs/>
                <w:sz w:val="20"/>
                <w:szCs w:val="20"/>
              </w:rPr>
              <w:t>0.14 (0.09, 0.19)</w:t>
            </w:r>
          </w:p>
        </w:tc>
      </w:tr>
      <w:tr w:rsidR="00DA0D1F" w:rsidRPr="0061343E" w14:paraId="55405780" w14:textId="77777777" w:rsidTr="00DA0D1F">
        <w:tc>
          <w:tcPr>
            <w:tcW w:w="3325" w:type="pct"/>
            <w:gridSpan w:val="3"/>
            <w:shd w:val="clear" w:color="auto" w:fill="auto"/>
            <w:tcMar>
              <w:left w:w="20" w:type="dxa"/>
              <w:right w:w="20" w:type="dxa"/>
            </w:tcMar>
          </w:tcPr>
          <w:p w14:paraId="77C98900" w14:textId="3F4287E0" w:rsidR="00DA0D1F" w:rsidRPr="0061343E" w:rsidRDefault="00DA0D1F" w:rsidP="00DA0D1F">
            <w:pPr>
              <w:pStyle w:val="TableCentre"/>
              <w:keepNext/>
              <w:jc w:val="left"/>
              <w:rPr>
                <w:rFonts w:ascii="Arial Narrow" w:hAnsi="Arial Narrow"/>
                <w:sz w:val="20"/>
                <w:szCs w:val="20"/>
              </w:rPr>
            </w:pPr>
            <w:r w:rsidRPr="0061343E">
              <w:rPr>
                <w:rFonts w:ascii="Arial Narrow" w:hAnsi="Arial Narrow"/>
                <w:sz w:val="20"/>
                <w:szCs w:val="20"/>
              </w:rPr>
              <w:t>Pooled (REM) excl. ARCADIA CYCLO</w:t>
            </w:r>
          </w:p>
        </w:tc>
        <w:tc>
          <w:tcPr>
            <w:tcW w:w="864" w:type="pct"/>
            <w:shd w:val="clear" w:color="auto" w:fill="auto"/>
            <w:tcMar>
              <w:left w:w="20" w:type="dxa"/>
              <w:right w:w="20" w:type="dxa"/>
            </w:tcMar>
          </w:tcPr>
          <w:p w14:paraId="0999B41F" w14:textId="77777777" w:rsidR="00DA0D1F" w:rsidRPr="0061343E" w:rsidRDefault="00DA0D1F" w:rsidP="00E7466A">
            <w:pPr>
              <w:keepNext/>
              <w:jc w:val="center"/>
              <w:rPr>
                <w:rFonts w:ascii="Arial Narrow" w:hAnsi="Arial Narrow"/>
                <w:b/>
                <w:bCs/>
                <w:sz w:val="20"/>
                <w:szCs w:val="20"/>
              </w:rPr>
            </w:pPr>
            <w:r w:rsidRPr="0061343E">
              <w:rPr>
                <w:rFonts w:ascii="Arial Narrow" w:hAnsi="Arial Narrow"/>
                <w:b/>
                <w:bCs/>
                <w:sz w:val="20"/>
                <w:szCs w:val="20"/>
              </w:rPr>
              <w:t>1.25 (1.14, 1.37)</w:t>
            </w:r>
          </w:p>
        </w:tc>
        <w:tc>
          <w:tcPr>
            <w:tcW w:w="811" w:type="pct"/>
            <w:shd w:val="clear" w:color="auto" w:fill="auto"/>
            <w:tcMar>
              <w:left w:w="20" w:type="dxa"/>
              <w:right w:w="20" w:type="dxa"/>
            </w:tcMar>
          </w:tcPr>
          <w:p w14:paraId="689FCB1F" w14:textId="77777777" w:rsidR="00DA0D1F" w:rsidRPr="0061343E" w:rsidRDefault="00DA0D1F" w:rsidP="00E7466A">
            <w:pPr>
              <w:keepNext/>
              <w:jc w:val="center"/>
              <w:rPr>
                <w:rFonts w:ascii="Arial Narrow" w:hAnsi="Arial Narrow"/>
                <w:b/>
                <w:bCs/>
                <w:sz w:val="20"/>
                <w:szCs w:val="20"/>
              </w:rPr>
            </w:pPr>
            <w:r w:rsidRPr="0061343E">
              <w:rPr>
                <w:rFonts w:ascii="Arial Narrow" w:hAnsi="Arial Narrow"/>
                <w:b/>
                <w:bCs/>
                <w:sz w:val="20"/>
                <w:szCs w:val="20"/>
              </w:rPr>
              <w:t>0.14 (0.09, 0.19)</w:t>
            </w:r>
          </w:p>
        </w:tc>
      </w:tr>
      <w:tr w:rsidR="00D85532" w:rsidRPr="0061343E" w14:paraId="11C2BA3A" w14:textId="77777777" w:rsidTr="00DA0D1F">
        <w:tc>
          <w:tcPr>
            <w:tcW w:w="0" w:type="auto"/>
            <w:gridSpan w:val="5"/>
            <w:shd w:val="clear" w:color="auto" w:fill="auto"/>
            <w:tcMar>
              <w:left w:w="20" w:type="dxa"/>
              <w:right w:w="20" w:type="dxa"/>
            </w:tcMar>
          </w:tcPr>
          <w:p w14:paraId="2069B147" w14:textId="77777777" w:rsidR="00D85532" w:rsidRPr="0061343E" w:rsidRDefault="00D85532" w:rsidP="00E7466A">
            <w:pPr>
              <w:pStyle w:val="TableCentre"/>
              <w:keepNext/>
              <w:jc w:val="left"/>
              <w:rPr>
                <w:rFonts w:ascii="Arial Narrow" w:hAnsi="Arial Narrow"/>
                <w:b/>
                <w:bCs/>
                <w:sz w:val="20"/>
                <w:szCs w:val="20"/>
              </w:rPr>
            </w:pPr>
            <w:r w:rsidRPr="0061343E">
              <w:rPr>
                <w:rFonts w:ascii="Arial Narrow" w:hAnsi="Arial Narrow"/>
                <w:b/>
                <w:bCs/>
                <w:sz w:val="20"/>
                <w:szCs w:val="20"/>
              </w:rPr>
              <w:t>DUPI 300 mg Q2W vs placebo</w:t>
            </w:r>
          </w:p>
        </w:tc>
      </w:tr>
      <w:tr w:rsidR="00D85532" w:rsidRPr="0061343E" w14:paraId="467EB0A5" w14:textId="77777777" w:rsidTr="00DA0D1F">
        <w:tc>
          <w:tcPr>
            <w:tcW w:w="1860" w:type="pct"/>
            <w:shd w:val="clear" w:color="auto" w:fill="B8CCE4"/>
            <w:tcMar>
              <w:left w:w="20" w:type="dxa"/>
              <w:right w:w="20" w:type="dxa"/>
            </w:tcMar>
          </w:tcPr>
          <w:p w14:paraId="766EF6D8" w14:textId="77777777" w:rsidR="00D85532" w:rsidRPr="0061343E" w:rsidRDefault="00D85532" w:rsidP="00E7466A">
            <w:pPr>
              <w:pStyle w:val="TableLeft"/>
              <w:keepNext/>
              <w:rPr>
                <w:rFonts w:ascii="Arial Narrow" w:hAnsi="Arial Narrow"/>
                <w:sz w:val="20"/>
                <w:szCs w:val="20"/>
              </w:rPr>
            </w:pPr>
            <w:r w:rsidRPr="0061343E">
              <w:rPr>
                <w:rFonts w:ascii="Arial Narrow" w:hAnsi="Arial Narrow"/>
                <w:sz w:val="20"/>
                <w:szCs w:val="20"/>
              </w:rPr>
              <w:t>CHRONOS</w:t>
            </w:r>
          </w:p>
        </w:tc>
        <w:tc>
          <w:tcPr>
            <w:tcW w:w="731" w:type="pct"/>
            <w:shd w:val="clear" w:color="auto" w:fill="B8CCE4"/>
            <w:tcMar>
              <w:left w:w="20" w:type="dxa"/>
              <w:right w:w="20" w:type="dxa"/>
            </w:tcMar>
          </w:tcPr>
          <w:p w14:paraId="1A00AA04" w14:textId="77777777" w:rsidR="00D85532" w:rsidRPr="0061343E" w:rsidRDefault="00D85532" w:rsidP="00E7466A">
            <w:pPr>
              <w:pStyle w:val="TableCentre"/>
              <w:keepNext/>
              <w:rPr>
                <w:rFonts w:ascii="Arial Narrow" w:hAnsi="Arial Narrow"/>
                <w:sz w:val="20"/>
                <w:szCs w:val="20"/>
              </w:rPr>
            </w:pPr>
            <w:r w:rsidRPr="0061343E">
              <w:rPr>
                <w:rFonts w:ascii="Arial Narrow" w:hAnsi="Arial Narrow"/>
                <w:sz w:val="20"/>
                <w:szCs w:val="20"/>
              </w:rPr>
              <w:t>81/100 (81.0)</w:t>
            </w:r>
          </w:p>
        </w:tc>
        <w:tc>
          <w:tcPr>
            <w:tcW w:w="734" w:type="pct"/>
            <w:shd w:val="clear" w:color="auto" w:fill="B8CCE4"/>
            <w:tcMar>
              <w:left w:w="20" w:type="dxa"/>
              <w:right w:w="20" w:type="dxa"/>
            </w:tcMar>
          </w:tcPr>
          <w:p w14:paraId="26872483" w14:textId="77777777" w:rsidR="00D85532" w:rsidRPr="0061343E" w:rsidRDefault="00D85532" w:rsidP="00E7466A">
            <w:pPr>
              <w:pStyle w:val="TableCentre"/>
              <w:keepNext/>
              <w:rPr>
                <w:rFonts w:ascii="Arial Narrow" w:hAnsi="Arial Narrow"/>
                <w:sz w:val="20"/>
                <w:szCs w:val="20"/>
              </w:rPr>
            </w:pPr>
            <w:r w:rsidRPr="0061343E">
              <w:rPr>
                <w:rFonts w:ascii="Arial Narrow" w:hAnsi="Arial Narrow"/>
                <w:sz w:val="20"/>
                <w:szCs w:val="20"/>
              </w:rPr>
              <w:t>129/300 (43.0)</w:t>
            </w:r>
          </w:p>
        </w:tc>
        <w:tc>
          <w:tcPr>
            <w:tcW w:w="864" w:type="pct"/>
            <w:shd w:val="clear" w:color="auto" w:fill="B8CCE4"/>
            <w:tcMar>
              <w:left w:w="20" w:type="dxa"/>
              <w:right w:w="20" w:type="dxa"/>
            </w:tcMar>
          </w:tcPr>
          <w:p w14:paraId="29906CE3" w14:textId="77777777" w:rsidR="00D85532" w:rsidRPr="0061343E" w:rsidRDefault="00D85532" w:rsidP="00E7466A">
            <w:pPr>
              <w:keepNext/>
              <w:jc w:val="center"/>
              <w:rPr>
                <w:rFonts w:ascii="Arial Narrow" w:hAnsi="Arial Narrow"/>
                <w:b/>
                <w:bCs/>
                <w:sz w:val="20"/>
                <w:szCs w:val="20"/>
              </w:rPr>
            </w:pPr>
            <w:r w:rsidRPr="0061343E">
              <w:rPr>
                <w:rFonts w:ascii="Arial Narrow" w:hAnsi="Arial Narrow"/>
                <w:b/>
                <w:bCs/>
                <w:sz w:val="20"/>
                <w:szCs w:val="20"/>
              </w:rPr>
              <w:t>1.88 (1.60, 2.21)</w:t>
            </w:r>
          </w:p>
        </w:tc>
        <w:tc>
          <w:tcPr>
            <w:tcW w:w="811" w:type="pct"/>
            <w:shd w:val="clear" w:color="auto" w:fill="B8CCE4"/>
            <w:tcMar>
              <w:left w:w="20" w:type="dxa"/>
              <w:right w:w="20" w:type="dxa"/>
            </w:tcMar>
          </w:tcPr>
          <w:p w14:paraId="24AE1C41" w14:textId="77777777" w:rsidR="00D85532" w:rsidRPr="0061343E" w:rsidRDefault="00D85532" w:rsidP="00E7466A">
            <w:pPr>
              <w:keepNext/>
              <w:jc w:val="center"/>
              <w:rPr>
                <w:rFonts w:ascii="Arial Narrow" w:hAnsi="Arial Narrow"/>
                <w:b/>
                <w:bCs/>
                <w:sz w:val="20"/>
                <w:szCs w:val="20"/>
              </w:rPr>
            </w:pPr>
            <w:r w:rsidRPr="0061343E">
              <w:rPr>
                <w:rFonts w:ascii="Arial Narrow" w:hAnsi="Arial Narrow"/>
                <w:b/>
                <w:bCs/>
                <w:sz w:val="20"/>
                <w:szCs w:val="20"/>
              </w:rPr>
              <w:t>0.38 (0.29, 0.47)</w:t>
            </w:r>
          </w:p>
        </w:tc>
      </w:tr>
      <w:tr w:rsidR="00D85532" w:rsidRPr="0061343E" w14:paraId="5AEDF7CE" w14:textId="77777777" w:rsidTr="00DA0D1F">
        <w:tc>
          <w:tcPr>
            <w:tcW w:w="1860" w:type="pct"/>
            <w:shd w:val="clear" w:color="auto" w:fill="B8CCE4"/>
            <w:tcMar>
              <w:left w:w="20" w:type="dxa"/>
              <w:right w:w="20" w:type="dxa"/>
            </w:tcMar>
          </w:tcPr>
          <w:p w14:paraId="054B8B47" w14:textId="77777777" w:rsidR="00D85532" w:rsidRPr="0061343E" w:rsidRDefault="00D85532" w:rsidP="00E7466A">
            <w:pPr>
              <w:pStyle w:val="TableLeft"/>
              <w:keepNext/>
              <w:rPr>
                <w:rFonts w:ascii="Arial Narrow" w:hAnsi="Arial Narrow"/>
                <w:sz w:val="20"/>
                <w:szCs w:val="20"/>
              </w:rPr>
            </w:pPr>
            <w:r w:rsidRPr="0061343E">
              <w:rPr>
                <w:rFonts w:ascii="Arial Narrow" w:hAnsi="Arial Narrow"/>
                <w:sz w:val="20"/>
                <w:szCs w:val="20"/>
              </w:rPr>
              <w:t>JADE COMPARE</w:t>
            </w:r>
          </w:p>
        </w:tc>
        <w:tc>
          <w:tcPr>
            <w:tcW w:w="731" w:type="pct"/>
            <w:shd w:val="clear" w:color="auto" w:fill="B8CCE4"/>
            <w:tcMar>
              <w:left w:w="20" w:type="dxa"/>
              <w:right w:w="20" w:type="dxa"/>
            </w:tcMar>
          </w:tcPr>
          <w:p w14:paraId="3E2AD465" w14:textId="77777777" w:rsidR="00D85532" w:rsidRPr="0061343E" w:rsidRDefault="00D85532" w:rsidP="00E7466A">
            <w:pPr>
              <w:pStyle w:val="TableCentre"/>
              <w:keepNext/>
              <w:rPr>
                <w:rFonts w:ascii="Arial Narrow" w:hAnsi="Arial Narrow"/>
                <w:sz w:val="20"/>
                <w:szCs w:val="20"/>
              </w:rPr>
            </w:pPr>
            <w:r w:rsidRPr="0061343E">
              <w:rPr>
                <w:rFonts w:ascii="Arial Narrow" w:hAnsi="Arial Narrow"/>
                <w:sz w:val="20"/>
                <w:szCs w:val="20"/>
              </w:rPr>
              <w:t>191/229 (83.4)</w:t>
            </w:r>
          </w:p>
        </w:tc>
        <w:tc>
          <w:tcPr>
            <w:tcW w:w="734" w:type="pct"/>
            <w:shd w:val="clear" w:color="auto" w:fill="B8CCE4"/>
            <w:tcMar>
              <w:left w:w="20" w:type="dxa"/>
              <w:right w:w="20" w:type="dxa"/>
            </w:tcMar>
          </w:tcPr>
          <w:p w14:paraId="0C2309FA" w14:textId="77777777" w:rsidR="00D85532" w:rsidRPr="0061343E" w:rsidRDefault="00D85532" w:rsidP="00E7466A">
            <w:pPr>
              <w:pStyle w:val="TableCentre"/>
              <w:keepNext/>
              <w:rPr>
                <w:rFonts w:ascii="Arial Narrow" w:hAnsi="Arial Narrow"/>
                <w:sz w:val="20"/>
                <w:szCs w:val="20"/>
              </w:rPr>
            </w:pPr>
            <w:r w:rsidRPr="0061343E">
              <w:rPr>
                <w:rFonts w:ascii="Arial Narrow" w:hAnsi="Arial Narrow"/>
                <w:sz w:val="20"/>
                <w:szCs w:val="20"/>
              </w:rPr>
              <w:t>71/119 (59.7)</w:t>
            </w:r>
          </w:p>
        </w:tc>
        <w:tc>
          <w:tcPr>
            <w:tcW w:w="864" w:type="pct"/>
            <w:shd w:val="clear" w:color="auto" w:fill="B8CCE4"/>
            <w:tcMar>
              <w:left w:w="20" w:type="dxa"/>
              <w:right w:w="20" w:type="dxa"/>
            </w:tcMar>
          </w:tcPr>
          <w:p w14:paraId="374262C9" w14:textId="77777777" w:rsidR="00D85532" w:rsidRPr="0061343E" w:rsidRDefault="00D85532" w:rsidP="00E7466A">
            <w:pPr>
              <w:keepNext/>
              <w:jc w:val="center"/>
              <w:rPr>
                <w:rFonts w:ascii="Arial Narrow" w:hAnsi="Arial Narrow"/>
                <w:b/>
                <w:bCs/>
                <w:sz w:val="20"/>
                <w:szCs w:val="20"/>
              </w:rPr>
            </w:pPr>
            <w:r w:rsidRPr="0061343E">
              <w:rPr>
                <w:rFonts w:ascii="Arial Narrow" w:hAnsi="Arial Narrow"/>
                <w:b/>
                <w:bCs/>
                <w:sz w:val="20"/>
                <w:szCs w:val="20"/>
              </w:rPr>
              <w:t>1.40 (1.19, 1.64)</w:t>
            </w:r>
          </w:p>
        </w:tc>
        <w:tc>
          <w:tcPr>
            <w:tcW w:w="811" w:type="pct"/>
            <w:shd w:val="clear" w:color="auto" w:fill="B8CCE4"/>
            <w:tcMar>
              <w:left w:w="20" w:type="dxa"/>
              <w:right w:w="20" w:type="dxa"/>
            </w:tcMar>
          </w:tcPr>
          <w:p w14:paraId="08D47DE2" w14:textId="77777777" w:rsidR="00D85532" w:rsidRPr="0061343E" w:rsidRDefault="00D85532" w:rsidP="00E7466A">
            <w:pPr>
              <w:keepNext/>
              <w:jc w:val="center"/>
              <w:rPr>
                <w:rFonts w:ascii="Arial Narrow" w:hAnsi="Arial Narrow"/>
                <w:b/>
                <w:bCs/>
                <w:sz w:val="20"/>
                <w:szCs w:val="20"/>
              </w:rPr>
            </w:pPr>
            <w:r w:rsidRPr="0061343E">
              <w:rPr>
                <w:rFonts w:ascii="Arial Narrow" w:hAnsi="Arial Narrow"/>
                <w:b/>
                <w:bCs/>
                <w:sz w:val="20"/>
                <w:szCs w:val="20"/>
              </w:rPr>
              <w:t>0.24 (0.14, 0.34)</w:t>
            </w:r>
          </w:p>
        </w:tc>
      </w:tr>
      <w:tr w:rsidR="00D85532" w:rsidRPr="0061343E" w14:paraId="3D8CFAFC" w14:textId="77777777" w:rsidTr="00DA0D1F">
        <w:tc>
          <w:tcPr>
            <w:tcW w:w="1860" w:type="pct"/>
            <w:shd w:val="clear" w:color="auto" w:fill="B8CCE4"/>
            <w:tcMar>
              <w:left w:w="20" w:type="dxa"/>
              <w:right w:w="20" w:type="dxa"/>
            </w:tcMar>
          </w:tcPr>
          <w:p w14:paraId="76487638" w14:textId="77777777" w:rsidR="00D85532" w:rsidRPr="0061343E" w:rsidRDefault="00D85532" w:rsidP="00E7466A">
            <w:pPr>
              <w:pStyle w:val="TableLeft"/>
              <w:keepNext/>
              <w:rPr>
                <w:rFonts w:ascii="Arial Narrow" w:hAnsi="Arial Narrow"/>
                <w:sz w:val="20"/>
                <w:szCs w:val="20"/>
              </w:rPr>
            </w:pPr>
            <w:r w:rsidRPr="0061343E">
              <w:rPr>
                <w:rFonts w:ascii="Arial Narrow" w:hAnsi="Arial Narrow"/>
                <w:sz w:val="20"/>
                <w:szCs w:val="20"/>
              </w:rPr>
              <w:t>CAFÉ</w:t>
            </w:r>
          </w:p>
        </w:tc>
        <w:tc>
          <w:tcPr>
            <w:tcW w:w="731" w:type="pct"/>
            <w:shd w:val="clear" w:color="auto" w:fill="B8CCE4"/>
            <w:tcMar>
              <w:left w:w="20" w:type="dxa"/>
              <w:right w:w="20" w:type="dxa"/>
            </w:tcMar>
          </w:tcPr>
          <w:p w14:paraId="54EC411F" w14:textId="77777777" w:rsidR="00D85532" w:rsidRPr="0061343E" w:rsidRDefault="00D85532" w:rsidP="00E7466A">
            <w:pPr>
              <w:pStyle w:val="TableCentre"/>
              <w:keepNext/>
              <w:rPr>
                <w:rFonts w:ascii="Arial Narrow" w:hAnsi="Arial Narrow"/>
                <w:sz w:val="20"/>
                <w:szCs w:val="20"/>
              </w:rPr>
            </w:pPr>
            <w:r w:rsidRPr="0061343E">
              <w:rPr>
                <w:rFonts w:ascii="Arial Narrow" w:hAnsi="Arial Narrow"/>
                <w:sz w:val="20"/>
                <w:szCs w:val="20"/>
              </w:rPr>
              <w:t>85/97 (87.6)</w:t>
            </w:r>
          </w:p>
        </w:tc>
        <w:tc>
          <w:tcPr>
            <w:tcW w:w="734" w:type="pct"/>
            <w:shd w:val="clear" w:color="auto" w:fill="B8CCE4"/>
            <w:tcMar>
              <w:left w:w="20" w:type="dxa"/>
              <w:right w:w="20" w:type="dxa"/>
            </w:tcMar>
          </w:tcPr>
          <w:p w14:paraId="068B28FE" w14:textId="77777777" w:rsidR="00D85532" w:rsidRPr="0061343E" w:rsidRDefault="00D85532" w:rsidP="00E7466A">
            <w:pPr>
              <w:pStyle w:val="TableCentre"/>
              <w:keepNext/>
              <w:rPr>
                <w:rFonts w:ascii="Arial Narrow" w:hAnsi="Arial Narrow"/>
                <w:sz w:val="20"/>
                <w:szCs w:val="20"/>
              </w:rPr>
            </w:pPr>
            <w:r w:rsidRPr="0061343E">
              <w:rPr>
                <w:rFonts w:ascii="Arial Narrow" w:hAnsi="Arial Narrow"/>
                <w:sz w:val="20"/>
                <w:szCs w:val="20"/>
              </w:rPr>
              <w:t>42/95 (44.2)</w:t>
            </w:r>
          </w:p>
        </w:tc>
        <w:tc>
          <w:tcPr>
            <w:tcW w:w="864" w:type="pct"/>
            <w:shd w:val="clear" w:color="auto" w:fill="B8CCE4"/>
            <w:tcMar>
              <w:left w:w="20" w:type="dxa"/>
              <w:right w:w="20" w:type="dxa"/>
            </w:tcMar>
          </w:tcPr>
          <w:p w14:paraId="23B04CE0" w14:textId="77777777" w:rsidR="00D85532" w:rsidRPr="0061343E" w:rsidRDefault="00D85532" w:rsidP="00E7466A">
            <w:pPr>
              <w:keepNext/>
              <w:jc w:val="center"/>
              <w:rPr>
                <w:rFonts w:ascii="Arial Narrow" w:hAnsi="Arial Narrow"/>
                <w:b/>
                <w:bCs/>
                <w:sz w:val="20"/>
                <w:szCs w:val="20"/>
              </w:rPr>
            </w:pPr>
            <w:r w:rsidRPr="0061343E">
              <w:rPr>
                <w:rFonts w:ascii="Arial Narrow" w:hAnsi="Arial Narrow"/>
                <w:b/>
                <w:bCs/>
                <w:sz w:val="20"/>
                <w:szCs w:val="20"/>
              </w:rPr>
              <w:t>1.98 (1.56, 2.52)</w:t>
            </w:r>
          </w:p>
        </w:tc>
        <w:tc>
          <w:tcPr>
            <w:tcW w:w="811" w:type="pct"/>
            <w:shd w:val="clear" w:color="auto" w:fill="B8CCE4"/>
            <w:tcMar>
              <w:left w:w="20" w:type="dxa"/>
              <w:right w:w="20" w:type="dxa"/>
            </w:tcMar>
          </w:tcPr>
          <w:p w14:paraId="3D81F47C" w14:textId="77777777" w:rsidR="00D85532" w:rsidRPr="0061343E" w:rsidRDefault="00D85532" w:rsidP="00E7466A">
            <w:pPr>
              <w:keepNext/>
              <w:jc w:val="center"/>
              <w:rPr>
                <w:rFonts w:ascii="Arial Narrow" w:hAnsi="Arial Narrow"/>
                <w:b/>
                <w:bCs/>
                <w:sz w:val="20"/>
                <w:szCs w:val="20"/>
              </w:rPr>
            </w:pPr>
            <w:r w:rsidRPr="0061343E">
              <w:rPr>
                <w:rFonts w:ascii="Arial Narrow" w:hAnsi="Arial Narrow"/>
                <w:b/>
                <w:bCs/>
                <w:sz w:val="20"/>
                <w:szCs w:val="20"/>
              </w:rPr>
              <w:t>0.43 (0.32, 0.55)</w:t>
            </w:r>
          </w:p>
        </w:tc>
      </w:tr>
      <w:tr w:rsidR="00DA0D1F" w:rsidRPr="0061343E" w14:paraId="114C4909" w14:textId="77777777" w:rsidTr="00DA0D1F">
        <w:tc>
          <w:tcPr>
            <w:tcW w:w="3325" w:type="pct"/>
            <w:gridSpan w:val="3"/>
            <w:shd w:val="clear" w:color="auto" w:fill="auto"/>
            <w:tcMar>
              <w:left w:w="20" w:type="dxa"/>
              <w:right w:w="20" w:type="dxa"/>
            </w:tcMar>
          </w:tcPr>
          <w:p w14:paraId="59B1015A" w14:textId="11C44294" w:rsidR="00DA0D1F" w:rsidRPr="0061343E" w:rsidRDefault="00DA0D1F" w:rsidP="00DA0D1F">
            <w:pPr>
              <w:pStyle w:val="TableCentre"/>
              <w:keepNext/>
              <w:jc w:val="left"/>
              <w:rPr>
                <w:rFonts w:ascii="Arial Narrow" w:hAnsi="Arial Narrow"/>
                <w:sz w:val="20"/>
                <w:szCs w:val="20"/>
              </w:rPr>
            </w:pPr>
            <w:r w:rsidRPr="0061343E">
              <w:rPr>
                <w:rFonts w:ascii="Arial Narrow" w:hAnsi="Arial Narrow"/>
                <w:sz w:val="20"/>
                <w:szCs w:val="20"/>
              </w:rPr>
              <w:t>Pooled (REM)</w:t>
            </w:r>
          </w:p>
        </w:tc>
        <w:tc>
          <w:tcPr>
            <w:tcW w:w="864" w:type="pct"/>
            <w:shd w:val="clear" w:color="auto" w:fill="auto"/>
            <w:tcMar>
              <w:left w:w="20" w:type="dxa"/>
              <w:right w:w="20" w:type="dxa"/>
            </w:tcMar>
          </w:tcPr>
          <w:p w14:paraId="768DB062" w14:textId="77777777" w:rsidR="00DA0D1F" w:rsidRPr="0061343E" w:rsidRDefault="00DA0D1F" w:rsidP="00E7466A">
            <w:pPr>
              <w:keepNext/>
              <w:jc w:val="center"/>
              <w:rPr>
                <w:rFonts w:ascii="Arial Narrow" w:hAnsi="Arial Narrow"/>
                <w:b/>
                <w:bCs/>
                <w:sz w:val="20"/>
                <w:szCs w:val="20"/>
              </w:rPr>
            </w:pPr>
            <w:r w:rsidRPr="0061343E">
              <w:rPr>
                <w:rFonts w:ascii="Arial Narrow" w:hAnsi="Arial Narrow"/>
                <w:b/>
                <w:bCs/>
                <w:sz w:val="20"/>
                <w:szCs w:val="20"/>
              </w:rPr>
              <w:t>1.72 (1.38, 2.15)</w:t>
            </w:r>
          </w:p>
        </w:tc>
        <w:tc>
          <w:tcPr>
            <w:tcW w:w="811" w:type="pct"/>
            <w:shd w:val="clear" w:color="auto" w:fill="auto"/>
            <w:tcMar>
              <w:left w:w="20" w:type="dxa"/>
              <w:right w:w="20" w:type="dxa"/>
            </w:tcMar>
          </w:tcPr>
          <w:p w14:paraId="34B4A5E0" w14:textId="77777777" w:rsidR="00DA0D1F" w:rsidRPr="0061343E" w:rsidRDefault="00DA0D1F" w:rsidP="00E7466A">
            <w:pPr>
              <w:keepNext/>
              <w:jc w:val="center"/>
              <w:rPr>
                <w:rFonts w:ascii="Arial Narrow" w:hAnsi="Arial Narrow"/>
                <w:b/>
                <w:bCs/>
                <w:sz w:val="20"/>
                <w:szCs w:val="20"/>
              </w:rPr>
            </w:pPr>
            <w:r w:rsidRPr="0061343E">
              <w:rPr>
                <w:rFonts w:ascii="Arial Narrow" w:hAnsi="Arial Narrow"/>
                <w:b/>
                <w:bCs/>
                <w:sz w:val="20"/>
                <w:szCs w:val="20"/>
              </w:rPr>
              <w:t>0.35 (0.23, 0.46)</w:t>
            </w:r>
          </w:p>
        </w:tc>
      </w:tr>
      <w:tr w:rsidR="00DA0D1F" w:rsidRPr="0061343E" w14:paraId="0F079214" w14:textId="77777777" w:rsidTr="00DA0D1F">
        <w:tc>
          <w:tcPr>
            <w:tcW w:w="3325" w:type="pct"/>
            <w:gridSpan w:val="3"/>
            <w:shd w:val="clear" w:color="auto" w:fill="auto"/>
            <w:tcMar>
              <w:left w:w="20" w:type="dxa"/>
              <w:right w:w="20" w:type="dxa"/>
            </w:tcMar>
          </w:tcPr>
          <w:p w14:paraId="1DBACCC5" w14:textId="5C596FB8" w:rsidR="00DA0D1F" w:rsidRPr="0061343E" w:rsidRDefault="00DA0D1F" w:rsidP="00DA0D1F">
            <w:pPr>
              <w:pStyle w:val="TableCentre"/>
              <w:keepNext/>
              <w:jc w:val="left"/>
              <w:rPr>
                <w:rFonts w:ascii="Arial Narrow" w:hAnsi="Arial Narrow"/>
                <w:sz w:val="20"/>
                <w:szCs w:val="20"/>
              </w:rPr>
            </w:pPr>
            <w:r w:rsidRPr="0061343E">
              <w:rPr>
                <w:rFonts w:ascii="Arial Narrow" w:hAnsi="Arial Narrow"/>
                <w:sz w:val="20"/>
                <w:szCs w:val="20"/>
              </w:rPr>
              <w:t>Pooled (REM) excl. CAFÉ</w:t>
            </w:r>
          </w:p>
        </w:tc>
        <w:tc>
          <w:tcPr>
            <w:tcW w:w="864" w:type="pct"/>
            <w:shd w:val="clear" w:color="auto" w:fill="auto"/>
            <w:tcMar>
              <w:left w:w="20" w:type="dxa"/>
              <w:right w:w="20" w:type="dxa"/>
            </w:tcMar>
          </w:tcPr>
          <w:p w14:paraId="224E5A24" w14:textId="77777777" w:rsidR="00DA0D1F" w:rsidRPr="0061343E" w:rsidRDefault="00DA0D1F" w:rsidP="00E7466A">
            <w:pPr>
              <w:keepNext/>
              <w:jc w:val="center"/>
              <w:rPr>
                <w:rFonts w:ascii="Arial Narrow" w:hAnsi="Arial Narrow"/>
                <w:b/>
                <w:bCs/>
                <w:sz w:val="20"/>
                <w:szCs w:val="20"/>
              </w:rPr>
            </w:pPr>
            <w:r w:rsidRPr="0061343E">
              <w:rPr>
                <w:rFonts w:ascii="Arial Narrow" w:hAnsi="Arial Narrow"/>
                <w:b/>
                <w:bCs/>
                <w:sz w:val="20"/>
                <w:szCs w:val="20"/>
              </w:rPr>
              <w:t>1.62 (1.21, 2.18)</w:t>
            </w:r>
          </w:p>
        </w:tc>
        <w:tc>
          <w:tcPr>
            <w:tcW w:w="811" w:type="pct"/>
            <w:shd w:val="clear" w:color="auto" w:fill="auto"/>
            <w:tcMar>
              <w:left w:w="20" w:type="dxa"/>
              <w:right w:w="20" w:type="dxa"/>
            </w:tcMar>
          </w:tcPr>
          <w:p w14:paraId="32E4CFE0" w14:textId="77777777" w:rsidR="00DA0D1F" w:rsidRPr="0061343E" w:rsidRDefault="00DA0D1F" w:rsidP="00E7466A">
            <w:pPr>
              <w:keepNext/>
              <w:jc w:val="center"/>
              <w:rPr>
                <w:rFonts w:ascii="Arial Narrow" w:hAnsi="Arial Narrow"/>
                <w:b/>
                <w:bCs/>
                <w:sz w:val="20"/>
                <w:szCs w:val="20"/>
              </w:rPr>
            </w:pPr>
            <w:r w:rsidRPr="0061343E">
              <w:rPr>
                <w:rFonts w:ascii="Arial Narrow" w:hAnsi="Arial Narrow"/>
                <w:b/>
                <w:bCs/>
                <w:sz w:val="20"/>
                <w:szCs w:val="20"/>
              </w:rPr>
              <w:t>0.31 (0.17, 0.45)</w:t>
            </w:r>
          </w:p>
        </w:tc>
      </w:tr>
      <w:tr w:rsidR="00D85532" w:rsidRPr="0061343E" w14:paraId="18185EC6" w14:textId="77777777" w:rsidTr="00DA0D1F">
        <w:tc>
          <w:tcPr>
            <w:tcW w:w="0" w:type="auto"/>
            <w:gridSpan w:val="5"/>
            <w:shd w:val="clear" w:color="auto" w:fill="auto"/>
            <w:tcMar>
              <w:left w:w="20" w:type="dxa"/>
              <w:right w:w="20" w:type="dxa"/>
            </w:tcMar>
          </w:tcPr>
          <w:p w14:paraId="307BCA9B" w14:textId="77777777" w:rsidR="00D85532" w:rsidRPr="0061343E" w:rsidRDefault="00D85532" w:rsidP="00E7466A">
            <w:pPr>
              <w:keepNext/>
              <w:rPr>
                <w:rFonts w:ascii="Arial Narrow" w:hAnsi="Arial Narrow"/>
                <w:b/>
                <w:bCs/>
                <w:sz w:val="20"/>
                <w:szCs w:val="20"/>
              </w:rPr>
            </w:pPr>
            <w:r w:rsidRPr="0061343E">
              <w:rPr>
                <w:rFonts w:ascii="Arial Narrow" w:hAnsi="Arial Narrow"/>
                <w:b/>
                <w:bCs/>
                <w:sz w:val="20"/>
                <w:szCs w:val="20"/>
              </w:rPr>
              <w:t>Indirect comparison</w:t>
            </w:r>
          </w:p>
        </w:tc>
      </w:tr>
      <w:tr w:rsidR="00D85532" w:rsidRPr="0061343E" w14:paraId="11F5920C" w14:textId="77777777" w:rsidTr="00DA0D1F">
        <w:tc>
          <w:tcPr>
            <w:tcW w:w="3325" w:type="pct"/>
            <w:gridSpan w:val="3"/>
            <w:shd w:val="clear" w:color="auto" w:fill="auto"/>
            <w:tcMar>
              <w:left w:w="20" w:type="dxa"/>
              <w:right w:w="20" w:type="dxa"/>
            </w:tcMar>
          </w:tcPr>
          <w:p w14:paraId="79F889D3" w14:textId="77777777" w:rsidR="00D85532" w:rsidRPr="0061343E" w:rsidRDefault="00D85532" w:rsidP="00E7466A">
            <w:pPr>
              <w:pStyle w:val="TableCentre"/>
              <w:keepNext/>
              <w:jc w:val="both"/>
              <w:rPr>
                <w:rFonts w:ascii="Arial Narrow" w:hAnsi="Arial Narrow"/>
                <w:sz w:val="20"/>
                <w:szCs w:val="20"/>
              </w:rPr>
            </w:pPr>
            <w:r w:rsidRPr="0061343E">
              <w:rPr>
                <w:rFonts w:ascii="Arial Narrow" w:hAnsi="Arial Narrow"/>
                <w:sz w:val="20"/>
                <w:szCs w:val="20"/>
              </w:rPr>
              <w:t>NEMO 30 mg Q4W (pooled excl. ARCADIA CYCLO) vs DUPI 300 mg Q2W (pooled excl. CAFÉ)</w:t>
            </w:r>
          </w:p>
        </w:tc>
        <w:tc>
          <w:tcPr>
            <w:tcW w:w="864" w:type="pct"/>
            <w:shd w:val="clear" w:color="auto" w:fill="auto"/>
            <w:tcMar>
              <w:left w:w="20" w:type="dxa"/>
              <w:right w:w="20" w:type="dxa"/>
            </w:tcMar>
          </w:tcPr>
          <w:p w14:paraId="0F457B28" w14:textId="26E7CAFF" w:rsidR="00D85532" w:rsidRPr="0061343E" w:rsidRDefault="005C1DE0" w:rsidP="00E7466A">
            <w:pPr>
              <w:keepNext/>
              <w:jc w:val="center"/>
              <w:rPr>
                <w:rFonts w:ascii="Arial Narrow" w:hAnsi="Arial Narrow"/>
                <w:sz w:val="20"/>
                <w:szCs w:val="20"/>
              </w:rPr>
            </w:pPr>
            <w:r w:rsidRPr="0061343E">
              <w:rPr>
                <w:rFonts w:ascii="Arial Narrow" w:hAnsi="Arial Narrow"/>
                <w:sz w:val="20"/>
                <w:szCs w:val="20"/>
              </w:rPr>
              <w:t>0.77 (0.57, 1.05)</w:t>
            </w:r>
          </w:p>
        </w:tc>
        <w:tc>
          <w:tcPr>
            <w:tcW w:w="811" w:type="pct"/>
            <w:shd w:val="clear" w:color="auto" w:fill="auto"/>
            <w:tcMar>
              <w:left w:w="20" w:type="dxa"/>
              <w:right w:w="20" w:type="dxa"/>
            </w:tcMar>
          </w:tcPr>
          <w:p w14:paraId="77927276" w14:textId="77777777" w:rsidR="00D85532" w:rsidRPr="0061343E" w:rsidRDefault="00D85532" w:rsidP="00E7466A">
            <w:pPr>
              <w:jc w:val="center"/>
              <w:rPr>
                <w:rFonts w:ascii="Arial Narrow" w:hAnsi="Arial Narrow"/>
                <w:b/>
                <w:bCs/>
                <w:sz w:val="20"/>
                <w:szCs w:val="20"/>
              </w:rPr>
            </w:pPr>
            <w:r w:rsidRPr="0061343E">
              <w:rPr>
                <w:rFonts w:ascii="Arial Narrow" w:hAnsi="Arial Narrow"/>
                <w:b/>
                <w:bCs/>
                <w:sz w:val="20"/>
                <w:szCs w:val="20"/>
              </w:rPr>
              <w:t>-0.17 (-0.32, -0.02)</w:t>
            </w:r>
          </w:p>
          <w:p w14:paraId="483E1D44" w14:textId="77777777" w:rsidR="00D85532" w:rsidRPr="0061343E" w:rsidRDefault="00D85532" w:rsidP="00E7466A">
            <w:pPr>
              <w:keepNext/>
              <w:jc w:val="center"/>
              <w:rPr>
                <w:rFonts w:ascii="Arial Narrow" w:hAnsi="Arial Narrow"/>
                <w:sz w:val="20"/>
                <w:szCs w:val="20"/>
              </w:rPr>
            </w:pPr>
          </w:p>
        </w:tc>
      </w:tr>
    </w:tbl>
    <w:p w14:paraId="14F08FC2" w14:textId="77777777" w:rsidR="00D85532" w:rsidRPr="0061343E" w:rsidRDefault="00D85532" w:rsidP="00D85532">
      <w:pPr>
        <w:pStyle w:val="CaptionFootnote"/>
        <w:rPr>
          <w:rFonts w:ascii="Arial Narrow" w:hAnsi="Arial Narrow"/>
          <w:sz w:val="18"/>
          <w:szCs w:val="18"/>
        </w:rPr>
      </w:pPr>
      <w:r w:rsidRPr="0061343E">
        <w:rPr>
          <w:rFonts w:ascii="Arial Narrow" w:hAnsi="Arial Narrow"/>
          <w:sz w:val="18"/>
          <w:szCs w:val="18"/>
        </w:rPr>
        <w:t>Source: Table 2-86, p215 of the submission.</w:t>
      </w:r>
    </w:p>
    <w:p w14:paraId="6BC7BE32" w14:textId="77777777" w:rsidR="00D85532" w:rsidRPr="0061343E" w:rsidRDefault="00D85532" w:rsidP="00D85532">
      <w:pPr>
        <w:pStyle w:val="CaptionFootnote"/>
        <w:rPr>
          <w:rFonts w:ascii="Arial Narrow" w:hAnsi="Arial Narrow"/>
          <w:sz w:val="18"/>
          <w:szCs w:val="18"/>
        </w:rPr>
      </w:pPr>
      <w:r w:rsidRPr="0061343E">
        <w:rPr>
          <w:rFonts w:ascii="Arial Narrow" w:hAnsi="Arial Narrow"/>
          <w:sz w:val="18"/>
          <w:szCs w:val="18"/>
        </w:rPr>
        <w:t>CI = confidence interval; DUPI = dupilumab; DLQI = Dermatology Life Quality Index; ITC = indirect treatment comparison; NA = not available; NEMO = nemolizumab; NRI = non responder imputation; Q2W = every 2 weeks; Q4W = every 4 weeks; RD = risk difference; REM = random effects model; RR = relative risk</w:t>
      </w:r>
    </w:p>
    <w:p w14:paraId="68D87142" w14:textId="77777777" w:rsidR="00D85532" w:rsidRPr="0061343E" w:rsidRDefault="00D85532" w:rsidP="00D85532">
      <w:pPr>
        <w:pStyle w:val="CaptionFootnote"/>
        <w:rPr>
          <w:rFonts w:ascii="Arial Narrow" w:hAnsi="Arial Narrow"/>
          <w:sz w:val="18"/>
          <w:szCs w:val="18"/>
        </w:rPr>
      </w:pPr>
      <w:r w:rsidRPr="0061343E">
        <w:rPr>
          <w:rFonts w:ascii="Arial Narrow" w:hAnsi="Arial Narrow"/>
          <w:b/>
          <w:bCs/>
          <w:sz w:val="18"/>
          <w:szCs w:val="18"/>
        </w:rPr>
        <w:t>Bold</w:t>
      </w:r>
      <w:r w:rsidRPr="0061343E">
        <w:rPr>
          <w:rFonts w:ascii="Arial Narrow" w:hAnsi="Arial Narrow"/>
          <w:sz w:val="18"/>
          <w:szCs w:val="18"/>
        </w:rPr>
        <w:t xml:space="preserve"> = statistically significant</w:t>
      </w:r>
    </w:p>
    <w:p w14:paraId="418C668F" w14:textId="75C30737" w:rsidR="00D85532" w:rsidRPr="0061343E" w:rsidRDefault="00D85532" w:rsidP="00D85532">
      <w:pPr>
        <w:pStyle w:val="TableFigureFooter"/>
        <w:rPr>
          <w:szCs w:val="18"/>
        </w:rPr>
      </w:pPr>
      <w:r w:rsidRPr="0061343E">
        <w:rPr>
          <w:rStyle w:val="CommentReference"/>
          <w:b w:val="0"/>
          <w:bCs/>
          <w:sz w:val="18"/>
          <w:szCs w:val="18"/>
          <w:shd w:val="clear" w:color="auto" w:fill="B8CCE4" w:themeFill="accent1" w:themeFillTint="66"/>
        </w:rPr>
        <w:t>Blue shading</w:t>
      </w:r>
      <w:r w:rsidRPr="0061343E">
        <w:rPr>
          <w:rStyle w:val="CommentReference"/>
          <w:b w:val="0"/>
          <w:bCs/>
          <w:sz w:val="18"/>
          <w:szCs w:val="18"/>
        </w:rPr>
        <w:t xml:space="preserve"> indicates data previously seen by the PBAC.</w:t>
      </w:r>
    </w:p>
    <w:p w14:paraId="42475DBB" w14:textId="12E023DE" w:rsidR="00D85532" w:rsidRPr="0061343E" w:rsidRDefault="00D85532" w:rsidP="00D85532">
      <w:pPr>
        <w:pStyle w:val="3-BodyText"/>
      </w:pPr>
      <w:r w:rsidRPr="0061343E">
        <w:t>NEMO was associated with an improvement in EASI-75, IGA success, EASI-50, and ≥4-point improvement in DLQI at Week 16, compared with placebo</w:t>
      </w:r>
      <w:r w:rsidR="00931266" w:rsidRPr="0061343E">
        <w:t xml:space="preserve"> in most of the trials</w:t>
      </w:r>
      <w:r w:rsidR="00DE49B7" w:rsidRPr="0061343E">
        <w:t>.</w:t>
      </w:r>
      <w:r w:rsidRPr="0061343E">
        <w:t xml:space="preserve"> </w:t>
      </w:r>
      <w:r w:rsidR="00DE49B7" w:rsidRPr="0061343E">
        <w:lastRenderedPageBreak/>
        <w:t>Th</w:t>
      </w:r>
      <w:r w:rsidRPr="0061343E">
        <w:t xml:space="preserve">e differences were not statistically significant in Study 114322 for </w:t>
      </w:r>
      <w:r w:rsidRPr="0061343E">
        <w:rPr>
          <w:rFonts w:cs="Calibri"/>
        </w:rPr>
        <w:t>≥</w:t>
      </w:r>
      <w:r w:rsidRPr="0061343E">
        <w:rPr>
          <w:rFonts w:hint="eastAsia"/>
        </w:rPr>
        <w:t>4-point improvement in DLQI</w:t>
      </w:r>
      <w:r w:rsidRPr="0061343E">
        <w:t>, and in ARCADIA CYCLO for the outcomes of IGA success and EASI-50</w:t>
      </w:r>
      <w:r w:rsidR="00573052" w:rsidRPr="0061343E">
        <w:t xml:space="preserve"> (</w:t>
      </w:r>
      <w:r w:rsidRPr="0061343E">
        <w:t xml:space="preserve">data on </w:t>
      </w:r>
      <w:r w:rsidRPr="0061343E">
        <w:rPr>
          <w:rFonts w:cs="Calibri"/>
        </w:rPr>
        <w:t>≥</w:t>
      </w:r>
      <w:r w:rsidRPr="0061343E">
        <w:rPr>
          <w:rFonts w:hint="eastAsia"/>
        </w:rPr>
        <w:t>4-point improvement in DLQI</w:t>
      </w:r>
      <w:r w:rsidRPr="0061343E">
        <w:t xml:space="preserve"> </w:t>
      </w:r>
      <w:r w:rsidR="00573052" w:rsidRPr="0061343E">
        <w:t xml:space="preserve">was </w:t>
      </w:r>
      <w:r w:rsidRPr="0061343E">
        <w:t>not reported in this study</w:t>
      </w:r>
      <w:r w:rsidR="00573052" w:rsidRPr="0061343E">
        <w:t>)</w:t>
      </w:r>
      <w:r w:rsidRPr="0061343E">
        <w:t xml:space="preserve">. The results of random effects meta-analyses showed that NEMO was statistically significantly superior to placebo for all four </w:t>
      </w:r>
      <w:r w:rsidR="00573052" w:rsidRPr="0061343E">
        <w:t xml:space="preserve">of the </w:t>
      </w:r>
      <w:r w:rsidRPr="0061343E">
        <w:t xml:space="preserve">efficacy outcomes, </w:t>
      </w:r>
      <w:r w:rsidR="00573052" w:rsidRPr="0061343E">
        <w:t>regardless of</w:t>
      </w:r>
      <w:r w:rsidRPr="0061343E">
        <w:t xml:space="preserve"> whether ARCADIA CYCLO was included in the analyses or not.</w:t>
      </w:r>
    </w:p>
    <w:p w14:paraId="46E3AA59" w14:textId="23EBBA64" w:rsidR="00D85532" w:rsidRPr="0061343E" w:rsidRDefault="00884A03" w:rsidP="00D85532">
      <w:pPr>
        <w:pStyle w:val="3-BodyText"/>
      </w:pPr>
      <w:r w:rsidRPr="0061343E">
        <w:t>The ESC noted t</w:t>
      </w:r>
      <w:r w:rsidR="00D85532" w:rsidRPr="0061343E">
        <w:t>he results of the ITCs suggested that NEMO had inferior efficacy in comparison to DUPI for the treatment of moderate and severe AD, for all efficacy outcomes, with differences reaching statistical significance for both primary endpoints of EASI-75 (relative risk [RR]</w:t>
      </w:r>
      <w:r w:rsidR="001741A1" w:rsidRPr="0061343E">
        <w:t xml:space="preserve"> =</w:t>
      </w:r>
      <w:r w:rsidR="00D85532" w:rsidRPr="0061343E">
        <w:t xml:space="preserve"> 0.61, 95% confidence interval [CI]: 0.41, 0.90; risk difference [RD]</w:t>
      </w:r>
      <w:r w:rsidR="001741A1" w:rsidRPr="0061343E">
        <w:t xml:space="preserve"> =</w:t>
      </w:r>
      <w:r w:rsidR="00D85532" w:rsidRPr="0061343E">
        <w:t xml:space="preserve"> -0.24, 95% CI: -0.37, -0.12) and IGA success (RR</w:t>
      </w:r>
      <w:r w:rsidR="001741A1" w:rsidRPr="0061343E">
        <w:t xml:space="preserve"> =</w:t>
      </w:r>
      <w:r w:rsidR="00D85532" w:rsidRPr="0061343E">
        <w:t xml:space="preserve"> 0.49, 95% CI: 0.34, 0.69; RD</w:t>
      </w:r>
      <w:r w:rsidR="001741A1" w:rsidRPr="0061343E">
        <w:t xml:space="preserve"> =</w:t>
      </w:r>
      <w:r w:rsidR="00D85532" w:rsidRPr="0061343E">
        <w:t xml:space="preserve"> -0.14, 95% CI: -0.22, -0.06) at Week 16</w:t>
      </w:r>
      <w:r w:rsidR="00A314B7" w:rsidRPr="0061343E">
        <w:t>. The results numerically favoured DUPI</w:t>
      </w:r>
      <w:r w:rsidR="00D85532" w:rsidRPr="0061343E">
        <w:t>,</w:t>
      </w:r>
      <w:r w:rsidR="004F3A4A" w:rsidRPr="0061343E">
        <w:t xml:space="preserve"> but were not statistically significant,</w:t>
      </w:r>
      <w:r w:rsidR="00D85532" w:rsidRPr="0061343E">
        <w:t xml:space="preserve"> for </w:t>
      </w:r>
      <w:r w:rsidR="004F3A4A" w:rsidRPr="0061343E">
        <w:t xml:space="preserve">the </w:t>
      </w:r>
      <w:r w:rsidR="00D85532" w:rsidRPr="0061343E">
        <w:t>key secondary outcomes of EASI-50 (RR</w:t>
      </w:r>
      <w:r w:rsidR="001741A1" w:rsidRPr="0061343E">
        <w:t xml:space="preserve"> =</w:t>
      </w:r>
      <w:r w:rsidR="00D85532" w:rsidRPr="0061343E">
        <w:t xml:space="preserve"> 0.72, 95% CI: 0.49, 1.05; RD: -0.22, 95% CI: -0.39, -0.05) and </w:t>
      </w:r>
      <w:r w:rsidR="00D85532" w:rsidRPr="0061343E">
        <w:rPr>
          <w:rFonts w:cs="Calibri"/>
        </w:rPr>
        <w:t>≥</w:t>
      </w:r>
      <w:r w:rsidR="00D85532" w:rsidRPr="0061343E">
        <w:rPr>
          <w:rFonts w:hint="eastAsia"/>
        </w:rPr>
        <w:t xml:space="preserve">4-point improvement in </w:t>
      </w:r>
      <w:r w:rsidR="00D85532" w:rsidRPr="0061343E">
        <w:t>DLQI (RR</w:t>
      </w:r>
      <w:r w:rsidR="001741A1" w:rsidRPr="0061343E">
        <w:t xml:space="preserve"> =</w:t>
      </w:r>
      <w:r w:rsidR="00D85532" w:rsidRPr="0061343E">
        <w:t xml:space="preserve"> 0.77, 95% CI: 0.57, 1.05; RD: -0.17, 95% CI: -0.32, -0.02). </w:t>
      </w:r>
    </w:p>
    <w:p w14:paraId="270AE2E3" w14:textId="4074320B" w:rsidR="00D85532" w:rsidRPr="0061343E" w:rsidRDefault="00D85532" w:rsidP="00D85532">
      <w:pPr>
        <w:pStyle w:val="3-BodyText"/>
      </w:pPr>
      <w:r w:rsidRPr="0061343E">
        <w:t xml:space="preserve">Efficacy results of NEMO with a longer treatment duration were reported in the ARCADIA 1 and ARCADIA 2 trials. </w:t>
      </w:r>
      <w:r w:rsidRPr="0061343E">
        <w:fldChar w:fldCharType="begin"/>
      </w:r>
      <w:r w:rsidRPr="0061343E">
        <w:instrText xml:space="preserve"> REF _Ref197773770 \h </w:instrText>
      </w:r>
      <w:r w:rsidR="000409F2" w:rsidRPr="0061343E">
        <w:instrText xml:space="preserve"> \* MERGEFORMAT </w:instrText>
      </w:r>
      <w:r w:rsidRPr="0061343E">
        <w:fldChar w:fldCharType="separate"/>
      </w:r>
      <w:r w:rsidR="00E5780E" w:rsidRPr="0061343E">
        <w:t xml:space="preserve">Table </w:t>
      </w:r>
      <w:r w:rsidR="00E5780E">
        <w:rPr>
          <w:noProof/>
        </w:rPr>
        <w:t>8</w:t>
      </w:r>
      <w:r w:rsidRPr="0061343E">
        <w:fldChar w:fldCharType="end"/>
      </w:r>
      <w:r w:rsidRPr="0061343E">
        <w:t xml:space="preserve"> presents the results of EASI-75, IGA success, and EASI-50 at Week 48 in ARCADIA 1 and ARCADIA 2. Data on </w:t>
      </w:r>
      <w:r w:rsidRPr="0061343E">
        <w:rPr>
          <w:rFonts w:hint="eastAsia"/>
        </w:rPr>
        <w:t>DLQI</w:t>
      </w:r>
      <w:r w:rsidRPr="0061343E">
        <w:t xml:space="preserve"> improvement of </w:t>
      </w:r>
      <w:r w:rsidRPr="0061343E">
        <w:rPr>
          <w:rFonts w:cs="Calibri"/>
        </w:rPr>
        <w:t>≥</w:t>
      </w:r>
      <w:r w:rsidRPr="0061343E">
        <w:rPr>
          <w:rFonts w:hint="eastAsia"/>
        </w:rPr>
        <w:t>4</w:t>
      </w:r>
      <w:r w:rsidRPr="0061343E">
        <w:t xml:space="preserve"> </w:t>
      </w:r>
      <w:r w:rsidRPr="0061343E">
        <w:rPr>
          <w:rFonts w:hint="eastAsia"/>
        </w:rPr>
        <w:t>point</w:t>
      </w:r>
      <w:r w:rsidRPr="0061343E">
        <w:t>s</w:t>
      </w:r>
      <w:r w:rsidRPr="0061343E">
        <w:rPr>
          <w:rFonts w:hint="eastAsia"/>
        </w:rPr>
        <w:t xml:space="preserve"> </w:t>
      </w:r>
      <w:r w:rsidRPr="0061343E">
        <w:t xml:space="preserve">at Week 48 were not reported in these trials. </w:t>
      </w:r>
    </w:p>
    <w:p w14:paraId="67AEEE09" w14:textId="3F35900B" w:rsidR="00D85532" w:rsidRPr="0061343E" w:rsidRDefault="00D85532" w:rsidP="00D85532">
      <w:pPr>
        <w:pStyle w:val="3-BodyText"/>
      </w:pPr>
      <w:r w:rsidRPr="0061343E">
        <w:t xml:space="preserve">The dosing regimen recommended in the PI </w:t>
      </w:r>
      <w:r w:rsidR="00854A20">
        <w:t>i</w:t>
      </w:r>
      <w:r w:rsidRPr="0061343E">
        <w:t>s NEMO 30</w:t>
      </w:r>
      <w:r w:rsidR="00C161F7" w:rsidRPr="0061343E">
        <w:t xml:space="preserve"> </w:t>
      </w:r>
      <w:r w:rsidRPr="0061343E">
        <w:t>mg Q4W for 16 weeks followed by NEMO 30</w:t>
      </w:r>
      <w:r w:rsidR="00C161F7" w:rsidRPr="0061343E">
        <w:t xml:space="preserve"> </w:t>
      </w:r>
      <w:r w:rsidRPr="0061343E">
        <w:t>mg Q8W. Patients treated with NEMO 30 mg Q8W during the maintenance period reported numerically better results than patients in the placebo arm at Week 48, but the differences were modest in both trials (for example: RR</w:t>
      </w:r>
      <w:r w:rsidR="00C161F7" w:rsidRPr="0061343E">
        <w:t>s</w:t>
      </w:r>
      <w:r w:rsidRPr="0061343E">
        <w:t xml:space="preserve"> of 1.07</w:t>
      </w:r>
      <w:r w:rsidR="00C161F7" w:rsidRPr="0061343E">
        <w:t xml:space="preserve"> to </w:t>
      </w:r>
      <w:r w:rsidRPr="0061343E">
        <w:t xml:space="preserve">1.15 for EASI-75; RR </w:t>
      </w:r>
      <w:r w:rsidR="00C161F7" w:rsidRPr="0061343E">
        <w:t xml:space="preserve">= </w:t>
      </w:r>
      <w:r w:rsidRPr="0061343E">
        <w:t>1.05 for IGA success). No formal statistical analyses were prespecified for these data.</w:t>
      </w:r>
    </w:p>
    <w:p w14:paraId="300A6D19" w14:textId="5D61A4D4" w:rsidR="00D85532" w:rsidRPr="0061343E" w:rsidRDefault="00D85532" w:rsidP="00D85532">
      <w:pPr>
        <w:pStyle w:val="Caption"/>
      </w:pPr>
      <w:bookmarkStart w:id="38" w:name="_Ref197773770"/>
      <w:r w:rsidRPr="0061343E">
        <w:t xml:space="preserve">Table </w:t>
      </w:r>
      <w:r w:rsidR="00167892">
        <w:fldChar w:fldCharType="begin"/>
      </w:r>
      <w:r w:rsidR="00167892">
        <w:instrText xml:space="preserve"> SEQ Table \* ARABIC </w:instrText>
      </w:r>
      <w:r w:rsidR="00167892">
        <w:fldChar w:fldCharType="separate"/>
      </w:r>
      <w:r w:rsidR="00E5780E">
        <w:rPr>
          <w:noProof/>
        </w:rPr>
        <w:t>8</w:t>
      </w:r>
      <w:r w:rsidR="00167892">
        <w:rPr>
          <w:noProof/>
        </w:rPr>
        <w:fldChar w:fldCharType="end"/>
      </w:r>
      <w:bookmarkEnd w:id="38"/>
      <w:r w:rsidRPr="0061343E">
        <w:t>: Results of EASI-75, IGA success, and EASI-50 at Week 48 in ARCADIA 1 and ARCADIA 2 – enrolled patients in the MTP population</w:t>
      </w:r>
    </w:p>
    <w:tbl>
      <w:tblPr>
        <w:tblStyle w:val="Submissionstandard"/>
        <w:tblW w:w="9211" w:type="dxa"/>
        <w:tblLayout w:type="fixed"/>
        <w:tblLook w:val="04A0" w:firstRow="1" w:lastRow="0" w:firstColumn="1" w:lastColumn="0" w:noHBand="0" w:noVBand="1"/>
        <w:tblCaption w:val="Table 8: Results of EASI-75, IGA success, and EASI-50 at Week 48 in ARCADIA 1 and ARCADIA 2 – enrolled patients in the MTP population"/>
      </w:tblPr>
      <w:tblGrid>
        <w:gridCol w:w="1696"/>
        <w:gridCol w:w="992"/>
        <w:gridCol w:w="992"/>
        <w:gridCol w:w="851"/>
        <w:gridCol w:w="851"/>
        <w:gridCol w:w="992"/>
        <w:gridCol w:w="992"/>
        <w:gridCol w:w="995"/>
        <w:gridCol w:w="850"/>
      </w:tblGrid>
      <w:tr w:rsidR="00D85532" w:rsidRPr="0061343E" w14:paraId="4013D2B4" w14:textId="77777777" w:rsidTr="00E7466A">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auto"/>
          </w:tcPr>
          <w:p w14:paraId="1B081959" w14:textId="77777777" w:rsidR="00D85532" w:rsidRPr="0061343E" w:rsidRDefault="00D85532" w:rsidP="00E7466A">
            <w:pPr>
              <w:pStyle w:val="TableLeft"/>
              <w:keepNext/>
              <w:rPr>
                <w:rFonts w:ascii="Arial Narrow" w:hAnsi="Arial Narrow"/>
                <w:sz w:val="20"/>
                <w:szCs w:val="20"/>
              </w:rPr>
            </w:pPr>
          </w:p>
        </w:tc>
        <w:tc>
          <w:tcPr>
            <w:tcW w:w="3686" w:type="dxa"/>
            <w:gridSpan w:val="4"/>
            <w:shd w:val="clear" w:color="auto" w:fill="auto"/>
          </w:tcPr>
          <w:p w14:paraId="20C126D4" w14:textId="77777777" w:rsidR="00D85532" w:rsidRPr="0061343E" w:rsidRDefault="00D85532" w:rsidP="00E7466A">
            <w:pPr>
              <w:pStyle w:val="TableCentre"/>
              <w:keepNext/>
              <w:rPr>
                <w:rFonts w:ascii="Arial Narrow" w:hAnsi="Arial Narrow"/>
                <w:sz w:val="20"/>
                <w:szCs w:val="20"/>
              </w:rPr>
            </w:pPr>
            <w:r w:rsidRPr="0061343E">
              <w:rPr>
                <w:rFonts w:ascii="Arial Narrow" w:hAnsi="Arial Narrow"/>
                <w:sz w:val="20"/>
                <w:szCs w:val="20"/>
              </w:rPr>
              <w:t>ARCADIA 1</w:t>
            </w:r>
          </w:p>
        </w:tc>
        <w:tc>
          <w:tcPr>
            <w:tcW w:w="3829" w:type="dxa"/>
            <w:gridSpan w:val="4"/>
            <w:shd w:val="clear" w:color="auto" w:fill="auto"/>
          </w:tcPr>
          <w:p w14:paraId="2CFB4F09" w14:textId="77777777" w:rsidR="00D85532" w:rsidRPr="0061343E" w:rsidRDefault="00D85532" w:rsidP="00E7466A">
            <w:pPr>
              <w:pStyle w:val="TableCentre"/>
              <w:keepNext/>
              <w:ind w:left="720" w:hanging="720"/>
              <w:rPr>
                <w:rFonts w:ascii="Arial Narrow" w:hAnsi="Arial Narrow"/>
                <w:sz w:val="20"/>
                <w:szCs w:val="20"/>
              </w:rPr>
            </w:pPr>
            <w:r w:rsidRPr="0061343E">
              <w:rPr>
                <w:rFonts w:ascii="Arial Narrow" w:hAnsi="Arial Narrow"/>
                <w:sz w:val="20"/>
                <w:szCs w:val="20"/>
              </w:rPr>
              <w:t>ARCADIA 2</w:t>
            </w:r>
          </w:p>
        </w:tc>
      </w:tr>
      <w:tr w:rsidR="00D85532" w:rsidRPr="0061343E" w14:paraId="5D8F42DD" w14:textId="77777777" w:rsidTr="00E7466A">
        <w:tc>
          <w:tcPr>
            <w:tcW w:w="1696" w:type="dxa"/>
            <w:shd w:val="clear" w:color="auto" w:fill="auto"/>
          </w:tcPr>
          <w:p w14:paraId="53871357" w14:textId="77777777" w:rsidR="00D85532" w:rsidRPr="0061343E" w:rsidRDefault="00D85532" w:rsidP="00E7466A">
            <w:pPr>
              <w:pStyle w:val="TableLeft"/>
              <w:keepNext/>
              <w:rPr>
                <w:rFonts w:ascii="Arial Narrow" w:hAnsi="Arial Narrow"/>
                <w:b/>
                <w:bCs/>
                <w:sz w:val="20"/>
                <w:szCs w:val="20"/>
              </w:rPr>
            </w:pPr>
            <w:r w:rsidRPr="0061343E">
              <w:rPr>
                <w:rFonts w:ascii="Arial Narrow" w:hAnsi="Arial Narrow"/>
                <w:b/>
                <w:bCs/>
                <w:sz w:val="20"/>
                <w:szCs w:val="20"/>
              </w:rPr>
              <w:t>Treatment in ITP</w:t>
            </w:r>
          </w:p>
        </w:tc>
        <w:tc>
          <w:tcPr>
            <w:tcW w:w="2835" w:type="dxa"/>
            <w:gridSpan w:val="3"/>
            <w:shd w:val="clear" w:color="auto" w:fill="auto"/>
          </w:tcPr>
          <w:p w14:paraId="7FFDC32C" w14:textId="77777777" w:rsidR="00D85532" w:rsidRPr="0061343E" w:rsidRDefault="00D85532" w:rsidP="00E7466A">
            <w:pPr>
              <w:pStyle w:val="TableCentre"/>
              <w:keepNext/>
              <w:rPr>
                <w:rFonts w:ascii="Arial Narrow" w:hAnsi="Arial Narrow"/>
                <w:b/>
                <w:bCs/>
                <w:sz w:val="20"/>
                <w:szCs w:val="20"/>
              </w:rPr>
            </w:pPr>
            <w:r w:rsidRPr="0061343E">
              <w:rPr>
                <w:rFonts w:ascii="Arial Narrow" w:hAnsi="Arial Narrow"/>
                <w:b/>
                <w:bCs/>
                <w:sz w:val="20"/>
                <w:szCs w:val="20"/>
              </w:rPr>
              <w:t>NEMO 30 mg Q4W</w:t>
            </w:r>
          </w:p>
        </w:tc>
        <w:tc>
          <w:tcPr>
            <w:tcW w:w="851" w:type="dxa"/>
            <w:shd w:val="clear" w:color="auto" w:fill="auto"/>
          </w:tcPr>
          <w:p w14:paraId="453575A1" w14:textId="77777777" w:rsidR="00D85532" w:rsidRPr="0061343E" w:rsidRDefault="00D85532" w:rsidP="00E7466A">
            <w:pPr>
              <w:pStyle w:val="TableCentre"/>
              <w:keepNext/>
              <w:rPr>
                <w:rFonts w:ascii="Arial Narrow" w:hAnsi="Arial Narrow"/>
                <w:b/>
                <w:bCs/>
                <w:sz w:val="20"/>
                <w:szCs w:val="20"/>
              </w:rPr>
            </w:pPr>
            <w:r w:rsidRPr="0061343E">
              <w:rPr>
                <w:rFonts w:ascii="Arial Narrow" w:hAnsi="Arial Narrow"/>
                <w:b/>
                <w:bCs/>
                <w:sz w:val="20"/>
                <w:szCs w:val="20"/>
              </w:rPr>
              <w:t>Placebo</w:t>
            </w:r>
          </w:p>
        </w:tc>
        <w:tc>
          <w:tcPr>
            <w:tcW w:w="2979" w:type="dxa"/>
            <w:gridSpan w:val="3"/>
            <w:shd w:val="clear" w:color="auto" w:fill="auto"/>
          </w:tcPr>
          <w:p w14:paraId="2EEE8B10" w14:textId="77777777" w:rsidR="00D85532" w:rsidRPr="0061343E" w:rsidRDefault="00D85532" w:rsidP="00E7466A">
            <w:pPr>
              <w:pStyle w:val="TableCentre"/>
              <w:keepNext/>
              <w:rPr>
                <w:rFonts w:ascii="Arial Narrow" w:hAnsi="Arial Narrow"/>
                <w:b/>
                <w:bCs/>
                <w:sz w:val="20"/>
                <w:szCs w:val="20"/>
              </w:rPr>
            </w:pPr>
            <w:r w:rsidRPr="0061343E">
              <w:rPr>
                <w:rFonts w:ascii="Arial Narrow" w:hAnsi="Arial Narrow"/>
                <w:b/>
                <w:bCs/>
                <w:sz w:val="20"/>
                <w:szCs w:val="20"/>
              </w:rPr>
              <w:t>NEMO 30 mg Q4W</w:t>
            </w:r>
          </w:p>
        </w:tc>
        <w:tc>
          <w:tcPr>
            <w:tcW w:w="850" w:type="dxa"/>
            <w:shd w:val="clear" w:color="auto" w:fill="auto"/>
          </w:tcPr>
          <w:p w14:paraId="1059BC08" w14:textId="77777777" w:rsidR="00D85532" w:rsidRPr="0061343E" w:rsidRDefault="00D85532" w:rsidP="00E7466A">
            <w:pPr>
              <w:pStyle w:val="TableCentre"/>
              <w:keepNext/>
              <w:rPr>
                <w:rFonts w:ascii="Arial Narrow" w:hAnsi="Arial Narrow"/>
                <w:b/>
                <w:bCs/>
                <w:sz w:val="20"/>
                <w:szCs w:val="20"/>
              </w:rPr>
            </w:pPr>
            <w:r w:rsidRPr="0061343E">
              <w:rPr>
                <w:rFonts w:ascii="Arial Narrow" w:hAnsi="Arial Narrow"/>
                <w:b/>
                <w:bCs/>
                <w:sz w:val="20"/>
                <w:szCs w:val="20"/>
              </w:rPr>
              <w:t>Placebo</w:t>
            </w:r>
          </w:p>
        </w:tc>
      </w:tr>
      <w:tr w:rsidR="00D85532" w:rsidRPr="0061343E" w14:paraId="4C73A651" w14:textId="77777777" w:rsidTr="00E7466A">
        <w:tc>
          <w:tcPr>
            <w:tcW w:w="1696" w:type="dxa"/>
            <w:shd w:val="clear" w:color="auto" w:fill="auto"/>
          </w:tcPr>
          <w:p w14:paraId="5C050ED2" w14:textId="77777777" w:rsidR="00D85532" w:rsidRPr="0061343E" w:rsidRDefault="00D85532" w:rsidP="00E7466A">
            <w:pPr>
              <w:pStyle w:val="TableLeft"/>
              <w:keepNext/>
              <w:rPr>
                <w:rFonts w:ascii="Arial Narrow" w:hAnsi="Arial Narrow"/>
                <w:b/>
                <w:bCs/>
                <w:sz w:val="20"/>
                <w:szCs w:val="20"/>
              </w:rPr>
            </w:pPr>
            <w:r w:rsidRPr="0061343E">
              <w:rPr>
                <w:rFonts w:ascii="Arial Narrow" w:hAnsi="Arial Narrow"/>
                <w:b/>
                <w:bCs/>
                <w:sz w:val="20"/>
                <w:szCs w:val="20"/>
              </w:rPr>
              <w:t>Treatment in MTP</w:t>
            </w:r>
          </w:p>
        </w:tc>
        <w:tc>
          <w:tcPr>
            <w:tcW w:w="992" w:type="dxa"/>
            <w:shd w:val="clear" w:color="auto" w:fill="auto"/>
          </w:tcPr>
          <w:p w14:paraId="491675C4" w14:textId="77777777" w:rsidR="00D85532" w:rsidRPr="0061343E" w:rsidRDefault="00D85532" w:rsidP="00E7466A">
            <w:pPr>
              <w:pStyle w:val="TableCentre"/>
              <w:keepNext/>
              <w:rPr>
                <w:rFonts w:ascii="Arial Narrow" w:hAnsi="Arial Narrow"/>
                <w:b/>
                <w:bCs/>
                <w:sz w:val="20"/>
                <w:szCs w:val="20"/>
              </w:rPr>
            </w:pPr>
            <w:r w:rsidRPr="0061343E">
              <w:rPr>
                <w:rFonts w:ascii="Arial Narrow" w:hAnsi="Arial Narrow"/>
                <w:b/>
                <w:bCs/>
                <w:sz w:val="20"/>
                <w:szCs w:val="20"/>
              </w:rPr>
              <w:t>NEMO 30 mg Q8W</w:t>
            </w:r>
          </w:p>
          <w:p w14:paraId="7DB0B41F" w14:textId="77777777" w:rsidR="00D85532" w:rsidRPr="0061343E" w:rsidRDefault="00D85532" w:rsidP="00E7466A">
            <w:pPr>
              <w:pStyle w:val="TableCentre"/>
              <w:keepNext/>
              <w:rPr>
                <w:rFonts w:ascii="Arial Narrow" w:hAnsi="Arial Narrow"/>
                <w:b/>
                <w:bCs/>
                <w:sz w:val="20"/>
                <w:szCs w:val="20"/>
              </w:rPr>
            </w:pPr>
            <w:r w:rsidRPr="0061343E">
              <w:rPr>
                <w:rFonts w:ascii="Arial Narrow" w:hAnsi="Arial Narrow"/>
                <w:b/>
                <w:bCs/>
                <w:sz w:val="20"/>
                <w:szCs w:val="20"/>
              </w:rPr>
              <w:t>N = 91</w:t>
            </w:r>
          </w:p>
        </w:tc>
        <w:tc>
          <w:tcPr>
            <w:tcW w:w="992" w:type="dxa"/>
            <w:shd w:val="clear" w:color="auto" w:fill="auto"/>
          </w:tcPr>
          <w:p w14:paraId="7EFAF3E2" w14:textId="77777777" w:rsidR="00D85532" w:rsidRPr="0061343E" w:rsidRDefault="00D85532" w:rsidP="00E7466A">
            <w:pPr>
              <w:pStyle w:val="TableCentre"/>
              <w:keepNext/>
              <w:rPr>
                <w:rFonts w:ascii="Arial Narrow" w:hAnsi="Arial Narrow"/>
                <w:b/>
                <w:bCs/>
                <w:sz w:val="20"/>
                <w:szCs w:val="20"/>
              </w:rPr>
            </w:pPr>
            <w:r w:rsidRPr="0061343E">
              <w:rPr>
                <w:rFonts w:ascii="Arial Narrow" w:hAnsi="Arial Narrow"/>
                <w:b/>
                <w:bCs/>
                <w:sz w:val="20"/>
                <w:szCs w:val="20"/>
              </w:rPr>
              <w:t>NEMO 30 mg Q4W</w:t>
            </w:r>
          </w:p>
          <w:p w14:paraId="7C6B1138" w14:textId="77777777" w:rsidR="00D85532" w:rsidRPr="0061343E" w:rsidRDefault="00D85532" w:rsidP="00E7466A">
            <w:pPr>
              <w:pStyle w:val="TableCentre"/>
              <w:keepNext/>
              <w:rPr>
                <w:rFonts w:ascii="Arial Narrow" w:hAnsi="Arial Narrow"/>
                <w:b/>
                <w:bCs/>
                <w:sz w:val="20"/>
                <w:szCs w:val="20"/>
              </w:rPr>
            </w:pPr>
            <w:r w:rsidRPr="0061343E">
              <w:rPr>
                <w:rFonts w:ascii="Arial Narrow" w:hAnsi="Arial Narrow"/>
                <w:b/>
                <w:bCs/>
                <w:sz w:val="20"/>
                <w:szCs w:val="20"/>
              </w:rPr>
              <w:t>N = 90</w:t>
            </w:r>
          </w:p>
        </w:tc>
        <w:tc>
          <w:tcPr>
            <w:tcW w:w="851" w:type="dxa"/>
            <w:shd w:val="clear" w:color="auto" w:fill="auto"/>
          </w:tcPr>
          <w:p w14:paraId="328095BE" w14:textId="77777777" w:rsidR="00D85532" w:rsidRPr="0061343E" w:rsidRDefault="00D85532" w:rsidP="00E7466A">
            <w:pPr>
              <w:pStyle w:val="TableCentre"/>
              <w:keepNext/>
              <w:rPr>
                <w:rFonts w:ascii="Arial Narrow" w:hAnsi="Arial Narrow"/>
                <w:b/>
                <w:bCs/>
                <w:sz w:val="20"/>
                <w:szCs w:val="20"/>
              </w:rPr>
            </w:pPr>
            <w:r w:rsidRPr="0061343E">
              <w:rPr>
                <w:rFonts w:ascii="Arial Narrow" w:hAnsi="Arial Narrow"/>
                <w:b/>
                <w:bCs/>
                <w:sz w:val="20"/>
                <w:szCs w:val="20"/>
              </w:rPr>
              <w:t>Placebo</w:t>
            </w:r>
          </w:p>
          <w:p w14:paraId="09FD725E" w14:textId="77777777" w:rsidR="00D85532" w:rsidRPr="0061343E" w:rsidRDefault="00D85532" w:rsidP="00E7466A">
            <w:pPr>
              <w:pStyle w:val="TableCentre"/>
              <w:keepNext/>
              <w:rPr>
                <w:rFonts w:ascii="Arial Narrow" w:hAnsi="Arial Narrow"/>
                <w:b/>
                <w:bCs/>
                <w:sz w:val="20"/>
                <w:szCs w:val="20"/>
              </w:rPr>
            </w:pPr>
            <w:r w:rsidRPr="0061343E">
              <w:rPr>
                <w:rFonts w:ascii="Arial Narrow" w:hAnsi="Arial Narrow"/>
                <w:b/>
                <w:bCs/>
                <w:sz w:val="20"/>
                <w:szCs w:val="20"/>
              </w:rPr>
              <w:t>N = 91</w:t>
            </w:r>
          </w:p>
        </w:tc>
        <w:tc>
          <w:tcPr>
            <w:tcW w:w="851" w:type="dxa"/>
            <w:shd w:val="clear" w:color="auto" w:fill="auto"/>
          </w:tcPr>
          <w:p w14:paraId="5B19398B" w14:textId="77777777" w:rsidR="00D85532" w:rsidRPr="0061343E" w:rsidRDefault="00D85532" w:rsidP="00E7466A">
            <w:pPr>
              <w:pStyle w:val="TableCentre"/>
              <w:keepNext/>
              <w:rPr>
                <w:rFonts w:ascii="Arial Narrow" w:hAnsi="Arial Narrow"/>
                <w:b/>
                <w:bCs/>
                <w:sz w:val="20"/>
                <w:szCs w:val="20"/>
              </w:rPr>
            </w:pPr>
            <w:r w:rsidRPr="0061343E">
              <w:rPr>
                <w:rFonts w:ascii="Arial Narrow" w:hAnsi="Arial Narrow"/>
                <w:b/>
                <w:bCs/>
                <w:sz w:val="20"/>
                <w:szCs w:val="20"/>
              </w:rPr>
              <w:t>Placebo</w:t>
            </w:r>
          </w:p>
          <w:p w14:paraId="71C16894" w14:textId="77777777" w:rsidR="00D85532" w:rsidRPr="0061343E" w:rsidRDefault="00D85532" w:rsidP="00E7466A">
            <w:pPr>
              <w:pStyle w:val="TableCentre"/>
              <w:keepNext/>
              <w:rPr>
                <w:rFonts w:ascii="Arial Narrow" w:hAnsi="Arial Narrow"/>
                <w:b/>
                <w:bCs/>
                <w:sz w:val="20"/>
                <w:szCs w:val="20"/>
              </w:rPr>
            </w:pPr>
            <w:r w:rsidRPr="0061343E">
              <w:rPr>
                <w:rFonts w:ascii="Arial Narrow" w:hAnsi="Arial Narrow"/>
                <w:b/>
                <w:bCs/>
                <w:sz w:val="20"/>
                <w:szCs w:val="20"/>
              </w:rPr>
              <w:t>N = 100</w:t>
            </w:r>
          </w:p>
        </w:tc>
        <w:tc>
          <w:tcPr>
            <w:tcW w:w="992" w:type="dxa"/>
            <w:shd w:val="clear" w:color="auto" w:fill="auto"/>
          </w:tcPr>
          <w:p w14:paraId="23D5E2DD" w14:textId="77777777" w:rsidR="00D85532" w:rsidRPr="0061343E" w:rsidRDefault="00D85532" w:rsidP="00E7466A">
            <w:pPr>
              <w:pStyle w:val="TableCentre"/>
              <w:keepNext/>
              <w:rPr>
                <w:rFonts w:ascii="Arial Narrow" w:hAnsi="Arial Narrow"/>
                <w:b/>
                <w:bCs/>
                <w:sz w:val="20"/>
                <w:szCs w:val="20"/>
              </w:rPr>
            </w:pPr>
            <w:r w:rsidRPr="0061343E">
              <w:rPr>
                <w:rFonts w:ascii="Arial Narrow" w:hAnsi="Arial Narrow"/>
                <w:b/>
                <w:bCs/>
                <w:sz w:val="20"/>
                <w:szCs w:val="20"/>
              </w:rPr>
              <w:t>NEMO 30 mg Q8W</w:t>
            </w:r>
          </w:p>
          <w:p w14:paraId="5F6CFDBE" w14:textId="77777777" w:rsidR="00D85532" w:rsidRPr="0061343E" w:rsidRDefault="00D85532" w:rsidP="00E7466A">
            <w:pPr>
              <w:pStyle w:val="TableCentre"/>
              <w:keepNext/>
              <w:rPr>
                <w:rFonts w:ascii="Arial Narrow" w:hAnsi="Arial Narrow"/>
                <w:b/>
                <w:bCs/>
                <w:sz w:val="20"/>
                <w:szCs w:val="20"/>
              </w:rPr>
            </w:pPr>
            <w:r w:rsidRPr="0061343E">
              <w:rPr>
                <w:rFonts w:ascii="Arial Narrow" w:hAnsi="Arial Narrow"/>
                <w:b/>
                <w:bCs/>
                <w:sz w:val="20"/>
                <w:szCs w:val="20"/>
              </w:rPr>
              <w:t>N = 78</w:t>
            </w:r>
          </w:p>
        </w:tc>
        <w:tc>
          <w:tcPr>
            <w:tcW w:w="992" w:type="dxa"/>
            <w:shd w:val="clear" w:color="auto" w:fill="auto"/>
          </w:tcPr>
          <w:p w14:paraId="734F4A78" w14:textId="77777777" w:rsidR="00D85532" w:rsidRPr="0061343E" w:rsidRDefault="00D85532" w:rsidP="00E7466A">
            <w:pPr>
              <w:pStyle w:val="TableCentre"/>
              <w:keepNext/>
              <w:rPr>
                <w:rFonts w:ascii="Arial Narrow" w:hAnsi="Arial Narrow"/>
                <w:b/>
                <w:bCs/>
                <w:sz w:val="20"/>
                <w:szCs w:val="20"/>
              </w:rPr>
            </w:pPr>
            <w:r w:rsidRPr="0061343E">
              <w:rPr>
                <w:rFonts w:ascii="Arial Narrow" w:hAnsi="Arial Narrow"/>
                <w:b/>
                <w:bCs/>
                <w:sz w:val="20"/>
                <w:szCs w:val="20"/>
              </w:rPr>
              <w:t>NEMO 30 mg Q4W</w:t>
            </w:r>
          </w:p>
          <w:p w14:paraId="43E8E5BD" w14:textId="77777777" w:rsidR="00D85532" w:rsidRPr="0061343E" w:rsidRDefault="00D85532" w:rsidP="00E7466A">
            <w:pPr>
              <w:pStyle w:val="TableCentre"/>
              <w:keepNext/>
              <w:rPr>
                <w:rFonts w:ascii="Arial Narrow" w:hAnsi="Arial Narrow"/>
                <w:b/>
                <w:bCs/>
                <w:sz w:val="20"/>
                <w:szCs w:val="20"/>
              </w:rPr>
            </w:pPr>
            <w:r w:rsidRPr="0061343E">
              <w:rPr>
                <w:rFonts w:ascii="Arial Narrow" w:hAnsi="Arial Narrow"/>
                <w:b/>
                <w:bCs/>
                <w:sz w:val="20"/>
                <w:szCs w:val="20"/>
              </w:rPr>
              <w:t>N = 79</w:t>
            </w:r>
          </w:p>
        </w:tc>
        <w:tc>
          <w:tcPr>
            <w:tcW w:w="995" w:type="dxa"/>
            <w:shd w:val="clear" w:color="auto" w:fill="auto"/>
          </w:tcPr>
          <w:p w14:paraId="58C25F25" w14:textId="77777777" w:rsidR="00D85532" w:rsidRPr="0061343E" w:rsidRDefault="00D85532" w:rsidP="00E7466A">
            <w:pPr>
              <w:pStyle w:val="TableCentre"/>
              <w:keepNext/>
              <w:rPr>
                <w:rFonts w:ascii="Arial Narrow" w:hAnsi="Arial Narrow"/>
                <w:b/>
                <w:bCs/>
                <w:sz w:val="20"/>
                <w:szCs w:val="20"/>
              </w:rPr>
            </w:pPr>
            <w:r w:rsidRPr="0061343E">
              <w:rPr>
                <w:rFonts w:ascii="Arial Narrow" w:hAnsi="Arial Narrow"/>
                <w:b/>
                <w:bCs/>
                <w:sz w:val="20"/>
                <w:szCs w:val="20"/>
              </w:rPr>
              <w:t>Placebo</w:t>
            </w:r>
          </w:p>
          <w:p w14:paraId="33C90654" w14:textId="77777777" w:rsidR="00D85532" w:rsidRPr="0061343E" w:rsidRDefault="00D85532" w:rsidP="00E7466A">
            <w:pPr>
              <w:pStyle w:val="TableCentre"/>
              <w:keepNext/>
              <w:rPr>
                <w:rFonts w:ascii="Arial Narrow" w:hAnsi="Arial Narrow"/>
                <w:b/>
                <w:bCs/>
                <w:sz w:val="20"/>
                <w:szCs w:val="20"/>
              </w:rPr>
            </w:pPr>
            <w:r w:rsidRPr="0061343E">
              <w:rPr>
                <w:rFonts w:ascii="Arial Narrow" w:hAnsi="Arial Narrow"/>
                <w:b/>
                <w:bCs/>
                <w:sz w:val="20"/>
                <w:szCs w:val="20"/>
              </w:rPr>
              <w:t>N = 78</w:t>
            </w:r>
          </w:p>
        </w:tc>
        <w:tc>
          <w:tcPr>
            <w:tcW w:w="850" w:type="dxa"/>
            <w:shd w:val="clear" w:color="auto" w:fill="auto"/>
          </w:tcPr>
          <w:p w14:paraId="42048FF8" w14:textId="77777777" w:rsidR="00D85532" w:rsidRPr="0061343E" w:rsidRDefault="00D85532" w:rsidP="00E7466A">
            <w:pPr>
              <w:pStyle w:val="TableCentre"/>
              <w:keepNext/>
              <w:rPr>
                <w:rFonts w:ascii="Arial Narrow" w:hAnsi="Arial Narrow"/>
                <w:b/>
                <w:bCs/>
                <w:sz w:val="20"/>
                <w:szCs w:val="20"/>
              </w:rPr>
            </w:pPr>
            <w:r w:rsidRPr="0061343E">
              <w:rPr>
                <w:rFonts w:ascii="Arial Narrow" w:hAnsi="Arial Narrow"/>
                <w:b/>
                <w:bCs/>
                <w:sz w:val="20"/>
                <w:szCs w:val="20"/>
              </w:rPr>
              <w:t>Placebo</w:t>
            </w:r>
          </w:p>
          <w:p w14:paraId="4413F390" w14:textId="77777777" w:rsidR="00D85532" w:rsidRPr="0061343E" w:rsidRDefault="00D85532" w:rsidP="00E7466A">
            <w:pPr>
              <w:pStyle w:val="TableCentre"/>
              <w:keepNext/>
              <w:rPr>
                <w:rFonts w:ascii="Arial Narrow" w:hAnsi="Arial Narrow"/>
                <w:b/>
                <w:bCs/>
                <w:sz w:val="20"/>
                <w:szCs w:val="20"/>
              </w:rPr>
            </w:pPr>
            <w:r w:rsidRPr="0061343E">
              <w:rPr>
                <w:rFonts w:ascii="Arial Narrow" w:hAnsi="Arial Narrow"/>
                <w:b/>
                <w:bCs/>
                <w:sz w:val="20"/>
                <w:szCs w:val="20"/>
              </w:rPr>
              <w:t>N = 85</w:t>
            </w:r>
          </w:p>
        </w:tc>
      </w:tr>
      <w:tr w:rsidR="00D85532" w:rsidRPr="0061343E" w14:paraId="2B7DC59E" w14:textId="77777777" w:rsidTr="00E7466A">
        <w:tc>
          <w:tcPr>
            <w:tcW w:w="1696" w:type="dxa"/>
            <w:shd w:val="clear" w:color="auto" w:fill="auto"/>
          </w:tcPr>
          <w:p w14:paraId="0BC04473" w14:textId="77777777" w:rsidR="00D85532" w:rsidRPr="0061343E" w:rsidRDefault="00D85532" w:rsidP="00E7466A">
            <w:pPr>
              <w:pStyle w:val="TableLeft"/>
              <w:keepNext/>
              <w:ind w:right="-57"/>
              <w:rPr>
                <w:rFonts w:ascii="Arial Narrow" w:hAnsi="Arial Narrow"/>
                <w:sz w:val="20"/>
                <w:szCs w:val="20"/>
              </w:rPr>
            </w:pPr>
            <w:r w:rsidRPr="0061343E">
              <w:rPr>
                <w:rFonts w:ascii="Arial Narrow" w:hAnsi="Arial Narrow"/>
                <w:sz w:val="20"/>
                <w:szCs w:val="20"/>
              </w:rPr>
              <w:t>EASI-75, n (%)</w:t>
            </w:r>
          </w:p>
        </w:tc>
        <w:tc>
          <w:tcPr>
            <w:tcW w:w="992" w:type="dxa"/>
            <w:shd w:val="clear" w:color="auto" w:fill="auto"/>
          </w:tcPr>
          <w:p w14:paraId="6A0EAD24" w14:textId="77777777" w:rsidR="00D85532" w:rsidRPr="0061343E" w:rsidRDefault="00D85532" w:rsidP="00E7466A">
            <w:pPr>
              <w:pStyle w:val="TableCentre"/>
              <w:keepNext/>
              <w:rPr>
                <w:rFonts w:ascii="Arial Narrow" w:hAnsi="Arial Narrow"/>
                <w:sz w:val="20"/>
                <w:szCs w:val="20"/>
              </w:rPr>
            </w:pPr>
            <w:r w:rsidRPr="0061343E">
              <w:rPr>
                <w:rFonts w:ascii="Arial Narrow" w:hAnsi="Arial Narrow"/>
                <w:sz w:val="20"/>
                <w:szCs w:val="20"/>
              </w:rPr>
              <w:t>67 (73.6)</w:t>
            </w:r>
          </w:p>
        </w:tc>
        <w:tc>
          <w:tcPr>
            <w:tcW w:w="992" w:type="dxa"/>
            <w:shd w:val="clear" w:color="auto" w:fill="auto"/>
          </w:tcPr>
          <w:p w14:paraId="50153537" w14:textId="77777777" w:rsidR="00D85532" w:rsidRPr="0061343E" w:rsidRDefault="00D85532" w:rsidP="00E7466A">
            <w:pPr>
              <w:pStyle w:val="TableCentre"/>
              <w:keepNext/>
              <w:rPr>
                <w:rFonts w:ascii="Arial Narrow" w:hAnsi="Arial Narrow"/>
                <w:sz w:val="20"/>
                <w:szCs w:val="20"/>
              </w:rPr>
            </w:pPr>
            <w:r w:rsidRPr="0061343E">
              <w:rPr>
                <w:rFonts w:ascii="Arial Narrow" w:hAnsi="Arial Narrow"/>
                <w:sz w:val="20"/>
                <w:szCs w:val="20"/>
              </w:rPr>
              <w:t>67 (74.4)</w:t>
            </w:r>
          </w:p>
        </w:tc>
        <w:tc>
          <w:tcPr>
            <w:tcW w:w="851" w:type="dxa"/>
            <w:shd w:val="clear" w:color="auto" w:fill="auto"/>
          </w:tcPr>
          <w:p w14:paraId="58A7517A"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55 (60.4)</w:t>
            </w:r>
          </w:p>
        </w:tc>
        <w:tc>
          <w:tcPr>
            <w:tcW w:w="851" w:type="dxa"/>
            <w:shd w:val="clear" w:color="auto" w:fill="auto"/>
          </w:tcPr>
          <w:p w14:paraId="25ED8EA3"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64 (64.0)</w:t>
            </w:r>
          </w:p>
        </w:tc>
        <w:tc>
          <w:tcPr>
            <w:tcW w:w="992" w:type="dxa"/>
            <w:shd w:val="clear" w:color="auto" w:fill="auto"/>
          </w:tcPr>
          <w:p w14:paraId="2585CA79"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61 (78.2)</w:t>
            </w:r>
          </w:p>
        </w:tc>
        <w:tc>
          <w:tcPr>
            <w:tcW w:w="992" w:type="dxa"/>
            <w:shd w:val="clear" w:color="auto" w:fill="auto"/>
          </w:tcPr>
          <w:p w14:paraId="18B553D5"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62 (78.5)</w:t>
            </w:r>
          </w:p>
        </w:tc>
        <w:tc>
          <w:tcPr>
            <w:tcW w:w="995" w:type="dxa"/>
            <w:shd w:val="clear" w:color="auto" w:fill="auto"/>
          </w:tcPr>
          <w:p w14:paraId="7F5DDDFA"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53 (67.9)</w:t>
            </w:r>
          </w:p>
        </w:tc>
        <w:tc>
          <w:tcPr>
            <w:tcW w:w="850" w:type="dxa"/>
            <w:shd w:val="clear" w:color="auto" w:fill="auto"/>
          </w:tcPr>
          <w:p w14:paraId="4F19CA96"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62 (72.9)</w:t>
            </w:r>
          </w:p>
        </w:tc>
      </w:tr>
      <w:tr w:rsidR="00D85532" w:rsidRPr="0061343E" w14:paraId="56EA5EB1" w14:textId="77777777" w:rsidTr="00E7466A">
        <w:tc>
          <w:tcPr>
            <w:tcW w:w="1696" w:type="dxa"/>
            <w:shd w:val="clear" w:color="auto" w:fill="auto"/>
          </w:tcPr>
          <w:p w14:paraId="1313122C" w14:textId="77777777" w:rsidR="00D85532" w:rsidRPr="0061343E" w:rsidRDefault="00D85532" w:rsidP="00E7466A">
            <w:pPr>
              <w:pStyle w:val="TableLeft"/>
              <w:keepNext/>
              <w:ind w:right="-57"/>
              <w:rPr>
                <w:rFonts w:ascii="Arial Narrow" w:hAnsi="Arial Narrow"/>
                <w:sz w:val="20"/>
                <w:szCs w:val="20"/>
              </w:rPr>
            </w:pPr>
            <w:r w:rsidRPr="0061343E">
              <w:rPr>
                <w:rFonts w:ascii="Arial Narrow" w:hAnsi="Arial Narrow"/>
                <w:sz w:val="20"/>
                <w:szCs w:val="20"/>
              </w:rPr>
              <w:t>IGA success, n (%)</w:t>
            </w:r>
          </w:p>
        </w:tc>
        <w:tc>
          <w:tcPr>
            <w:tcW w:w="992" w:type="dxa"/>
            <w:shd w:val="clear" w:color="auto" w:fill="auto"/>
          </w:tcPr>
          <w:p w14:paraId="5DACD84E" w14:textId="77777777" w:rsidR="00D85532" w:rsidRPr="0061343E" w:rsidRDefault="00D85532" w:rsidP="00E7466A">
            <w:pPr>
              <w:pStyle w:val="TableCentre"/>
              <w:keepNext/>
              <w:rPr>
                <w:rFonts w:ascii="Arial Narrow" w:hAnsi="Arial Narrow"/>
                <w:sz w:val="20"/>
                <w:szCs w:val="20"/>
              </w:rPr>
            </w:pPr>
            <w:r w:rsidRPr="0061343E">
              <w:rPr>
                <w:rFonts w:ascii="Arial Narrow" w:hAnsi="Arial Narrow"/>
                <w:sz w:val="20"/>
                <w:szCs w:val="20"/>
              </w:rPr>
              <w:t>48 (52.7)</w:t>
            </w:r>
          </w:p>
        </w:tc>
        <w:tc>
          <w:tcPr>
            <w:tcW w:w="992" w:type="dxa"/>
            <w:shd w:val="clear" w:color="auto" w:fill="auto"/>
          </w:tcPr>
          <w:p w14:paraId="4AF31CA0" w14:textId="77777777" w:rsidR="00D85532" w:rsidRPr="0061343E" w:rsidRDefault="00D85532" w:rsidP="00E7466A">
            <w:pPr>
              <w:pStyle w:val="TableCentre"/>
              <w:keepNext/>
              <w:rPr>
                <w:rFonts w:ascii="Arial Narrow" w:hAnsi="Arial Narrow"/>
                <w:sz w:val="20"/>
                <w:szCs w:val="20"/>
              </w:rPr>
            </w:pPr>
            <w:r w:rsidRPr="0061343E">
              <w:rPr>
                <w:rFonts w:ascii="Arial Narrow" w:hAnsi="Arial Narrow"/>
                <w:sz w:val="20"/>
                <w:szCs w:val="20"/>
              </w:rPr>
              <w:t>54 (60.0)</w:t>
            </w:r>
          </w:p>
        </w:tc>
        <w:tc>
          <w:tcPr>
            <w:tcW w:w="851" w:type="dxa"/>
            <w:shd w:val="clear" w:color="auto" w:fill="auto"/>
          </w:tcPr>
          <w:p w14:paraId="6B9DFC5D"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38 (41.8)</w:t>
            </w:r>
          </w:p>
        </w:tc>
        <w:tc>
          <w:tcPr>
            <w:tcW w:w="851" w:type="dxa"/>
            <w:shd w:val="clear" w:color="auto" w:fill="auto"/>
          </w:tcPr>
          <w:p w14:paraId="26E77E9D"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50 (50.0)</w:t>
            </w:r>
          </w:p>
        </w:tc>
        <w:tc>
          <w:tcPr>
            <w:tcW w:w="992" w:type="dxa"/>
            <w:shd w:val="clear" w:color="auto" w:fill="auto"/>
          </w:tcPr>
          <w:p w14:paraId="19F10635"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54 (69.2)</w:t>
            </w:r>
          </w:p>
        </w:tc>
        <w:tc>
          <w:tcPr>
            <w:tcW w:w="992" w:type="dxa"/>
            <w:shd w:val="clear" w:color="auto" w:fill="auto"/>
          </w:tcPr>
          <w:p w14:paraId="4E87E96F"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50 (63.3)</w:t>
            </w:r>
          </w:p>
        </w:tc>
        <w:tc>
          <w:tcPr>
            <w:tcW w:w="995" w:type="dxa"/>
            <w:shd w:val="clear" w:color="auto" w:fill="auto"/>
          </w:tcPr>
          <w:p w14:paraId="4F131A6B"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46 (59.0)</w:t>
            </w:r>
          </w:p>
        </w:tc>
        <w:tc>
          <w:tcPr>
            <w:tcW w:w="850" w:type="dxa"/>
            <w:shd w:val="clear" w:color="auto" w:fill="auto"/>
          </w:tcPr>
          <w:p w14:paraId="2AE96592"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56 (65.9)</w:t>
            </w:r>
          </w:p>
        </w:tc>
      </w:tr>
      <w:tr w:rsidR="00D85532" w:rsidRPr="0061343E" w14:paraId="438A98F7" w14:textId="77777777" w:rsidTr="00E7466A">
        <w:tc>
          <w:tcPr>
            <w:tcW w:w="1696" w:type="dxa"/>
            <w:shd w:val="clear" w:color="auto" w:fill="auto"/>
          </w:tcPr>
          <w:p w14:paraId="783F7F2B" w14:textId="77777777" w:rsidR="00D85532" w:rsidRPr="0061343E" w:rsidRDefault="00D85532" w:rsidP="00E7466A">
            <w:pPr>
              <w:pStyle w:val="TableLeft"/>
              <w:keepNext/>
              <w:ind w:right="-57"/>
              <w:rPr>
                <w:rFonts w:ascii="Arial Narrow" w:hAnsi="Arial Narrow"/>
                <w:sz w:val="20"/>
                <w:szCs w:val="20"/>
              </w:rPr>
            </w:pPr>
            <w:r w:rsidRPr="0061343E">
              <w:rPr>
                <w:rFonts w:ascii="Arial Narrow" w:hAnsi="Arial Narrow"/>
                <w:sz w:val="20"/>
                <w:szCs w:val="20"/>
              </w:rPr>
              <w:t>EASI-50, n (%)</w:t>
            </w:r>
          </w:p>
        </w:tc>
        <w:tc>
          <w:tcPr>
            <w:tcW w:w="992" w:type="dxa"/>
            <w:shd w:val="clear" w:color="auto" w:fill="auto"/>
          </w:tcPr>
          <w:p w14:paraId="36FE90C7" w14:textId="77777777" w:rsidR="00D85532" w:rsidRPr="0061343E" w:rsidRDefault="00D85532" w:rsidP="00E7466A">
            <w:pPr>
              <w:pStyle w:val="TableCentre"/>
              <w:keepNext/>
              <w:rPr>
                <w:rFonts w:ascii="Arial Narrow" w:hAnsi="Arial Narrow"/>
                <w:sz w:val="20"/>
                <w:szCs w:val="20"/>
              </w:rPr>
            </w:pPr>
            <w:r w:rsidRPr="0061343E">
              <w:rPr>
                <w:rFonts w:ascii="Arial Narrow" w:hAnsi="Arial Narrow"/>
                <w:sz w:val="20"/>
                <w:szCs w:val="20"/>
              </w:rPr>
              <w:t>79 (86.8)</w:t>
            </w:r>
          </w:p>
        </w:tc>
        <w:tc>
          <w:tcPr>
            <w:tcW w:w="992" w:type="dxa"/>
            <w:shd w:val="clear" w:color="auto" w:fill="auto"/>
          </w:tcPr>
          <w:p w14:paraId="5F04FB62" w14:textId="77777777" w:rsidR="00D85532" w:rsidRPr="0061343E" w:rsidRDefault="00D85532" w:rsidP="00E7466A">
            <w:pPr>
              <w:pStyle w:val="TableCentre"/>
              <w:keepNext/>
              <w:rPr>
                <w:rFonts w:ascii="Arial Narrow" w:hAnsi="Arial Narrow"/>
                <w:sz w:val="20"/>
                <w:szCs w:val="20"/>
              </w:rPr>
            </w:pPr>
            <w:r w:rsidRPr="0061343E">
              <w:rPr>
                <w:rFonts w:ascii="Arial Narrow" w:hAnsi="Arial Narrow"/>
                <w:sz w:val="20"/>
                <w:szCs w:val="20"/>
              </w:rPr>
              <w:t>74 (82.2)</w:t>
            </w:r>
          </w:p>
        </w:tc>
        <w:tc>
          <w:tcPr>
            <w:tcW w:w="851" w:type="dxa"/>
            <w:shd w:val="clear" w:color="auto" w:fill="auto"/>
          </w:tcPr>
          <w:p w14:paraId="5D2CB751"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62 (68.1)</w:t>
            </w:r>
          </w:p>
        </w:tc>
        <w:tc>
          <w:tcPr>
            <w:tcW w:w="851" w:type="dxa"/>
            <w:shd w:val="clear" w:color="auto" w:fill="auto"/>
          </w:tcPr>
          <w:p w14:paraId="17817AAA"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73 (73.0)</w:t>
            </w:r>
          </w:p>
        </w:tc>
        <w:tc>
          <w:tcPr>
            <w:tcW w:w="992" w:type="dxa"/>
            <w:shd w:val="clear" w:color="auto" w:fill="auto"/>
          </w:tcPr>
          <w:p w14:paraId="5D4B963C"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69 (88.5)</w:t>
            </w:r>
          </w:p>
        </w:tc>
        <w:tc>
          <w:tcPr>
            <w:tcW w:w="992" w:type="dxa"/>
            <w:shd w:val="clear" w:color="auto" w:fill="auto"/>
          </w:tcPr>
          <w:p w14:paraId="37CF6AC4"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65 (82.3)</w:t>
            </w:r>
          </w:p>
        </w:tc>
        <w:tc>
          <w:tcPr>
            <w:tcW w:w="995" w:type="dxa"/>
            <w:shd w:val="clear" w:color="auto" w:fill="auto"/>
          </w:tcPr>
          <w:p w14:paraId="2B3FBB6B"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59 (75.6)</w:t>
            </w:r>
          </w:p>
        </w:tc>
        <w:tc>
          <w:tcPr>
            <w:tcW w:w="850" w:type="dxa"/>
            <w:shd w:val="clear" w:color="auto" w:fill="auto"/>
          </w:tcPr>
          <w:p w14:paraId="4705C605"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71 (83.5)</w:t>
            </w:r>
          </w:p>
        </w:tc>
      </w:tr>
    </w:tbl>
    <w:p w14:paraId="371B0BD4" w14:textId="77777777" w:rsidR="00D85532" w:rsidRPr="0061343E" w:rsidRDefault="00D85532" w:rsidP="000409F2">
      <w:pPr>
        <w:pStyle w:val="3-BodyText"/>
        <w:numPr>
          <w:ilvl w:val="0"/>
          <w:numId w:val="0"/>
        </w:numPr>
        <w:spacing w:before="0" w:after="0"/>
        <w:ind w:left="720" w:hanging="720"/>
        <w:rPr>
          <w:rFonts w:ascii="Arial Narrow" w:hAnsi="Arial Narrow"/>
          <w:sz w:val="18"/>
          <w:szCs w:val="18"/>
        </w:rPr>
      </w:pPr>
      <w:r w:rsidRPr="0061343E">
        <w:rPr>
          <w:rFonts w:ascii="Arial Narrow" w:hAnsi="Arial Narrow"/>
          <w:sz w:val="18"/>
          <w:szCs w:val="18"/>
        </w:rPr>
        <w:t>Source: Table 2-31, p155, Table 2-34, p158, and Table 2-36, p159 of the submission.</w:t>
      </w:r>
    </w:p>
    <w:p w14:paraId="0B3180B9" w14:textId="188898C6" w:rsidR="00D85532" w:rsidRPr="0061343E" w:rsidRDefault="00D85532" w:rsidP="00A75874">
      <w:pPr>
        <w:pStyle w:val="CaptionFootnote"/>
        <w:spacing w:after="120"/>
        <w:rPr>
          <w:rFonts w:ascii="Arial Narrow" w:hAnsi="Arial Narrow"/>
          <w:sz w:val="18"/>
          <w:szCs w:val="18"/>
        </w:rPr>
      </w:pPr>
      <w:r w:rsidRPr="0061343E">
        <w:rPr>
          <w:rFonts w:ascii="Arial Narrow" w:hAnsi="Arial Narrow"/>
          <w:sz w:val="18"/>
          <w:szCs w:val="18"/>
        </w:rPr>
        <w:t>EASI-75/50 = proportion of patients with ≥ 50%/75% improvement in Eczema Area and Severity Index from baseline; IGA = Investigator’s Global Assessment; ITP = initial treatment period; MTP = maintenance treatment period; NEMO = nemolizumab; Q4W = every 4 weeks; Q8W = every 8 weeks</w:t>
      </w:r>
    </w:p>
    <w:p w14:paraId="3CA3AC27" w14:textId="2CC67B9F" w:rsidR="00203FAE" w:rsidRPr="0061343E" w:rsidRDefault="0043480A" w:rsidP="00203FAE">
      <w:pPr>
        <w:pStyle w:val="3-BodyText"/>
        <w:rPr>
          <w:bCs/>
        </w:rPr>
      </w:pPr>
      <w:r w:rsidRPr="0061343E">
        <w:t xml:space="preserve">The PSCR </w:t>
      </w:r>
      <w:r w:rsidR="00407BF4" w:rsidRPr="0061343E">
        <w:t xml:space="preserve">included additional analyses from the long-term extension (LTE) study </w:t>
      </w:r>
      <w:r w:rsidR="007E7AD6" w:rsidRPr="0061343E">
        <w:t>of ARCADIA 1</w:t>
      </w:r>
      <w:r w:rsidR="003D779B" w:rsidRPr="0061343E">
        <w:t xml:space="preserve"> and ARCADIA </w:t>
      </w:r>
      <w:r w:rsidR="007E7AD6" w:rsidRPr="0061343E">
        <w:t>2</w:t>
      </w:r>
      <w:r w:rsidR="0033301D" w:rsidRPr="0061343E">
        <w:t xml:space="preserve"> </w:t>
      </w:r>
      <w:r w:rsidR="00407BF4" w:rsidRPr="0061343E">
        <w:t xml:space="preserve">to demonstrate the effects </w:t>
      </w:r>
      <w:r w:rsidR="003D779B" w:rsidRPr="0061343E">
        <w:t xml:space="preserve">of </w:t>
      </w:r>
      <w:r w:rsidR="005F644E" w:rsidRPr="0061343E">
        <w:t>an extended induction phase</w:t>
      </w:r>
      <w:r w:rsidR="008014A3" w:rsidRPr="0061343E">
        <w:t xml:space="preserve"> after </w:t>
      </w:r>
      <w:r w:rsidR="00407BF4" w:rsidRPr="0061343E">
        <w:t xml:space="preserve">an additional </w:t>
      </w:r>
      <w:r w:rsidR="002971C3" w:rsidRPr="0061343E">
        <w:t>8</w:t>
      </w:r>
      <w:r w:rsidR="00407BF4" w:rsidRPr="0061343E">
        <w:t xml:space="preserve"> </w:t>
      </w:r>
      <w:r w:rsidR="00031643" w:rsidRPr="0061343E">
        <w:t xml:space="preserve">and 20 </w:t>
      </w:r>
      <w:r w:rsidR="00407BF4" w:rsidRPr="0061343E">
        <w:t>weeks of NEMO Q4W</w:t>
      </w:r>
      <w:r w:rsidR="009D5CFD" w:rsidRPr="0061343E">
        <w:t xml:space="preserve"> </w:t>
      </w:r>
      <w:r w:rsidR="007E7AD6" w:rsidRPr="0061343E">
        <w:t>in</w:t>
      </w:r>
      <w:r w:rsidR="00407BF4" w:rsidRPr="0061343E">
        <w:t xml:space="preserve"> patients who did not respond to the initial induction period of NEMO Q4W for 16 weeks</w:t>
      </w:r>
      <w:r w:rsidR="00FA5A95" w:rsidRPr="0061343E">
        <w:t xml:space="preserve"> (see </w:t>
      </w:r>
      <w:r w:rsidR="00167892" w:rsidRPr="0061343E">
        <w:rPr>
          <w:highlight w:val="yellow"/>
        </w:rPr>
        <w:fldChar w:fldCharType="begin"/>
      </w:r>
      <w:r w:rsidR="00167892" w:rsidRPr="0061343E">
        <w:instrText xml:space="preserve"> REF _Ref201151440 \h </w:instrText>
      </w:r>
      <w:r w:rsidR="0061343E" w:rsidRPr="0061343E">
        <w:rPr>
          <w:highlight w:val="yellow"/>
        </w:rPr>
        <w:instrText xml:space="preserve"> \* MERGEFORMAT </w:instrText>
      </w:r>
      <w:r w:rsidR="00167892" w:rsidRPr="0061343E">
        <w:rPr>
          <w:highlight w:val="yellow"/>
        </w:rPr>
      </w:r>
      <w:r w:rsidR="00167892" w:rsidRPr="0061343E">
        <w:rPr>
          <w:highlight w:val="yellow"/>
        </w:rPr>
        <w:fldChar w:fldCharType="separate"/>
      </w:r>
      <w:r w:rsidR="00E5780E" w:rsidRPr="0061343E">
        <w:t xml:space="preserve">Table </w:t>
      </w:r>
      <w:r w:rsidR="00E5780E">
        <w:rPr>
          <w:noProof/>
        </w:rPr>
        <w:t>9</w:t>
      </w:r>
      <w:r w:rsidR="00167892" w:rsidRPr="0061343E">
        <w:rPr>
          <w:highlight w:val="yellow"/>
        </w:rPr>
        <w:fldChar w:fldCharType="end"/>
      </w:r>
      <w:r w:rsidR="00FA5A95" w:rsidRPr="0061343E">
        <w:t>)</w:t>
      </w:r>
      <w:r w:rsidR="00407BF4" w:rsidRPr="0061343E">
        <w:t>.</w:t>
      </w:r>
      <w:r w:rsidR="00FC00AD" w:rsidRPr="0061343E">
        <w:t xml:space="preserve"> </w:t>
      </w:r>
      <w:r w:rsidR="007A44AC" w:rsidRPr="0061343E">
        <w:t xml:space="preserve">The PSCR acknowledged the limitations of the naïve comparisons (i.e. not adjusted for placebo, </w:t>
      </w:r>
      <w:r w:rsidR="007A44AC" w:rsidRPr="0061343E">
        <w:lastRenderedPageBreak/>
        <w:t>different denominators for the ARCADIA trials and the LTE</w:t>
      </w:r>
      <w:r w:rsidR="00F73310" w:rsidRPr="0061343E">
        <w:t>,</w:t>
      </w:r>
      <w:r w:rsidR="007A44AC" w:rsidRPr="0061343E">
        <w:t xml:space="preserve"> as well transitivity issues that bias </w:t>
      </w:r>
      <w:r w:rsidR="00F73310" w:rsidRPr="0061343E">
        <w:t xml:space="preserve">the results </w:t>
      </w:r>
      <w:r w:rsidR="007A44AC" w:rsidRPr="0061343E">
        <w:t>against NEMO)</w:t>
      </w:r>
      <w:bookmarkStart w:id="39" w:name="_Ref199150621"/>
      <w:r w:rsidR="0033301D" w:rsidRPr="0061343E">
        <w:t>.</w:t>
      </w:r>
    </w:p>
    <w:p w14:paraId="4AA0DA98" w14:textId="6D5306D1" w:rsidR="00CD23CF" w:rsidRPr="0061343E" w:rsidRDefault="00167892" w:rsidP="00167892">
      <w:pPr>
        <w:pStyle w:val="Caption"/>
        <w:jc w:val="left"/>
        <w:rPr>
          <w:bCs w:val="0"/>
        </w:rPr>
      </w:pPr>
      <w:bookmarkStart w:id="40" w:name="_Ref201151440"/>
      <w:r w:rsidRPr="0061343E">
        <w:t xml:space="preserve">Table </w:t>
      </w:r>
      <w:r>
        <w:fldChar w:fldCharType="begin"/>
      </w:r>
      <w:r>
        <w:instrText xml:space="preserve"> SEQ Table \* ARABIC </w:instrText>
      </w:r>
      <w:r>
        <w:fldChar w:fldCharType="separate"/>
      </w:r>
      <w:r w:rsidR="00E5780E">
        <w:rPr>
          <w:noProof/>
        </w:rPr>
        <w:t>9</w:t>
      </w:r>
      <w:r>
        <w:rPr>
          <w:noProof/>
        </w:rPr>
        <w:fldChar w:fldCharType="end"/>
      </w:r>
      <w:bookmarkEnd w:id="39"/>
      <w:bookmarkEnd w:id="40"/>
      <w:r w:rsidRPr="0061343E">
        <w:t xml:space="preserve">: </w:t>
      </w:r>
      <w:r w:rsidR="00CD23CF" w:rsidRPr="0061343E">
        <w:t>Results of the LTE</w:t>
      </w:r>
      <w:r w:rsidR="003D779B" w:rsidRPr="0061343E">
        <w:t xml:space="preserve"> study</w:t>
      </w:r>
      <w:r w:rsidR="00CD23CF" w:rsidRPr="0061343E">
        <w:t xml:space="preserve">: </w:t>
      </w:r>
      <w:r w:rsidR="000D5E6F" w:rsidRPr="0061343E">
        <w:t xml:space="preserve">proportion of additional patients </w:t>
      </w:r>
      <w:r w:rsidR="003D779B" w:rsidRPr="0061343E">
        <w:t>who</w:t>
      </w:r>
      <w:r w:rsidR="000D5E6F" w:rsidRPr="0061343E">
        <w:t xml:space="preserve"> respond with an </w:t>
      </w:r>
      <w:r w:rsidR="00CD23CF" w:rsidRPr="0061343E">
        <w:t xml:space="preserve">additional 8 or 20 weeks of </w:t>
      </w:r>
      <w:r w:rsidR="003D779B" w:rsidRPr="0061343E">
        <w:t xml:space="preserve">induction </w:t>
      </w:r>
      <w:r w:rsidR="00CD23CF" w:rsidRPr="0061343E">
        <w:t>treatment with NEMO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9: Results of the LTE study: proportion of additional patients who respond with an additional 8 or 20 weeks of induction treatment with NEMO"/>
      </w:tblPr>
      <w:tblGrid>
        <w:gridCol w:w="1079"/>
        <w:gridCol w:w="1200"/>
        <w:gridCol w:w="958"/>
        <w:gridCol w:w="1078"/>
        <w:gridCol w:w="1082"/>
        <w:gridCol w:w="1078"/>
        <w:gridCol w:w="1316"/>
        <w:gridCol w:w="1226"/>
      </w:tblGrid>
      <w:tr w:rsidR="00F76773" w:rsidRPr="0061343E" w14:paraId="485EBA73" w14:textId="77777777" w:rsidTr="00167892">
        <w:trPr>
          <w:trHeight w:val="20"/>
        </w:trPr>
        <w:tc>
          <w:tcPr>
            <w:tcW w:w="598" w:type="pct"/>
            <w:shd w:val="clear" w:color="auto" w:fill="D9D9D9" w:themeFill="background1" w:themeFillShade="D9"/>
            <w:noWrap/>
            <w:tcMar>
              <w:left w:w="20" w:type="dxa"/>
              <w:right w:w="20" w:type="dxa"/>
            </w:tcMar>
            <w:vAlign w:val="center"/>
            <w:hideMark/>
          </w:tcPr>
          <w:p w14:paraId="30149135" w14:textId="77777777" w:rsidR="00E64501" w:rsidRPr="0061343E" w:rsidRDefault="00E64501" w:rsidP="00E7466A">
            <w:pPr>
              <w:jc w:val="center"/>
              <w:rPr>
                <w:rFonts w:ascii="Arial Narrow" w:hAnsi="Arial Narrow" w:cstheme="minorHAnsi"/>
                <w:b/>
                <w:bCs/>
                <w:color w:val="000000"/>
                <w:sz w:val="20"/>
                <w:szCs w:val="20"/>
              </w:rPr>
            </w:pPr>
            <w:r w:rsidRPr="0061343E">
              <w:rPr>
                <w:rFonts w:ascii="Arial Narrow" w:hAnsi="Arial Narrow" w:cstheme="minorHAnsi"/>
                <w:b/>
                <w:bCs/>
                <w:color w:val="000000"/>
                <w:sz w:val="20"/>
                <w:szCs w:val="20"/>
              </w:rPr>
              <w:t>Population</w:t>
            </w:r>
          </w:p>
        </w:tc>
        <w:tc>
          <w:tcPr>
            <w:tcW w:w="665" w:type="pct"/>
            <w:shd w:val="clear" w:color="auto" w:fill="D9D9D9" w:themeFill="background1" w:themeFillShade="D9"/>
            <w:noWrap/>
            <w:tcMar>
              <w:left w:w="20" w:type="dxa"/>
              <w:right w:w="20" w:type="dxa"/>
            </w:tcMar>
            <w:vAlign w:val="center"/>
            <w:hideMark/>
          </w:tcPr>
          <w:p w14:paraId="20136F41" w14:textId="77777777" w:rsidR="00E64501" w:rsidRPr="0061343E" w:rsidRDefault="00E64501" w:rsidP="00E7466A">
            <w:pPr>
              <w:jc w:val="center"/>
              <w:rPr>
                <w:rFonts w:ascii="Arial Narrow" w:hAnsi="Arial Narrow" w:cstheme="minorHAnsi"/>
                <w:b/>
                <w:bCs/>
                <w:color w:val="000000"/>
                <w:sz w:val="20"/>
                <w:szCs w:val="20"/>
              </w:rPr>
            </w:pPr>
            <w:r w:rsidRPr="0061343E">
              <w:rPr>
                <w:rFonts w:ascii="Arial Narrow" w:hAnsi="Arial Narrow" w:cstheme="minorHAnsi"/>
                <w:b/>
                <w:bCs/>
                <w:color w:val="000000"/>
                <w:sz w:val="20"/>
                <w:szCs w:val="20"/>
              </w:rPr>
              <w:t>Outcome</w:t>
            </w:r>
          </w:p>
        </w:tc>
        <w:tc>
          <w:tcPr>
            <w:tcW w:w="531" w:type="pct"/>
            <w:shd w:val="clear" w:color="auto" w:fill="D9D9D9" w:themeFill="background1" w:themeFillShade="D9"/>
            <w:tcMar>
              <w:left w:w="20" w:type="dxa"/>
              <w:right w:w="20" w:type="dxa"/>
            </w:tcMar>
            <w:vAlign w:val="center"/>
          </w:tcPr>
          <w:p w14:paraId="249FD1A7" w14:textId="3CB8DAA0" w:rsidR="00E64501" w:rsidRPr="0061343E" w:rsidRDefault="00E64501" w:rsidP="00E7466A">
            <w:pPr>
              <w:jc w:val="center"/>
              <w:rPr>
                <w:rFonts w:ascii="Arial Narrow" w:hAnsi="Arial Narrow" w:cstheme="minorHAnsi"/>
                <w:b/>
                <w:bCs/>
                <w:color w:val="000000"/>
                <w:sz w:val="20"/>
                <w:szCs w:val="20"/>
              </w:rPr>
            </w:pPr>
            <w:r w:rsidRPr="0061343E">
              <w:rPr>
                <w:rFonts w:ascii="Arial Narrow" w:hAnsi="Arial Narrow" w:cstheme="minorHAnsi"/>
                <w:b/>
                <w:bCs/>
                <w:color w:val="000000"/>
                <w:sz w:val="20"/>
                <w:szCs w:val="20"/>
              </w:rPr>
              <w:t>LTE</w:t>
            </w:r>
            <w:r w:rsidR="009E0EF8" w:rsidRPr="0061343E">
              <w:rPr>
                <w:rFonts w:ascii="Arial Narrow" w:hAnsi="Arial Narrow" w:cstheme="minorHAnsi"/>
                <w:b/>
                <w:bCs/>
                <w:color w:val="000000"/>
                <w:sz w:val="20"/>
                <w:szCs w:val="20"/>
              </w:rPr>
              <w:t>,</w:t>
            </w:r>
            <w:r w:rsidRPr="0061343E">
              <w:rPr>
                <w:rFonts w:ascii="Arial Narrow" w:hAnsi="Arial Narrow" w:cstheme="minorHAnsi"/>
                <w:b/>
                <w:bCs/>
                <w:color w:val="000000"/>
                <w:sz w:val="20"/>
                <w:szCs w:val="20"/>
              </w:rPr>
              <w:t xml:space="preserve"> N</w:t>
            </w:r>
          </w:p>
        </w:tc>
        <w:tc>
          <w:tcPr>
            <w:tcW w:w="598" w:type="pct"/>
            <w:shd w:val="clear" w:color="auto" w:fill="D9D9D9" w:themeFill="background1" w:themeFillShade="D9"/>
            <w:tcMar>
              <w:left w:w="20" w:type="dxa"/>
              <w:right w:w="20" w:type="dxa"/>
            </w:tcMar>
            <w:vAlign w:val="center"/>
            <w:hideMark/>
          </w:tcPr>
          <w:p w14:paraId="223AC09F" w14:textId="5A038E2E" w:rsidR="00E64501" w:rsidRPr="0061343E" w:rsidRDefault="00E64501" w:rsidP="00E7466A">
            <w:pPr>
              <w:jc w:val="center"/>
              <w:rPr>
                <w:rFonts w:ascii="Arial Narrow" w:hAnsi="Arial Narrow" w:cstheme="minorHAnsi"/>
                <w:b/>
                <w:bCs/>
                <w:color w:val="000000"/>
                <w:sz w:val="20"/>
                <w:szCs w:val="20"/>
              </w:rPr>
            </w:pPr>
            <w:r w:rsidRPr="0061343E">
              <w:rPr>
                <w:rFonts w:ascii="Arial Narrow" w:hAnsi="Arial Narrow" w:cstheme="minorHAnsi"/>
                <w:b/>
                <w:bCs/>
                <w:color w:val="000000"/>
                <w:sz w:val="20"/>
                <w:szCs w:val="20"/>
              </w:rPr>
              <w:t>LTE baseline response</w:t>
            </w:r>
            <w:r w:rsidR="009E0EF8" w:rsidRPr="0061343E">
              <w:rPr>
                <w:rFonts w:ascii="Arial Narrow" w:hAnsi="Arial Narrow" w:cstheme="minorHAnsi"/>
                <w:b/>
                <w:bCs/>
                <w:color w:val="000000"/>
                <w:sz w:val="20"/>
                <w:szCs w:val="20"/>
              </w:rPr>
              <w:t>, n</w:t>
            </w:r>
          </w:p>
        </w:tc>
        <w:tc>
          <w:tcPr>
            <w:tcW w:w="600" w:type="pct"/>
            <w:shd w:val="clear" w:color="auto" w:fill="D9D9D9" w:themeFill="background1" w:themeFillShade="D9"/>
            <w:tcMar>
              <w:left w:w="20" w:type="dxa"/>
              <w:right w:w="20" w:type="dxa"/>
            </w:tcMar>
            <w:vAlign w:val="center"/>
          </w:tcPr>
          <w:p w14:paraId="42FC5C25" w14:textId="77777777" w:rsidR="00E64501" w:rsidRPr="0061343E" w:rsidRDefault="00E64501" w:rsidP="00E7466A">
            <w:pPr>
              <w:jc w:val="center"/>
              <w:rPr>
                <w:rFonts w:ascii="Arial Narrow" w:hAnsi="Arial Narrow" w:cstheme="minorHAnsi"/>
                <w:b/>
                <w:bCs/>
                <w:color w:val="000000"/>
                <w:sz w:val="20"/>
                <w:szCs w:val="20"/>
              </w:rPr>
            </w:pPr>
            <w:r w:rsidRPr="0061343E">
              <w:rPr>
                <w:rFonts w:ascii="Arial Narrow" w:hAnsi="Arial Narrow" w:cstheme="minorHAnsi"/>
                <w:b/>
                <w:bCs/>
                <w:color w:val="000000"/>
                <w:sz w:val="20"/>
                <w:szCs w:val="20"/>
              </w:rPr>
              <w:t>N available to respond</w:t>
            </w:r>
          </w:p>
        </w:tc>
        <w:tc>
          <w:tcPr>
            <w:tcW w:w="598" w:type="pct"/>
            <w:shd w:val="clear" w:color="auto" w:fill="D9D9D9" w:themeFill="background1" w:themeFillShade="D9"/>
            <w:tcMar>
              <w:left w:w="20" w:type="dxa"/>
              <w:right w:w="20" w:type="dxa"/>
            </w:tcMar>
            <w:vAlign w:val="center"/>
          </w:tcPr>
          <w:p w14:paraId="6667BCC0" w14:textId="4830ADF7" w:rsidR="00E64501" w:rsidRPr="0061343E" w:rsidRDefault="00E64501" w:rsidP="00E7466A">
            <w:pPr>
              <w:jc w:val="center"/>
              <w:rPr>
                <w:rFonts w:ascii="Arial Narrow" w:hAnsi="Arial Narrow" w:cstheme="minorHAnsi"/>
                <w:b/>
                <w:bCs/>
                <w:color w:val="000000"/>
                <w:sz w:val="20"/>
                <w:szCs w:val="20"/>
              </w:rPr>
            </w:pPr>
            <w:r w:rsidRPr="0061343E">
              <w:rPr>
                <w:rFonts w:ascii="Arial Narrow" w:hAnsi="Arial Narrow" w:cstheme="minorHAnsi"/>
                <w:b/>
                <w:bCs/>
                <w:color w:val="000000"/>
                <w:sz w:val="20"/>
                <w:szCs w:val="20"/>
              </w:rPr>
              <w:t>Response at timepoint</w:t>
            </w:r>
            <w:r w:rsidR="00412193" w:rsidRPr="0061343E">
              <w:rPr>
                <w:rFonts w:ascii="Arial Narrow" w:hAnsi="Arial Narrow" w:cstheme="minorHAnsi"/>
                <w:b/>
                <w:bCs/>
                <w:color w:val="000000"/>
                <w:sz w:val="20"/>
                <w:szCs w:val="20"/>
              </w:rPr>
              <w:t>, n</w:t>
            </w:r>
          </w:p>
        </w:tc>
        <w:tc>
          <w:tcPr>
            <w:tcW w:w="730" w:type="pct"/>
            <w:shd w:val="clear" w:color="auto" w:fill="D9D9D9" w:themeFill="background1" w:themeFillShade="D9"/>
            <w:tcMar>
              <w:left w:w="20" w:type="dxa"/>
              <w:right w:w="20" w:type="dxa"/>
            </w:tcMar>
            <w:vAlign w:val="center"/>
            <w:hideMark/>
          </w:tcPr>
          <w:p w14:paraId="34C0EC44" w14:textId="1FF89C02" w:rsidR="00E64501" w:rsidRPr="0061343E" w:rsidRDefault="00412193" w:rsidP="00E7466A">
            <w:pPr>
              <w:jc w:val="center"/>
              <w:rPr>
                <w:rFonts w:ascii="Arial Narrow" w:hAnsi="Arial Narrow" w:cstheme="minorHAnsi"/>
                <w:b/>
                <w:bCs/>
                <w:color w:val="000000"/>
                <w:sz w:val="20"/>
                <w:szCs w:val="20"/>
              </w:rPr>
            </w:pPr>
            <w:r w:rsidRPr="0061343E">
              <w:rPr>
                <w:rFonts w:ascii="Arial Narrow" w:hAnsi="Arial Narrow" w:cstheme="minorHAnsi"/>
                <w:b/>
                <w:bCs/>
                <w:color w:val="000000"/>
                <w:sz w:val="20"/>
                <w:szCs w:val="20"/>
              </w:rPr>
              <w:t>A</w:t>
            </w:r>
            <w:r w:rsidR="00E64501" w:rsidRPr="0061343E">
              <w:rPr>
                <w:rFonts w:ascii="Arial Narrow" w:hAnsi="Arial Narrow" w:cstheme="minorHAnsi"/>
                <w:b/>
                <w:bCs/>
                <w:color w:val="000000"/>
                <w:sz w:val="20"/>
                <w:szCs w:val="20"/>
              </w:rPr>
              <w:t>dditional responders</w:t>
            </w:r>
            <w:r w:rsidRPr="0061343E">
              <w:rPr>
                <w:rFonts w:ascii="Arial Narrow" w:hAnsi="Arial Narrow" w:cstheme="minorHAnsi"/>
                <w:b/>
                <w:bCs/>
                <w:color w:val="000000"/>
                <w:sz w:val="20"/>
                <w:szCs w:val="20"/>
              </w:rPr>
              <w:t>, n</w:t>
            </w:r>
          </w:p>
        </w:tc>
        <w:tc>
          <w:tcPr>
            <w:tcW w:w="680" w:type="pct"/>
            <w:shd w:val="clear" w:color="auto" w:fill="D9D9D9" w:themeFill="background1" w:themeFillShade="D9"/>
            <w:tcMar>
              <w:left w:w="20" w:type="dxa"/>
              <w:right w:w="20" w:type="dxa"/>
            </w:tcMar>
            <w:vAlign w:val="center"/>
          </w:tcPr>
          <w:p w14:paraId="6834B05C" w14:textId="5AE7181D" w:rsidR="00E64501" w:rsidRPr="0061343E" w:rsidRDefault="00E64501" w:rsidP="00E7466A">
            <w:pPr>
              <w:jc w:val="center"/>
              <w:rPr>
                <w:rFonts w:ascii="Arial Narrow" w:hAnsi="Arial Narrow" w:cstheme="minorHAnsi"/>
                <w:b/>
                <w:bCs/>
                <w:color w:val="000000"/>
                <w:sz w:val="20"/>
                <w:szCs w:val="20"/>
              </w:rPr>
            </w:pPr>
            <w:r w:rsidRPr="0061343E">
              <w:rPr>
                <w:rFonts w:ascii="Arial Narrow" w:hAnsi="Arial Narrow" w:cstheme="minorHAnsi"/>
                <w:b/>
                <w:bCs/>
                <w:color w:val="000000"/>
                <w:sz w:val="20"/>
                <w:szCs w:val="20"/>
              </w:rPr>
              <w:t>% additional response from LTE</w:t>
            </w:r>
            <w:r w:rsidR="00D92F29" w:rsidRPr="0061343E">
              <w:rPr>
                <w:rFonts w:ascii="Arial Narrow" w:hAnsi="Arial Narrow" w:cstheme="minorHAnsi"/>
                <w:b/>
                <w:bCs/>
                <w:color w:val="000000"/>
                <w:sz w:val="20"/>
                <w:szCs w:val="20"/>
              </w:rPr>
              <w:t>*</w:t>
            </w:r>
          </w:p>
        </w:tc>
      </w:tr>
      <w:tr w:rsidR="00F76773" w:rsidRPr="0061343E" w14:paraId="674E03EF" w14:textId="77777777" w:rsidTr="00F76773">
        <w:trPr>
          <w:trHeight w:val="20"/>
        </w:trPr>
        <w:tc>
          <w:tcPr>
            <w:tcW w:w="5000" w:type="pct"/>
            <w:gridSpan w:val="8"/>
            <w:shd w:val="clear" w:color="auto" w:fill="DBE5F1" w:themeFill="accent1" w:themeFillTint="33"/>
            <w:noWrap/>
            <w:tcMar>
              <w:left w:w="20" w:type="dxa"/>
              <w:right w:w="20" w:type="dxa"/>
            </w:tcMar>
            <w:vAlign w:val="center"/>
          </w:tcPr>
          <w:p w14:paraId="597B3931" w14:textId="58A78F71" w:rsidR="00F76773" w:rsidRPr="0061343E" w:rsidRDefault="00F76773" w:rsidP="00F76773">
            <w:pPr>
              <w:jc w:val="left"/>
              <w:rPr>
                <w:rFonts w:ascii="Arial Narrow" w:hAnsi="Arial Narrow" w:cstheme="minorHAnsi"/>
                <w:b/>
                <w:bCs/>
                <w:color w:val="000000"/>
                <w:sz w:val="20"/>
                <w:szCs w:val="20"/>
              </w:rPr>
            </w:pPr>
            <w:r w:rsidRPr="0061343E">
              <w:rPr>
                <w:rFonts w:ascii="Arial Narrow" w:hAnsi="Arial Narrow" w:cstheme="minorHAnsi"/>
                <w:b/>
                <w:bCs/>
                <w:color w:val="000000"/>
                <w:sz w:val="20"/>
                <w:szCs w:val="20"/>
              </w:rPr>
              <w:t>8 weeks</w:t>
            </w:r>
          </w:p>
        </w:tc>
      </w:tr>
      <w:tr w:rsidR="00F76773" w:rsidRPr="0061343E" w14:paraId="1026F0D8" w14:textId="77777777" w:rsidTr="00167892">
        <w:trPr>
          <w:trHeight w:val="20"/>
        </w:trPr>
        <w:tc>
          <w:tcPr>
            <w:tcW w:w="598" w:type="pct"/>
            <w:shd w:val="clear" w:color="auto" w:fill="DBE5F1" w:themeFill="accent1" w:themeFillTint="33"/>
            <w:noWrap/>
            <w:tcMar>
              <w:left w:w="20" w:type="dxa"/>
              <w:right w:w="20" w:type="dxa"/>
            </w:tcMar>
            <w:vAlign w:val="center"/>
          </w:tcPr>
          <w:p w14:paraId="36F9E0AF" w14:textId="77777777" w:rsidR="00E64501" w:rsidRPr="0061343E" w:rsidRDefault="00E64501" w:rsidP="00E7466A">
            <w:pPr>
              <w:rPr>
                <w:rFonts w:ascii="Arial Narrow" w:hAnsi="Arial Narrow" w:cstheme="minorHAnsi"/>
                <w:color w:val="000000"/>
                <w:sz w:val="20"/>
                <w:szCs w:val="20"/>
              </w:rPr>
            </w:pPr>
            <w:r w:rsidRPr="0061343E">
              <w:rPr>
                <w:rFonts w:ascii="Arial Narrow" w:hAnsi="Arial Narrow" w:cstheme="minorHAnsi"/>
                <w:color w:val="000000"/>
                <w:sz w:val="20"/>
                <w:szCs w:val="20"/>
              </w:rPr>
              <w:t>ITT</w:t>
            </w:r>
          </w:p>
        </w:tc>
        <w:tc>
          <w:tcPr>
            <w:tcW w:w="665" w:type="pct"/>
            <w:shd w:val="clear" w:color="auto" w:fill="DBE5F1" w:themeFill="accent1" w:themeFillTint="33"/>
            <w:noWrap/>
            <w:tcMar>
              <w:left w:w="20" w:type="dxa"/>
              <w:right w:w="20" w:type="dxa"/>
            </w:tcMar>
            <w:vAlign w:val="center"/>
          </w:tcPr>
          <w:p w14:paraId="2B2D72E4" w14:textId="4DAF707E" w:rsidR="00E64501" w:rsidRPr="0061343E" w:rsidRDefault="00E64501" w:rsidP="00E7466A">
            <w:pPr>
              <w:rPr>
                <w:rFonts w:ascii="Arial Narrow" w:hAnsi="Arial Narrow" w:cstheme="minorHAnsi"/>
                <w:color w:val="000000"/>
                <w:sz w:val="20"/>
                <w:szCs w:val="20"/>
              </w:rPr>
            </w:pPr>
            <w:r w:rsidRPr="0061343E">
              <w:rPr>
                <w:rFonts w:ascii="Arial Narrow" w:hAnsi="Arial Narrow" w:cstheme="minorHAnsi"/>
                <w:color w:val="000000"/>
                <w:sz w:val="20"/>
                <w:szCs w:val="20"/>
              </w:rPr>
              <w:t>EASI</w:t>
            </w:r>
            <w:r w:rsidR="003D779B" w:rsidRPr="0061343E">
              <w:rPr>
                <w:rFonts w:ascii="Arial Narrow" w:hAnsi="Arial Narrow" w:cstheme="minorHAnsi"/>
                <w:color w:val="000000"/>
                <w:sz w:val="20"/>
                <w:szCs w:val="20"/>
              </w:rPr>
              <w:t>-</w:t>
            </w:r>
            <w:r w:rsidRPr="0061343E">
              <w:rPr>
                <w:rFonts w:ascii="Arial Narrow" w:hAnsi="Arial Narrow" w:cstheme="minorHAnsi"/>
                <w:color w:val="000000"/>
                <w:sz w:val="20"/>
                <w:szCs w:val="20"/>
              </w:rPr>
              <w:t>75</w:t>
            </w:r>
          </w:p>
        </w:tc>
        <w:tc>
          <w:tcPr>
            <w:tcW w:w="531" w:type="pct"/>
            <w:shd w:val="clear" w:color="auto" w:fill="DBE5F1" w:themeFill="accent1" w:themeFillTint="33"/>
            <w:tcMar>
              <w:left w:w="20" w:type="dxa"/>
              <w:right w:w="20" w:type="dxa"/>
            </w:tcMar>
            <w:vAlign w:val="center"/>
          </w:tcPr>
          <w:p w14:paraId="099D5C17" w14:textId="77777777" w:rsidR="00E64501" w:rsidRPr="0061343E" w:rsidRDefault="00E64501" w:rsidP="00E7466A">
            <w:pPr>
              <w:jc w:val="center"/>
              <w:rPr>
                <w:rFonts w:ascii="Arial Narrow" w:hAnsi="Arial Narrow" w:cstheme="minorHAnsi"/>
                <w:color w:val="000000"/>
                <w:sz w:val="20"/>
                <w:szCs w:val="20"/>
              </w:rPr>
            </w:pPr>
            <w:r w:rsidRPr="0061343E">
              <w:rPr>
                <w:rFonts w:ascii="Arial Narrow" w:hAnsi="Arial Narrow" w:cstheme="minorHAnsi"/>
                <w:color w:val="000000"/>
                <w:sz w:val="20"/>
                <w:szCs w:val="20"/>
              </w:rPr>
              <w:t>937</w:t>
            </w:r>
          </w:p>
        </w:tc>
        <w:tc>
          <w:tcPr>
            <w:tcW w:w="598" w:type="pct"/>
            <w:shd w:val="clear" w:color="auto" w:fill="DBE5F1" w:themeFill="accent1" w:themeFillTint="33"/>
            <w:noWrap/>
            <w:tcMar>
              <w:left w:w="20" w:type="dxa"/>
              <w:right w:w="20" w:type="dxa"/>
            </w:tcMar>
            <w:vAlign w:val="center"/>
          </w:tcPr>
          <w:p w14:paraId="74E287DD" w14:textId="77777777" w:rsidR="00E64501" w:rsidRPr="0061343E" w:rsidRDefault="00E64501" w:rsidP="00E7466A">
            <w:pPr>
              <w:jc w:val="center"/>
              <w:rPr>
                <w:rFonts w:ascii="Arial Narrow" w:hAnsi="Arial Narrow" w:cstheme="minorHAnsi"/>
                <w:color w:val="000000"/>
                <w:sz w:val="20"/>
                <w:szCs w:val="20"/>
              </w:rPr>
            </w:pPr>
            <w:r w:rsidRPr="0061343E">
              <w:rPr>
                <w:rFonts w:ascii="Arial Narrow" w:hAnsi="Arial Narrow" w:cstheme="minorHAnsi"/>
                <w:color w:val="000000"/>
                <w:sz w:val="20"/>
                <w:szCs w:val="20"/>
              </w:rPr>
              <w:t>356</w:t>
            </w:r>
          </w:p>
        </w:tc>
        <w:tc>
          <w:tcPr>
            <w:tcW w:w="600" w:type="pct"/>
            <w:shd w:val="clear" w:color="auto" w:fill="DBE5F1" w:themeFill="accent1" w:themeFillTint="33"/>
            <w:tcMar>
              <w:left w:w="20" w:type="dxa"/>
              <w:right w:w="20" w:type="dxa"/>
            </w:tcMar>
            <w:vAlign w:val="center"/>
          </w:tcPr>
          <w:p w14:paraId="31831B41" w14:textId="77777777" w:rsidR="00E64501" w:rsidRPr="0061343E" w:rsidRDefault="00E64501" w:rsidP="00E7466A">
            <w:pPr>
              <w:jc w:val="center"/>
              <w:rPr>
                <w:rFonts w:ascii="Arial Narrow" w:hAnsi="Arial Narrow" w:cstheme="minorHAnsi"/>
                <w:color w:val="000000"/>
                <w:sz w:val="20"/>
                <w:szCs w:val="20"/>
              </w:rPr>
            </w:pPr>
            <w:r w:rsidRPr="0061343E">
              <w:rPr>
                <w:rFonts w:ascii="Arial Narrow" w:hAnsi="Arial Narrow" w:cstheme="minorHAnsi"/>
                <w:color w:val="000000"/>
                <w:sz w:val="20"/>
                <w:szCs w:val="20"/>
              </w:rPr>
              <w:t>581</w:t>
            </w:r>
          </w:p>
        </w:tc>
        <w:tc>
          <w:tcPr>
            <w:tcW w:w="598" w:type="pct"/>
            <w:shd w:val="clear" w:color="auto" w:fill="DBE5F1" w:themeFill="accent1" w:themeFillTint="33"/>
            <w:noWrap/>
            <w:tcMar>
              <w:left w:w="20" w:type="dxa"/>
              <w:right w:w="20" w:type="dxa"/>
            </w:tcMar>
            <w:vAlign w:val="center"/>
          </w:tcPr>
          <w:p w14:paraId="0DB94ABB" w14:textId="77777777" w:rsidR="00E64501" w:rsidRPr="0061343E" w:rsidRDefault="00E64501" w:rsidP="00E7466A">
            <w:pPr>
              <w:jc w:val="center"/>
              <w:rPr>
                <w:rFonts w:ascii="Arial Narrow" w:hAnsi="Arial Narrow" w:cstheme="minorHAnsi"/>
                <w:color w:val="000000"/>
                <w:sz w:val="20"/>
                <w:szCs w:val="20"/>
              </w:rPr>
            </w:pPr>
            <w:r w:rsidRPr="0061343E">
              <w:rPr>
                <w:rFonts w:ascii="Arial Narrow" w:hAnsi="Arial Narrow" w:cstheme="minorHAnsi"/>
                <w:color w:val="000000"/>
                <w:sz w:val="20"/>
                <w:szCs w:val="20"/>
              </w:rPr>
              <w:t>531</w:t>
            </w:r>
          </w:p>
        </w:tc>
        <w:tc>
          <w:tcPr>
            <w:tcW w:w="730" w:type="pct"/>
            <w:shd w:val="clear" w:color="auto" w:fill="DBE5F1" w:themeFill="accent1" w:themeFillTint="33"/>
            <w:noWrap/>
            <w:tcMar>
              <w:left w:w="20" w:type="dxa"/>
              <w:right w:w="20" w:type="dxa"/>
            </w:tcMar>
            <w:vAlign w:val="center"/>
          </w:tcPr>
          <w:p w14:paraId="1874B1AA" w14:textId="77777777" w:rsidR="00E64501" w:rsidRPr="0061343E" w:rsidRDefault="00E64501" w:rsidP="00E7466A">
            <w:pPr>
              <w:jc w:val="center"/>
              <w:rPr>
                <w:rFonts w:ascii="Arial Narrow" w:hAnsi="Arial Narrow" w:cstheme="minorHAnsi"/>
                <w:color w:val="000000"/>
                <w:sz w:val="20"/>
                <w:szCs w:val="20"/>
              </w:rPr>
            </w:pPr>
            <w:r w:rsidRPr="0061343E">
              <w:rPr>
                <w:rFonts w:ascii="Arial Narrow" w:hAnsi="Arial Narrow" w:cstheme="minorHAnsi"/>
                <w:color w:val="000000"/>
                <w:sz w:val="20"/>
                <w:szCs w:val="20"/>
              </w:rPr>
              <w:t>175</w:t>
            </w:r>
          </w:p>
        </w:tc>
        <w:tc>
          <w:tcPr>
            <w:tcW w:w="680" w:type="pct"/>
            <w:shd w:val="clear" w:color="auto" w:fill="DBE5F1" w:themeFill="accent1" w:themeFillTint="33"/>
            <w:noWrap/>
            <w:tcMar>
              <w:left w:w="20" w:type="dxa"/>
              <w:right w:w="20" w:type="dxa"/>
            </w:tcMar>
            <w:vAlign w:val="center"/>
          </w:tcPr>
          <w:p w14:paraId="4FD09668" w14:textId="77777777" w:rsidR="00E64501" w:rsidRPr="0061343E" w:rsidRDefault="00E64501" w:rsidP="00E7466A">
            <w:pPr>
              <w:jc w:val="center"/>
              <w:rPr>
                <w:rFonts w:ascii="Arial Narrow" w:hAnsi="Arial Narrow" w:cstheme="minorHAnsi"/>
                <w:b/>
                <w:bCs/>
                <w:color w:val="000000"/>
                <w:sz w:val="20"/>
                <w:szCs w:val="20"/>
              </w:rPr>
            </w:pPr>
            <w:r w:rsidRPr="0061343E">
              <w:rPr>
                <w:rFonts w:ascii="Arial Narrow" w:hAnsi="Arial Narrow" w:cstheme="minorHAnsi"/>
                <w:b/>
                <w:bCs/>
                <w:color w:val="000000"/>
                <w:sz w:val="20"/>
                <w:szCs w:val="20"/>
              </w:rPr>
              <w:t>30.1%</w:t>
            </w:r>
          </w:p>
        </w:tc>
      </w:tr>
      <w:tr w:rsidR="00F76773" w:rsidRPr="0061343E" w14:paraId="423030D1" w14:textId="77777777" w:rsidTr="00167892">
        <w:trPr>
          <w:trHeight w:val="20"/>
        </w:trPr>
        <w:tc>
          <w:tcPr>
            <w:tcW w:w="598" w:type="pct"/>
            <w:shd w:val="clear" w:color="auto" w:fill="DBE5F1" w:themeFill="accent1" w:themeFillTint="33"/>
            <w:noWrap/>
            <w:tcMar>
              <w:left w:w="20" w:type="dxa"/>
              <w:right w:w="20" w:type="dxa"/>
            </w:tcMar>
            <w:vAlign w:val="center"/>
            <w:hideMark/>
          </w:tcPr>
          <w:p w14:paraId="40F258DF" w14:textId="77777777" w:rsidR="00E64501" w:rsidRPr="0061343E" w:rsidRDefault="00E64501" w:rsidP="00E7466A">
            <w:pPr>
              <w:rPr>
                <w:rFonts w:ascii="Arial Narrow" w:hAnsi="Arial Narrow" w:cstheme="minorHAnsi"/>
                <w:color w:val="000000"/>
                <w:sz w:val="20"/>
                <w:szCs w:val="20"/>
              </w:rPr>
            </w:pPr>
            <w:r w:rsidRPr="0061343E">
              <w:rPr>
                <w:rFonts w:ascii="Arial Narrow" w:hAnsi="Arial Narrow" w:cstheme="minorHAnsi"/>
                <w:color w:val="000000"/>
                <w:sz w:val="20"/>
                <w:szCs w:val="20"/>
              </w:rPr>
              <w:t>ITT</w:t>
            </w:r>
          </w:p>
        </w:tc>
        <w:tc>
          <w:tcPr>
            <w:tcW w:w="665" w:type="pct"/>
            <w:shd w:val="clear" w:color="auto" w:fill="DBE5F1" w:themeFill="accent1" w:themeFillTint="33"/>
            <w:noWrap/>
            <w:tcMar>
              <w:left w:w="20" w:type="dxa"/>
              <w:right w:w="20" w:type="dxa"/>
            </w:tcMar>
            <w:vAlign w:val="center"/>
            <w:hideMark/>
          </w:tcPr>
          <w:p w14:paraId="2C484B04" w14:textId="77777777" w:rsidR="00E64501" w:rsidRPr="0061343E" w:rsidRDefault="00E64501" w:rsidP="00E7466A">
            <w:pPr>
              <w:rPr>
                <w:rFonts w:ascii="Arial Narrow" w:hAnsi="Arial Narrow" w:cstheme="minorHAnsi"/>
                <w:color w:val="000000"/>
                <w:sz w:val="20"/>
                <w:szCs w:val="20"/>
              </w:rPr>
            </w:pPr>
            <w:r w:rsidRPr="0061343E">
              <w:rPr>
                <w:rFonts w:ascii="Arial Narrow" w:hAnsi="Arial Narrow" w:cstheme="minorHAnsi"/>
                <w:color w:val="000000"/>
                <w:sz w:val="20"/>
                <w:szCs w:val="20"/>
              </w:rPr>
              <w:t>IGA 0/1</w:t>
            </w:r>
          </w:p>
        </w:tc>
        <w:tc>
          <w:tcPr>
            <w:tcW w:w="531" w:type="pct"/>
            <w:shd w:val="clear" w:color="auto" w:fill="DBE5F1" w:themeFill="accent1" w:themeFillTint="33"/>
            <w:tcMar>
              <w:left w:w="20" w:type="dxa"/>
              <w:right w:w="20" w:type="dxa"/>
            </w:tcMar>
            <w:vAlign w:val="center"/>
          </w:tcPr>
          <w:p w14:paraId="6C72906C" w14:textId="77777777" w:rsidR="00E64501" w:rsidRPr="0061343E" w:rsidRDefault="00E64501" w:rsidP="00E7466A">
            <w:pPr>
              <w:jc w:val="center"/>
              <w:rPr>
                <w:rFonts w:ascii="Arial Narrow" w:hAnsi="Arial Narrow" w:cstheme="minorHAnsi"/>
                <w:color w:val="000000"/>
                <w:sz w:val="20"/>
                <w:szCs w:val="20"/>
              </w:rPr>
            </w:pPr>
            <w:r w:rsidRPr="0061343E">
              <w:rPr>
                <w:rFonts w:ascii="Arial Narrow" w:hAnsi="Arial Narrow" w:cstheme="minorHAnsi"/>
                <w:color w:val="000000"/>
                <w:sz w:val="20"/>
                <w:szCs w:val="20"/>
              </w:rPr>
              <w:t>937</w:t>
            </w:r>
          </w:p>
        </w:tc>
        <w:tc>
          <w:tcPr>
            <w:tcW w:w="598" w:type="pct"/>
            <w:shd w:val="clear" w:color="auto" w:fill="DBE5F1" w:themeFill="accent1" w:themeFillTint="33"/>
            <w:noWrap/>
            <w:tcMar>
              <w:left w:w="20" w:type="dxa"/>
              <w:right w:w="20" w:type="dxa"/>
            </w:tcMar>
            <w:vAlign w:val="center"/>
            <w:hideMark/>
          </w:tcPr>
          <w:p w14:paraId="021B7361" w14:textId="77777777" w:rsidR="00E64501" w:rsidRPr="0061343E" w:rsidRDefault="00E64501" w:rsidP="00E7466A">
            <w:pPr>
              <w:jc w:val="center"/>
              <w:rPr>
                <w:rFonts w:ascii="Arial Narrow" w:hAnsi="Arial Narrow" w:cstheme="minorHAnsi"/>
                <w:color w:val="000000"/>
                <w:sz w:val="20"/>
                <w:szCs w:val="20"/>
              </w:rPr>
            </w:pPr>
            <w:r w:rsidRPr="0061343E">
              <w:rPr>
                <w:rFonts w:ascii="Arial Narrow" w:hAnsi="Arial Narrow" w:cstheme="minorHAnsi"/>
                <w:color w:val="000000"/>
                <w:sz w:val="20"/>
                <w:szCs w:val="20"/>
              </w:rPr>
              <w:t>273</w:t>
            </w:r>
          </w:p>
        </w:tc>
        <w:tc>
          <w:tcPr>
            <w:tcW w:w="600" w:type="pct"/>
            <w:shd w:val="clear" w:color="auto" w:fill="DBE5F1" w:themeFill="accent1" w:themeFillTint="33"/>
            <w:tcMar>
              <w:left w:w="20" w:type="dxa"/>
              <w:right w:w="20" w:type="dxa"/>
            </w:tcMar>
            <w:vAlign w:val="center"/>
          </w:tcPr>
          <w:p w14:paraId="7225F254" w14:textId="77777777" w:rsidR="00E64501" w:rsidRPr="0061343E" w:rsidRDefault="00E64501" w:rsidP="00E7466A">
            <w:pPr>
              <w:jc w:val="center"/>
              <w:rPr>
                <w:rFonts w:ascii="Arial Narrow" w:hAnsi="Arial Narrow" w:cstheme="minorHAnsi"/>
                <w:color w:val="000000"/>
                <w:sz w:val="20"/>
                <w:szCs w:val="20"/>
              </w:rPr>
            </w:pPr>
            <w:r w:rsidRPr="0061343E">
              <w:rPr>
                <w:rFonts w:ascii="Arial Narrow" w:hAnsi="Arial Narrow" w:cstheme="minorHAnsi"/>
                <w:color w:val="000000"/>
                <w:sz w:val="20"/>
                <w:szCs w:val="20"/>
              </w:rPr>
              <w:t>664</w:t>
            </w:r>
          </w:p>
        </w:tc>
        <w:tc>
          <w:tcPr>
            <w:tcW w:w="598" w:type="pct"/>
            <w:shd w:val="clear" w:color="auto" w:fill="DBE5F1" w:themeFill="accent1" w:themeFillTint="33"/>
            <w:noWrap/>
            <w:tcMar>
              <w:left w:w="20" w:type="dxa"/>
              <w:right w:w="20" w:type="dxa"/>
            </w:tcMar>
            <w:vAlign w:val="center"/>
          </w:tcPr>
          <w:p w14:paraId="34CE7329" w14:textId="77777777" w:rsidR="00E64501" w:rsidRPr="0061343E" w:rsidRDefault="00E64501" w:rsidP="00E7466A">
            <w:pPr>
              <w:jc w:val="center"/>
              <w:rPr>
                <w:rFonts w:ascii="Arial Narrow" w:hAnsi="Arial Narrow" w:cstheme="minorHAnsi"/>
                <w:color w:val="000000"/>
                <w:sz w:val="20"/>
                <w:szCs w:val="20"/>
              </w:rPr>
            </w:pPr>
            <w:r w:rsidRPr="0061343E">
              <w:rPr>
                <w:rFonts w:ascii="Arial Narrow" w:hAnsi="Arial Narrow" w:cstheme="minorHAnsi"/>
                <w:color w:val="000000"/>
                <w:sz w:val="20"/>
                <w:szCs w:val="20"/>
              </w:rPr>
              <w:t>337</w:t>
            </w:r>
          </w:p>
        </w:tc>
        <w:tc>
          <w:tcPr>
            <w:tcW w:w="730" w:type="pct"/>
            <w:shd w:val="clear" w:color="auto" w:fill="DBE5F1" w:themeFill="accent1" w:themeFillTint="33"/>
            <w:noWrap/>
            <w:tcMar>
              <w:left w:w="20" w:type="dxa"/>
              <w:right w:w="20" w:type="dxa"/>
            </w:tcMar>
            <w:vAlign w:val="center"/>
            <w:hideMark/>
          </w:tcPr>
          <w:p w14:paraId="6F24B300" w14:textId="77777777" w:rsidR="00E64501" w:rsidRPr="0061343E" w:rsidRDefault="00E64501" w:rsidP="00E7466A">
            <w:pPr>
              <w:jc w:val="center"/>
              <w:rPr>
                <w:rFonts w:ascii="Arial Narrow" w:hAnsi="Arial Narrow" w:cstheme="minorHAnsi"/>
                <w:color w:val="000000"/>
                <w:sz w:val="20"/>
                <w:szCs w:val="20"/>
              </w:rPr>
            </w:pPr>
            <w:r w:rsidRPr="0061343E">
              <w:rPr>
                <w:rFonts w:ascii="Arial Narrow" w:hAnsi="Arial Narrow" w:cstheme="minorHAnsi"/>
                <w:color w:val="000000"/>
                <w:sz w:val="20"/>
                <w:szCs w:val="20"/>
              </w:rPr>
              <w:t>64</w:t>
            </w:r>
          </w:p>
        </w:tc>
        <w:tc>
          <w:tcPr>
            <w:tcW w:w="680" w:type="pct"/>
            <w:shd w:val="clear" w:color="auto" w:fill="DBE5F1" w:themeFill="accent1" w:themeFillTint="33"/>
            <w:noWrap/>
            <w:tcMar>
              <w:left w:w="20" w:type="dxa"/>
              <w:right w:w="20" w:type="dxa"/>
            </w:tcMar>
            <w:vAlign w:val="center"/>
          </w:tcPr>
          <w:p w14:paraId="6DF3EF4C" w14:textId="77777777" w:rsidR="00E64501" w:rsidRPr="0061343E" w:rsidRDefault="00E64501" w:rsidP="00E7466A">
            <w:pPr>
              <w:jc w:val="center"/>
              <w:rPr>
                <w:rFonts w:ascii="Arial Narrow" w:hAnsi="Arial Narrow" w:cstheme="minorHAnsi"/>
                <w:b/>
                <w:bCs/>
                <w:color w:val="000000"/>
                <w:sz w:val="20"/>
                <w:szCs w:val="20"/>
              </w:rPr>
            </w:pPr>
            <w:r w:rsidRPr="0061343E">
              <w:rPr>
                <w:rFonts w:ascii="Arial Narrow" w:hAnsi="Arial Narrow" w:cstheme="minorHAnsi"/>
                <w:b/>
                <w:bCs/>
                <w:color w:val="000000"/>
                <w:sz w:val="20"/>
                <w:szCs w:val="20"/>
              </w:rPr>
              <w:t>9.6%</w:t>
            </w:r>
          </w:p>
        </w:tc>
      </w:tr>
      <w:tr w:rsidR="00F76773" w:rsidRPr="0061343E" w14:paraId="4AD19801" w14:textId="77777777" w:rsidTr="00167892">
        <w:trPr>
          <w:trHeight w:val="20"/>
        </w:trPr>
        <w:tc>
          <w:tcPr>
            <w:tcW w:w="598" w:type="pct"/>
            <w:shd w:val="clear" w:color="auto" w:fill="DBE5F1" w:themeFill="accent1" w:themeFillTint="33"/>
            <w:noWrap/>
            <w:tcMar>
              <w:left w:w="20" w:type="dxa"/>
              <w:right w:w="20" w:type="dxa"/>
            </w:tcMar>
            <w:vAlign w:val="center"/>
            <w:hideMark/>
          </w:tcPr>
          <w:p w14:paraId="4DCDA5A8" w14:textId="68907254" w:rsidR="00E64501" w:rsidRPr="0061343E" w:rsidRDefault="00E64501" w:rsidP="00E7466A">
            <w:pPr>
              <w:rPr>
                <w:rFonts w:ascii="Arial Narrow" w:hAnsi="Arial Narrow" w:cstheme="minorHAnsi"/>
                <w:color w:val="000000"/>
                <w:sz w:val="20"/>
                <w:szCs w:val="20"/>
              </w:rPr>
            </w:pPr>
            <w:r w:rsidRPr="0061343E">
              <w:rPr>
                <w:rFonts w:ascii="Arial Narrow" w:hAnsi="Arial Narrow" w:cstheme="minorHAnsi"/>
                <w:color w:val="000000"/>
                <w:sz w:val="20"/>
                <w:szCs w:val="20"/>
              </w:rPr>
              <w:t>PBS</w:t>
            </w:r>
            <w:r w:rsidR="003D779B" w:rsidRPr="0061343E">
              <w:rPr>
                <w:rFonts w:ascii="Arial Narrow" w:hAnsi="Arial Narrow" w:cstheme="minorHAnsi"/>
                <w:color w:val="000000"/>
                <w:sz w:val="20"/>
                <w:szCs w:val="20"/>
              </w:rPr>
              <w:t>**</w:t>
            </w:r>
          </w:p>
        </w:tc>
        <w:tc>
          <w:tcPr>
            <w:tcW w:w="665" w:type="pct"/>
            <w:shd w:val="clear" w:color="auto" w:fill="DBE5F1" w:themeFill="accent1" w:themeFillTint="33"/>
            <w:noWrap/>
            <w:tcMar>
              <w:left w:w="20" w:type="dxa"/>
              <w:right w:w="20" w:type="dxa"/>
            </w:tcMar>
            <w:vAlign w:val="center"/>
            <w:hideMark/>
          </w:tcPr>
          <w:p w14:paraId="6558EECD" w14:textId="651207B4" w:rsidR="00E64501" w:rsidRPr="0061343E" w:rsidRDefault="00E64501" w:rsidP="00E7466A">
            <w:pPr>
              <w:rPr>
                <w:rFonts w:ascii="Arial Narrow" w:hAnsi="Arial Narrow" w:cstheme="minorHAnsi"/>
                <w:color w:val="000000"/>
                <w:sz w:val="20"/>
                <w:szCs w:val="20"/>
              </w:rPr>
            </w:pPr>
            <w:r w:rsidRPr="0061343E">
              <w:rPr>
                <w:rFonts w:ascii="Arial Narrow" w:hAnsi="Arial Narrow" w:cstheme="minorHAnsi"/>
                <w:color w:val="000000"/>
                <w:sz w:val="20"/>
                <w:szCs w:val="20"/>
              </w:rPr>
              <w:t>EASI</w:t>
            </w:r>
            <w:r w:rsidR="003D779B" w:rsidRPr="0061343E">
              <w:rPr>
                <w:rFonts w:ascii="Arial Narrow" w:hAnsi="Arial Narrow" w:cstheme="minorHAnsi"/>
                <w:color w:val="000000"/>
                <w:sz w:val="20"/>
                <w:szCs w:val="20"/>
              </w:rPr>
              <w:t>-</w:t>
            </w:r>
            <w:r w:rsidRPr="0061343E">
              <w:rPr>
                <w:rFonts w:ascii="Arial Narrow" w:hAnsi="Arial Narrow" w:cstheme="minorHAnsi"/>
                <w:color w:val="000000"/>
                <w:sz w:val="20"/>
                <w:szCs w:val="20"/>
              </w:rPr>
              <w:t>50</w:t>
            </w:r>
          </w:p>
        </w:tc>
        <w:tc>
          <w:tcPr>
            <w:tcW w:w="531" w:type="pct"/>
            <w:shd w:val="clear" w:color="auto" w:fill="DBE5F1" w:themeFill="accent1" w:themeFillTint="33"/>
            <w:tcMar>
              <w:left w:w="20" w:type="dxa"/>
              <w:right w:w="20" w:type="dxa"/>
            </w:tcMar>
            <w:vAlign w:val="center"/>
          </w:tcPr>
          <w:p w14:paraId="1FCE2756" w14:textId="77777777" w:rsidR="00E64501" w:rsidRPr="0061343E" w:rsidRDefault="00E64501" w:rsidP="00E7466A">
            <w:pPr>
              <w:jc w:val="center"/>
              <w:rPr>
                <w:rFonts w:ascii="Arial Narrow" w:hAnsi="Arial Narrow" w:cstheme="minorHAnsi"/>
                <w:color w:val="000000"/>
                <w:sz w:val="20"/>
                <w:szCs w:val="20"/>
              </w:rPr>
            </w:pPr>
            <w:r w:rsidRPr="0061343E">
              <w:rPr>
                <w:rFonts w:ascii="Arial Narrow" w:hAnsi="Arial Narrow" w:cstheme="minorHAnsi"/>
                <w:color w:val="000000"/>
                <w:sz w:val="20"/>
                <w:szCs w:val="20"/>
              </w:rPr>
              <w:t>172</w:t>
            </w:r>
          </w:p>
        </w:tc>
        <w:tc>
          <w:tcPr>
            <w:tcW w:w="598" w:type="pct"/>
            <w:shd w:val="clear" w:color="auto" w:fill="DBE5F1" w:themeFill="accent1" w:themeFillTint="33"/>
            <w:noWrap/>
            <w:tcMar>
              <w:left w:w="20" w:type="dxa"/>
              <w:right w:w="20" w:type="dxa"/>
            </w:tcMar>
            <w:vAlign w:val="center"/>
            <w:hideMark/>
          </w:tcPr>
          <w:p w14:paraId="42C7C132" w14:textId="77777777" w:rsidR="00E64501" w:rsidRPr="0061343E" w:rsidRDefault="00E64501" w:rsidP="00E7466A">
            <w:pPr>
              <w:jc w:val="center"/>
              <w:rPr>
                <w:rFonts w:ascii="Arial Narrow" w:hAnsi="Arial Narrow" w:cstheme="minorHAnsi"/>
                <w:color w:val="000000"/>
                <w:sz w:val="20"/>
                <w:szCs w:val="20"/>
              </w:rPr>
            </w:pPr>
            <w:r w:rsidRPr="0061343E">
              <w:rPr>
                <w:rFonts w:ascii="Arial Narrow" w:hAnsi="Arial Narrow" w:cstheme="minorHAnsi"/>
                <w:color w:val="000000"/>
                <w:sz w:val="20"/>
                <w:szCs w:val="20"/>
              </w:rPr>
              <w:t>59</w:t>
            </w:r>
          </w:p>
        </w:tc>
        <w:tc>
          <w:tcPr>
            <w:tcW w:w="600" w:type="pct"/>
            <w:shd w:val="clear" w:color="auto" w:fill="DBE5F1" w:themeFill="accent1" w:themeFillTint="33"/>
            <w:tcMar>
              <w:left w:w="20" w:type="dxa"/>
              <w:right w:w="20" w:type="dxa"/>
            </w:tcMar>
            <w:vAlign w:val="center"/>
          </w:tcPr>
          <w:p w14:paraId="044B626D" w14:textId="77777777" w:rsidR="00E64501" w:rsidRPr="0061343E" w:rsidRDefault="00E64501" w:rsidP="00E7466A">
            <w:pPr>
              <w:jc w:val="center"/>
              <w:rPr>
                <w:rFonts w:ascii="Arial Narrow" w:hAnsi="Arial Narrow" w:cstheme="minorHAnsi"/>
                <w:color w:val="000000"/>
                <w:sz w:val="20"/>
                <w:szCs w:val="20"/>
              </w:rPr>
            </w:pPr>
            <w:r w:rsidRPr="0061343E">
              <w:rPr>
                <w:rFonts w:ascii="Arial Narrow" w:hAnsi="Arial Narrow" w:cstheme="minorHAnsi"/>
                <w:color w:val="000000"/>
                <w:sz w:val="20"/>
                <w:szCs w:val="20"/>
              </w:rPr>
              <w:t>113</w:t>
            </w:r>
          </w:p>
        </w:tc>
        <w:tc>
          <w:tcPr>
            <w:tcW w:w="598" w:type="pct"/>
            <w:shd w:val="clear" w:color="auto" w:fill="DBE5F1" w:themeFill="accent1" w:themeFillTint="33"/>
            <w:noWrap/>
            <w:tcMar>
              <w:left w:w="20" w:type="dxa"/>
              <w:right w:w="20" w:type="dxa"/>
            </w:tcMar>
            <w:vAlign w:val="center"/>
          </w:tcPr>
          <w:p w14:paraId="5B0B991B" w14:textId="77777777" w:rsidR="00E64501" w:rsidRPr="0061343E" w:rsidRDefault="00E64501" w:rsidP="00E7466A">
            <w:pPr>
              <w:jc w:val="center"/>
              <w:rPr>
                <w:rFonts w:ascii="Arial Narrow" w:hAnsi="Arial Narrow" w:cstheme="minorHAnsi"/>
                <w:color w:val="000000"/>
                <w:sz w:val="20"/>
                <w:szCs w:val="20"/>
              </w:rPr>
            </w:pPr>
            <w:r w:rsidRPr="0061343E">
              <w:rPr>
                <w:rFonts w:ascii="Arial Narrow" w:hAnsi="Arial Narrow" w:cstheme="minorHAnsi"/>
                <w:color w:val="000000"/>
                <w:sz w:val="20"/>
                <w:szCs w:val="20"/>
              </w:rPr>
              <w:t>98</w:t>
            </w:r>
          </w:p>
        </w:tc>
        <w:tc>
          <w:tcPr>
            <w:tcW w:w="730" w:type="pct"/>
            <w:shd w:val="clear" w:color="auto" w:fill="DBE5F1" w:themeFill="accent1" w:themeFillTint="33"/>
            <w:noWrap/>
            <w:tcMar>
              <w:left w:w="20" w:type="dxa"/>
              <w:right w:w="20" w:type="dxa"/>
            </w:tcMar>
            <w:vAlign w:val="center"/>
            <w:hideMark/>
          </w:tcPr>
          <w:p w14:paraId="66FD92C6" w14:textId="77777777" w:rsidR="00E64501" w:rsidRPr="0061343E" w:rsidRDefault="00E64501" w:rsidP="00E7466A">
            <w:pPr>
              <w:jc w:val="center"/>
              <w:rPr>
                <w:rFonts w:ascii="Arial Narrow" w:hAnsi="Arial Narrow" w:cstheme="minorHAnsi"/>
                <w:color w:val="000000"/>
                <w:sz w:val="20"/>
                <w:szCs w:val="20"/>
              </w:rPr>
            </w:pPr>
            <w:r w:rsidRPr="0061343E">
              <w:rPr>
                <w:rFonts w:ascii="Arial Narrow" w:hAnsi="Arial Narrow" w:cstheme="minorHAnsi"/>
                <w:color w:val="000000"/>
                <w:sz w:val="20"/>
                <w:szCs w:val="20"/>
              </w:rPr>
              <w:t>39</w:t>
            </w:r>
          </w:p>
        </w:tc>
        <w:tc>
          <w:tcPr>
            <w:tcW w:w="680" w:type="pct"/>
            <w:shd w:val="clear" w:color="auto" w:fill="DBE5F1" w:themeFill="accent1" w:themeFillTint="33"/>
            <w:noWrap/>
            <w:tcMar>
              <w:left w:w="20" w:type="dxa"/>
              <w:right w:w="20" w:type="dxa"/>
            </w:tcMar>
            <w:vAlign w:val="center"/>
          </w:tcPr>
          <w:p w14:paraId="28F49A56" w14:textId="77777777" w:rsidR="00E64501" w:rsidRPr="0061343E" w:rsidRDefault="00E64501" w:rsidP="00E7466A">
            <w:pPr>
              <w:jc w:val="center"/>
              <w:rPr>
                <w:rFonts w:ascii="Arial Narrow" w:hAnsi="Arial Narrow" w:cstheme="minorHAnsi"/>
                <w:b/>
                <w:bCs/>
                <w:color w:val="000000"/>
                <w:sz w:val="20"/>
                <w:szCs w:val="20"/>
              </w:rPr>
            </w:pPr>
            <w:r w:rsidRPr="0061343E">
              <w:rPr>
                <w:rFonts w:ascii="Arial Narrow" w:hAnsi="Arial Narrow" w:cstheme="minorHAnsi"/>
                <w:b/>
                <w:bCs/>
                <w:color w:val="000000"/>
                <w:sz w:val="20"/>
                <w:szCs w:val="20"/>
              </w:rPr>
              <w:t>34.5%</w:t>
            </w:r>
          </w:p>
        </w:tc>
      </w:tr>
      <w:tr w:rsidR="00F76773" w:rsidRPr="0061343E" w14:paraId="1E9D2ED2" w14:textId="77777777" w:rsidTr="00F76773">
        <w:trPr>
          <w:trHeight w:val="20"/>
        </w:trPr>
        <w:tc>
          <w:tcPr>
            <w:tcW w:w="5000" w:type="pct"/>
            <w:gridSpan w:val="8"/>
            <w:noWrap/>
            <w:tcMar>
              <w:left w:w="20" w:type="dxa"/>
              <w:right w:w="20" w:type="dxa"/>
            </w:tcMar>
            <w:vAlign w:val="center"/>
          </w:tcPr>
          <w:p w14:paraId="72BED924" w14:textId="717440A6" w:rsidR="00F76773" w:rsidRPr="0061343E" w:rsidRDefault="00F76773" w:rsidP="00F76773">
            <w:pPr>
              <w:jc w:val="left"/>
              <w:rPr>
                <w:rFonts w:ascii="Arial Narrow" w:hAnsi="Arial Narrow" w:cstheme="minorHAnsi"/>
                <w:b/>
                <w:color w:val="000000"/>
                <w:sz w:val="20"/>
                <w:szCs w:val="20"/>
              </w:rPr>
            </w:pPr>
            <w:r w:rsidRPr="0061343E">
              <w:rPr>
                <w:rFonts w:ascii="Arial Narrow" w:hAnsi="Arial Narrow" w:cstheme="minorHAnsi"/>
                <w:b/>
                <w:color w:val="000000"/>
                <w:sz w:val="20"/>
                <w:szCs w:val="20"/>
              </w:rPr>
              <w:t>20 weeks</w:t>
            </w:r>
          </w:p>
        </w:tc>
      </w:tr>
      <w:tr w:rsidR="00F76773" w:rsidRPr="0061343E" w14:paraId="05F3355A" w14:textId="77777777" w:rsidTr="00167892">
        <w:trPr>
          <w:trHeight w:val="20"/>
        </w:trPr>
        <w:tc>
          <w:tcPr>
            <w:tcW w:w="598" w:type="pct"/>
            <w:noWrap/>
            <w:tcMar>
              <w:left w:w="20" w:type="dxa"/>
              <w:right w:w="20" w:type="dxa"/>
            </w:tcMar>
            <w:vAlign w:val="center"/>
          </w:tcPr>
          <w:p w14:paraId="0F19E1C5" w14:textId="77777777" w:rsidR="00E64501" w:rsidRPr="0061343E" w:rsidRDefault="00E64501" w:rsidP="00E7466A">
            <w:pPr>
              <w:rPr>
                <w:rFonts w:ascii="Arial Narrow" w:hAnsi="Arial Narrow" w:cstheme="minorHAnsi"/>
                <w:color w:val="000000"/>
                <w:sz w:val="20"/>
                <w:szCs w:val="20"/>
              </w:rPr>
            </w:pPr>
            <w:r w:rsidRPr="0061343E">
              <w:rPr>
                <w:rFonts w:ascii="Arial Narrow" w:hAnsi="Arial Narrow" w:cstheme="minorHAnsi"/>
                <w:color w:val="000000"/>
                <w:sz w:val="20"/>
                <w:szCs w:val="20"/>
              </w:rPr>
              <w:t>ITT</w:t>
            </w:r>
          </w:p>
        </w:tc>
        <w:tc>
          <w:tcPr>
            <w:tcW w:w="665" w:type="pct"/>
            <w:noWrap/>
            <w:tcMar>
              <w:left w:w="20" w:type="dxa"/>
              <w:right w:w="20" w:type="dxa"/>
            </w:tcMar>
            <w:vAlign w:val="center"/>
          </w:tcPr>
          <w:p w14:paraId="6EF6EDDF" w14:textId="77777777" w:rsidR="00E64501" w:rsidRPr="0061343E" w:rsidRDefault="00E64501" w:rsidP="00E7466A">
            <w:pPr>
              <w:rPr>
                <w:rFonts w:ascii="Arial Narrow" w:hAnsi="Arial Narrow" w:cstheme="minorHAnsi"/>
                <w:color w:val="000000"/>
                <w:sz w:val="20"/>
                <w:szCs w:val="20"/>
              </w:rPr>
            </w:pPr>
            <w:r w:rsidRPr="0061343E">
              <w:rPr>
                <w:rFonts w:ascii="Arial Narrow" w:hAnsi="Arial Narrow" w:cstheme="minorHAnsi"/>
                <w:color w:val="000000"/>
                <w:sz w:val="20"/>
                <w:szCs w:val="20"/>
              </w:rPr>
              <w:t>EASI-75</w:t>
            </w:r>
          </w:p>
        </w:tc>
        <w:tc>
          <w:tcPr>
            <w:tcW w:w="531" w:type="pct"/>
            <w:tcMar>
              <w:left w:w="20" w:type="dxa"/>
              <w:right w:w="20" w:type="dxa"/>
            </w:tcMar>
            <w:vAlign w:val="bottom"/>
          </w:tcPr>
          <w:p w14:paraId="121083C5" w14:textId="77777777" w:rsidR="00E64501" w:rsidRPr="0061343E" w:rsidRDefault="00E64501" w:rsidP="00E7466A">
            <w:pPr>
              <w:jc w:val="center"/>
              <w:rPr>
                <w:rFonts w:ascii="Arial Narrow" w:hAnsi="Arial Narrow" w:cstheme="minorHAnsi"/>
                <w:color w:val="000000"/>
                <w:sz w:val="20"/>
                <w:szCs w:val="20"/>
              </w:rPr>
            </w:pPr>
            <w:r w:rsidRPr="0061343E">
              <w:rPr>
                <w:rFonts w:ascii="Arial Narrow" w:hAnsi="Arial Narrow" w:cstheme="minorHAnsi"/>
                <w:color w:val="000000"/>
                <w:sz w:val="20"/>
                <w:szCs w:val="20"/>
              </w:rPr>
              <w:t>937</w:t>
            </w:r>
          </w:p>
        </w:tc>
        <w:tc>
          <w:tcPr>
            <w:tcW w:w="598" w:type="pct"/>
            <w:noWrap/>
            <w:tcMar>
              <w:left w:w="20" w:type="dxa"/>
              <w:right w:w="20" w:type="dxa"/>
            </w:tcMar>
            <w:vAlign w:val="bottom"/>
          </w:tcPr>
          <w:p w14:paraId="1E9BC481" w14:textId="77777777" w:rsidR="00E64501" w:rsidRPr="0061343E" w:rsidRDefault="00E64501" w:rsidP="00E7466A">
            <w:pPr>
              <w:jc w:val="center"/>
              <w:rPr>
                <w:rFonts w:ascii="Arial Narrow" w:hAnsi="Arial Narrow" w:cstheme="minorHAnsi"/>
                <w:color w:val="000000"/>
                <w:sz w:val="20"/>
                <w:szCs w:val="20"/>
              </w:rPr>
            </w:pPr>
            <w:r w:rsidRPr="0061343E">
              <w:rPr>
                <w:rFonts w:ascii="Arial Narrow" w:hAnsi="Arial Narrow" w:cstheme="minorHAnsi"/>
                <w:color w:val="000000"/>
                <w:sz w:val="20"/>
                <w:szCs w:val="20"/>
              </w:rPr>
              <w:t>356</w:t>
            </w:r>
          </w:p>
        </w:tc>
        <w:tc>
          <w:tcPr>
            <w:tcW w:w="600" w:type="pct"/>
            <w:tcMar>
              <w:left w:w="20" w:type="dxa"/>
              <w:right w:w="20" w:type="dxa"/>
            </w:tcMar>
            <w:vAlign w:val="bottom"/>
          </w:tcPr>
          <w:p w14:paraId="58CE5B95" w14:textId="77777777" w:rsidR="00E64501" w:rsidRPr="0061343E" w:rsidRDefault="00E64501" w:rsidP="00E7466A">
            <w:pPr>
              <w:jc w:val="center"/>
              <w:rPr>
                <w:rFonts w:ascii="Arial Narrow" w:hAnsi="Arial Narrow" w:cstheme="minorHAnsi"/>
                <w:color w:val="000000"/>
                <w:sz w:val="20"/>
                <w:szCs w:val="20"/>
              </w:rPr>
            </w:pPr>
            <w:r w:rsidRPr="0061343E">
              <w:rPr>
                <w:rFonts w:ascii="Arial Narrow" w:hAnsi="Arial Narrow" w:cstheme="minorHAnsi"/>
                <w:color w:val="000000"/>
                <w:sz w:val="20"/>
                <w:szCs w:val="20"/>
              </w:rPr>
              <w:t>581</w:t>
            </w:r>
          </w:p>
        </w:tc>
        <w:tc>
          <w:tcPr>
            <w:tcW w:w="598" w:type="pct"/>
            <w:noWrap/>
            <w:tcMar>
              <w:left w:w="20" w:type="dxa"/>
              <w:right w:w="20" w:type="dxa"/>
            </w:tcMar>
            <w:vAlign w:val="bottom"/>
          </w:tcPr>
          <w:p w14:paraId="7F9C5158" w14:textId="77777777" w:rsidR="00E64501" w:rsidRPr="0061343E" w:rsidRDefault="00E64501" w:rsidP="00E7466A">
            <w:pPr>
              <w:jc w:val="center"/>
              <w:rPr>
                <w:rFonts w:ascii="Arial Narrow" w:hAnsi="Arial Narrow" w:cstheme="minorHAnsi"/>
                <w:color w:val="000000"/>
                <w:sz w:val="20"/>
                <w:szCs w:val="20"/>
              </w:rPr>
            </w:pPr>
            <w:r w:rsidRPr="0061343E">
              <w:rPr>
                <w:rFonts w:ascii="Arial Narrow" w:hAnsi="Arial Narrow" w:cstheme="minorHAnsi"/>
                <w:color w:val="000000"/>
                <w:sz w:val="20"/>
                <w:szCs w:val="20"/>
              </w:rPr>
              <w:t>569</w:t>
            </w:r>
          </w:p>
        </w:tc>
        <w:tc>
          <w:tcPr>
            <w:tcW w:w="730" w:type="pct"/>
            <w:noWrap/>
            <w:tcMar>
              <w:left w:w="20" w:type="dxa"/>
              <w:right w:w="20" w:type="dxa"/>
            </w:tcMar>
            <w:vAlign w:val="bottom"/>
          </w:tcPr>
          <w:p w14:paraId="2AE9A497" w14:textId="77777777" w:rsidR="00E64501" w:rsidRPr="0061343E" w:rsidRDefault="00E64501" w:rsidP="00E7466A">
            <w:pPr>
              <w:jc w:val="center"/>
              <w:rPr>
                <w:rFonts w:ascii="Arial Narrow" w:hAnsi="Arial Narrow" w:cstheme="minorHAnsi"/>
                <w:color w:val="000000"/>
                <w:sz w:val="20"/>
                <w:szCs w:val="20"/>
              </w:rPr>
            </w:pPr>
            <w:r w:rsidRPr="0061343E">
              <w:rPr>
                <w:rFonts w:ascii="Arial Narrow" w:hAnsi="Arial Narrow" w:cstheme="minorHAnsi"/>
                <w:color w:val="000000"/>
                <w:sz w:val="20"/>
                <w:szCs w:val="20"/>
              </w:rPr>
              <w:t>213</w:t>
            </w:r>
          </w:p>
        </w:tc>
        <w:tc>
          <w:tcPr>
            <w:tcW w:w="680" w:type="pct"/>
            <w:noWrap/>
            <w:tcMar>
              <w:left w:w="20" w:type="dxa"/>
              <w:right w:w="20" w:type="dxa"/>
            </w:tcMar>
            <w:vAlign w:val="bottom"/>
          </w:tcPr>
          <w:p w14:paraId="605C0600" w14:textId="77777777" w:rsidR="00E64501" w:rsidRPr="0061343E" w:rsidRDefault="00E64501" w:rsidP="00E7466A">
            <w:pPr>
              <w:jc w:val="center"/>
              <w:rPr>
                <w:rFonts w:ascii="Arial Narrow" w:hAnsi="Arial Narrow" w:cstheme="minorHAnsi"/>
                <w:b/>
                <w:color w:val="000000"/>
                <w:sz w:val="20"/>
                <w:szCs w:val="20"/>
              </w:rPr>
            </w:pPr>
            <w:r w:rsidRPr="0061343E">
              <w:rPr>
                <w:rFonts w:ascii="Arial Narrow" w:hAnsi="Arial Narrow" w:cstheme="minorHAnsi"/>
                <w:b/>
                <w:color w:val="000000"/>
                <w:sz w:val="20"/>
                <w:szCs w:val="20"/>
              </w:rPr>
              <w:t>36.7%</w:t>
            </w:r>
          </w:p>
        </w:tc>
      </w:tr>
      <w:tr w:rsidR="00F76773" w:rsidRPr="0061343E" w14:paraId="77E192A3" w14:textId="77777777" w:rsidTr="00167892">
        <w:trPr>
          <w:trHeight w:val="20"/>
        </w:trPr>
        <w:tc>
          <w:tcPr>
            <w:tcW w:w="598" w:type="pct"/>
            <w:noWrap/>
            <w:tcMar>
              <w:left w:w="20" w:type="dxa"/>
              <w:right w:w="20" w:type="dxa"/>
            </w:tcMar>
            <w:vAlign w:val="center"/>
          </w:tcPr>
          <w:p w14:paraId="6DDB8550" w14:textId="77777777" w:rsidR="00E64501" w:rsidRPr="0061343E" w:rsidRDefault="00E64501" w:rsidP="00E7466A">
            <w:pPr>
              <w:rPr>
                <w:rFonts w:ascii="Arial Narrow" w:hAnsi="Arial Narrow" w:cstheme="minorHAnsi"/>
                <w:color w:val="000000"/>
                <w:sz w:val="20"/>
                <w:szCs w:val="20"/>
              </w:rPr>
            </w:pPr>
            <w:r w:rsidRPr="0061343E">
              <w:rPr>
                <w:rFonts w:ascii="Arial Narrow" w:hAnsi="Arial Narrow" w:cstheme="minorHAnsi"/>
                <w:color w:val="000000"/>
                <w:sz w:val="20"/>
                <w:szCs w:val="20"/>
              </w:rPr>
              <w:t>ITT</w:t>
            </w:r>
          </w:p>
        </w:tc>
        <w:tc>
          <w:tcPr>
            <w:tcW w:w="665" w:type="pct"/>
            <w:noWrap/>
            <w:tcMar>
              <w:left w:w="20" w:type="dxa"/>
              <w:right w:w="20" w:type="dxa"/>
            </w:tcMar>
            <w:vAlign w:val="center"/>
          </w:tcPr>
          <w:p w14:paraId="19963D8F" w14:textId="77777777" w:rsidR="00E64501" w:rsidRPr="0061343E" w:rsidRDefault="00E64501" w:rsidP="00E7466A">
            <w:pPr>
              <w:rPr>
                <w:rFonts w:ascii="Arial Narrow" w:hAnsi="Arial Narrow" w:cstheme="minorHAnsi"/>
                <w:color w:val="000000"/>
                <w:sz w:val="20"/>
                <w:szCs w:val="20"/>
              </w:rPr>
            </w:pPr>
            <w:r w:rsidRPr="0061343E">
              <w:rPr>
                <w:rFonts w:ascii="Arial Narrow" w:hAnsi="Arial Narrow" w:cstheme="minorHAnsi"/>
                <w:color w:val="000000"/>
                <w:sz w:val="20"/>
                <w:szCs w:val="20"/>
              </w:rPr>
              <w:t>IGA 0/1</w:t>
            </w:r>
          </w:p>
        </w:tc>
        <w:tc>
          <w:tcPr>
            <w:tcW w:w="531" w:type="pct"/>
            <w:tcMar>
              <w:left w:w="20" w:type="dxa"/>
              <w:right w:w="20" w:type="dxa"/>
            </w:tcMar>
            <w:vAlign w:val="bottom"/>
          </w:tcPr>
          <w:p w14:paraId="33C45537" w14:textId="77777777" w:rsidR="00E64501" w:rsidRPr="0061343E" w:rsidRDefault="00E64501" w:rsidP="00E7466A">
            <w:pPr>
              <w:jc w:val="center"/>
              <w:rPr>
                <w:rFonts w:ascii="Arial Narrow" w:hAnsi="Arial Narrow" w:cstheme="minorHAnsi"/>
                <w:color w:val="000000"/>
                <w:sz w:val="20"/>
                <w:szCs w:val="20"/>
              </w:rPr>
            </w:pPr>
            <w:r w:rsidRPr="0061343E">
              <w:rPr>
                <w:rFonts w:ascii="Arial Narrow" w:hAnsi="Arial Narrow" w:cstheme="minorHAnsi"/>
                <w:color w:val="000000"/>
                <w:sz w:val="20"/>
                <w:szCs w:val="20"/>
              </w:rPr>
              <w:t>937</w:t>
            </w:r>
          </w:p>
        </w:tc>
        <w:tc>
          <w:tcPr>
            <w:tcW w:w="598" w:type="pct"/>
            <w:noWrap/>
            <w:tcMar>
              <w:left w:w="20" w:type="dxa"/>
              <w:right w:w="20" w:type="dxa"/>
            </w:tcMar>
            <w:vAlign w:val="bottom"/>
          </w:tcPr>
          <w:p w14:paraId="0E05F6A6" w14:textId="77777777" w:rsidR="00E64501" w:rsidRPr="0061343E" w:rsidRDefault="00E64501" w:rsidP="00E7466A">
            <w:pPr>
              <w:jc w:val="center"/>
              <w:rPr>
                <w:rFonts w:ascii="Arial Narrow" w:hAnsi="Arial Narrow" w:cstheme="minorHAnsi"/>
                <w:color w:val="000000"/>
                <w:sz w:val="20"/>
                <w:szCs w:val="20"/>
              </w:rPr>
            </w:pPr>
            <w:r w:rsidRPr="0061343E">
              <w:rPr>
                <w:rFonts w:ascii="Arial Narrow" w:hAnsi="Arial Narrow" w:cstheme="minorHAnsi"/>
                <w:color w:val="000000"/>
                <w:sz w:val="20"/>
                <w:szCs w:val="20"/>
              </w:rPr>
              <w:t>273</w:t>
            </w:r>
          </w:p>
        </w:tc>
        <w:tc>
          <w:tcPr>
            <w:tcW w:w="600" w:type="pct"/>
            <w:tcMar>
              <w:left w:w="20" w:type="dxa"/>
              <w:right w:w="20" w:type="dxa"/>
            </w:tcMar>
            <w:vAlign w:val="bottom"/>
          </w:tcPr>
          <w:p w14:paraId="15D405B7" w14:textId="77777777" w:rsidR="00E64501" w:rsidRPr="0061343E" w:rsidRDefault="00E64501" w:rsidP="00E7466A">
            <w:pPr>
              <w:jc w:val="center"/>
              <w:rPr>
                <w:rFonts w:ascii="Arial Narrow" w:hAnsi="Arial Narrow" w:cstheme="minorHAnsi"/>
                <w:color w:val="000000"/>
                <w:sz w:val="20"/>
                <w:szCs w:val="20"/>
              </w:rPr>
            </w:pPr>
            <w:r w:rsidRPr="0061343E">
              <w:rPr>
                <w:rFonts w:ascii="Arial Narrow" w:hAnsi="Arial Narrow" w:cstheme="minorHAnsi"/>
                <w:color w:val="000000"/>
                <w:sz w:val="20"/>
                <w:szCs w:val="20"/>
              </w:rPr>
              <w:t>664</w:t>
            </w:r>
          </w:p>
        </w:tc>
        <w:tc>
          <w:tcPr>
            <w:tcW w:w="598" w:type="pct"/>
            <w:noWrap/>
            <w:tcMar>
              <w:left w:w="20" w:type="dxa"/>
              <w:right w:w="20" w:type="dxa"/>
            </w:tcMar>
            <w:vAlign w:val="bottom"/>
          </w:tcPr>
          <w:p w14:paraId="01EBF4EE" w14:textId="77777777" w:rsidR="00E64501" w:rsidRPr="0061343E" w:rsidRDefault="00E64501" w:rsidP="00E7466A">
            <w:pPr>
              <w:jc w:val="center"/>
              <w:rPr>
                <w:rFonts w:ascii="Arial Narrow" w:hAnsi="Arial Narrow" w:cstheme="minorHAnsi"/>
                <w:color w:val="000000"/>
                <w:sz w:val="20"/>
                <w:szCs w:val="20"/>
              </w:rPr>
            </w:pPr>
            <w:r w:rsidRPr="0061343E">
              <w:rPr>
                <w:rFonts w:ascii="Arial Narrow" w:hAnsi="Arial Narrow" w:cstheme="minorHAnsi"/>
                <w:color w:val="000000"/>
                <w:sz w:val="20"/>
                <w:szCs w:val="20"/>
              </w:rPr>
              <w:t>374</w:t>
            </w:r>
          </w:p>
        </w:tc>
        <w:tc>
          <w:tcPr>
            <w:tcW w:w="730" w:type="pct"/>
            <w:noWrap/>
            <w:tcMar>
              <w:left w:w="20" w:type="dxa"/>
              <w:right w:w="20" w:type="dxa"/>
            </w:tcMar>
            <w:vAlign w:val="bottom"/>
          </w:tcPr>
          <w:p w14:paraId="542011D2" w14:textId="77777777" w:rsidR="00E64501" w:rsidRPr="0061343E" w:rsidRDefault="00E64501" w:rsidP="00E7466A">
            <w:pPr>
              <w:jc w:val="center"/>
              <w:rPr>
                <w:rFonts w:ascii="Arial Narrow" w:hAnsi="Arial Narrow" w:cstheme="minorHAnsi"/>
                <w:color w:val="000000"/>
                <w:sz w:val="20"/>
                <w:szCs w:val="20"/>
              </w:rPr>
            </w:pPr>
            <w:r w:rsidRPr="0061343E">
              <w:rPr>
                <w:rFonts w:ascii="Arial Narrow" w:hAnsi="Arial Narrow" w:cstheme="minorHAnsi"/>
                <w:color w:val="000000"/>
                <w:sz w:val="20"/>
                <w:szCs w:val="20"/>
              </w:rPr>
              <w:t>101</w:t>
            </w:r>
          </w:p>
        </w:tc>
        <w:tc>
          <w:tcPr>
            <w:tcW w:w="680" w:type="pct"/>
            <w:noWrap/>
            <w:tcMar>
              <w:left w:w="20" w:type="dxa"/>
              <w:right w:w="20" w:type="dxa"/>
            </w:tcMar>
            <w:vAlign w:val="bottom"/>
          </w:tcPr>
          <w:p w14:paraId="6D588A71" w14:textId="77777777" w:rsidR="00E64501" w:rsidRPr="0061343E" w:rsidRDefault="00E64501" w:rsidP="00E7466A">
            <w:pPr>
              <w:jc w:val="center"/>
              <w:rPr>
                <w:rFonts w:ascii="Arial Narrow" w:hAnsi="Arial Narrow" w:cstheme="minorHAnsi"/>
                <w:b/>
                <w:color w:val="000000"/>
                <w:sz w:val="20"/>
                <w:szCs w:val="20"/>
              </w:rPr>
            </w:pPr>
            <w:r w:rsidRPr="0061343E">
              <w:rPr>
                <w:rFonts w:ascii="Arial Narrow" w:hAnsi="Arial Narrow" w:cstheme="minorHAnsi"/>
                <w:b/>
                <w:color w:val="000000"/>
                <w:sz w:val="20"/>
                <w:szCs w:val="20"/>
              </w:rPr>
              <w:t>15.2%</w:t>
            </w:r>
          </w:p>
        </w:tc>
      </w:tr>
      <w:tr w:rsidR="00F76773" w:rsidRPr="0061343E" w14:paraId="3E725838" w14:textId="77777777" w:rsidTr="00167892">
        <w:trPr>
          <w:trHeight w:val="20"/>
        </w:trPr>
        <w:tc>
          <w:tcPr>
            <w:tcW w:w="598" w:type="pct"/>
            <w:noWrap/>
            <w:tcMar>
              <w:left w:w="20" w:type="dxa"/>
              <w:right w:w="20" w:type="dxa"/>
            </w:tcMar>
            <w:vAlign w:val="center"/>
          </w:tcPr>
          <w:p w14:paraId="13C5A893" w14:textId="77777777" w:rsidR="00E64501" w:rsidRPr="0061343E" w:rsidRDefault="00E64501" w:rsidP="00E7466A">
            <w:pPr>
              <w:rPr>
                <w:rFonts w:ascii="Arial Narrow" w:hAnsi="Arial Narrow" w:cstheme="minorHAnsi"/>
                <w:color w:val="000000"/>
                <w:sz w:val="20"/>
                <w:szCs w:val="20"/>
              </w:rPr>
            </w:pPr>
            <w:r w:rsidRPr="0061343E">
              <w:rPr>
                <w:rFonts w:ascii="Arial Narrow" w:hAnsi="Arial Narrow" w:cstheme="minorHAnsi"/>
                <w:color w:val="000000"/>
                <w:sz w:val="20"/>
                <w:szCs w:val="20"/>
              </w:rPr>
              <w:t xml:space="preserve">PBS </w:t>
            </w:r>
          </w:p>
        </w:tc>
        <w:tc>
          <w:tcPr>
            <w:tcW w:w="665" w:type="pct"/>
            <w:noWrap/>
            <w:tcMar>
              <w:left w:w="20" w:type="dxa"/>
              <w:right w:w="20" w:type="dxa"/>
            </w:tcMar>
            <w:vAlign w:val="center"/>
          </w:tcPr>
          <w:p w14:paraId="20E0CA60" w14:textId="77777777" w:rsidR="00E64501" w:rsidRPr="0061343E" w:rsidRDefault="00E64501" w:rsidP="00E7466A">
            <w:pPr>
              <w:rPr>
                <w:rFonts w:ascii="Arial Narrow" w:hAnsi="Arial Narrow" w:cstheme="minorHAnsi"/>
                <w:color w:val="000000"/>
                <w:sz w:val="20"/>
                <w:szCs w:val="20"/>
              </w:rPr>
            </w:pPr>
            <w:r w:rsidRPr="0061343E">
              <w:rPr>
                <w:rFonts w:ascii="Arial Narrow" w:hAnsi="Arial Narrow" w:cstheme="minorHAnsi"/>
                <w:color w:val="000000"/>
                <w:sz w:val="20"/>
                <w:szCs w:val="20"/>
              </w:rPr>
              <w:t>EASI-50</w:t>
            </w:r>
          </w:p>
        </w:tc>
        <w:tc>
          <w:tcPr>
            <w:tcW w:w="531" w:type="pct"/>
            <w:tcMar>
              <w:left w:w="20" w:type="dxa"/>
              <w:right w:w="20" w:type="dxa"/>
            </w:tcMar>
            <w:vAlign w:val="bottom"/>
          </w:tcPr>
          <w:p w14:paraId="6AC0767A" w14:textId="77777777" w:rsidR="00E64501" w:rsidRPr="0061343E" w:rsidRDefault="00E64501" w:rsidP="00E7466A">
            <w:pPr>
              <w:jc w:val="center"/>
              <w:rPr>
                <w:rFonts w:ascii="Arial Narrow" w:hAnsi="Arial Narrow" w:cstheme="minorHAnsi"/>
                <w:color w:val="000000"/>
                <w:sz w:val="20"/>
                <w:szCs w:val="20"/>
              </w:rPr>
            </w:pPr>
            <w:r w:rsidRPr="0061343E">
              <w:rPr>
                <w:rFonts w:ascii="Arial Narrow" w:hAnsi="Arial Narrow" w:cstheme="minorHAnsi"/>
                <w:color w:val="000000"/>
                <w:sz w:val="20"/>
                <w:szCs w:val="20"/>
              </w:rPr>
              <w:t>172</w:t>
            </w:r>
          </w:p>
        </w:tc>
        <w:tc>
          <w:tcPr>
            <w:tcW w:w="598" w:type="pct"/>
            <w:noWrap/>
            <w:tcMar>
              <w:left w:w="20" w:type="dxa"/>
              <w:right w:w="20" w:type="dxa"/>
            </w:tcMar>
            <w:vAlign w:val="bottom"/>
          </w:tcPr>
          <w:p w14:paraId="748E0999" w14:textId="77777777" w:rsidR="00E64501" w:rsidRPr="0061343E" w:rsidRDefault="00E64501" w:rsidP="00E7466A">
            <w:pPr>
              <w:jc w:val="center"/>
              <w:rPr>
                <w:rFonts w:ascii="Arial Narrow" w:hAnsi="Arial Narrow" w:cstheme="minorHAnsi"/>
                <w:color w:val="000000"/>
                <w:sz w:val="20"/>
                <w:szCs w:val="20"/>
              </w:rPr>
            </w:pPr>
            <w:r w:rsidRPr="0061343E">
              <w:rPr>
                <w:rFonts w:ascii="Arial Narrow" w:hAnsi="Arial Narrow" w:cstheme="minorHAnsi"/>
                <w:color w:val="000000"/>
                <w:sz w:val="20"/>
                <w:szCs w:val="20"/>
              </w:rPr>
              <w:t>59</w:t>
            </w:r>
          </w:p>
        </w:tc>
        <w:tc>
          <w:tcPr>
            <w:tcW w:w="600" w:type="pct"/>
            <w:tcMar>
              <w:left w:w="20" w:type="dxa"/>
              <w:right w:w="20" w:type="dxa"/>
            </w:tcMar>
            <w:vAlign w:val="bottom"/>
          </w:tcPr>
          <w:p w14:paraId="08132646" w14:textId="77777777" w:rsidR="00E64501" w:rsidRPr="0061343E" w:rsidRDefault="00E64501" w:rsidP="00E7466A">
            <w:pPr>
              <w:jc w:val="center"/>
              <w:rPr>
                <w:rFonts w:ascii="Arial Narrow" w:hAnsi="Arial Narrow" w:cstheme="minorHAnsi"/>
                <w:color w:val="000000"/>
                <w:sz w:val="20"/>
                <w:szCs w:val="20"/>
              </w:rPr>
            </w:pPr>
            <w:r w:rsidRPr="0061343E">
              <w:rPr>
                <w:rFonts w:ascii="Arial Narrow" w:hAnsi="Arial Narrow" w:cstheme="minorHAnsi"/>
                <w:color w:val="000000"/>
                <w:sz w:val="20"/>
                <w:szCs w:val="20"/>
              </w:rPr>
              <w:t>113</w:t>
            </w:r>
          </w:p>
        </w:tc>
        <w:tc>
          <w:tcPr>
            <w:tcW w:w="598" w:type="pct"/>
            <w:noWrap/>
            <w:tcMar>
              <w:left w:w="20" w:type="dxa"/>
              <w:right w:w="20" w:type="dxa"/>
            </w:tcMar>
            <w:vAlign w:val="bottom"/>
          </w:tcPr>
          <w:p w14:paraId="61B01049" w14:textId="77777777" w:rsidR="00E64501" w:rsidRPr="0061343E" w:rsidRDefault="00E64501" w:rsidP="00E7466A">
            <w:pPr>
              <w:jc w:val="center"/>
              <w:rPr>
                <w:rFonts w:ascii="Arial Narrow" w:hAnsi="Arial Narrow" w:cstheme="minorHAnsi"/>
                <w:color w:val="000000"/>
                <w:sz w:val="20"/>
                <w:szCs w:val="20"/>
              </w:rPr>
            </w:pPr>
            <w:r w:rsidRPr="0061343E">
              <w:rPr>
                <w:rFonts w:ascii="Arial Narrow" w:hAnsi="Arial Narrow" w:cstheme="minorHAnsi"/>
                <w:color w:val="000000"/>
                <w:sz w:val="20"/>
                <w:szCs w:val="20"/>
              </w:rPr>
              <w:t>114</w:t>
            </w:r>
          </w:p>
        </w:tc>
        <w:tc>
          <w:tcPr>
            <w:tcW w:w="730" w:type="pct"/>
            <w:noWrap/>
            <w:tcMar>
              <w:left w:w="20" w:type="dxa"/>
              <w:right w:w="20" w:type="dxa"/>
            </w:tcMar>
            <w:vAlign w:val="bottom"/>
          </w:tcPr>
          <w:p w14:paraId="3A6DBDF3" w14:textId="77777777" w:rsidR="00E64501" w:rsidRPr="0061343E" w:rsidRDefault="00E64501" w:rsidP="00E7466A">
            <w:pPr>
              <w:jc w:val="center"/>
              <w:rPr>
                <w:rFonts w:ascii="Arial Narrow" w:hAnsi="Arial Narrow" w:cstheme="minorHAnsi"/>
                <w:color w:val="000000"/>
                <w:sz w:val="20"/>
                <w:szCs w:val="20"/>
              </w:rPr>
            </w:pPr>
            <w:r w:rsidRPr="0061343E">
              <w:rPr>
                <w:rFonts w:ascii="Arial Narrow" w:hAnsi="Arial Narrow" w:cstheme="minorHAnsi"/>
                <w:color w:val="000000"/>
                <w:sz w:val="20"/>
                <w:szCs w:val="20"/>
              </w:rPr>
              <w:t>55</w:t>
            </w:r>
          </w:p>
        </w:tc>
        <w:tc>
          <w:tcPr>
            <w:tcW w:w="680" w:type="pct"/>
            <w:noWrap/>
            <w:tcMar>
              <w:left w:w="20" w:type="dxa"/>
              <w:right w:w="20" w:type="dxa"/>
            </w:tcMar>
            <w:vAlign w:val="bottom"/>
          </w:tcPr>
          <w:p w14:paraId="1F1CEFAB" w14:textId="77777777" w:rsidR="00E64501" w:rsidRPr="0061343E" w:rsidRDefault="00E64501" w:rsidP="00E7466A">
            <w:pPr>
              <w:jc w:val="center"/>
              <w:rPr>
                <w:rFonts w:ascii="Arial Narrow" w:hAnsi="Arial Narrow" w:cstheme="minorHAnsi"/>
                <w:b/>
                <w:color w:val="000000"/>
                <w:sz w:val="20"/>
                <w:szCs w:val="20"/>
              </w:rPr>
            </w:pPr>
            <w:r w:rsidRPr="0061343E">
              <w:rPr>
                <w:rFonts w:ascii="Arial Narrow" w:hAnsi="Arial Narrow" w:cstheme="minorHAnsi"/>
                <w:b/>
                <w:color w:val="000000"/>
                <w:sz w:val="20"/>
                <w:szCs w:val="20"/>
              </w:rPr>
              <w:t>48.7%</w:t>
            </w:r>
          </w:p>
        </w:tc>
      </w:tr>
      <w:tr w:rsidR="00F76773" w:rsidRPr="0061343E" w14:paraId="0BE6F5DC" w14:textId="77777777" w:rsidTr="00167892">
        <w:trPr>
          <w:trHeight w:val="20"/>
        </w:trPr>
        <w:tc>
          <w:tcPr>
            <w:tcW w:w="598" w:type="pct"/>
            <w:noWrap/>
            <w:tcMar>
              <w:left w:w="20" w:type="dxa"/>
              <w:right w:w="20" w:type="dxa"/>
            </w:tcMar>
            <w:vAlign w:val="center"/>
          </w:tcPr>
          <w:p w14:paraId="4355EFB6" w14:textId="77777777" w:rsidR="00E64501" w:rsidRPr="0061343E" w:rsidRDefault="00E64501" w:rsidP="00E7466A">
            <w:pPr>
              <w:rPr>
                <w:rFonts w:ascii="Arial Narrow" w:hAnsi="Arial Narrow" w:cstheme="minorHAnsi"/>
                <w:color w:val="000000"/>
                <w:sz w:val="20"/>
                <w:szCs w:val="20"/>
              </w:rPr>
            </w:pPr>
            <w:r w:rsidRPr="0061343E">
              <w:rPr>
                <w:rFonts w:ascii="Arial Narrow" w:hAnsi="Arial Narrow" w:cstheme="minorHAnsi"/>
                <w:color w:val="000000"/>
                <w:sz w:val="20"/>
                <w:szCs w:val="20"/>
              </w:rPr>
              <w:t xml:space="preserve">PBS </w:t>
            </w:r>
          </w:p>
        </w:tc>
        <w:tc>
          <w:tcPr>
            <w:tcW w:w="665" w:type="pct"/>
            <w:noWrap/>
            <w:tcMar>
              <w:left w:w="20" w:type="dxa"/>
              <w:right w:w="20" w:type="dxa"/>
            </w:tcMar>
            <w:vAlign w:val="center"/>
          </w:tcPr>
          <w:p w14:paraId="52D9F414" w14:textId="2D167340" w:rsidR="00E64501" w:rsidRPr="0061343E" w:rsidRDefault="00E64501" w:rsidP="00E7466A">
            <w:pPr>
              <w:rPr>
                <w:rFonts w:ascii="Arial Narrow" w:hAnsi="Arial Narrow" w:cstheme="minorHAnsi"/>
                <w:color w:val="000000"/>
                <w:sz w:val="20"/>
                <w:szCs w:val="20"/>
              </w:rPr>
            </w:pPr>
            <w:r w:rsidRPr="0061343E">
              <w:rPr>
                <w:rFonts w:ascii="Arial Narrow" w:hAnsi="Arial Narrow" w:cstheme="minorHAnsi"/>
                <w:color w:val="000000"/>
                <w:sz w:val="20"/>
                <w:szCs w:val="20"/>
              </w:rPr>
              <w:t>DLQI</w:t>
            </w:r>
            <w:r w:rsidR="003D779B" w:rsidRPr="0061343E">
              <w:rPr>
                <w:rFonts w:ascii="Arial Narrow" w:hAnsi="Arial Narrow" w:cstheme="minorHAnsi"/>
                <w:color w:val="000000"/>
                <w:sz w:val="20"/>
                <w:szCs w:val="20"/>
              </w:rPr>
              <w:t xml:space="preserve"> </w:t>
            </w:r>
            <w:r w:rsidRPr="0061343E">
              <w:rPr>
                <w:rFonts w:ascii="Arial Narrow" w:hAnsi="Arial Narrow" w:cstheme="minorHAnsi"/>
                <w:color w:val="000000"/>
                <w:sz w:val="20"/>
                <w:szCs w:val="20"/>
              </w:rPr>
              <w:t>≥</w:t>
            </w:r>
            <w:r w:rsidR="003D779B" w:rsidRPr="0061343E">
              <w:rPr>
                <w:rFonts w:ascii="Arial Narrow" w:hAnsi="Arial Narrow" w:cstheme="minorHAnsi"/>
                <w:color w:val="000000"/>
                <w:sz w:val="20"/>
                <w:szCs w:val="20"/>
              </w:rPr>
              <w:t xml:space="preserve"> </w:t>
            </w:r>
            <w:r w:rsidRPr="0061343E">
              <w:rPr>
                <w:rFonts w:ascii="Arial Narrow" w:hAnsi="Arial Narrow" w:cstheme="minorHAnsi"/>
                <w:color w:val="000000"/>
                <w:sz w:val="20"/>
                <w:szCs w:val="20"/>
              </w:rPr>
              <w:t>4 point</w:t>
            </w:r>
          </w:p>
        </w:tc>
        <w:tc>
          <w:tcPr>
            <w:tcW w:w="531" w:type="pct"/>
            <w:tcMar>
              <w:left w:w="20" w:type="dxa"/>
              <w:right w:w="20" w:type="dxa"/>
            </w:tcMar>
            <w:vAlign w:val="bottom"/>
          </w:tcPr>
          <w:p w14:paraId="0E7590BD" w14:textId="77777777" w:rsidR="00E64501" w:rsidRPr="0061343E" w:rsidRDefault="00E64501" w:rsidP="00E7466A">
            <w:pPr>
              <w:jc w:val="center"/>
              <w:rPr>
                <w:rFonts w:ascii="Arial Narrow" w:hAnsi="Arial Narrow" w:cstheme="minorHAnsi"/>
                <w:color w:val="000000"/>
                <w:sz w:val="20"/>
                <w:szCs w:val="20"/>
              </w:rPr>
            </w:pPr>
            <w:r w:rsidRPr="0061343E">
              <w:rPr>
                <w:rFonts w:ascii="Arial Narrow" w:hAnsi="Arial Narrow" w:cstheme="minorHAnsi"/>
                <w:color w:val="000000"/>
                <w:sz w:val="20"/>
                <w:szCs w:val="20"/>
              </w:rPr>
              <w:t>172</w:t>
            </w:r>
          </w:p>
        </w:tc>
        <w:tc>
          <w:tcPr>
            <w:tcW w:w="598" w:type="pct"/>
            <w:noWrap/>
            <w:tcMar>
              <w:left w:w="20" w:type="dxa"/>
              <w:right w:w="20" w:type="dxa"/>
            </w:tcMar>
            <w:vAlign w:val="bottom"/>
          </w:tcPr>
          <w:p w14:paraId="4F3E6499" w14:textId="77777777" w:rsidR="00E64501" w:rsidRPr="0061343E" w:rsidRDefault="00E64501" w:rsidP="00E7466A">
            <w:pPr>
              <w:jc w:val="center"/>
              <w:rPr>
                <w:rFonts w:ascii="Arial Narrow" w:hAnsi="Arial Narrow" w:cstheme="minorHAnsi"/>
                <w:color w:val="000000"/>
                <w:sz w:val="20"/>
                <w:szCs w:val="20"/>
              </w:rPr>
            </w:pPr>
            <w:r w:rsidRPr="0061343E">
              <w:rPr>
                <w:rFonts w:ascii="Arial Narrow" w:hAnsi="Arial Narrow" w:cstheme="minorHAnsi"/>
                <w:color w:val="000000"/>
                <w:sz w:val="20"/>
                <w:szCs w:val="20"/>
              </w:rPr>
              <w:t>105</w:t>
            </w:r>
          </w:p>
        </w:tc>
        <w:tc>
          <w:tcPr>
            <w:tcW w:w="600" w:type="pct"/>
            <w:tcMar>
              <w:left w:w="20" w:type="dxa"/>
              <w:right w:w="20" w:type="dxa"/>
            </w:tcMar>
            <w:vAlign w:val="bottom"/>
          </w:tcPr>
          <w:p w14:paraId="27A6156E" w14:textId="77777777" w:rsidR="00E64501" w:rsidRPr="0061343E" w:rsidRDefault="00E64501" w:rsidP="00E7466A">
            <w:pPr>
              <w:jc w:val="center"/>
              <w:rPr>
                <w:rFonts w:ascii="Arial Narrow" w:hAnsi="Arial Narrow" w:cstheme="minorHAnsi"/>
                <w:color w:val="000000"/>
                <w:sz w:val="20"/>
                <w:szCs w:val="20"/>
              </w:rPr>
            </w:pPr>
            <w:r w:rsidRPr="0061343E">
              <w:rPr>
                <w:rFonts w:ascii="Arial Narrow" w:hAnsi="Arial Narrow" w:cstheme="minorHAnsi"/>
                <w:color w:val="000000"/>
                <w:sz w:val="20"/>
                <w:szCs w:val="20"/>
              </w:rPr>
              <w:t>67</w:t>
            </w:r>
          </w:p>
        </w:tc>
        <w:tc>
          <w:tcPr>
            <w:tcW w:w="598" w:type="pct"/>
            <w:noWrap/>
            <w:tcMar>
              <w:left w:w="20" w:type="dxa"/>
              <w:right w:w="20" w:type="dxa"/>
            </w:tcMar>
            <w:vAlign w:val="bottom"/>
          </w:tcPr>
          <w:p w14:paraId="2990DA41" w14:textId="77777777" w:rsidR="00E64501" w:rsidRPr="0061343E" w:rsidRDefault="00E64501" w:rsidP="00E7466A">
            <w:pPr>
              <w:jc w:val="center"/>
              <w:rPr>
                <w:rFonts w:ascii="Arial Narrow" w:hAnsi="Arial Narrow" w:cstheme="minorHAnsi"/>
                <w:color w:val="000000"/>
                <w:sz w:val="20"/>
                <w:szCs w:val="20"/>
              </w:rPr>
            </w:pPr>
            <w:r w:rsidRPr="0061343E">
              <w:rPr>
                <w:rFonts w:ascii="Arial Narrow" w:hAnsi="Arial Narrow" w:cstheme="minorHAnsi"/>
                <w:color w:val="000000"/>
                <w:sz w:val="20"/>
                <w:szCs w:val="20"/>
              </w:rPr>
              <w:t>114</w:t>
            </w:r>
          </w:p>
        </w:tc>
        <w:tc>
          <w:tcPr>
            <w:tcW w:w="730" w:type="pct"/>
            <w:noWrap/>
            <w:tcMar>
              <w:left w:w="20" w:type="dxa"/>
              <w:right w:w="20" w:type="dxa"/>
            </w:tcMar>
            <w:vAlign w:val="bottom"/>
          </w:tcPr>
          <w:p w14:paraId="3511B96B" w14:textId="77777777" w:rsidR="00E64501" w:rsidRPr="0061343E" w:rsidRDefault="00E64501" w:rsidP="00E7466A">
            <w:pPr>
              <w:jc w:val="center"/>
              <w:rPr>
                <w:rFonts w:ascii="Arial Narrow" w:hAnsi="Arial Narrow" w:cstheme="minorHAnsi"/>
                <w:color w:val="000000"/>
                <w:sz w:val="20"/>
                <w:szCs w:val="20"/>
              </w:rPr>
            </w:pPr>
            <w:r w:rsidRPr="0061343E">
              <w:rPr>
                <w:rFonts w:ascii="Arial Narrow" w:hAnsi="Arial Narrow" w:cstheme="minorHAnsi"/>
                <w:color w:val="000000"/>
                <w:sz w:val="20"/>
                <w:szCs w:val="20"/>
              </w:rPr>
              <w:t>9</w:t>
            </w:r>
          </w:p>
        </w:tc>
        <w:tc>
          <w:tcPr>
            <w:tcW w:w="680" w:type="pct"/>
            <w:noWrap/>
            <w:tcMar>
              <w:left w:w="20" w:type="dxa"/>
              <w:right w:w="20" w:type="dxa"/>
            </w:tcMar>
            <w:vAlign w:val="bottom"/>
          </w:tcPr>
          <w:p w14:paraId="0403147E" w14:textId="77777777" w:rsidR="00E64501" w:rsidRPr="0061343E" w:rsidRDefault="00E64501" w:rsidP="00E7466A">
            <w:pPr>
              <w:jc w:val="center"/>
              <w:rPr>
                <w:rFonts w:ascii="Arial Narrow" w:hAnsi="Arial Narrow" w:cstheme="minorHAnsi"/>
                <w:b/>
                <w:color w:val="000000"/>
                <w:sz w:val="20"/>
                <w:szCs w:val="20"/>
              </w:rPr>
            </w:pPr>
            <w:r w:rsidRPr="0061343E">
              <w:rPr>
                <w:rFonts w:ascii="Arial Narrow" w:hAnsi="Arial Narrow" w:cstheme="minorHAnsi"/>
                <w:b/>
                <w:color w:val="000000"/>
                <w:sz w:val="20"/>
                <w:szCs w:val="20"/>
              </w:rPr>
              <w:t>13.4%</w:t>
            </w:r>
          </w:p>
        </w:tc>
      </w:tr>
      <w:tr w:rsidR="00F76773" w:rsidRPr="0061343E" w14:paraId="59EB6D2A" w14:textId="77777777" w:rsidTr="00167892">
        <w:trPr>
          <w:trHeight w:val="20"/>
        </w:trPr>
        <w:tc>
          <w:tcPr>
            <w:tcW w:w="598" w:type="pct"/>
            <w:noWrap/>
            <w:tcMar>
              <w:left w:w="20" w:type="dxa"/>
              <w:right w:w="20" w:type="dxa"/>
            </w:tcMar>
            <w:vAlign w:val="center"/>
          </w:tcPr>
          <w:p w14:paraId="7DB9BF78" w14:textId="77777777" w:rsidR="00E64501" w:rsidRPr="0061343E" w:rsidRDefault="00E64501" w:rsidP="00E7466A">
            <w:pPr>
              <w:rPr>
                <w:rFonts w:ascii="Arial Narrow" w:hAnsi="Arial Narrow" w:cstheme="minorHAnsi"/>
                <w:color w:val="000000"/>
                <w:sz w:val="20"/>
                <w:szCs w:val="20"/>
              </w:rPr>
            </w:pPr>
            <w:r w:rsidRPr="0061343E">
              <w:rPr>
                <w:rFonts w:ascii="Arial Narrow" w:hAnsi="Arial Narrow" w:cstheme="minorHAnsi"/>
                <w:color w:val="000000"/>
                <w:sz w:val="20"/>
                <w:szCs w:val="20"/>
              </w:rPr>
              <w:t xml:space="preserve">PBS </w:t>
            </w:r>
          </w:p>
        </w:tc>
        <w:tc>
          <w:tcPr>
            <w:tcW w:w="665" w:type="pct"/>
            <w:noWrap/>
            <w:tcMar>
              <w:left w:w="20" w:type="dxa"/>
              <w:right w:w="20" w:type="dxa"/>
            </w:tcMar>
            <w:vAlign w:val="center"/>
          </w:tcPr>
          <w:p w14:paraId="59F3696F" w14:textId="77777777" w:rsidR="00E64501" w:rsidRPr="0061343E" w:rsidRDefault="00E64501" w:rsidP="00E7466A">
            <w:pPr>
              <w:rPr>
                <w:rFonts w:ascii="Arial Narrow" w:hAnsi="Arial Narrow" w:cstheme="minorHAnsi"/>
                <w:color w:val="000000"/>
                <w:sz w:val="20"/>
                <w:szCs w:val="20"/>
              </w:rPr>
            </w:pPr>
            <w:r w:rsidRPr="0061343E">
              <w:rPr>
                <w:rFonts w:ascii="Arial Narrow" w:hAnsi="Arial Narrow" w:cstheme="minorHAnsi"/>
                <w:color w:val="000000"/>
                <w:sz w:val="20"/>
                <w:szCs w:val="20"/>
              </w:rPr>
              <w:t>Composite</w:t>
            </w:r>
          </w:p>
        </w:tc>
        <w:tc>
          <w:tcPr>
            <w:tcW w:w="531" w:type="pct"/>
            <w:tcMar>
              <w:left w:w="20" w:type="dxa"/>
              <w:right w:w="20" w:type="dxa"/>
            </w:tcMar>
            <w:vAlign w:val="bottom"/>
          </w:tcPr>
          <w:p w14:paraId="6A20B77D" w14:textId="77777777" w:rsidR="00E64501" w:rsidRPr="0061343E" w:rsidRDefault="00E64501" w:rsidP="00E7466A">
            <w:pPr>
              <w:jc w:val="center"/>
              <w:rPr>
                <w:rFonts w:ascii="Arial Narrow" w:hAnsi="Arial Narrow" w:cstheme="minorHAnsi"/>
                <w:color w:val="000000"/>
                <w:sz w:val="20"/>
                <w:szCs w:val="20"/>
              </w:rPr>
            </w:pPr>
            <w:r w:rsidRPr="0061343E">
              <w:rPr>
                <w:rFonts w:ascii="Arial Narrow" w:hAnsi="Arial Narrow" w:cstheme="minorHAnsi"/>
                <w:color w:val="000000"/>
                <w:sz w:val="20"/>
                <w:szCs w:val="20"/>
              </w:rPr>
              <w:t>172</w:t>
            </w:r>
          </w:p>
        </w:tc>
        <w:tc>
          <w:tcPr>
            <w:tcW w:w="598" w:type="pct"/>
            <w:noWrap/>
            <w:tcMar>
              <w:left w:w="20" w:type="dxa"/>
              <w:right w:w="20" w:type="dxa"/>
            </w:tcMar>
            <w:vAlign w:val="bottom"/>
          </w:tcPr>
          <w:p w14:paraId="042C3365" w14:textId="77777777" w:rsidR="00E64501" w:rsidRPr="0061343E" w:rsidRDefault="00E64501" w:rsidP="00E7466A">
            <w:pPr>
              <w:jc w:val="center"/>
              <w:rPr>
                <w:rFonts w:ascii="Arial Narrow" w:hAnsi="Arial Narrow" w:cstheme="minorHAnsi"/>
                <w:color w:val="000000"/>
                <w:sz w:val="20"/>
                <w:szCs w:val="20"/>
              </w:rPr>
            </w:pPr>
            <w:r w:rsidRPr="0061343E">
              <w:rPr>
                <w:rFonts w:ascii="Arial Narrow" w:hAnsi="Arial Narrow" w:cstheme="minorHAnsi"/>
                <w:color w:val="000000"/>
                <w:sz w:val="20"/>
                <w:szCs w:val="20"/>
              </w:rPr>
              <w:t>45</w:t>
            </w:r>
          </w:p>
        </w:tc>
        <w:tc>
          <w:tcPr>
            <w:tcW w:w="600" w:type="pct"/>
            <w:tcMar>
              <w:left w:w="20" w:type="dxa"/>
              <w:right w:w="20" w:type="dxa"/>
            </w:tcMar>
            <w:vAlign w:val="bottom"/>
          </w:tcPr>
          <w:p w14:paraId="2EBC5C45" w14:textId="77777777" w:rsidR="00E64501" w:rsidRPr="0061343E" w:rsidRDefault="00E64501" w:rsidP="00E7466A">
            <w:pPr>
              <w:jc w:val="center"/>
              <w:rPr>
                <w:rFonts w:ascii="Arial Narrow" w:hAnsi="Arial Narrow" w:cstheme="minorHAnsi"/>
                <w:color w:val="000000"/>
                <w:sz w:val="20"/>
                <w:szCs w:val="20"/>
              </w:rPr>
            </w:pPr>
            <w:r w:rsidRPr="0061343E">
              <w:rPr>
                <w:rFonts w:ascii="Arial Narrow" w:hAnsi="Arial Narrow" w:cstheme="minorHAnsi"/>
                <w:color w:val="000000"/>
                <w:sz w:val="20"/>
                <w:szCs w:val="20"/>
              </w:rPr>
              <w:t>127</w:t>
            </w:r>
          </w:p>
        </w:tc>
        <w:tc>
          <w:tcPr>
            <w:tcW w:w="598" w:type="pct"/>
            <w:noWrap/>
            <w:tcMar>
              <w:left w:w="20" w:type="dxa"/>
              <w:right w:w="20" w:type="dxa"/>
            </w:tcMar>
            <w:vAlign w:val="bottom"/>
          </w:tcPr>
          <w:p w14:paraId="0B2C8DD9" w14:textId="77777777" w:rsidR="00E64501" w:rsidRPr="0061343E" w:rsidRDefault="00E64501" w:rsidP="00E7466A">
            <w:pPr>
              <w:jc w:val="center"/>
              <w:rPr>
                <w:rFonts w:ascii="Arial Narrow" w:hAnsi="Arial Narrow" w:cstheme="minorHAnsi"/>
                <w:color w:val="000000"/>
                <w:sz w:val="20"/>
                <w:szCs w:val="20"/>
              </w:rPr>
            </w:pPr>
            <w:r w:rsidRPr="0061343E">
              <w:rPr>
                <w:rFonts w:ascii="Arial Narrow" w:hAnsi="Arial Narrow" w:cstheme="minorHAnsi"/>
                <w:color w:val="000000"/>
                <w:sz w:val="20"/>
                <w:szCs w:val="20"/>
              </w:rPr>
              <w:t>87</w:t>
            </w:r>
          </w:p>
        </w:tc>
        <w:tc>
          <w:tcPr>
            <w:tcW w:w="730" w:type="pct"/>
            <w:noWrap/>
            <w:tcMar>
              <w:left w:w="20" w:type="dxa"/>
              <w:right w:w="20" w:type="dxa"/>
            </w:tcMar>
            <w:vAlign w:val="bottom"/>
          </w:tcPr>
          <w:p w14:paraId="474A7BF3" w14:textId="77777777" w:rsidR="00E64501" w:rsidRPr="0061343E" w:rsidRDefault="00E64501" w:rsidP="00E7466A">
            <w:pPr>
              <w:jc w:val="center"/>
              <w:rPr>
                <w:rFonts w:ascii="Arial Narrow" w:hAnsi="Arial Narrow" w:cstheme="minorHAnsi"/>
                <w:color w:val="000000"/>
                <w:sz w:val="20"/>
                <w:szCs w:val="20"/>
              </w:rPr>
            </w:pPr>
            <w:r w:rsidRPr="0061343E">
              <w:rPr>
                <w:rFonts w:ascii="Arial Narrow" w:hAnsi="Arial Narrow" w:cstheme="minorHAnsi"/>
                <w:color w:val="000000"/>
                <w:sz w:val="20"/>
                <w:szCs w:val="20"/>
              </w:rPr>
              <w:t>42</w:t>
            </w:r>
          </w:p>
        </w:tc>
        <w:tc>
          <w:tcPr>
            <w:tcW w:w="680" w:type="pct"/>
            <w:noWrap/>
            <w:tcMar>
              <w:left w:w="20" w:type="dxa"/>
              <w:right w:w="20" w:type="dxa"/>
            </w:tcMar>
            <w:vAlign w:val="bottom"/>
          </w:tcPr>
          <w:p w14:paraId="0F81E303" w14:textId="77777777" w:rsidR="00E64501" w:rsidRPr="0061343E" w:rsidRDefault="00E64501" w:rsidP="00E7466A">
            <w:pPr>
              <w:jc w:val="center"/>
              <w:rPr>
                <w:rFonts w:ascii="Arial Narrow" w:hAnsi="Arial Narrow" w:cstheme="minorHAnsi"/>
                <w:b/>
                <w:color w:val="000000"/>
                <w:sz w:val="20"/>
                <w:szCs w:val="20"/>
              </w:rPr>
            </w:pPr>
            <w:r w:rsidRPr="0061343E">
              <w:rPr>
                <w:rFonts w:ascii="Arial Narrow" w:hAnsi="Arial Narrow" w:cstheme="minorHAnsi"/>
                <w:b/>
                <w:color w:val="000000"/>
                <w:sz w:val="20"/>
                <w:szCs w:val="20"/>
              </w:rPr>
              <w:t>33.1%</w:t>
            </w:r>
          </w:p>
        </w:tc>
      </w:tr>
    </w:tbl>
    <w:p w14:paraId="3765CC08" w14:textId="4E01A386" w:rsidR="003D779B" w:rsidRPr="0061343E" w:rsidRDefault="003D779B" w:rsidP="003D779B">
      <w:pPr>
        <w:pStyle w:val="Caption"/>
        <w:rPr>
          <w:b w:val="0"/>
          <w:bCs w:val="0"/>
          <w:sz w:val="18"/>
        </w:rPr>
      </w:pPr>
      <w:r w:rsidRPr="0061343E">
        <w:rPr>
          <w:b w:val="0"/>
          <w:bCs w:val="0"/>
          <w:sz w:val="18"/>
        </w:rPr>
        <w:t>Source: Table 1, p2 of the PSCR</w:t>
      </w:r>
    </w:p>
    <w:p w14:paraId="7BD7E2E3" w14:textId="0D204240" w:rsidR="003D779B" w:rsidRPr="0061343E" w:rsidRDefault="003D779B" w:rsidP="003D779B">
      <w:pPr>
        <w:pStyle w:val="Caption"/>
        <w:rPr>
          <w:b w:val="0"/>
          <w:bCs w:val="0"/>
          <w:sz w:val="18"/>
        </w:rPr>
      </w:pPr>
      <w:r w:rsidRPr="0061343E">
        <w:rPr>
          <w:b w:val="0"/>
          <w:bCs w:val="0"/>
          <w:sz w:val="18"/>
        </w:rPr>
        <w:t xml:space="preserve">AD = atopic dermatitis; DLQI = Dermatology Life Quality Index; EASI = Eczema Area and Severity Index; IGA = Investigator’s Global Assessment; </w:t>
      </w:r>
      <w:r w:rsidR="00B1657A" w:rsidRPr="0061343E">
        <w:rPr>
          <w:b w:val="0"/>
          <w:bCs w:val="0"/>
          <w:sz w:val="18"/>
        </w:rPr>
        <w:t>ITT = intent to treat</w:t>
      </w:r>
      <w:r w:rsidRPr="0061343E">
        <w:rPr>
          <w:b w:val="0"/>
          <w:bCs w:val="0"/>
          <w:sz w:val="18"/>
        </w:rPr>
        <w:t>;</w:t>
      </w:r>
      <w:r w:rsidR="00B1657A" w:rsidRPr="0061343E">
        <w:rPr>
          <w:b w:val="0"/>
          <w:bCs w:val="0"/>
          <w:sz w:val="18"/>
        </w:rPr>
        <w:t xml:space="preserve"> </w:t>
      </w:r>
      <w:r w:rsidRPr="0061343E">
        <w:rPr>
          <w:b w:val="0"/>
          <w:bCs w:val="0"/>
          <w:sz w:val="18"/>
        </w:rPr>
        <w:t xml:space="preserve">LTE = long-term extension; NEMO = nemolizumab; </w:t>
      </w:r>
      <w:r w:rsidR="00B1657A" w:rsidRPr="0061343E">
        <w:rPr>
          <w:b w:val="0"/>
          <w:bCs w:val="0"/>
          <w:sz w:val="18"/>
        </w:rPr>
        <w:t xml:space="preserve">PBS = </w:t>
      </w:r>
      <w:r w:rsidRPr="0061343E">
        <w:rPr>
          <w:b w:val="0"/>
          <w:bCs w:val="0"/>
          <w:sz w:val="18"/>
        </w:rPr>
        <w:t>Pharmaceutical Benefits Scheme; PGA = Physician’s Global Assessment</w:t>
      </w:r>
    </w:p>
    <w:p w14:paraId="37F7EC59" w14:textId="77777777" w:rsidR="003D779B" w:rsidRPr="0061343E" w:rsidRDefault="003D779B" w:rsidP="00B1657A">
      <w:pPr>
        <w:pStyle w:val="Caption"/>
        <w:rPr>
          <w:b w:val="0"/>
          <w:bCs w:val="0"/>
          <w:sz w:val="18"/>
        </w:rPr>
      </w:pPr>
      <w:r w:rsidRPr="0061343E">
        <w:rPr>
          <w:b w:val="0"/>
          <w:bCs w:val="0"/>
          <w:sz w:val="18"/>
        </w:rPr>
        <w:t>* Calculated as additional responders in LTE divided by those patients who entered LTE following treatment with NEMO in ARCADIA 1 or 2 as non-responders</w:t>
      </w:r>
    </w:p>
    <w:p w14:paraId="1B8CC617" w14:textId="6A15CFC9" w:rsidR="00B1657A" w:rsidRPr="0061343E" w:rsidRDefault="003D779B" w:rsidP="00A75874">
      <w:pPr>
        <w:pStyle w:val="Caption"/>
        <w:spacing w:after="120"/>
        <w:rPr>
          <w:b w:val="0"/>
          <w:bCs w:val="0"/>
          <w:sz w:val="18"/>
        </w:rPr>
      </w:pPr>
      <w:r w:rsidRPr="0061343E">
        <w:rPr>
          <w:b w:val="0"/>
          <w:bCs w:val="0"/>
          <w:sz w:val="18"/>
        </w:rPr>
        <w:t xml:space="preserve">** Subgroup population with </w:t>
      </w:r>
      <w:r w:rsidR="00B1657A" w:rsidRPr="0061343E">
        <w:rPr>
          <w:b w:val="0"/>
          <w:bCs w:val="0"/>
          <w:sz w:val="18"/>
        </w:rPr>
        <w:t>severe AD only defined as an EASI score ≥ 20 and an PGA/IGA score of 4</w:t>
      </w:r>
    </w:p>
    <w:p w14:paraId="1D13B39C" w14:textId="113326A1" w:rsidR="00203FAE" w:rsidRPr="0061343E" w:rsidRDefault="00203FAE" w:rsidP="00203FAE">
      <w:pPr>
        <w:pStyle w:val="3-BodyText"/>
      </w:pPr>
      <w:bookmarkStart w:id="41" w:name="_Ref199160351"/>
      <w:r w:rsidRPr="0061343E">
        <w:t xml:space="preserve">The PSCR stated that an additional 8 weeks of </w:t>
      </w:r>
      <w:r w:rsidR="003D779B" w:rsidRPr="0061343E">
        <w:t xml:space="preserve">Q4W </w:t>
      </w:r>
      <w:r w:rsidRPr="0061343E">
        <w:t xml:space="preserve">treatment with NEMO is expected to </w:t>
      </w:r>
      <w:r w:rsidR="003D779B" w:rsidRPr="0061343E">
        <w:t>result in an additional</w:t>
      </w:r>
      <w:r w:rsidRPr="0061343E">
        <w:t xml:space="preserve"> 30.1% </w:t>
      </w:r>
      <w:r w:rsidR="003D779B" w:rsidRPr="0061343E">
        <w:t xml:space="preserve">of ITT patients demonstrating an </w:t>
      </w:r>
      <w:r w:rsidRPr="0061343E">
        <w:t xml:space="preserve">EASI 75 </w:t>
      </w:r>
      <w:r w:rsidR="003D779B" w:rsidRPr="0061343E">
        <w:t xml:space="preserve">response </w:t>
      </w:r>
      <w:r w:rsidRPr="0061343E">
        <w:t xml:space="preserve">and 9.6% </w:t>
      </w:r>
      <w:r w:rsidR="003D779B" w:rsidRPr="0061343E">
        <w:t xml:space="preserve">demonstrating an </w:t>
      </w:r>
      <w:r w:rsidRPr="0061343E">
        <w:t>IGA 0/1</w:t>
      </w:r>
      <w:r w:rsidR="003D779B" w:rsidRPr="0061343E">
        <w:t xml:space="preserve"> response</w:t>
      </w:r>
      <w:r w:rsidRPr="0061343E">
        <w:t xml:space="preserve">, and </w:t>
      </w:r>
      <w:r w:rsidR="003D779B" w:rsidRPr="0061343E">
        <w:t xml:space="preserve">an additional </w:t>
      </w:r>
      <w:r w:rsidRPr="0061343E">
        <w:t>34.5%</w:t>
      </w:r>
      <w:r w:rsidR="003D779B" w:rsidRPr="0061343E">
        <w:t xml:space="preserve"> of patients in the severe AD PBS population demonstrating an </w:t>
      </w:r>
      <w:r w:rsidRPr="0061343E">
        <w:t>EASI 50</w:t>
      </w:r>
      <w:r w:rsidR="003D779B" w:rsidRPr="0061343E">
        <w:t xml:space="preserve"> response. The PSC</w:t>
      </w:r>
      <w:r w:rsidR="00ED1E26" w:rsidRPr="0061343E">
        <w:t>R</w:t>
      </w:r>
      <w:r w:rsidR="003D779B" w:rsidRPr="0061343E">
        <w:t xml:space="preserve"> stated that this </w:t>
      </w:r>
      <w:r w:rsidR="00E05A77" w:rsidRPr="0061343E">
        <w:t>support</w:t>
      </w:r>
      <w:r w:rsidR="003D779B" w:rsidRPr="0061343E">
        <w:t>ed</w:t>
      </w:r>
      <w:r w:rsidR="00E05A77" w:rsidRPr="0061343E">
        <w:t xml:space="preserve"> the request for an extended induction treatment phase</w:t>
      </w:r>
      <w:r w:rsidRPr="0061343E">
        <w:t xml:space="preserve">. </w:t>
      </w:r>
    </w:p>
    <w:p w14:paraId="66756BBE" w14:textId="1ABD7133" w:rsidR="00BC07E9" w:rsidRPr="0061343E" w:rsidRDefault="00167892" w:rsidP="00973AAB">
      <w:pPr>
        <w:pStyle w:val="3-BodyText"/>
      </w:pPr>
      <w:r w:rsidRPr="0061343E">
        <w:rPr>
          <w:highlight w:val="yellow"/>
        </w:rPr>
        <w:fldChar w:fldCharType="begin"/>
      </w:r>
      <w:r w:rsidRPr="0061343E">
        <w:instrText xml:space="preserve"> REF _Ref201151462 \h </w:instrText>
      </w:r>
      <w:r w:rsidR="0061343E" w:rsidRPr="0061343E">
        <w:rPr>
          <w:highlight w:val="yellow"/>
        </w:rPr>
        <w:instrText xml:space="preserve"> \* MERGEFORMAT </w:instrText>
      </w:r>
      <w:r w:rsidRPr="0061343E">
        <w:rPr>
          <w:highlight w:val="yellow"/>
        </w:rPr>
      </w:r>
      <w:r w:rsidRPr="0061343E">
        <w:rPr>
          <w:highlight w:val="yellow"/>
        </w:rPr>
        <w:fldChar w:fldCharType="separate"/>
      </w:r>
      <w:r w:rsidR="00E5780E" w:rsidRPr="0061343E">
        <w:t xml:space="preserve">Table </w:t>
      </w:r>
      <w:r w:rsidR="00E5780E">
        <w:rPr>
          <w:noProof/>
        </w:rPr>
        <w:t>10</w:t>
      </w:r>
      <w:r w:rsidRPr="0061343E">
        <w:rPr>
          <w:highlight w:val="yellow"/>
        </w:rPr>
        <w:fldChar w:fldCharType="end"/>
      </w:r>
      <w:r w:rsidR="00C77BC5" w:rsidRPr="0061343E">
        <w:t xml:space="preserve"> presents an analysis of the proportion of patients achieving </w:t>
      </w:r>
      <w:r w:rsidR="008E4530" w:rsidRPr="0061343E">
        <w:t>relevant efficacy outcomes with an additional 8 weeks of NEM</w:t>
      </w:r>
      <w:r w:rsidR="003D779B" w:rsidRPr="0061343E">
        <w:t>O</w:t>
      </w:r>
      <w:r w:rsidR="008E4530" w:rsidRPr="0061343E">
        <w:t xml:space="preserve"> Q4W, that is, an extended induction of 24 weeks. </w:t>
      </w:r>
      <w:r w:rsidR="00203FAE" w:rsidRPr="0061343E">
        <w:t>The PSCR</w:t>
      </w:r>
      <w:r w:rsidR="00760797">
        <w:t xml:space="preserve"> </w:t>
      </w:r>
      <w:r w:rsidR="00203FAE" w:rsidRPr="0061343E">
        <w:t>applied the</w:t>
      </w:r>
      <w:r w:rsidR="00AE5A8F">
        <w:t xml:space="preserve"> </w:t>
      </w:r>
      <w:r w:rsidR="00203FAE" w:rsidRPr="0061343E">
        <w:t xml:space="preserve">response rates at Week 8 in patients who entered the LTE as non-responders after receiving NEMO for 16 weeks in ARCADIA 1 </w:t>
      </w:r>
      <w:r w:rsidR="003D779B" w:rsidRPr="0061343E">
        <w:t xml:space="preserve">and ARCADIA </w:t>
      </w:r>
      <w:r w:rsidR="00203FAE" w:rsidRPr="0061343E">
        <w:t xml:space="preserve">2 </w:t>
      </w:r>
      <w:r w:rsidR="00B127E5">
        <w:t xml:space="preserve">(see Table 9) </w:t>
      </w:r>
      <w:r w:rsidR="00203FAE" w:rsidRPr="0061343E">
        <w:t xml:space="preserve">to the </w:t>
      </w:r>
      <w:r w:rsidR="005B767D">
        <w:t xml:space="preserve">expected </w:t>
      </w:r>
      <w:r w:rsidR="00203FAE" w:rsidRPr="0061343E">
        <w:t xml:space="preserve">cohort of non-responders in ARCADIA 1 </w:t>
      </w:r>
      <w:r w:rsidR="003D779B" w:rsidRPr="0061343E">
        <w:t xml:space="preserve">and ARCADIA </w:t>
      </w:r>
      <w:r w:rsidR="00203FAE" w:rsidRPr="0061343E">
        <w:t xml:space="preserve">2 to estimate the total response rate at Week 24. </w:t>
      </w:r>
    </w:p>
    <w:p w14:paraId="6867A3C7" w14:textId="112D4D2C" w:rsidR="009F6B60" w:rsidRPr="0061343E" w:rsidRDefault="00167892" w:rsidP="002B4E77">
      <w:pPr>
        <w:pStyle w:val="Caption"/>
      </w:pPr>
      <w:bookmarkStart w:id="42" w:name="_Ref201151462"/>
      <w:r w:rsidRPr="0061343E">
        <w:lastRenderedPageBreak/>
        <w:t xml:space="preserve">Table </w:t>
      </w:r>
      <w:r>
        <w:fldChar w:fldCharType="begin"/>
      </w:r>
      <w:r>
        <w:instrText xml:space="preserve"> SEQ Table \* ARABIC </w:instrText>
      </w:r>
      <w:r>
        <w:fldChar w:fldCharType="separate"/>
      </w:r>
      <w:r w:rsidR="00E5780E">
        <w:rPr>
          <w:noProof/>
        </w:rPr>
        <w:t>10</w:t>
      </w:r>
      <w:r>
        <w:rPr>
          <w:noProof/>
        </w:rPr>
        <w:fldChar w:fldCharType="end"/>
      </w:r>
      <w:bookmarkEnd w:id="42"/>
      <w:r w:rsidRPr="0061343E">
        <w:t xml:space="preserve">: </w:t>
      </w:r>
      <w:r w:rsidR="009F6B60" w:rsidRPr="0061343E">
        <w:t xml:space="preserve">Naïve comparison of NEMO 24 weeks (16 + 8) and DUPI 16 weeks response rates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0: Naïve comparison of NEMO 24 weeks (16 + 8) and DUPI 16 weeks response rates "/>
      </w:tblPr>
      <w:tblGrid>
        <w:gridCol w:w="759"/>
        <w:gridCol w:w="1017"/>
        <w:gridCol w:w="476"/>
        <w:gridCol w:w="483"/>
        <w:gridCol w:w="770"/>
        <w:gridCol w:w="1316"/>
        <w:gridCol w:w="957"/>
        <w:gridCol w:w="1316"/>
        <w:gridCol w:w="959"/>
        <w:gridCol w:w="964"/>
      </w:tblGrid>
      <w:tr w:rsidR="001B0538" w:rsidRPr="0061343E" w14:paraId="4944DF10" w14:textId="77777777" w:rsidTr="009E0EF8">
        <w:trPr>
          <w:trHeight w:val="20"/>
        </w:trPr>
        <w:tc>
          <w:tcPr>
            <w:tcW w:w="990" w:type="pct"/>
            <w:gridSpan w:val="2"/>
            <w:noWrap/>
            <w:tcMar>
              <w:left w:w="20" w:type="dxa"/>
              <w:right w:w="20" w:type="dxa"/>
            </w:tcMar>
            <w:vAlign w:val="center"/>
            <w:hideMark/>
          </w:tcPr>
          <w:p w14:paraId="6B02FC28" w14:textId="052D6A1C" w:rsidR="001B0538" w:rsidRPr="0061343E" w:rsidRDefault="001B0538" w:rsidP="002B4E77">
            <w:pPr>
              <w:pStyle w:val="TableText0"/>
              <w:rPr>
                <w:b/>
                <w:bCs w:val="0"/>
              </w:rPr>
            </w:pPr>
          </w:p>
        </w:tc>
        <w:tc>
          <w:tcPr>
            <w:tcW w:w="1669" w:type="pct"/>
            <w:gridSpan w:val="4"/>
            <w:noWrap/>
            <w:tcMar>
              <w:left w:w="20" w:type="dxa"/>
              <w:right w:w="20" w:type="dxa"/>
            </w:tcMar>
            <w:vAlign w:val="center"/>
            <w:hideMark/>
          </w:tcPr>
          <w:p w14:paraId="6C9075D3" w14:textId="77777777" w:rsidR="001B0538" w:rsidRPr="0061343E" w:rsidRDefault="001B0538" w:rsidP="002B4E77">
            <w:pPr>
              <w:pStyle w:val="TableText0"/>
              <w:jc w:val="center"/>
              <w:rPr>
                <w:b/>
                <w:bCs w:val="0"/>
              </w:rPr>
            </w:pPr>
            <w:r w:rsidRPr="0061343E">
              <w:rPr>
                <w:b/>
                <w:bCs w:val="0"/>
              </w:rPr>
              <w:t>NEMO Week 16 from trial</w:t>
            </w:r>
          </w:p>
        </w:tc>
        <w:tc>
          <w:tcPr>
            <w:tcW w:w="1802" w:type="pct"/>
            <w:gridSpan w:val="3"/>
            <w:tcMar>
              <w:left w:w="20" w:type="dxa"/>
              <w:right w:w="20" w:type="dxa"/>
            </w:tcMar>
            <w:vAlign w:val="center"/>
          </w:tcPr>
          <w:p w14:paraId="7E94B098" w14:textId="03B2C421" w:rsidR="001B0538" w:rsidRPr="0061343E" w:rsidRDefault="001B0538" w:rsidP="002B4E77">
            <w:pPr>
              <w:pStyle w:val="TableText0"/>
              <w:jc w:val="center"/>
              <w:rPr>
                <w:b/>
                <w:bCs w:val="0"/>
              </w:rPr>
            </w:pPr>
            <w:r w:rsidRPr="0061343E">
              <w:rPr>
                <w:b/>
                <w:bCs w:val="0"/>
              </w:rPr>
              <w:t xml:space="preserve">Additional 8 weeks </w:t>
            </w:r>
            <w:r w:rsidR="00282C92" w:rsidRPr="0061343E">
              <w:rPr>
                <w:b/>
                <w:bCs w:val="0"/>
              </w:rPr>
              <w:br/>
            </w:r>
            <w:r w:rsidRPr="0061343E">
              <w:rPr>
                <w:b/>
                <w:bCs w:val="0"/>
              </w:rPr>
              <w:t>(i.e. up to 24 weeks initial period)</w:t>
            </w:r>
          </w:p>
        </w:tc>
        <w:tc>
          <w:tcPr>
            <w:tcW w:w="539" w:type="pct"/>
            <w:vMerge w:val="restart"/>
            <w:tcMar>
              <w:left w:w="20" w:type="dxa"/>
              <w:right w:w="20" w:type="dxa"/>
            </w:tcMar>
            <w:vAlign w:val="center"/>
          </w:tcPr>
          <w:p w14:paraId="7D05240C" w14:textId="37DFD2E8" w:rsidR="001B0538" w:rsidRPr="0061343E" w:rsidRDefault="001B0538" w:rsidP="002B4E77">
            <w:pPr>
              <w:pStyle w:val="TableText0"/>
              <w:jc w:val="center"/>
              <w:rPr>
                <w:b/>
                <w:bCs w:val="0"/>
              </w:rPr>
            </w:pPr>
            <w:r w:rsidRPr="0061343E">
              <w:rPr>
                <w:b/>
                <w:bCs w:val="0"/>
              </w:rPr>
              <w:t>DUPI response at 16 weeks</w:t>
            </w:r>
            <w:r w:rsidRPr="0061343E">
              <w:rPr>
                <w:b/>
                <w:bCs w:val="0"/>
                <w:vertAlign w:val="superscript"/>
              </w:rPr>
              <w:t>*</w:t>
            </w:r>
          </w:p>
        </w:tc>
      </w:tr>
      <w:tr w:rsidR="009E0EF8" w:rsidRPr="0061343E" w14:paraId="02A96A63" w14:textId="77777777" w:rsidTr="009E0EF8">
        <w:trPr>
          <w:trHeight w:val="20"/>
        </w:trPr>
        <w:tc>
          <w:tcPr>
            <w:tcW w:w="424" w:type="pct"/>
            <w:noWrap/>
            <w:tcMar>
              <w:left w:w="20" w:type="dxa"/>
              <w:right w:w="20" w:type="dxa"/>
            </w:tcMar>
            <w:vAlign w:val="center"/>
            <w:hideMark/>
          </w:tcPr>
          <w:p w14:paraId="722E48A5" w14:textId="41399076" w:rsidR="001B0538" w:rsidRPr="0061343E" w:rsidRDefault="00282C92" w:rsidP="002B4E77">
            <w:pPr>
              <w:pStyle w:val="TableText0"/>
              <w:rPr>
                <w:b/>
                <w:bCs w:val="0"/>
              </w:rPr>
            </w:pPr>
            <w:r w:rsidRPr="0061343E">
              <w:rPr>
                <w:b/>
                <w:bCs w:val="0"/>
              </w:rPr>
              <w:t>Pop</w:t>
            </w:r>
          </w:p>
        </w:tc>
        <w:tc>
          <w:tcPr>
            <w:tcW w:w="567" w:type="pct"/>
            <w:noWrap/>
            <w:tcMar>
              <w:left w:w="20" w:type="dxa"/>
              <w:right w:w="20" w:type="dxa"/>
            </w:tcMar>
            <w:vAlign w:val="center"/>
            <w:hideMark/>
          </w:tcPr>
          <w:p w14:paraId="74A5C7FE" w14:textId="77777777" w:rsidR="001B0538" w:rsidRPr="0061343E" w:rsidRDefault="001B0538" w:rsidP="002B4E77">
            <w:pPr>
              <w:pStyle w:val="TableText0"/>
              <w:rPr>
                <w:b/>
                <w:bCs w:val="0"/>
              </w:rPr>
            </w:pPr>
            <w:r w:rsidRPr="0061343E">
              <w:rPr>
                <w:b/>
                <w:bCs w:val="0"/>
              </w:rPr>
              <w:t>Outcome</w:t>
            </w:r>
          </w:p>
        </w:tc>
        <w:tc>
          <w:tcPr>
            <w:tcW w:w="267" w:type="pct"/>
            <w:noWrap/>
            <w:tcMar>
              <w:left w:w="20" w:type="dxa"/>
              <w:right w:w="20" w:type="dxa"/>
            </w:tcMar>
            <w:vAlign w:val="center"/>
            <w:hideMark/>
          </w:tcPr>
          <w:p w14:paraId="16F64467" w14:textId="77777777" w:rsidR="001B0538" w:rsidRPr="0061343E" w:rsidRDefault="001B0538" w:rsidP="002B4E77">
            <w:pPr>
              <w:pStyle w:val="TableText0"/>
              <w:rPr>
                <w:b/>
                <w:bCs w:val="0"/>
              </w:rPr>
            </w:pPr>
            <w:r w:rsidRPr="0061343E">
              <w:rPr>
                <w:b/>
                <w:bCs w:val="0"/>
              </w:rPr>
              <w:t>n</w:t>
            </w:r>
          </w:p>
        </w:tc>
        <w:tc>
          <w:tcPr>
            <w:tcW w:w="271" w:type="pct"/>
            <w:noWrap/>
            <w:tcMar>
              <w:left w:w="20" w:type="dxa"/>
              <w:right w:w="20" w:type="dxa"/>
            </w:tcMar>
            <w:vAlign w:val="center"/>
            <w:hideMark/>
          </w:tcPr>
          <w:p w14:paraId="00AAD0E7" w14:textId="77777777" w:rsidR="001B0538" w:rsidRPr="0061343E" w:rsidRDefault="001B0538" w:rsidP="002B4E77">
            <w:pPr>
              <w:pStyle w:val="TableText0"/>
              <w:rPr>
                <w:b/>
                <w:bCs w:val="0"/>
              </w:rPr>
            </w:pPr>
            <w:r w:rsidRPr="0061343E">
              <w:rPr>
                <w:b/>
                <w:bCs w:val="0"/>
              </w:rPr>
              <w:t>N</w:t>
            </w:r>
          </w:p>
        </w:tc>
        <w:tc>
          <w:tcPr>
            <w:tcW w:w="398" w:type="pct"/>
            <w:noWrap/>
            <w:tcMar>
              <w:left w:w="20" w:type="dxa"/>
              <w:right w:w="20" w:type="dxa"/>
            </w:tcMar>
            <w:vAlign w:val="center"/>
            <w:hideMark/>
          </w:tcPr>
          <w:p w14:paraId="341CEB36" w14:textId="77777777" w:rsidR="001B0538" w:rsidRPr="0061343E" w:rsidRDefault="001B0538" w:rsidP="002B4E77">
            <w:pPr>
              <w:pStyle w:val="TableText0"/>
              <w:rPr>
                <w:b/>
                <w:bCs w:val="0"/>
              </w:rPr>
            </w:pPr>
            <w:r w:rsidRPr="0061343E">
              <w:rPr>
                <w:b/>
                <w:bCs w:val="0"/>
              </w:rPr>
              <w:t xml:space="preserve">% </w:t>
            </w:r>
            <w:r w:rsidRPr="0061343E">
              <w:rPr>
                <w:b/>
                <w:bCs w:val="0"/>
              </w:rPr>
              <w:br/>
              <w:t>response</w:t>
            </w:r>
          </w:p>
        </w:tc>
        <w:tc>
          <w:tcPr>
            <w:tcW w:w="732" w:type="pct"/>
            <w:tcMar>
              <w:left w:w="20" w:type="dxa"/>
              <w:right w:w="20" w:type="dxa"/>
            </w:tcMar>
            <w:vAlign w:val="center"/>
          </w:tcPr>
          <w:p w14:paraId="5478406C" w14:textId="3E9BA585" w:rsidR="001B0538" w:rsidRPr="0061343E" w:rsidRDefault="001B0538" w:rsidP="002B4E77">
            <w:pPr>
              <w:pStyle w:val="TableText0"/>
              <w:jc w:val="center"/>
              <w:rPr>
                <w:b/>
                <w:bCs w:val="0"/>
              </w:rPr>
            </w:pPr>
            <w:r w:rsidRPr="0061343E">
              <w:rPr>
                <w:b/>
                <w:bCs w:val="0"/>
              </w:rPr>
              <w:t>Non</w:t>
            </w:r>
            <w:r w:rsidR="00282C92" w:rsidRPr="0061343E">
              <w:rPr>
                <w:b/>
                <w:bCs w:val="0"/>
              </w:rPr>
              <w:t>-</w:t>
            </w:r>
            <w:r w:rsidRPr="0061343E">
              <w:rPr>
                <w:b/>
                <w:bCs w:val="0"/>
              </w:rPr>
              <w:t xml:space="preserve">responders in </w:t>
            </w:r>
            <w:r w:rsidR="003A4901">
              <w:rPr>
                <w:b/>
                <w:bCs w:val="0"/>
              </w:rPr>
              <w:t>ARCADIA</w:t>
            </w:r>
            <w:r w:rsidR="003A4901" w:rsidRPr="0061343E">
              <w:rPr>
                <w:b/>
                <w:bCs w:val="0"/>
              </w:rPr>
              <w:t xml:space="preserve"> </w:t>
            </w:r>
            <w:r w:rsidRPr="0061343E">
              <w:rPr>
                <w:b/>
                <w:bCs w:val="0"/>
              </w:rPr>
              <w:t>1&amp;2</w:t>
            </w:r>
            <w:r w:rsidR="00412193" w:rsidRPr="0061343E">
              <w:rPr>
                <w:b/>
                <w:bCs w:val="0"/>
              </w:rPr>
              <w:t>, n</w:t>
            </w:r>
          </w:p>
        </w:tc>
        <w:tc>
          <w:tcPr>
            <w:tcW w:w="534" w:type="pct"/>
            <w:tcMar>
              <w:left w:w="20" w:type="dxa"/>
              <w:right w:w="20" w:type="dxa"/>
            </w:tcMar>
            <w:vAlign w:val="center"/>
          </w:tcPr>
          <w:p w14:paraId="244C515B" w14:textId="57F66718" w:rsidR="001B0538" w:rsidRPr="0061343E" w:rsidRDefault="001B0538" w:rsidP="002B4E77">
            <w:pPr>
              <w:pStyle w:val="TableText0"/>
              <w:jc w:val="center"/>
              <w:rPr>
                <w:b/>
                <w:bCs w:val="0"/>
              </w:rPr>
            </w:pPr>
            <w:r w:rsidRPr="0061343E">
              <w:rPr>
                <w:b/>
                <w:bCs w:val="0"/>
              </w:rPr>
              <w:t>% additional response from LTE</w:t>
            </w:r>
            <w:r w:rsidR="00FE6A69">
              <w:rPr>
                <w:b/>
                <w:bCs w:val="0"/>
              </w:rPr>
              <w:t>**</w:t>
            </w:r>
          </w:p>
        </w:tc>
        <w:tc>
          <w:tcPr>
            <w:tcW w:w="733" w:type="pct"/>
            <w:tcMar>
              <w:left w:w="20" w:type="dxa"/>
              <w:right w:w="20" w:type="dxa"/>
            </w:tcMar>
            <w:vAlign w:val="center"/>
          </w:tcPr>
          <w:p w14:paraId="1ED9D140" w14:textId="2F139FE1" w:rsidR="001B0538" w:rsidRPr="0061343E" w:rsidRDefault="001B0538" w:rsidP="002B4E77">
            <w:pPr>
              <w:pStyle w:val="TableText0"/>
              <w:jc w:val="center"/>
              <w:rPr>
                <w:b/>
                <w:bCs w:val="0"/>
              </w:rPr>
            </w:pPr>
            <w:r w:rsidRPr="0061343E">
              <w:rPr>
                <w:b/>
                <w:bCs w:val="0"/>
              </w:rPr>
              <w:t>Expected total responders after 24 weeks</w:t>
            </w:r>
            <w:r w:rsidR="00412193" w:rsidRPr="0061343E">
              <w:rPr>
                <w:b/>
                <w:bCs w:val="0"/>
              </w:rPr>
              <w:t>, n</w:t>
            </w:r>
          </w:p>
        </w:tc>
        <w:tc>
          <w:tcPr>
            <w:tcW w:w="535" w:type="pct"/>
            <w:tcMar>
              <w:left w:w="20" w:type="dxa"/>
              <w:right w:w="20" w:type="dxa"/>
            </w:tcMar>
            <w:vAlign w:val="center"/>
            <w:hideMark/>
          </w:tcPr>
          <w:p w14:paraId="253D38C7" w14:textId="77777777" w:rsidR="001B0538" w:rsidRPr="0061343E" w:rsidRDefault="001B0538" w:rsidP="002B4E77">
            <w:pPr>
              <w:pStyle w:val="TableText0"/>
              <w:jc w:val="center"/>
              <w:rPr>
                <w:b/>
                <w:bCs w:val="0"/>
              </w:rPr>
            </w:pPr>
            <w:r w:rsidRPr="0061343E">
              <w:rPr>
                <w:b/>
                <w:bCs w:val="0"/>
              </w:rPr>
              <w:t>Total NEMO response at 24 weeks</w:t>
            </w:r>
          </w:p>
        </w:tc>
        <w:tc>
          <w:tcPr>
            <w:tcW w:w="539" w:type="pct"/>
            <w:vMerge/>
            <w:tcMar>
              <w:left w:w="20" w:type="dxa"/>
              <w:right w:w="20" w:type="dxa"/>
            </w:tcMar>
            <w:vAlign w:val="center"/>
            <w:hideMark/>
          </w:tcPr>
          <w:p w14:paraId="38B7EA6F" w14:textId="11FC70A9" w:rsidR="001B0538" w:rsidRPr="0061343E" w:rsidRDefault="001B0538" w:rsidP="002B4E77">
            <w:pPr>
              <w:pStyle w:val="TableText0"/>
              <w:jc w:val="center"/>
              <w:rPr>
                <w:b/>
                <w:bCs w:val="0"/>
              </w:rPr>
            </w:pPr>
          </w:p>
        </w:tc>
      </w:tr>
      <w:tr w:rsidR="009E0EF8" w:rsidRPr="0061343E" w14:paraId="0EF88881" w14:textId="77777777" w:rsidTr="009E0EF8">
        <w:trPr>
          <w:trHeight w:val="20"/>
        </w:trPr>
        <w:tc>
          <w:tcPr>
            <w:tcW w:w="424" w:type="pct"/>
            <w:noWrap/>
            <w:tcMar>
              <w:left w:w="20" w:type="dxa"/>
              <w:right w:w="20" w:type="dxa"/>
            </w:tcMar>
            <w:vAlign w:val="center"/>
            <w:hideMark/>
          </w:tcPr>
          <w:p w14:paraId="38630513" w14:textId="77777777" w:rsidR="009F6B60" w:rsidRPr="0061343E" w:rsidRDefault="009F6B60" w:rsidP="002B4E77">
            <w:pPr>
              <w:pStyle w:val="TableText0"/>
            </w:pPr>
            <w:r w:rsidRPr="0061343E">
              <w:t>ITT</w:t>
            </w:r>
          </w:p>
        </w:tc>
        <w:tc>
          <w:tcPr>
            <w:tcW w:w="567" w:type="pct"/>
            <w:noWrap/>
            <w:tcMar>
              <w:left w:w="20" w:type="dxa"/>
              <w:right w:w="20" w:type="dxa"/>
            </w:tcMar>
            <w:vAlign w:val="center"/>
            <w:hideMark/>
          </w:tcPr>
          <w:p w14:paraId="49C66AB8" w14:textId="49BED030" w:rsidR="009F6B60" w:rsidRPr="0061343E" w:rsidRDefault="009F6B60" w:rsidP="002B4E77">
            <w:pPr>
              <w:pStyle w:val="TableText0"/>
            </w:pPr>
            <w:r w:rsidRPr="0061343E">
              <w:t>EASI</w:t>
            </w:r>
            <w:r w:rsidR="003D779B" w:rsidRPr="0061343E">
              <w:t>-</w:t>
            </w:r>
            <w:r w:rsidRPr="0061343E">
              <w:t>75</w:t>
            </w:r>
          </w:p>
        </w:tc>
        <w:tc>
          <w:tcPr>
            <w:tcW w:w="267" w:type="pct"/>
            <w:noWrap/>
            <w:tcMar>
              <w:left w:w="20" w:type="dxa"/>
              <w:right w:w="20" w:type="dxa"/>
            </w:tcMar>
            <w:vAlign w:val="center"/>
            <w:hideMark/>
          </w:tcPr>
          <w:p w14:paraId="5BF8E3E4" w14:textId="77777777" w:rsidR="009F6B60" w:rsidRPr="0061343E" w:rsidRDefault="009F6B60" w:rsidP="002B4E77">
            <w:pPr>
              <w:pStyle w:val="TableText0"/>
            </w:pPr>
            <w:r w:rsidRPr="0061343E">
              <w:t>490</w:t>
            </w:r>
          </w:p>
        </w:tc>
        <w:tc>
          <w:tcPr>
            <w:tcW w:w="271" w:type="pct"/>
            <w:noWrap/>
            <w:tcMar>
              <w:left w:w="20" w:type="dxa"/>
              <w:right w:w="20" w:type="dxa"/>
            </w:tcMar>
            <w:vAlign w:val="center"/>
            <w:hideMark/>
          </w:tcPr>
          <w:p w14:paraId="764B93DE" w14:textId="4A1E15F8" w:rsidR="009F6B60" w:rsidRPr="0061343E" w:rsidRDefault="009F6B60" w:rsidP="002B4E77">
            <w:pPr>
              <w:pStyle w:val="TableText0"/>
            </w:pPr>
            <w:r w:rsidRPr="0061343E">
              <w:t>1</w:t>
            </w:r>
            <w:r w:rsidR="00282C92" w:rsidRPr="0061343E">
              <w:t>,</w:t>
            </w:r>
            <w:r w:rsidRPr="0061343E">
              <w:t>142</w:t>
            </w:r>
          </w:p>
        </w:tc>
        <w:tc>
          <w:tcPr>
            <w:tcW w:w="398" w:type="pct"/>
            <w:noWrap/>
            <w:tcMar>
              <w:left w:w="20" w:type="dxa"/>
              <w:right w:w="20" w:type="dxa"/>
            </w:tcMar>
            <w:vAlign w:val="center"/>
            <w:hideMark/>
          </w:tcPr>
          <w:p w14:paraId="4C749705" w14:textId="77777777" w:rsidR="009F6B60" w:rsidRPr="0061343E" w:rsidRDefault="009F6B60" w:rsidP="002B4E77">
            <w:pPr>
              <w:pStyle w:val="TableText0"/>
            </w:pPr>
            <w:r w:rsidRPr="0061343E">
              <w:t>42.9%</w:t>
            </w:r>
          </w:p>
        </w:tc>
        <w:tc>
          <w:tcPr>
            <w:tcW w:w="732" w:type="pct"/>
            <w:tcMar>
              <w:left w:w="20" w:type="dxa"/>
              <w:right w:w="20" w:type="dxa"/>
            </w:tcMar>
            <w:vAlign w:val="center"/>
          </w:tcPr>
          <w:p w14:paraId="2FD27FE5" w14:textId="77777777" w:rsidR="009F6B60" w:rsidRPr="0061343E" w:rsidRDefault="009F6B60" w:rsidP="002B4E77">
            <w:pPr>
              <w:pStyle w:val="TableText0"/>
              <w:jc w:val="center"/>
            </w:pPr>
            <w:r w:rsidRPr="0061343E">
              <w:t>652</w:t>
            </w:r>
          </w:p>
        </w:tc>
        <w:tc>
          <w:tcPr>
            <w:tcW w:w="534" w:type="pct"/>
            <w:tcMar>
              <w:left w:w="20" w:type="dxa"/>
              <w:right w:w="20" w:type="dxa"/>
            </w:tcMar>
            <w:vAlign w:val="center"/>
          </w:tcPr>
          <w:p w14:paraId="39814F4E" w14:textId="77777777" w:rsidR="009F6B60" w:rsidRPr="0061343E" w:rsidRDefault="009F6B60" w:rsidP="002B4E77">
            <w:pPr>
              <w:pStyle w:val="TableText0"/>
              <w:jc w:val="center"/>
            </w:pPr>
            <w:r w:rsidRPr="0061343E">
              <w:t>30.1%</w:t>
            </w:r>
          </w:p>
        </w:tc>
        <w:tc>
          <w:tcPr>
            <w:tcW w:w="733" w:type="pct"/>
            <w:tcMar>
              <w:left w:w="20" w:type="dxa"/>
              <w:right w:w="20" w:type="dxa"/>
            </w:tcMar>
            <w:vAlign w:val="center"/>
          </w:tcPr>
          <w:p w14:paraId="30CC3861" w14:textId="77777777" w:rsidR="009F6B60" w:rsidRPr="0061343E" w:rsidRDefault="009F6B60" w:rsidP="002B4E77">
            <w:pPr>
              <w:pStyle w:val="TableText0"/>
              <w:jc w:val="center"/>
            </w:pPr>
            <w:r w:rsidRPr="0061343E">
              <w:t>686</w:t>
            </w:r>
          </w:p>
        </w:tc>
        <w:tc>
          <w:tcPr>
            <w:tcW w:w="535" w:type="pct"/>
            <w:noWrap/>
            <w:tcMar>
              <w:left w:w="20" w:type="dxa"/>
              <w:right w:w="20" w:type="dxa"/>
            </w:tcMar>
            <w:vAlign w:val="center"/>
          </w:tcPr>
          <w:p w14:paraId="259BC14C" w14:textId="77777777" w:rsidR="009F6B60" w:rsidRPr="0061343E" w:rsidRDefault="009F6B60" w:rsidP="002B4E77">
            <w:pPr>
              <w:pStyle w:val="TableText0"/>
              <w:jc w:val="center"/>
            </w:pPr>
            <w:r w:rsidRPr="0061343E">
              <w:t>60.1%</w:t>
            </w:r>
          </w:p>
        </w:tc>
        <w:tc>
          <w:tcPr>
            <w:tcW w:w="539" w:type="pct"/>
            <w:noWrap/>
            <w:tcMar>
              <w:left w:w="20" w:type="dxa"/>
              <w:right w:w="20" w:type="dxa"/>
            </w:tcMar>
            <w:vAlign w:val="center"/>
            <w:hideMark/>
          </w:tcPr>
          <w:p w14:paraId="63535534" w14:textId="77777777" w:rsidR="009F6B60" w:rsidRPr="0061343E" w:rsidRDefault="009F6B60" w:rsidP="002B4E77">
            <w:pPr>
              <w:pStyle w:val="TableText0"/>
              <w:jc w:val="center"/>
            </w:pPr>
            <w:r w:rsidRPr="0061343E">
              <w:t>64.2%</w:t>
            </w:r>
          </w:p>
        </w:tc>
      </w:tr>
      <w:tr w:rsidR="009E0EF8" w:rsidRPr="0061343E" w14:paraId="7F6DA900" w14:textId="77777777" w:rsidTr="009E0EF8">
        <w:trPr>
          <w:trHeight w:val="20"/>
        </w:trPr>
        <w:tc>
          <w:tcPr>
            <w:tcW w:w="424" w:type="pct"/>
            <w:noWrap/>
            <w:tcMar>
              <w:left w:w="20" w:type="dxa"/>
              <w:right w:w="20" w:type="dxa"/>
            </w:tcMar>
            <w:vAlign w:val="center"/>
            <w:hideMark/>
          </w:tcPr>
          <w:p w14:paraId="6F9983D1" w14:textId="77777777" w:rsidR="009F6B60" w:rsidRPr="0061343E" w:rsidRDefault="009F6B60" w:rsidP="002B4E77">
            <w:pPr>
              <w:pStyle w:val="TableText0"/>
            </w:pPr>
            <w:r w:rsidRPr="0061343E">
              <w:t>ITT</w:t>
            </w:r>
          </w:p>
        </w:tc>
        <w:tc>
          <w:tcPr>
            <w:tcW w:w="567" w:type="pct"/>
            <w:noWrap/>
            <w:tcMar>
              <w:left w:w="20" w:type="dxa"/>
              <w:right w:w="20" w:type="dxa"/>
            </w:tcMar>
            <w:vAlign w:val="center"/>
            <w:hideMark/>
          </w:tcPr>
          <w:p w14:paraId="6F62E9A6" w14:textId="77777777" w:rsidR="009F6B60" w:rsidRPr="0061343E" w:rsidRDefault="009F6B60" w:rsidP="002B4E77">
            <w:pPr>
              <w:pStyle w:val="TableText0"/>
            </w:pPr>
            <w:r w:rsidRPr="0061343E">
              <w:t>IGA 0/1</w:t>
            </w:r>
          </w:p>
        </w:tc>
        <w:tc>
          <w:tcPr>
            <w:tcW w:w="267" w:type="pct"/>
            <w:noWrap/>
            <w:tcMar>
              <w:left w:w="20" w:type="dxa"/>
              <w:right w:w="20" w:type="dxa"/>
            </w:tcMar>
            <w:vAlign w:val="center"/>
            <w:hideMark/>
          </w:tcPr>
          <w:p w14:paraId="40AA87E8" w14:textId="77777777" w:rsidR="009F6B60" w:rsidRPr="0061343E" w:rsidRDefault="009F6B60" w:rsidP="002B4E77">
            <w:pPr>
              <w:pStyle w:val="TableText0"/>
            </w:pPr>
            <w:r w:rsidRPr="0061343E">
              <w:t>418</w:t>
            </w:r>
          </w:p>
        </w:tc>
        <w:tc>
          <w:tcPr>
            <w:tcW w:w="271" w:type="pct"/>
            <w:noWrap/>
            <w:tcMar>
              <w:left w:w="20" w:type="dxa"/>
              <w:right w:w="20" w:type="dxa"/>
            </w:tcMar>
            <w:vAlign w:val="center"/>
            <w:hideMark/>
          </w:tcPr>
          <w:p w14:paraId="692C99D5" w14:textId="639A1C3E" w:rsidR="009F6B60" w:rsidRPr="0061343E" w:rsidRDefault="009F6B60" w:rsidP="002B4E77">
            <w:pPr>
              <w:pStyle w:val="TableText0"/>
            </w:pPr>
            <w:r w:rsidRPr="0061343E">
              <w:t>1</w:t>
            </w:r>
            <w:r w:rsidR="00282C92" w:rsidRPr="0061343E">
              <w:t>,</w:t>
            </w:r>
            <w:r w:rsidRPr="0061343E">
              <w:t>142</w:t>
            </w:r>
          </w:p>
        </w:tc>
        <w:tc>
          <w:tcPr>
            <w:tcW w:w="398" w:type="pct"/>
            <w:noWrap/>
            <w:tcMar>
              <w:left w:w="20" w:type="dxa"/>
              <w:right w:w="20" w:type="dxa"/>
            </w:tcMar>
            <w:vAlign w:val="center"/>
            <w:hideMark/>
          </w:tcPr>
          <w:p w14:paraId="6F167650" w14:textId="77777777" w:rsidR="009F6B60" w:rsidRPr="0061343E" w:rsidRDefault="009F6B60" w:rsidP="002B4E77">
            <w:pPr>
              <w:pStyle w:val="TableText0"/>
            </w:pPr>
            <w:r w:rsidRPr="0061343E">
              <w:t>36.6%</w:t>
            </w:r>
          </w:p>
        </w:tc>
        <w:tc>
          <w:tcPr>
            <w:tcW w:w="732" w:type="pct"/>
            <w:tcMar>
              <w:left w:w="20" w:type="dxa"/>
              <w:right w:w="20" w:type="dxa"/>
            </w:tcMar>
            <w:vAlign w:val="center"/>
          </w:tcPr>
          <w:p w14:paraId="4BC5D785" w14:textId="77777777" w:rsidR="009F6B60" w:rsidRPr="0061343E" w:rsidRDefault="009F6B60" w:rsidP="002B4E77">
            <w:pPr>
              <w:pStyle w:val="TableText0"/>
              <w:jc w:val="center"/>
            </w:pPr>
            <w:r w:rsidRPr="0061343E">
              <w:t>724</w:t>
            </w:r>
          </w:p>
        </w:tc>
        <w:tc>
          <w:tcPr>
            <w:tcW w:w="534" w:type="pct"/>
            <w:tcMar>
              <w:left w:w="20" w:type="dxa"/>
              <w:right w:w="20" w:type="dxa"/>
            </w:tcMar>
            <w:vAlign w:val="center"/>
          </w:tcPr>
          <w:p w14:paraId="7FE9D7EA" w14:textId="77777777" w:rsidR="009F6B60" w:rsidRPr="0061343E" w:rsidRDefault="009F6B60" w:rsidP="002B4E77">
            <w:pPr>
              <w:pStyle w:val="TableText0"/>
              <w:jc w:val="center"/>
            </w:pPr>
            <w:r w:rsidRPr="0061343E">
              <w:t>9.6%</w:t>
            </w:r>
          </w:p>
        </w:tc>
        <w:tc>
          <w:tcPr>
            <w:tcW w:w="733" w:type="pct"/>
            <w:tcMar>
              <w:left w:w="20" w:type="dxa"/>
              <w:right w:w="20" w:type="dxa"/>
            </w:tcMar>
            <w:vAlign w:val="center"/>
          </w:tcPr>
          <w:p w14:paraId="490D1A9A" w14:textId="77777777" w:rsidR="009F6B60" w:rsidRPr="0061343E" w:rsidRDefault="009F6B60" w:rsidP="002B4E77">
            <w:pPr>
              <w:pStyle w:val="TableText0"/>
              <w:jc w:val="center"/>
            </w:pPr>
            <w:r w:rsidRPr="0061343E">
              <w:t>488</w:t>
            </w:r>
          </w:p>
        </w:tc>
        <w:tc>
          <w:tcPr>
            <w:tcW w:w="535" w:type="pct"/>
            <w:noWrap/>
            <w:tcMar>
              <w:left w:w="20" w:type="dxa"/>
              <w:right w:w="20" w:type="dxa"/>
            </w:tcMar>
            <w:vAlign w:val="center"/>
          </w:tcPr>
          <w:p w14:paraId="16C263AF" w14:textId="77777777" w:rsidR="009F6B60" w:rsidRPr="0061343E" w:rsidRDefault="009F6B60" w:rsidP="002B4E77">
            <w:pPr>
              <w:pStyle w:val="TableText0"/>
              <w:jc w:val="center"/>
            </w:pPr>
            <w:r w:rsidRPr="0061343E">
              <w:t>42.7%</w:t>
            </w:r>
          </w:p>
        </w:tc>
        <w:tc>
          <w:tcPr>
            <w:tcW w:w="539" w:type="pct"/>
            <w:noWrap/>
            <w:tcMar>
              <w:left w:w="20" w:type="dxa"/>
              <w:right w:w="20" w:type="dxa"/>
            </w:tcMar>
            <w:vAlign w:val="center"/>
            <w:hideMark/>
          </w:tcPr>
          <w:p w14:paraId="3A76ECF8" w14:textId="77777777" w:rsidR="009F6B60" w:rsidRPr="0061343E" w:rsidRDefault="009F6B60" w:rsidP="002B4E77">
            <w:pPr>
              <w:pStyle w:val="TableText0"/>
              <w:jc w:val="center"/>
            </w:pPr>
            <w:r w:rsidRPr="0061343E">
              <w:t>38.2%</w:t>
            </w:r>
          </w:p>
        </w:tc>
      </w:tr>
      <w:tr w:rsidR="009E0EF8" w:rsidRPr="0061343E" w14:paraId="770D04A7" w14:textId="77777777" w:rsidTr="009E0EF8">
        <w:trPr>
          <w:trHeight w:val="20"/>
        </w:trPr>
        <w:tc>
          <w:tcPr>
            <w:tcW w:w="424" w:type="pct"/>
            <w:noWrap/>
            <w:tcMar>
              <w:left w:w="20" w:type="dxa"/>
              <w:right w:w="20" w:type="dxa"/>
            </w:tcMar>
            <w:vAlign w:val="center"/>
            <w:hideMark/>
          </w:tcPr>
          <w:p w14:paraId="2CF96D12" w14:textId="1D73D04F" w:rsidR="009F6B60" w:rsidRPr="0061343E" w:rsidRDefault="009F6B60" w:rsidP="002B4E77">
            <w:pPr>
              <w:pStyle w:val="TableText0"/>
            </w:pPr>
            <w:r w:rsidRPr="0061343E">
              <w:t>PBS</w:t>
            </w:r>
            <w:r w:rsidR="003D779B" w:rsidRPr="0061343E">
              <w:t>***</w:t>
            </w:r>
            <w:r w:rsidRPr="0061343E">
              <w:t xml:space="preserve"> </w:t>
            </w:r>
          </w:p>
        </w:tc>
        <w:tc>
          <w:tcPr>
            <w:tcW w:w="567" w:type="pct"/>
            <w:noWrap/>
            <w:tcMar>
              <w:left w:w="20" w:type="dxa"/>
              <w:right w:w="20" w:type="dxa"/>
            </w:tcMar>
            <w:vAlign w:val="center"/>
            <w:hideMark/>
          </w:tcPr>
          <w:p w14:paraId="77DA1FFB" w14:textId="3845B01B" w:rsidR="009F6B60" w:rsidRPr="0061343E" w:rsidRDefault="009F6B60" w:rsidP="002B4E77">
            <w:pPr>
              <w:pStyle w:val="TableText0"/>
            </w:pPr>
            <w:r w:rsidRPr="0061343E">
              <w:t>EASI</w:t>
            </w:r>
            <w:r w:rsidR="003D779B" w:rsidRPr="0061343E">
              <w:t>-</w:t>
            </w:r>
            <w:r w:rsidRPr="0061343E">
              <w:t>50</w:t>
            </w:r>
          </w:p>
        </w:tc>
        <w:tc>
          <w:tcPr>
            <w:tcW w:w="267" w:type="pct"/>
            <w:noWrap/>
            <w:tcMar>
              <w:left w:w="20" w:type="dxa"/>
              <w:right w:w="20" w:type="dxa"/>
            </w:tcMar>
            <w:vAlign w:val="center"/>
            <w:hideMark/>
          </w:tcPr>
          <w:p w14:paraId="0609D53A" w14:textId="77777777" w:rsidR="009F6B60" w:rsidRPr="0061343E" w:rsidRDefault="009F6B60" w:rsidP="002B4E77">
            <w:pPr>
              <w:pStyle w:val="TableText0"/>
            </w:pPr>
            <w:r w:rsidRPr="0061343E">
              <w:t>164</w:t>
            </w:r>
          </w:p>
        </w:tc>
        <w:tc>
          <w:tcPr>
            <w:tcW w:w="271" w:type="pct"/>
            <w:noWrap/>
            <w:tcMar>
              <w:left w:w="20" w:type="dxa"/>
              <w:right w:w="20" w:type="dxa"/>
            </w:tcMar>
            <w:vAlign w:val="center"/>
            <w:hideMark/>
          </w:tcPr>
          <w:p w14:paraId="4245BB0E" w14:textId="77777777" w:rsidR="009F6B60" w:rsidRPr="0061343E" w:rsidRDefault="009F6B60" w:rsidP="002B4E77">
            <w:pPr>
              <w:pStyle w:val="TableText0"/>
            </w:pPr>
            <w:r w:rsidRPr="0061343E">
              <w:t>330</w:t>
            </w:r>
          </w:p>
        </w:tc>
        <w:tc>
          <w:tcPr>
            <w:tcW w:w="398" w:type="pct"/>
            <w:noWrap/>
            <w:tcMar>
              <w:left w:w="20" w:type="dxa"/>
              <w:right w:w="20" w:type="dxa"/>
            </w:tcMar>
            <w:vAlign w:val="center"/>
            <w:hideMark/>
          </w:tcPr>
          <w:p w14:paraId="0825EFA4" w14:textId="77777777" w:rsidR="009F6B60" w:rsidRPr="0061343E" w:rsidRDefault="009F6B60" w:rsidP="002B4E77">
            <w:pPr>
              <w:pStyle w:val="TableText0"/>
            </w:pPr>
            <w:r w:rsidRPr="0061343E">
              <w:t>49.7%</w:t>
            </w:r>
          </w:p>
        </w:tc>
        <w:tc>
          <w:tcPr>
            <w:tcW w:w="732" w:type="pct"/>
            <w:tcMar>
              <w:left w:w="20" w:type="dxa"/>
              <w:right w:w="20" w:type="dxa"/>
            </w:tcMar>
            <w:vAlign w:val="center"/>
          </w:tcPr>
          <w:p w14:paraId="32671B1B" w14:textId="77777777" w:rsidR="009F6B60" w:rsidRPr="0061343E" w:rsidRDefault="009F6B60" w:rsidP="002B4E77">
            <w:pPr>
              <w:pStyle w:val="TableText0"/>
              <w:jc w:val="center"/>
            </w:pPr>
            <w:r w:rsidRPr="0061343E">
              <w:t>166</w:t>
            </w:r>
          </w:p>
        </w:tc>
        <w:tc>
          <w:tcPr>
            <w:tcW w:w="534" w:type="pct"/>
            <w:tcMar>
              <w:left w:w="20" w:type="dxa"/>
              <w:right w:w="20" w:type="dxa"/>
            </w:tcMar>
            <w:vAlign w:val="center"/>
          </w:tcPr>
          <w:p w14:paraId="38879AF3" w14:textId="77777777" w:rsidR="009F6B60" w:rsidRPr="0061343E" w:rsidRDefault="009F6B60" w:rsidP="002B4E77">
            <w:pPr>
              <w:pStyle w:val="TableText0"/>
              <w:jc w:val="center"/>
            </w:pPr>
            <w:r w:rsidRPr="0061343E">
              <w:t>34.5%</w:t>
            </w:r>
          </w:p>
        </w:tc>
        <w:tc>
          <w:tcPr>
            <w:tcW w:w="733" w:type="pct"/>
            <w:tcMar>
              <w:left w:w="20" w:type="dxa"/>
              <w:right w:w="20" w:type="dxa"/>
            </w:tcMar>
            <w:vAlign w:val="center"/>
          </w:tcPr>
          <w:p w14:paraId="45502256" w14:textId="77777777" w:rsidR="009F6B60" w:rsidRPr="0061343E" w:rsidRDefault="009F6B60" w:rsidP="002B4E77">
            <w:pPr>
              <w:pStyle w:val="TableText0"/>
              <w:jc w:val="center"/>
            </w:pPr>
            <w:r w:rsidRPr="0061343E">
              <w:t>221</w:t>
            </w:r>
          </w:p>
        </w:tc>
        <w:tc>
          <w:tcPr>
            <w:tcW w:w="535" w:type="pct"/>
            <w:noWrap/>
            <w:tcMar>
              <w:left w:w="20" w:type="dxa"/>
              <w:right w:w="20" w:type="dxa"/>
            </w:tcMar>
            <w:vAlign w:val="center"/>
          </w:tcPr>
          <w:p w14:paraId="2E4210B7" w14:textId="77777777" w:rsidR="009F6B60" w:rsidRPr="0061343E" w:rsidRDefault="009F6B60" w:rsidP="002B4E77">
            <w:pPr>
              <w:pStyle w:val="TableText0"/>
              <w:jc w:val="center"/>
            </w:pPr>
            <w:r w:rsidRPr="0061343E">
              <w:t>67.1%</w:t>
            </w:r>
          </w:p>
        </w:tc>
        <w:tc>
          <w:tcPr>
            <w:tcW w:w="539" w:type="pct"/>
            <w:noWrap/>
            <w:tcMar>
              <w:left w:w="20" w:type="dxa"/>
              <w:right w:w="20" w:type="dxa"/>
            </w:tcMar>
            <w:vAlign w:val="center"/>
            <w:hideMark/>
          </w:tcPr>
          <w:p w14:paraId="3787FD4B" w14:textId="77777777" w:rsidR="009F6B60" w:rsidRPr="0061343E" w:rsidRDefault="009F6B60" w:rsidP="002B4E77">
            <w:pPr>
              <w:pStyle w:val="TableText0"/>
              <w:jc w:val="center"/>
            </w:pPr>
            <w:r w:rsidRPr="0061343E">
              <w:t>67.0%</w:t>
            </w:r>
          </w:p>
        </w:tc>
      </w:tr>
    </w:tbl>
    <w:p w14:paraId="497875C6" w14:textId="08102294" w:rsidR="009F6B60" w:rsidRPr="0061343E" w:rsidRDefault="009F6B60" w:rsidP="002B4E77">
      <w:pPr>
        <w:pStyle w:val="TableFigureFooter"/>
        <w:keepNext/>
        <w:spacing w:after="0"/>
        <w:rPr>
          <w:rStyle w:val="TableFigureFooterChar"/>
          <w:szCs w:val="18"/>
        </w:rPr>
      </w:pPr>
      <w:r w:rsidRPr="0061343E">
        <w:rPr>
          <w:rStyle w:val="TableFigureFooterChar"/>
          <w:szCs w:val="18"/>
        </w:rPr>
        <w:t>Source</w:t>
      </w:r>
      <w:r w:rsidR="003D779B" w:rsidRPr="0061343E">
        <w:rPr>
          <w:rStyle w:val="TableFigureFooterChar"/>
          <w:szCs w:val="18"/>
        </w:rPr>
        <w:t>: Table2, p3 of the PSCR</w:t>
      </w:r>
    </w:p>
    <w:p w14:paraId="1C3A465A" w14:textId="1B244DD2" w:rsidR="003D779B" w:rsidRPr="0061343E" w:rsidRDefault="003D779B" w:rsidP="002B4E77">
      <w:pPr>
        <w:pStyle w:val="Caption"/>
        <w:rPr>
          <w:b w:val="0"/>
          <w:bCs w:val="0"/>
          <w:sz w:val="18"/>
        </w:rPr>
      </w:pPr>
      <w:r w:rsidRPr="0061343E">
        <w:rPr>
          <w:b w:val="0"/>
          <w:bCs w:val="0"/>
          <w:sz w:val="18"/>
        </w:rPr>
        <w:t>AD = atopic dermatitis; DUPI = dupilumab; EASI = Eczema Area and Severity Index; IGA = Investigator’s Global Assessment; ITT = intent to treat; LTE = long-term extension; NEMO = nemolizumab; PBS = Pharmaceutical Benefits Scheme; PGA = Physician’s Global Assessment</w:t>
      </w:r>
    </w:p>
    <w:p w14:paraId="67434B3C" w14:textId="77777777" w:rsidR="003D779B" w:rsidRPr="0061343E" w:rsidRDefault="003D779B" w:rsidP="002B4E77">
      <w:pPr>
        <w:pStyle w:val="TableFigureFooter"/>
        <w:keepNext/>
        <w:spacing w:after="0"/>
        <w:rPr>
          <w:rStyle w:val="TableFigureFooterChar"/>
          <w:szCs w:val="18"/>
        </w:rPr>
      </w:pPr>
      <w:r w:rsidRPr="0061343E">
        <w:rPr>
          <w:rStyle w:val="TableFigureFooterChar"/>
          <w:szCs w:val="18"/>
        </w:rPr>
        <w:t>* Derived from LEB PSD, March 2024 PBAC meeting</w:t>
      </w:r>
    </w:p>
    <w:p w14:paraId="34D36845" w14:textId="02186C38" w:rsidR="009F6B60" w:rsidRPr="0061343E" w:rsidRDefault="009F6B60" w:rsidP="002B4E77">
      <w:pPr>
        <w:pStyle w:val="TableFigureFooter"/>
        <w:keepNext/>
        <w:spacing w:after="0"/>
        <w:rPr>
          <w:szCs w:val="18"/>
        </w:rPr>
      </w:pPr>
      <w:r w:rsidRPr="0061343E">
        <w:rPr>
          <w:szCs w:val="18"/>
        </w:rPr>
        <w:t xml:space="preserve">** </w:t>
      </w:r>
      <w:r w:rsidR="003D779B" w:rsidRPr="0061343E">
        <w:rPr>
          <w:szCs w:val="18"/>
        </w:rPr>
        <w:t xml:space="preserve">Calculated </w:t>
      </w:r>
      <w:r w:rsidRPr="0061343E">
        <w:rPr>
          <w:szCs w:val="18"/>
        </w:rPr>
        <w:t xml:space="preserve">as additional responders in LTE divided by those patients who entered LTE following treatment with NEMO in ARCADIA 1 or 2 as non-responders </w:t>
      </w:r>
    </w:p>
    <w:p w14:paraId="0971CBF6" w14:textId="7E9EE259" w:rsidR="003D779B" w:rsidRPr="0061343E" w:rsidRDefault="003D779B" w:rsidP="002B4E77">
      <w:pPr>
        <w:pStyle w:val="Caption"/>
        <w:spacing w:after="120"/>
        <w:rPr>
          <w:b w:val="0"/>
          <w:bCs w:val="0"/>
          <w:sz w:val="18"/>
        </w:rPr>
      </w:pPr>
      <w:r w:rsidRPr="0061343E">
        <w:rPr>
          <w:b w:val="0"/>
          <w:bCs w:val="0"/>
          <w:sz w:val="18"/>
        </w:rPr>
        <w:t>*** Subgroup population with severe AD only defined as an EASI score ≥ 20 and an PGA/IGA score of 4</w:t>
      </w:r>
    </w:p>
    <w:p w14:paraId="3FA24838" w14:textId="3CF070E7" w:rsidR="00BC07E9" w:rsidRPr="0061343E" w:rsidRDefault="00BC07E9" w:rsidP="00BC07E9">
      <w:pPr>
        <w:pStyle w:val="3-BodyText"/>
      </w:pPr>
      <w:r w:rsidRPr="0061343E">
        <w:t xml:space="preserve">Following an extended induction for non-responders at Week 16, </w:t>
      </w:r>
      <w:r w:rsidR="0001747B" w:rsidRPr="0061343E">
        <w:t xml:space="preserve">the PSCR stated that </w:t>
      </w:r>
      <w:r w:rsidRPr="0061343E">
        <w:t xml:space="preserve">NEMO at Week 24 </w:t>
      </w:r>
      <w:r w:rsidR="00FA1DFA" w:rsidRPr="0061343E">
        <w:t xml:space="preserve">was </w:t>
      </w:r>
      <w:r w:rsidRPr="0061343E">
        <w:t xml:space="preserve">at least as effective as DUPI at Week 16. </w:t>
      </w:r>
    </w:p>
    <w:p w14:paraId="1ADCC3E5" w14:textId="4C74A101" w:rsidR="00070B07" w:rsidRPr="0061343E" w:rsidRDefault="00167892" w:rsidP="00070B07">
      <w:pPr>
        <w:pStyle w:val="3-BodyText"/>
      </w:pPr>
      <w:r w:rsidRPr="0061343E">
        <w:rPr>
          <w:highlight w:val="yellow"/>
        </w:rPr>
        <w:fldChar w:fldCharType="begin"/>
      </w:r>
      <w:r w:rsidRPr="0061343E">
        <w:instrText xml:space="preserve"> REF _Ref201151501 \h </w:instrText>
      </w:r>
      <w:r w:rsidR="0061343E" w:rsidRPr="0061343E">
        <w:rPr>
          <w:highlight w:val="yellow"/>
        </w:rPr>
        <w:instrText xml:space="preserve"> \* MERGEFORMAT </w:instrText>
      </w:r>
      <w:r w:rsidRPr="0061343E">
        <w:rPr>
          <w:highlight w:val="yellow"/>
        </w:rPr>
      </w:r>
      <w:r w:rsidRPr="0061343E">
        <w:rPr>
          <w:highlight w:val="yellow"/>
        </w:rPr>
        <w:fldChar w:fldCharType="separate"/>
      </w:r>
      <w:r w:rsidR="00E5780E" w:rsidRPr="0061343E">
        <w:t xml:space="preserve">Table </w:t>
      </w:r>
      <w:r w:rsidR="00E5780E">
        <w:rPr>
          <w:noProof/>
        </w:rPr>
        <w:t>11</w:t>
      </w:r>
      <w:r w:rsidRPr="0061343E">
        <w:rPr>
          <w:highlight w:val="yellow"/>
        </w:rPr>
        <w:fldChar w:fldCharType="end"/>
      </w:r>
      <w:r w:rsidRPr="0061343E">
        <w:t xml:space="preserve"> </w:t>
      </w:r>
      <w:r w:rsidR="00A1578F" w:rsidRPr="0061343E">
        <w:t>presents an analysis of the proportion of patients achieving relevant efficacy outcomes with an additional 20 weeks of NEMO Q4W</w:t>
      </w:r>
      <w:r w:rsidR="00CC18E5" w:rsidRPr="0061343E">
        <w:t xml:space="preserve">, that is, induction extended to 36 weeks. </w:t>
      </w:r>
      <w:r w:rsidR="00070B07" w:rsidRPr="0061343E">
        <w:t xml:space="preserve">The PSCR applied the response rates at Week </w:t>
      </w:r>
      <w:r w:rsidR="001C62AB" w:rsidRPr="0061343E">
        <w:t>20</w:t>
      </w:r>
      <w:r w:rsidR="00070B07" w:rsidRPr="0061343E">
        <w:t xml:space="preserve"> in patients who entered the LTE as non-responders after receiving NEMO for 16 weeks in ARCADIA 1 </w:t>
      </w:r>
      <w:r w:rsidR="003D779B" w:rsidRPr="0061343E">
        <w:t xml:space="preserve">and ARCADIA </w:t>
      </w:r>
      <w:r w:rsidR="00070B07" w:rsidRPr="0061343E">
        <w:t xml:space="preserve">2 to the cohort of non-responders in ARCADIA 1 </w:t>
      </w:r>
      <w:r w:rsidR="003D779B" w:rsidRPr="0061343E">
        <w:t xml:space="preserve">and ARCADIA </w:t>
      </w:r>
      <w:r w:rsidR="00070B07" w:rsidRPr="0061343E">
        <w:t xml:space="preserve">2 to estimate the total response rate at Week </w:t>
      </w:r>
      <w:r w:rsidR="004A7CD9" w:rsidRPr="0061343E">
        <w:t>36 in the severe PBS population</w:t>
      </w:r>
      <w:r w:rsidR="00070B07" w:rsidRPr="0061343E">
        <w:t xml:space="preserve">. </w:t>
      </w:r>
      <w:r w:rsidR="00630790" w:rsidRPr="0061343E">
        <w:t>The PSCR stated that as expected, NEMO response at Week 36 is higher than NEMO response at Week 24. Th</w:t>
      </w:r>
      <w:r w:rsidR="00CC18E5" w:rsidRPr="0061343E">
        <w:t xml:space="preserve">e PSCR stated that </w:t>
      </w:r>
      <w:r w:rsidR="009440A4" w:rsidRPr="0061343E">
        <w:t xml:space="preserve">the </w:t>
      </w:r>
      <w:r w:rsidR="00630790" w:rsidRPr="0061343E">
        <w:t>additional 20-week data is provided as a confirmatory analysis</w:t>
      </w:r>
      <w:r w:rsidR="009440A4" w:rsidRPr="0061343E">
        <w:t>.</w:t>
      </w:r>
      <w:r w:rsidR="00630790" w:rsidRPr="0061343E">
        <w:t xml:space="preserve"> </w:t>
      </w:r>
    </w:p>
    <w:p w14:paraId="2E01ED92" w14:textId="3A26F6C2" w:rsidR="00262266" w:rsidRPr="0061343E" w:rsidRDefault="00167892" w:rsidP="00F772AD">
      <w:pPr>
        <w:pStyle w:val="Caption"/>
      </w:pPr>
      <w:bookmarkStart w:id="43" w:name="_Ref201151501"/>
      <w:bookmarkEnd w:id="41"/>
      <w:r w:rsidRPr="0061343E">
        <w:lastRenderedPageBreak/>
        <w:t xml:space="preserve">Table </w:t>
      </w:r>
      <w:r>
        <w:fldChar w:fldCharType="begin"/>
      </w:r>
      <w:r>
        <w:instrText xml:space="preserve"> SEQ Table \* ARABIC </w:instrText>
      </w:r>
      <w:r>
        <w:fldChar w:fldCharType="separate"/>
      </w:r>
      <w:r w:rsidR="00E5780E">
        <w:rPr>
          <w:noProof/>
        </w:rPr>
        <w:t>11</w:t>
      </w:r>
      <w:r>
        <w:rPr>
          <w:noProof/>
        </w:rPr>
        <w:fldChar w:fldCharType="end"/>
      </w:r>
      <w:bookmarkEnd w:id="43"/>
      <w:r w:rsidRPr="0061343E">
        <w:t xml:space="preserve">: </w:t>
      </w:r>
      <w:r w:rsidR="00262266" w:rsidRPr="0061343E">
        <w:t>Naïve comparison of NEMO 36 weeks (16 + 20) and DUPI 16 weeks response rates</w:t>
      </w:r>
      <w:r w:rsidR="00A75802" w:rsidRPr="0061343E">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1: Naïve comparison of NEMO 36 weeks (16 + 20) and DUPI 16 weeks response rates "/>
      </w:tblPr>
      <w:tblGrid>
        <w:gridCol w:w="647"/>
        <w:gridCol w:w="1026"/>
        <w:gridCol w:w="408"/>
        <w:gridCol w:w="451"/>
        <w:gridCol w:w="770"/>
        <w:gridCol w:w="1486"/>
        <w:gridCol w:w="943"/>
        <w:gridCol w:w="1306"/>
        <w:gridCol w:w="1210"/>
        <w:gridCol w:w="770"/>
      </w:tblGrid>
      <w:tr w:rsidR="009E0EF8" w:rsidRPr="0061343E" w14:paraId="62479C78" w14:textId="77777777" w:rsidTr="00DA1C7F">
        <w:trPr>
          <w:trHeight w:val="20"/>
        </w:trPr>
        <w:tc>
          <w:tcPr>
            <w:tcW w:w="939" w:type="pct"/>
            <w:gridSpan w:val="2"/>
            <w:noWrap/>
            <w:tcMar>
              <w:left w:w="20" w:type="dxa"/>
              <w:right w:w="20" w:type="dxa"/>
            </w:tcMar>
            <w:vAlign w:val="center"/>
          </w:tcPr>
          <w:p w14:paraId="1B03D5E7" w14:textId="03268FBE" w:rsidR="001867E7" w:rsidRPr="0061343E" w:rsidRDefault="001867E7" w:rsidP="00F772AD">
            <w:pPr>
              <w:pStyle w:val="TableText0"/>
              <w:rPr>
                <w:b/>
                <w:bCs w:val="0"/>
              </w:rPr>
            </w:pPr>
          </w:p>
        </w:tc>
        <w:tc>
          <w:tcPr>
            <w:tcW w:w="1720" w:type="pct"/>
            <w:gridSpan w:val="4"/>
            <w:noWrap/>
            <w:tcMar>
              <w:left w:w="20" w:type="dxa"/>
              <w:right w:w="20" w:type="dxa"/>
            </w:tcMar>
            <w:vAlign w:val="center"/>
            <w:hideMark/>
          </w:tcPr>
          <w:p w14:paraId="7D31CCEA" w14:textId="77777777" w:rsidR="001867E7" w:rsidRPr="0061343E" w:rsidRDefault="001867E7" w:rsidP="00F772AD">
            <w:pPr>
              <w:pStyle w:val="TableText0"/>
              <w:jc w:val="center"/>
              <w:rPr>
                <w:b/>
                <w:bCs w:val="0"/>
              </w:rPr>
            </w:pPr>
            <w:r w:rsidRPr="0061343E">
              <w:rPr>
                <w:b/>
                <w:bCs w:val="0"/>
              </w:rPr>
              <w:t>NEMO Week 16 from trial</w:t>
            </w:r>
          </w:p>
        </w:tc>
        <w:tc>
          <w:tcPr>
            <w:tcW w:w="1945" w:type="pct"/>
            <w:gridSpan w:val="3"/>
            <w:tcMar>
              <w:left w:w="20" w:type="dxa"/>
              <w:right w:w="20" w:type="dxa"/>
            </w:tcMar>
            <w:vAlign w:val="center"/>
          </w:tcPr>
          <w:p w14:paraId="7EA771B8" w14:textId="47A29663" w:rsidR="001867E7" w:rsidRPr="0061343E" w:rsidRDefault="001867E7" w:rsidP="00F772AD">
            <w:pPr>
              <w:pStyle w:val="TableText0"/>
              <w:jc w:val="center"/>
              <w:rPr>
                <w:b/>
                <w:bCs w:val="0"/>
              </w:rPr>
            </w:pPr>
            <w:r w:rsidRPr="0061343E">
              <w:rPr>
                <w:b/>
                <w:bCs w:val="0"/>
              </w:rPr>
              <w:t xml:space="preserve">Additional 20 weeks </w:t>
            </w:r>
            <w:r w:rsidR="00412193" w:rsidRPr="0061343E">
              <w:rPr>
                <w:b/>
                <w:bCs w:val="0"/>
              </w:rPr>
              <w:br/>
            </w:r>
            <w:r w:rsidRPr="0061343E">
              <w:rPr>
                <w:b/>
                <w:bCs w:val="0"/>
              </w:rPr>
              <w:t>(i.e. up to 36 weeks initial period)</w:t>
            </w:r>
          </w:p>
        </w:tc>
        <w:tc>
          <w:tcPr>
            <w:tcW w:w="396" w:type="pct"/>
            <w:vMerge w:val="restart"/>
            <w:tcMar>
              <w:left w:w="20" w:type="dxa"/>
              <w:right w:w="20" w:type="dxa"/>
            </w:tcMar>
            <w:vAlign w:val="center"/>
          </w:tcPr>
          <w:p w14:paraId="7A8F3094" w14:textId="16634E2B" w:rsidR="001867E7" w:rsidRPr="0061343E" w:rsidRDefault="001867E7" w:rsidP="00F772AD">
            <w:pPr>
              <w:pStyle w:val="TableText0"/>
              <w:jc w:val="center"/>
              <w:rPr>
                <w:b/>
                <w:bCs w:val="0"/>
              </w:rPr>
            </w:pPr>
            <w:r w:rsidRPr="0061343E">
              <w:rPr>
                <w:b/>
                <w:bCs w:val="0"/>
              </w:rPr>
              <w:t>DUPI response at 16 weeks*</w:t>
            </w:r>
          </w:p>
        </w:tc>
      </w:tr>
      <w:tr w:rsidR="00DA1C7F" w:rsidRPr="0061343E" w14:paraId="370065DB" w14:textId="77777777" w:rsidTr="009E0EF8">
        <w:trPr>
          <w:trHeight w:val="674"/>
        </w:trPr>
        <w:tc>
          <w:tcPr>
            <w:tcW w:w="368" w:type="pct"/>
            <w:noWrap/>
            <w:tcMar>
              <w:left w:w="20" w:type="dxa"/>
              <w:right w:w="20" w:type="dxa"/>
            </w:tcMar>
            <w:vAlign w:val="center"/>
            <w:hideMark/>
          </w:tcPr>
          <w:p w14:paraId="704A876D" w14:textId="4F382F62" w:rsidR="00DA1C7F" w:rsidRPr="0061343E" w:rsidRDefault="00DA1C7F" w:rsidP="00F772AD">
            <w:pPr>
              <w:pStyle w:val="TableText0"/>
              <w:rPr>
                <w:b/>
                <w:bCs w:val="0"/>
              </w:rPr>
            </w:pPr>
            <w:r w:rsidRPr="0061343E">
              <w:rPr>
                <w:b/>
                <w:bCs w:val="0"/>
              </w:rPr>
              <w:t>Pop</w:t>
            </w:r>
          </w:p>
        </w:tc>
        <w:tc>
          <w:tcPr>
            <w:tcW w:w="572" w:type="pct"/>
            <w:noWrap/>
            <w:tcMar>
              <w:left w:w="20" w:type="dxa"/>
              <w:right w:w="20" w:type="dxa"/>
            </w:tcMar>
            <w:vAlign w:val="center"/>
            <w:hideMark/>
          </w:tcPr>
          <w:p w14:paraId="763A46A6" w14:textId="77777777" w:rsidR="00DA1C7F" w:rsidRPr="0061343E" w:rsidRDefault="00DA1C7F" w:rsidP="00F772AD">
            <w:pPr>
              <w:pStyle w:val="TableText0"/>
              <w:rPr>
                <w:b/>
                <w:bCs w:val="0"/>
              </w:rPr>
            </w:pPr>
            <w:r w:rsidRPr="0061343E">
              <w:rPr>
                <w:b/>
                <w:bCs w:val="0"/>
              </w:rPr>
              <w:t>Outcome</w:t>
            </w:r>
          </w:p>
        </w:tc>
        <w:tc>
          <w:tcPr>
            <w:tcW w:w="241" w:type="pct"/>
            <w:noWrap/>
            <w:tcMar>
              <w:left w:w="20" w:type="dxa"/>
              <w:right w:w="20" w:type="dxa"/>
            </w:tcMar>
            <w:vAlign w:val="center"/>
            <w:hideMark/>
          </w:tcPr>
          <w:p w14:paraId="34B5376E" w14:textId="77777777" w:rsidR="00DA1C7F" w:rsidRPr="0061343E" w:rsidRDefault="00DA1C7F" w:rsidP="00F772AD">
            <w:pPr>
              <w:pStyle w:val="TableText0"/>
              <w:jc w:val="center"/>
              <w:rPr>
                <w:b/>
                <w:bCs w:val="0"/>
              </w:rPr>
            </w:pPr>
            <w:r w:rsidRPr="0061343E">
              <w:rPr>
                <w:b/>
                <w:bCs w:val="0"/>
              </w:rPr>
              <w:t>n</w:t>
            </w:r>
          </w:p>
        </w:tc>
        <w:tc>
          <w:tcPr>
            <w:tcW w:w="250" w:type="pct"/>
            <w:noWrap/>
            <w:tcMar>
              <w:left w:w="20" w:type="dxa"/>
              <w:right w:w="20" w:type="dxa"/>
            </w:tcMar>
            <w:vAlign w:val="center"/>
            <w:hideMark/>
          </w:tcPr>
          <w:p w14:paraId="271C4ACF" w14:textId="77777777" w:rsidR="00DA1C7F" w:rsidRPr="0061343E" w:rsidRDefault="00DA1C7F" w:rsidP="00F772AD">
            <w:pPr>
              <w:pStyle w:val="TableText0"/>
              <w:jc w:val="center"/>
              <w:rPr>
                <w:b/>
                <w:bCs w:val="0"/>
              </w:rPr>
            </w:pPr>
            <w:r w:rsidRPr="0061343E">
              <w:rPr>
                <w:b/>
                <w:bCs w:val="0"/>
              </w:rPr>
              <w:t>N</w:t>
            </w:r>
          </w:p>
        </w:tc>
        <w:tc>
          <w:tcPr>
            <w:tcW w:w="396" w:type="pct"/>
            <w:noWrap/>
            <w:tcMar>
              <w:left w:w="20" w:type="dxa"/>
              <w:right w:w="20" w:type="dxa"/>
            </w:tcMar>
            <w:vAlign w:val="center"/>
            <w:hideMark/>
          </w:tcPr>
          <w:p w14:paraId="416A354A" w14:textId="4C9349D8" w:rsidR="00DA1C7F" w:rsidRPr="0061343E" w:rsidRDefault="00DA1C7F" w:rsidP="00F772AD">
            <w:pPr>
              <w:pStyle w:val="TableText0"/>
              <w:jc w:val="center"/>
              <w:rPr>
                <w:b/>
                <w:bCs w:val="0"/>
              </w:rPr>
            </w:pPr>
            <w:r w:rsidRPr="0061343E">
              <w:rPr>
                <w:b/>
                <w:bCs w:val="0"/>
              </w:rPr>
              <w:t>%</w:t>
            </w:r>
          </w:p>
          <w:p w14:paraId="036EA47F" w14:textId="3916F964" w:rsidR="00DA1C7F" w:rsidRPr="0061343E" w:rsidRDefault="00DA1C7F" w:rsidP="00F772AD">
            <w:pPr>
              <w:pStyle w:val="TableText0"/>
              <w:jc w:val="center"/>
              <w:rPr>
                <w:b/>
                <w:bCs w:val="0"/>
              </w:rPr>
            </w:pPr>
            <w:r w:rsidRPr="0061343E">
              <w:rPr>
                <w:b/>
                <w:bCs w:val="0"/>
              </w:rPr>
              <w:t>response</w:t>
            </w:r>
          </w:p>
        </w:tc>
        <w:tc>
          <w:tcPr>
            <w:tcW w:w="832" w:type="pct"/>
            <w:tcMar>
              <w:left w:w="20" w:type="dxa"/>
              <w:right w:w="20" w:type="dxa"/>
            </w:tcMar>
            <w:vAlign w:val="center"/>
          </w:tcPr>
          <w:p w14:paraId="46A93F94" w14:textId="72A7DDF0" w:rsidR="00DA1C7F" w:rsidRPr="0061343E" w:rsidRDefault="00DA1C7F" w:rsidP="00F772AD">
            <w:pPr>
              <w:pStyle w:val="TableText0"/>
              <w:jc w:val="center"/>
              <w:rPr>
                <w:b/>
                <w:bCs w:val="0"/>
              </w:rPr>
            </w:pPr>
            <w:r w:rsidRPr="0061343E">
              <w:rPr>
                <w:b/>
                <w:bCs w:val="0"/>
              </w:rPr>
              <w:t xml:space="preserve">Non-responders from </w:t>
            </w:r>
            <w:r w:rsidR="003A4901">
              <w:rPr>
                <w:b/>
                <w:bCs w:val="0"/>
              </w:rPr>
              <w:t>ARCADIA</w:t>
            </w:r>
            <w:r w:rsidR="00412193" w:rsidRPr="0061343E">
              <w:rPr>
                <w:b/>
                <w:bCs w:val="0"/>
              </w:rPr>
              <w:t>, n</w:t>
            </w:r>
          </w:p>
        </w:tc>
        <w:tc>
          <w:tcPr>
            <w:tcW w:w="532" w:type="pct"/>
            <w:tcMar>
              <w:left w:w="20" w:type="dxa"/>
              <w:right w:w="20" w:type="dxa"/>
            </w:tcMar>
            <w:vAlign w:val="center"/>
          </w:tcPr>
          <w:p w14:paraId="65F8E761" w14:textId="0FD91536" w:rsidR="00DA1C7F" w:rsidRPr="0061343E" w:rsidRDefault="00DA1C7F" w:rsidP="00F772AD">
            <w:pPr>
              <w:pStyle w:val="TableText0"/>
              <w:jc w:val="center"/>
              <w:rPr>
                <w:b/>
                <w:bCs w:val="0"/>
              </w:rPr>
            </w:pPr>
            <w:r w:rsidRPr="0061343E">
              <w:rPr>
                <w:b/>
                <w:bCs w:val="0"/>
              </w:rPr>
              <w:t>% additional response from LTE</w:t>
            </w:r>
            <w:r w:rsidR="0051616E">
              <w:rPr>
                <w:b/>
                <w:bCs w:val="0"/>
              </w:rPr>
              <w:t>**</w:t>
            </w:r>
          </w:p>
        </w:tc>
        <w:tc>
          <w:tcPr>
            <w:tcW w:w="733" w:type="pct"/>
            <w:tcMar>
              <w:left w:w="20" w:type="dxa"/>
              <w:right w:w="20" w:type="dxa"/>
            </w:tcMar>
            <w:vAlign w:val="center"/>
          </w:tcPr>
          <w:p w14:paraId="364A6647" w14:textId="5E4248D0" w:rsidR="00DA1C7F" w:rsidRPr="0061343E" w:rsidRDefault="00DA1C7F" w:rsidP="00F772AD">
            <w:pPr>
              <w:pStyle w:val="TableText0"/>
              <w:jc w:val="center"/>
              <w:rPr>
                <w:b/>
                <w:bCs w:val="0"/>
              </w:rPr>
            </w:pPr>
            <w:r w:rsidRPr="0061343E">
              <w:rPr>
                <w:b/>
                <w:bCs w:val="0"/>
              </w:rPr>
              <w:t>Expected total responders after 36 weeks</w:t>
            </w:r>
            <w:r w:rsidR="00412193" w:rsidRPr="0061343E">
              <w:rPr>
                <w:b/>
                <w:bCs w:val="0"/>
              </w:rPr>
              <w:t>, n</w:t>
            </w:r>
          </w:p>
        </w:tc>
        <w:tc>
          <w:tcPr>
            <w:tcW w:w="680" w:type="pct"/>
            <w:tcMar>
              <w:left w:w="20" w:type="dxa"/>
              <w:right w:w="20" w:type="dxa"/>
            </w:tcMar>
            <w:vAlign w:val="center"/>
            <w:hideMark/>
          </w:tcPr>
          <w:p w14:paraId="5F426FE8" w14:textId="29453E0F" w:rsidR="00DA1C7F" w:rsidRPr="0061343E" w:rsidRDefault="00DA1C7F" w:rsidP="00F772AD">
            <w:pPr>
              <w:pStyle w:val="TableText0"/>
              <w:jc w:val="center"/>
              <w:rPr>
                <w:b/>
                <w:bCs w:val="0"/>
              </w:rPr>
            </w:pPr>
            <w:r w:rsidRPr="0061343E">
              <w:rPr>
                <w:b/>
                <w:bCs w:val="0"/>
              </w:rPr>
              <w:t>Tota</w:t>
            </w:r>
            <w:r w:rsidR="009E0EF8" w:rsidRPr="0061343E">
              <w:rPr>
                <w:b/>
                <w:bCs w:val="0"/>
              </w:rPr>
              <w:t>l</w:t>
            </w:r>
            <w:r w:rsidRPr="0061343E">
              <w:rPr>
                <w:b/>
                <w:bCs w:val="0"/>
              </w:rPr>
              <w:t xml:space="preserve"> NEMO response at 36 weeks</w:t>
            </w:r>
          </w:p>
        </w:tc>
        <w:tc>
          <w:tcPr>
            <w:tcW w:w="396" w:type="pct"/>
            <w:vMerge/>
            <w:tcMar>
              <w:left w:w="20" w:type="dxa"/>
              <w:right w:w="20" w:type="dxa"/>
            </w:tcMar>
            <w:vAlign w:val="center"/>
            <w:hideMark/>
          </w:tcPr>
          <w:p w14:paraId="12CC0761" w14:textId="06636081" w:rsidR="00DA1C7F" w:rsidRPr="0061343E" w:rsidRDefault="00DA1C7F" w:rsidP="00F772AD">
            <w:pPr>
              <w:pStyle w:val="TableText0"/>
              <w:jc w:val="center"/>
              <w:rPr>
                <w:b/>
                <w:bCs w:val="0"/>
              </w:rPr>
            </w:pPr>
          </w:p>
        </w:tc>
      </w:tr>
      <w:tr w:rsidR="00DA1C7F" w:rsidRPr="0061343E" w14:paraId="0133EA05" w14:textId="77777777" w:rsidTr="00DA1C7F">
        <w:trPr>
          <w:trHeight w:val="20"/>
        </w:trPr>
        <w:tc>
          <w:tcPr>
            <w:tcW w:w="368" w:type="pct"/>
            <w:noWrap/>
            <w:tcMar>
              <w:left w:w="20" w:type="dxa"/>
              <w:right w:w="20" w:type="dxa"/>
            </w:tcMar>
            <w:vAlign w:val="center"/>
          </w:tcPr>
          <w:p w14:paraId="292871FF" w14:textId="77777777" w:rsidR="00DA1C7F" w:rsidRPr="0061343E" w:rsidRDefault="00DA1C7F" w:rsidP="00F772AD">
            <w:pPr>
              <w:pStyle w:val="TableText0"/>
            </w:pPr>
            <w:r w:rsidRPr="0061343E">
              <w:t>ITT</w:t>
            </w:r>
          </w:p>
        </w:tc>
        <w:tc>
          <w:tcPr>
            <w:tcW w:w="572" w:type="pct"/>
            <w:noWrap/>
            <w:tcMar>
              <w:left w:w="20" w:type="dxa"/>
              <w:right w:w="20" w:type="dxa"/>
            </w:tcMar>
            <w:vAlign w:val="center"/>
          </w:tcPr>
          <w:p w14:paraId="0FAA1995" w14:textId="77777777" w:rsidR="00DA1C7F" w:rsidRPr="0061343E" w:rsidRDefault="00DA1C7F" w:rsidP="00F772AD">
            <w:pPr>
              <w:pStyle w:val="TableText0"/>
            </w:pPr>
            <w:r w:rsidRPr="0061343E">
              <w:t>EASI-75</w:t>
            </w:r>
          </w:p>
        </w:tc>
        <w:tc>
          <w:tcPr>
            <w:tcW w:w="241" w:type="pct"/>
            <w:noWrap/>
            <w:tcMar>
              <w:left w:w="20" w:type="dxa"/>
              <w:right w:w="20" w:type="dxa"/>
            </w:tcMar>
            <w:vAlign w:val="bottom"/>
          </w:tcPr>
          <w:p w14:paraId="0BA429B8" w14:textId="77777777" w:rsidR="00DA1C7F" w:rsidRPr="0061343E" w:rsidRDefault="00DA1C7F" w:rsidP="00F772AD">
            <w:pPr>
              <w:pStyle w:val="TableText0"/>
              <w:jc w:val="center"/>
              <w:rPr>
                <w:szCs w:val="20"/>
              </w:rPr>
            </w:pPr>
            <w:r w:rsidRPr="0061343E">
              <w:rPr>
                <w:szCs w:val="20"/>
              </w:rPr>
              <w:t>490</w:t>
            </w:r>
          </w:p>
        </w:tc>
        <w:tc>
          <w:tcPr>
            <w:tcW w:w="250" w:type="pct"/>
            <w:noWrap/>
            <w:tcMar>
              <w:left w:w="20" w:type="dxa"/>
              <w:right w:w="20" w:type="dxa"/>
            </w:tcMar>
            <w:vAlign w:val="bottom"/>
          </w:tcPr>
          <w:p w14:paraId="33E14159" w14:textId="1761AA27" w:rsidR="00DA1C7F" w:rsidRPr="0061343E" w:rsidRDefault="00DA1C7F" w:rsidP="00F772AD">
            <w:pPr>
              <w:pStyle w:val="TableText0"/>
              <w:jc w:val="center"/>
              <w:rPr>
                <w:szCs w:val="20"/>
              </w:rPr>
            </w:pPr>
            <w:r w:rsidRPr="0061343E">
              <w:rPr>
                <w:szCs w:val="20"/>
              </w:rPr>
              <w:t>1,142</w:t>
            </w:r>
          </w:p>
        </w:tc>
        <w:tc>
          <w:tcPr>
            <w:tcW w:w="396" w:type="pct"/>
            <w:noWrap/>
            <w:tcMar>
              <w:left w:w="20" w:type="dxa"/>
              <w:right w:w="20" w:type="dxa"/>
            </w:tcMar>
            <w:vAlign w:val="bottom"/>
          </w:tcPr>
          <w:p w14:paraId="6394D470" w14:textId="77777777" w:rsidR="00DA1C7F" w:rsidRPr="0061343E" w:rsidRDefault="00DA1C7F" w:rsidP="00F772AD">
            <w:pPr>
              <w:pStyle w:val="TableText0"/>
              <w:jc w:val="center"/>
              <w:rPr>
                <w:szCs w:val="20"/>
              </w:rPr>
            </w:pPr>
            <w:r w:rsidRPr="0061343E">
              <w:rPr>
                <w:szCs w:val="20"/>
              </w:rPr>
              <w:t>42.9%</w:t>
            </w:r>
          </w:p>
        </w:tc>
        <w:tc>
          <w:tcPr>
            <w:tcW w:w="832" w:type="pct"/>
            <w:tcMar>
              <w:left w:w="20" w:type="dxa"/>
              <w:right w:w="20" w:type="dxa"/>
            </w:tcMar>
            <w:vAlign w:val="bottom"/>
          </w:tcPr>
          <w:p w14:paraId="5FA6B61C" w14:textId="77777777" w:rsidR="00DA1C7F" w:rsidRPr="0061343E" w:rsidRDefault="00DA1C7F" w:rsidP="00F772AD">
            <w:pPr>
              <w:pStyle w:val="TableText0"/>
              <w:jc w:val="center"/>
              <w:rPr>
                <w:szCs w:val="20"/>
              </w:rPr>
            </w:pPr>
            <w:r w:rsidRPr="0061343E">
              <w:rPr>
                <w:szCs w:val="20"/>
              </w:rPr>
              <w:t>652</w:t>
            </w:r>
          </w:p>
        </w:tc>
        <w:tc>
          <w:tcPr>
            <w:tcW w:w="532" w:type="pct"/>
            <w:tcMar>
              <w:left w:w="20" w:type="dxa"/>
              <w:right w:w="20" w:type="dxa"/>
            </w:tcMar>
            <w:vAlign w:val="bottom"/>
          </w:tcPr>
          <w:p w14:paraId="19A53FD1" w14:textId="77777777" w:rsidR="00DA1C7F" w:rsidRPr="0061343E" w:rsidRDefault="00DA1C7F" w:rsidP="00F772AD">
            <w:pPr>
              <w:pStyle w:val="TableText0"/>
              <w:jc w:val="center"/>
              <w:rPr>
                <w:szCs w:val="20"/>
              </w:rPr>
            </w:pPr>
            <w:r w:rsidRPr="0061343E">
              <w:rPr>
                <w:szCs w:val="20"/>
              </w:rPr>
              <w:t>36.7%</w:t>
            </w:r>
          </w:p>
        </w:tc>
        <w:tc>
          <w:tcPr>
            <w:tcW w:w="733" w:type="pct"/>
            <w:tcMar>
              <w:left w:w="20" w:type="dxa"/>
              <w:right w:w="20" w:type="dxa"/>
            </w:tcMar>
            <w:vAlign w:val="bottom"/>
          </w:tcPr>
          <w:p w14:paraId="29CE1E6A" w14:textId="77777777" w:rsidR="00DA1C7F" w:rsidRPr="0061343E" w:rsidRDefault="00DA1C7F" w:rsidP="00F772AD">
            <w:pPr>
              <w:pStyle w:val="TableText0"/>
              <w:jc w:val="center"/>
              <w:rPr>
                <w:szCs w:val="20"/>
              </w:rPr>
            </w:pPr>
            <w:r w:rsidRPr="0061343E">
              <w:rPr>
                <w:szCs w:val="20"/>
              </w:rPr>
              <w:t>729</w:t>
            </w:r>
          </w:p>
        </w:tc>
        <w:tc>
          <w:tcPr>
            <w:tcW w:w="680" w:type="pct"/>
            <w:tcMar>
              <w:left w:w="20" w:type="dxa"/>
              <w:right w:w="20" w:type="dxa"/>
            </w:tcMar>
            <w:vAlign w:val="bottom"/>
          </w:tcPr>
          <w:p w14:paraId="637190A9" w14:textId="77777777" w:rsidR="00DA1C7F" w:rsidRPr="0061343E" w:rsidRDefault="00DA1C7F" w:rsidP="00F772AD">
            <w:pPr>
              <w:pStyle w:val="TableText0"/>
              <w:jc w:val="center"/>
              <w:rPr>
                <w:szCs w:val="20"/>
              </w:rPr>
            </w:pPr>
            <w:r w:rsidRPr="0061343E">
              <w:rPr>
                <w:szCs w:val="20"/>
              </w:rPr>
              <w:t>63.8%</w:t>
            </w:r>
          </w:p>
        </w:tc>
        <w:tc>
          <w:tcPr>
            <w:tcW w:w="396" w:type="pct"/>
            <w:tcMar>
              <w:left w:w="20" w:type="dxa"/>
              <w:right w:w="20" w:type="dxa"/>
            </w:tcMar>
            <w:vAlign w:val="center"/>
          </w:tcPr>
          <w:p w14:paraId="16C7A087" w14:textId="77777777" w:rsidR="00DA1C7F" w:rsidRPr="0061343E" w:rsidRDefault="00DA1C7F" w:rsidP="00F772AD">
            <w:pPr>
              <w:pStyle w:val="TableText0"/>
              <w:jc w:val="center"/>
              <w:rPr>
                <w:szCs w:val="20"/>
              </w:rPr>
            </w:pPr>
            <w:r w:rsidRPr="0061343E">
              <w:t>64.2%</w:t>
            </w:r>
          </w:p>
        </w:tc>
      </w:tr>
      <w:tr w:rsidR="00DA1C7F" w:rsidRPr="0061343E" w14:paraId="3D59CDE5" w14:textId="77777777" w:rsidTr="00DA1C7F">
        <w:trPr>
          <w:trHeight w:val="20"/>
        </w:trPr>
        <w:tc>
          <w:tcPr>
            <w:tcW w:w="368" w:type="pct"/>
            <w:noWrap/>
            <w:tcMar>
              <w:left w:w="20" w:type="dxa"/>
              <w:right w:w="20" w:type="dxa"/>
            </w:tcMar>
            <w:vAlign w:val="center"/>
          </w:tcPr>
          <w:p w14:paraId="7F3BFF7B" w14:textId="77777777" w:rsidR="00DA1C7F" w:rsidRPr="0061343E" w:rsidRDefault="00DA1C7F" w:rsidP="00F772AD">
            <w:pPr>
              <w:pStyle w:val="TableText0"/>
            </w:pPr>
            <w:r w:rsidRPr="0061343E">
              <w:t>ITT</w:t>
            </w:r>
          </w:p>
        </w:tc>
        <w:tc>
          <w:tcPr>
            <w:tcW w:w="572" w:type="pct"/>
            <w:noWrap/>
            <w:tcMar>
              <w:left w:w="20" w:type="dxa"/>
              <w:right w:w="20" w:type="dxa"/>
            </w:tcMar>
            <w:vAlign w:val="center"/>
          </w:tcPr>
          <w:p w14:paraId="3BC51D47" w14:textId="77777777" w:rsidR="00DA1C7F" w:rsidRPr="0061343E" w:rsidRDefault="00DA1C7F" w:rsidP="00F772AD">
            <w:pPr>
              <w:pStyle w:val="TableText0"/>
            </w:pPr>
            <w:r w:rsidRPr="0061343E">
              <w:t>IGA 0/1</w:t>
            </w:r>
          </w:p>
        </w:tc>
        <w:tc>
          <w:tcPr>
            <w:tcW w:w="241" w:type="pct"/>
            <w:noWrap/>
            <w:tcMar>
              <w:left w:w="20" w:type="dxa"/>
              <w:right w:w="20" w:type="dxa"/>
            </w:tcMar>
            <w:vAlign w:val="bottom"/>
          </w:tcPr>
          <w:p w14:paraId="1400EF8F" w14:textId="77777777" w:rsidR="00DA1C7F" w:rsidRPr="0061343E" w:rsidRDefault="00DA1C7F" w:rsidP="00F772AD">
            <w:pPr>
              <w:pStyle w:val="TableText0"/>
              <w:jc w:val="center"/>
              <w:rPr>
                <w:szCs w:val="20"/>
              </w:rPr>
            </w:pPr>
            <w:r w:rsidRPr="0061343E">
              <w:rPr>
                <w:szCs w:val="20"/>
              </w:rPr>
              <w:t>418</w:t>
            </w:r>
          </w:p>
        </w:tc>
        <w:tc>
          <w:tcPr>
            <w:tcW w:w="250" w:type="pct"/>
            <w:noWrap/>
            <w:tcMar>
              <w:left w:w="20" w:type="dxa"/>
              <w:right w:w="20" w:type="dxa"/>
            </w:tcMar>
            <w:vAlign w:val="bottom"/>
          </w:tcPr>
          <w:p w14:paraId="02F2EE5C" w14:textId="1A6D08AF" w:rsidR="00DA1C7F" w:rsidRPr="0061343E" w:rsidRDefault="00DA1C7F" w:rsidP="00F772AD">
            <w:pPr>
              <w:pStyle w:val="TableText0"/>
              <w:jc w:val="center"/>
              <w:rPr>
                <w:szCs w:val="20"/>
              </w:rPr>
            </w:pPr>
            <w:r w:rsidRPr="0061343E">
              <w:rPr>
                <w:szCs w:val="20"/>
              </w:rPr>
              <w:t>1,142</w:t>
            </w:r>
          </w:p>
        </w:tc>
        <w:tc>
          <w:tcPr>
            <w:tcW w:w="396" w:type="pct"/>
            <w:noWrap/>
            <w:tcMar>
              <w:left w:w="20" w:type="dxa"/>
              <w:right w:w="20" w:type="dxa"/>
            </w:tcMar>
            <w:vAlign w:val="bottom"/>
          </w:tcPr>
          <w:p w14:paraId="3CAEF5BF" w14:textId="77777777" w:rsidR="00DA1C7F" w:rsidRPr="0061343E" w:rsidRDefault="00DA1C7F" w:rsidP="00F772AD">
            <w:pPr>
              <w:pStyle w:val="TableText0"/>
              <w:jc w:val="center"/>
              <w:rPr>
                <w:szCs w:val="20"/>
              </w:rPr>
            </w:pPr>
            <w:r w:rsidRPr="0061343E">
              <w:rPr>
                <w:szCs w:val="20"/>
              </w:rPr>
              <w:t>36.6%</w:t>
            </w:r>
          </w:p>
        </w:tc>
        <w:tc>
          <w:tcPr>
            <w:tcW w:w="832" w:type="pct"/>
            <w:tcMar>
              <w:left w:w="20" w:type="dxa"/>
              <w:right w:w="20" w:type="dxa"/>
            </w:tcMar>
            <w:vAlign w:val="bottom"/>
          </w:tcPr>
          <w:p w14:paraId="1F166E51" w14:textId="77777777" w:rsidR="00DA1C7F" w:rsidRPr="0061343E" w:rsidRDefault="00DA1C7F" w:rsidP="00F772AD">
            <w:pPr>
              <w:pStyle w:val="TableText0"/>
              <w:jc w:val="center"/>
              <w:rPr>
                <w:szCs w:val="20"/>
              </w:rPr>
            </w:pPr>
            <w:r w:rsidRPr="0061343E">
              <w:rPr>
                <w:szCs w:val="20"/>
              </w:rPr>
              <w:t>724</w:t>
            </w:r>
          </w:p>
        </w:tc>
        <w:tc>
          <w:tcPr>
            <w:tcW w:w="532" w:type="pct"/>
            <w:tcMar>
              <w:left w:w="20" w:type="dxa"/>
              <w:right w:w="20" w:type="dxa"/>
            </w:tcMar>
            <w:vAlign w:val="bottom"/>
          </w:tcPr>
          <w:p w14:paraId="3A92E04F" w14:textId="77777777" w:rsidR="00DA1C7F" w:rsidRPr="0061343E" w:rsidRDefault="00DA1C7F" w:rsidP="00F772AD">
            <w:pPr>
              <w:pStyle w:val="TableText0"/>
              <w:jc w:val="center"/>
              <w:rPr>
                <w:szCs w:val="20"/>
              </w:rPr>
            </w:pPr>
            <w:r w:rsidRPr="0061343E">
              <w:rPr>
                <w:szCs w:val="20"/>
              </w:rPr>
              <w:t>15.2%</w:t>
            </w:r>
          </w:p>
        </w:tc>
        <w:tc>
          <w:tcPr>
            <w:tcW w:w="733" w:type="pct"/>
            <w:tcMar>
              <w:left w:w="20" w:type="dxa"/>
              <w:right w:w="20" w:type="dxa"/>
            </w:tcMar>
            <w:vAlign w:val="bottom"/>
          </w:tcPr>
          <w:p w14:paraId="28F41AEE" w14:textId="77777777" w:rsidR="00DA1C7F" w:rsidRPr="0061343E" w:rsidRDefault="00DA1C7F" w:rsidP="00F772AD">
            <w:pPr>
              <w:pStyle w:val="TableText0"/>
              <w:jc w:val="center"/>
              <w:rPr>
                <w:szCs w:val="20"/>
              </w:rPr>
            </w:pPr>
            <w:r w:rsidRPr="0061343E">
              <w:rPr>
                <w:szCs w:val="20"/>
              </w:rPr>
              <w:t>528</w:t>
            </w:r>
          </w:p>
        </w:tc>
        <w:tc>
          <w:tcPr>
            <w:tcW w:w="680" w:type="pct"/>
            <w:tcMar>
              <w:left w:w="20" w:type="dxa"/>
              <w:right w:w="20" w:type="dxa"/>
            </w:tcMar>
            <w:vAlign w:val="bottom"/>
          </w:tcPr>
          <w:p w14:paraId="37B9D8A1" w14:textId="77777777" w:rsidR="00DA1C7F" w:rsidRPr="0061343E" w:rsidRDefault="00DA1C7F" w:rsidP="00F772AD">
            <w:pPr>
              <w:pStyle w:val="TableText0"/>
              <w:jc w:val="center"/>
              <w:rPr>
                <w:szCs w:val="20"/>
              </w:rPr>
            </w:pPr>
            <w:r w:rsidRPr="0061343E">
              <w:rPr>
                <w:szCs w:val="20"/>
              </w:rPr>
              <w:t>46.2%</w:t>
            </w:r>
          </w:p>
        </w:tc>
        <w:tc>
          <w:tcPr>
            <w:tcW w:w="396" w:type="pct"/>
            <w:tcMar>
              <w:left w:w="20" w:type="dxa"/>
              <w:right w:w="20" w:type="dxa"/>
            </w:tcMar>
            <w:vAlign w:val="center"/>
          </w:tcPr>
          <w:p w14:paraId="6FB86CDB" w14:textId="77777777" w:rsidR="00DA1C7F" w:rsidRPr="0061343E" w:rsidRDefault="00DA1C7F" w:rsidP="00F772AD">
            <w:pPr>
              <w:pStyle w:val="TableText0"/>
              <w:jc w:val="center"/>
              <w:rPr>
                <w:szCs w:val="20"/>
              </w:rPr>
            </w:pPr>
            <w:r w:rsidRPr="0061343E">
              <w:t>38.2%</w:t>
            </w:r>
          </w:p>
        </w:tc>
      </w:tr>
      <w:tr w:rsidR="00DA1C7F" w:rsidRPr="0061343E" w14:paraId="51C7F194" w14:textId="77777777" w:rsidTr="00DA1C7F">
        <w:trPr>
          <w:trHeight w:val="20"/>
        </w:trPr>
        <w:tc>
          <w:tcPr>
            <w:tcW w:w="368" w:type="pct"/>
            <w:noWrap/>
            <w:tcMar>
              <w:left w:w="20" w:type="dxa"/>
              <w:right w:w="20" w:type="dxa"/>
            </w:tcMar>
            <w:vAlign w:val="center"/>
          </w:tcPr>
          <w:p w14:paraId="38A622E2" w14:textId="4931901A" w:rsidR="00DA1C7F" w:rsidRPr="0061343E" w:rsidRDefault="00DA1C7F" w:rsidP="00F772AD">
            <w:pPr>
              <w:pStyle w:val="TableText0"/>
            </w:pPr>
            <w:r w:rsidRPr="0061343E">
              <w:t>PBS</w:t>
            </w:r>
            <w:r w:rsidR="003D779B" w:rsidRPr="0061343E">
              <w:t>***</w:t>
            </w:r>
            <w:r w:rsidRPr="0061343E">
              <w:t xml:space="preserve"> </w:t>
            </w:r>
          </w:p>
        </w:tc>
        <w:tc>
          <w:tcPr>
            <w:tcW w:w="572" w:type="pct"/>
            <w:noWrap/>
            <w:tcMar>
              <w:left w:w="20" w:type="dxa"/>
              <w:right w:w="20" w:type="dxa"/>
            </w:tcMar>
            <w:vAlign w:val="center"/>
          </w:tcPr>
          <w:p w14:paraId="5895184F" w14:textId="77777777" w:rsidR="00DA1C7F" w:rsidRPr="0061343E" w:rsidRDefault="00DA1C7F" w:rsidP="00F772AD">
            <w:pPr>
              <w:pStyle w:val="TableText0"/>
            </w:pPr>
            <w:r w:rsidRPr="0061343E">
              <w:t>EASI-50</w:t>
            </w:r>
          </w:p>
        </w:tc>
        <w:tc>
          <w:tcPr>
            <w:tcW w:w="241" w:type="pct"/>
            <w:noWrap/>
            <w:tcMar>
              <w:left w:w="20" w:type="dxa"/>
              <w:right w:w="20" w:type="dxa"/>
            </w:tcMar>
            <w:vAlign w:val="center"/>
          </w:tcPr>
          <w:p w14:paraId="6AD2713A" w14:textId="77777777" w:rsidR="00DA1C7F" w:rsidRPr="0061343E" w:rsidRDefault="00DA1C7F" w:rsidP="00F772AD">
            <w:pPr>
              <w:pStyle w:val="TableText0"/>
              <w:jc w:val="center"/>
            </w:pPr>
            <w:r w:rsidRPr="0061343E">
              <w:t>164</w:t>
            </w:r>
          </w:p>
        </w:tc>
        <w:tc>
          <w:tcPr>
            <w:tcW w:w="250" w:type="pct"/>
            <w:noWrap/>
            <w:tcMar>
              <w:left w:w="20" w:type="dxa"/>
              <w:right w:w="20" w:type="dxa"/>
            </w:tcMar>
            <w:vAlign w:val="center"/>
          </w:tcPr>
          <w:p w14:paraId="264EB8CE" w14:textId="77777777" w:rsidR="00DA1C7F" w:rsidRPr="0061343E" w:rsidRDefault="00DA1C7F" w:rsidP="00F772AD">
            <w:pPr>
              <w:pStyle w:val="TableText0"/>
              <w:jc w:val="center"/>
            </w:pPr>
            <w:r w:rsidRPr="0061343E">
              <w:t>330</w:t>
            </w:r>
          </w:p>
        </w:tc>
        <w:tc>
          <w:tcPr>
            <w:tcW w:w="396" w:type="pct"/>
            <w:noWrap/>
            <w:tcMar>
              <w:left w:w="20" w:type="dxa"/>
              <w:right w:w="20" w:type="dxa"/>
            </w:tcMar>
            <w:vAlign w:val="center"/>
          </w:tcPr>
          <w:p w14:paraId="35147EB1" w14:textId="77777777" w:rsidR="00DA1C7F" w:rsidRPr="0061343E" w:rsidRDefault="00DA1C7F" w:rsidP="00F772AD">
            <w:pPr>
              <w:pStyle w:val="TableText0"/>
              <w:jc w:val="center"/>
            </w:pPr>
            <w:r w:rsidRPr="0061343E">
              <w:t>49.7%</w:t>
            </w:r>
          </w:p>
        </w:tc>
        <w:tc>
          <w:tcPr>
            <w:tcW w:w="832" w:type="pct"/>
            <w:tcMar>
              <w:left w:w="20" w:type="dxa"/>
              <w:right w:w="20" w:type="dxa"/>
            </w:tcMar>
            <w:vAlign w:val="center"/>
          </w:tcPr>
          <w:p w14:paraId="6E4D2D8E" w14:textId="77777777" w:rsidR="00DA1C7F" w:rsidRPr="0061343E" w:rsidRDefault="00DA1C7F" w:rsidP="00F772AD">
            <w:pPr>
              <w:pStyle w:val="TableText0"/>
              <w:jc w:val="center"/>
            </w:pPr>
            <w:r w:rsidRPr="0061343E">
              <w:t>166</w:t>
            </w:r>
          </w:p>
        </w:tc>
        <w:tc>
          <w:tcPr>
            <w:tcW w:w="532" w:type="pct"/>
            <w:tcMar>
              <w:left w:w="20" w:type="dxa"/>
              <w:right w:w="20" w:type="dxa"/>
            </w:tcMar>
            <w:vAlign w:val="center"/>
          </w:tcPr>
          <w:p w14:paraId="21D997F3" w14:textId="77777777" w:rsidR="00DA1C7F" w:rsidRPr="0061343E" w:rsidRDefault="00DA1C7F" w:rsidP="00F772AD">
            <w:pPr>
              <w:pStyle w:val="TableText0"/>
              <w:jc w:val="center"/>
            </w:pPr>
            <w:r w:rsidRPr="0061343E">
              <w:t>48.7%</w:t>
            </w:r>
          </w:p>
        </w:tc>
        <w:tc>
          <w:tcPr>
            <w:tcW w:w="733" w:type="pct"/>
            <w:tcMar>
              <w:left w:w="20" w:type="dxa"/>
              <w:right w:w="20" w:type="dxa"/>
            </w:tcMar>
            <w:vAlign w:val="center"/>
          </w:tcPr>
          <w:p w14:paraId="29ACFE40" w14:textId="77777777" w:rsidR="00DA1C7F" w:rsidRPr="0061343E" w:rsidRDefault="00DA1C7F" w:rsidP="00F772AD">
            <w:pPr>
              <w:pStyle w:val="TableText0"/>
              <w:jc w:val="center"/>
            </w:pPr>
            <w:r w:rsidRPr="0061343E">
              <w:t>245</w:t>
            </w:r>
          </w:p>
        </w:tc>
        <w:tc>
          <w:tcPr>
            <w:tcW w:w="680" w:type="pct"/>
            <w:tcMar>
              <w:left w:w="20" w:type="dxa"/>
              <w:right w:w="20" w:type="dxa"/>
            </w:tcMar>
            <w:vAlign w:val="center"/>
          </w:tcPr>
          <w:p w14:paraId="6CA2A182" w14:textId="77777777" w:rsidR="00DA1C7F" w:rsidRPr="0061343E" w:rsidRDefault="00DA1C7F" w:rsidP="00F772AD">
            <w:pPr>
              <w:pStyle w:val="TableText0"/>
              <w:jc w:val="center"/>
            </w:pPr>
            <w:r w:rsidRPr="0061343E">
              <w:t>74.2%</w:t>
            </w:r>
          </w:p>
        </w:tc>
        <w:tc>
          <w:tcPr>
            <w:tcW w:w="396" w:type="pct"/>
            <w:tcMar>
              <w:left w:w="20" w:type="dxa"/>
              <w:right w:w="20" w:type="dxa"/>
            </w:tcMar>
            <w:vAlign w:val="center"/>
          </w:tcPr>
          <w:p w14:paraId="361AE446" w14:textId="77777777" w:rsidR="00DA1C7F" w:rsidRPr="0061343E" w:rsidRDefault="00DA1C7F" w:rsidP="00F772AD">
            <w:pPr>
              <w:pStyle w:val="TableText0"/>
              <w:jc w:val="center"/>
            </w:pPr>
            <w:r w:rsidRPr="0061343E">
              <w:t>67.0%</w:t>
            </w:r>
          </w:p>
        </w:tc>
      </w:tr>
      <w:tr w:rsidR="00DA1C7F" w:rsidRPr="0061343E" w14:paraId="1C455D53" w14:textId="77777777" w:rsidTr="00DA1C7F">
        <w:trPr>
          <w:trHeight w:val="20"/>
        </w:trPr>
        <w:tc>
          <w:tcPr>
            <w:tcW w:w="368" w:type="pct"/>
            <w:noWrap/>
            <w:tcMar>
              <w:left w:w="20" w:type="dxa"/>
              <w:right w:w="20" w:type="dxa"/>
            </w:tcMar>
            <w:vAlign w:val="center"/>
          </w:tcPr>
          <w:p w14:paraId="5A854C65" w14:textId="27831CF3" w:rsidR="00DA1C7F" w:rsidRPr="0061343E" w:rsidRDefault="00DA1C7F" w:rsidP="00F772AD">
            <w:pPr>
              <w:pStyle w:val="TableText0"/>
            </w:pPr>
            <w:r w:rsidRPr="0061343E">
              <w:t>PBS</w:t>
            </w:r>
            <w:r w:rsidR="003D779B" w:rsidRPr="0061343E">
              <w:t>***</w:t>
            </w:r>
            <w:r w:rsidRPr="0061343E">
              <w:t xml:space="preserve"> </w:t>
            </w:r>
          </w:p>
        </w:tc>
        <w:tc>
          <w:tcPr>
            <w:tcW w:w="572" w:type="pct"/>
            <w:noWrap/>
            <w:tcMar>
              <w:left w:w="20" w:type="dxa"/>
              <w:right w:w="20" w:type="dxa"/>
            </w:tcMar>
            <w:vAlign w:val="center"/>
          </w:tcPr>
          <w:p w14:paraId="46D092FC" w14:textId="77777777" w:rsidR="00DA1C7F" w:rsidRPr="0061343E" w:rsidRDefault="00DA1C7F" w:rsidP="00F772AD">
            <w:pPr>
              <w:pStyle w:val="TableText0"/>
            </w:pPr>
            <w:r w:rsidRPr="0061343E">
              <w:t>DLQI≥4 point</w:t>
            </w:r>
          </w:p>
        </w:tc>
        <w:tc>
          <w:tcPr>
            <w:tcW w:w="241" w:type="pct"/>
            <w:noWrap/>
            <w:tcMar>
              <w:left w:w="20" w:type="dxa"/>
              <w:right w:w="20" w:type="dxa"/>
            </w:tcMar>
            <w:vAlign w:val="center"/>
          </w:tcPr>
          <w:p w14:paraId="4AA3B4A6" w14:textId="77777777" w:rsidR="00DA1C7F" w:rsidRPr="0061343E" w:rsidRDefault="00DA1C7F" w:rsidP="00F772AD">
            <w:pPr>
              <w:pStyle w:val="TableText0"/>
              <w:jc w:val="center"/>
            </w:pPr>
            <w:r w:rsidRPr="0061343E">
              <w:t>190</w:t>
            </w:r>
          </w:p>
        </w:tc>
        <w:tc>
          <w:tcPr>
            <w:tcW w:w="250" w:type="pct"/>
            <w:noWrap/>
            <w:tcMar>
              <w:left w:w="20" w:type="dxa"/>
              <w:right w:w="20" w:type="dxa"/>
            </w:tcMar>
            <w:vAlign w:val="center"/>
          </w:tcPr>
          <w:p w14:paraId="05561BC0" w14:textId="77777777" w:rsidR="00DA1C7F" w:rsidRPr="0061343E" w:rsidRDefault="00DA1C7F" w:rsidP="00F772AD">
            <w:pPr>
              <w:pStyle w:val="TableText0"/>
              <w:jc w:val="center"/>
            </w:pPr>
            <w:r w:rsidRPr="0061343E">
              <w:t>294</w:t>
            </w:r>
          </w:p>
        </w:tc>
        <w:tc>
          <w:tcPr>
            <w:tcW w:w="396" w:type="pct"/>
            <w:noWrap/>
            <w:tcMar>
              <w:left w:w="20" w:type="dxa"/>
              <w:right w:w="20" w:type="dxa"/>
            </w:tcMar>
            <w:vAlign w:val="center"/>
          </w:tcPr>
          <w:p w14:paraId="53734740" w14:textId="77777777" w:rsidR="00DA1C7F" w:rsidRPr="0061343E" w:rsidRDefault="00DA1C7F" w:rsidP="00F772AD">
            <w:pPr>
              <w:pStyle w:val="TableText0"/>
              <w:jc w:val="center"/>
            </w:pPr>
            <w:r w:rsidRPr="0061343E">
              <w:t>64.6%</w:t>
            </w:r>
          </w:p>
        </w:tc>
        <w:tc>
          <w:tcPr>
            <w:tcW w:w="832" w:type="pct"/>
            <w:tcMar>
              <w:left w:w="20" w:type="dxa"/>
              <w:right w:w="20" w:type="dxa"/>
            </w:tcMar>
            <w:vAlign w:val="center"/>
          </w:tcPr>
          <w:p w14:paraId="08814C6D" w14:textId="77777777" w:rsidR="00DA1C7F" w:rsidRPr="0061343E" w:rsidRDefault="00DA1C7F" w:rsidP="00F772AD">
            <w:pPr>
              <w:pStyle w:val="TableText0"/>
              <w:jc w:val="center"/>
            </w:pPr>
            <w:r w:rsidRPr="0061343E">
              <w:t>104</w:t>
            </w:r>
          </w:p>
        </w:tc>
        <w:tc>
          <w:tcPr>
            <w:tcW w:w="532" w:type="pct"/>
            <w:tcMar>
              <w:left w:w="20" w:type="dxa"/>
              <w:right w:w="20" w:type="dxa"/>
            </w:tcMar>
            <w:vAlign w:val="center"/>
          </w:tcPr>
          <w:p w14:paraId="635DB3D5" w14:textId="77777777" w:rsidR="00DA1C7F" w:rsidRPr="0061343E" w:rsidRDefault="00DA1C7F" w:rsidP="00F772AD">
            <w:pPr>
              <w:pStyle w:val="TableText0"/>
              <w:jc w:val="center"/>
            </w:pPr>
            <w:r w:rsidRPr="0061343E">
              <w:t>13.4%</w:t>
            </w:r>
          </w:p>
        </w:tc>
        <w:tc>
          <w:tcPr>
            <w:tcW w:w="733" w:type="pct"/>
            <w:tcMar>
              <w:left w:w="20" w:type="dxa"/>
              <w:right w:w="20" w:type="dxa"/>
            </w:tcMar>
            <w:vAlign w:val="center"/>
          </w:tcPr>
          <w:p w14:paraId="6196AC40" w14:textId="77777777" w:rsidR="00DA1C7F" w:rsidRPr="0061343E" w:rsidRDefault="00DA1C7F" w:rsidP="00F772AD">
            <w:pPr>
              <w:pStyle w:val="TableText0"/>
              <w:jc w:val="center"/>
            </w:pPr>
            <w:r w:rsidRPr="0061343E">
              <w:t>204</w:t>
            </w:r>
          </w:p>
        </w:tc>
        <w:tc>
          <w:tcPr>
            <w:tcW w:w="680" w:type="pct"/>
            <w:noWrap/>
            <w:tcMar>
              <w:left w:w="20" w:type="dxa"/>
              <w:right w:w="20" w:type="dxa"/>
            </w:tcMar>
            <w:vAlign w:val="center"/>
          </w:tcPr>
          <w:p w14:paraId="6C5B04EA" w14:textId="77777777" w:rsidR="00DA1C7F" w:rsidRPr="0061343E" w:rsidRDefault="00DA1C7F" w:rsidP="00F772AD">
            <w:pPr>
              <w:pStyle w:val="TableText0"/>
              <w:jc w:val="center"/>
            </w:pPr>
            <w:r w:rsidRPr="0061343E">
              <w:t>69.4%</w:t>
            </w:r>
          </w:p>
        </w:tc>
        <w:tc>
          <w:tcPr>
            <w:tcW w:w="396" w:type="pct"/>
            <w:noWrap/>
            <w:tcMar>
              <w:left w:w="20" w:type="dxa"/>
              <w:right w:w="20" w:type="dxa"/>
            </w:tcMar>
            <w:vAlign w:val="center"/>
          </w:tcPr>
          <w:p w14:paraId="7AD873E6" w14:textId="77777777" w:rsidR="00DA1C7F" w:rsidRPr="0061343E" w:rsidRDefault="00DA1C7F" w:rsidP="00F772AD">
            <w:pPr>
              <w:pStyle w:val="TableText0"/>
              <w:jc w:val="center"/>
            </w:pPr>
            <w:r w:rsidRPr="0061343E">
              <w:t>68.9%</w:t>
            </w:r>
          </w:p>
        </w:tc>
      </w:tr>
      <w:tr w:rsidR="00DA1C7F" w:rsidRPr="0061343E" w14:paraId="022F587C" w14:textId="77777777" w:rsidTr="00DA1C7F">
        <w:trPr>
          <w:trHeight w:val="20"/>
        </w:trPr>
        <w:tc>
          <w:tcPr>
            <w:tcW w:w="368" w:type="pct"/>
            <w:noWrap/>
            <w:tcMar>
              <w:left w:w="20" w:type="dxa"/>
              <w:right w:w="20" w:type="dxa"/>
            </w:tcMar>
            <w:vAlign w:val="center"/>
          </w:tcPr>
          <w:p w14:paraId="13EE759B" w14:textId="764E411F" w:rsidR="00DA1C7F" w:rsidRPr="0061343E" w:rsidRDefault="00DA1C7F" w:rsidP="00F772AD">
            <w:pPr>
              <w:pStyle w:val="TableText0"/>
            </w:pPr>
            <w:r w:rsidRPr="0061343E">
              <w:t>PBS</w:t>
            </w:r>
            <w:r w:rsidR="003D779B" w:rsidRPr="0061343E">
              <w:t>***</w:t>
            </w:r>
            <w:r w:rsidRPr="0061343E">
              <w:t xml:space="preserve"> </w:t>
            </w:r>
          </w:p>
        </w:tc>
        <w:tc>
          <w:tcPr>
            <w:tcW w:w="572" w:type="pct"/>
            <w:noWrap/>
            <w:tcMar>
              <w:left w:w="20" w:type="dxa"/>
              <w:right w:w="20" w:type="dxa"/>
            </w:tcMar>
            <w:vAlign w:val="center"/>
          </w:tcPr>
          <w:p w14:paraId="3E2286B0" w14:textId="77777777" w:rsidR="00DA1C7F" w:rsidRPr="0061343E" w:rsidRDefault="00DA1C7F" w:rsidP="00F772AD">
            <w:pPr>
              <w:pStyle w:val="TableText0"/>
            </w:pPr>
            <w:r w:rsidRPr="0061343E">
              <w:t>Composite</w:t>
            </w:r>
          </w:p>
        </w:tc>
        <w:tc>
          <w:tcPr>
            <w:tcW w:w="241" w:type="pct"/>
            <w:noWrap/>
            <w:tcMar>
              <w:left w:w="20" w:type="dxa"/>
              <w:right w:w="20" w:type="dxa"/>
            </w:tcMar>
            <w:vAlign w:val="center"/>
          </w:tcPr>
          <w:p w14:paraId="4D95DD70" w14:textId="77777777" w:rsidR="00DA1C7F" w:rsidRPr="0061343E" w:rsidRDefault="00DA1C7F" w:rsidP="00F772AD">
            <w:pPr>
              <w:pStyle w:val="TableText0"/>
              <w:jc w:val="center"/>
            </w:pPr>
            <w:r w:rsidRPr="0061343E">
              <w:t>130</w:t>
            </w:r>
          </w:p>
        </w:tc>
        <w:tc>
          <w:tcPr>
            <w:tcW w:w="250" w:type="pct"/>
            <w:noWrap/>
            <w:tcMar>
              <w:left w:w="20" w:type="dxa"/>
              <w:right w:w="20" w:type="dxa"/>
            </w:tcMar>
            <w:vAlign w:val="center"/>
          </w:tcPr>
          <w:p w14:paraId="095CE0D1" w14:textId="77777777" w:rsidR="00DA1C7F" w:rsidRPr="0061343E" w:rsidRDefault="00DA1C7F" w:rsidP="00F772AD">
            <w:pPr>
              <w:pStyle w:val="TableText0"/>
              <w:jc w:val="center"/>
            </w:pPr>
            <w:r w:rsidRPr="0061343E">
              <w:t>294</w:t>
            </w:r>
          </w:p>
        </w:tc>
        <w:tc>
          <w:tcPr>
            <w:tcW w:w="396" w:type="pct"/>
            <w:noWrap/>
            <w:tcMar>
              <w:left w:w="20" w:type="dxa"/>
              <w:right w:w="20" w:type="dxa"/>
            </w:tcMar>
            <w:vAlign w:val="center"/>
          </w:tcPr>
          <w:p w14:paraId="4B295E35" w14:textId="77777777" w:rsidR="00DA1C7F" w:rsidRPr="0061343E" w:rsidRDefault="00DA1C7F" w:rsidP="00F772AD">
            <w:pPr>
              <w:pStyle w:val="TableText0"/>
              <w:jc w:val="center"/>
            </w:pPr>
            <w:r w:rsidRPr="0061343E">
              <w:t>44.2%</w:t>
            </w:r>
          </w:p>
        </w:tc>
        <w:tc>
          <w:tcPr>
            <w:tcW w:w="832" w:type="pct"/>
            <w:tcMar>
              <w:left w:w="20" w:type="dxa"/>
              <w:right w:w="20" w:type="dxa"/>
            </w:tcMar>
            <w:vAlign w:val="center"/>
          </w:tcPr>
          <w:p w14:paraId="0D0FFE82" w14:textId="77777777" w:rsidR="00DA1C7F" w:rsidRPr="0061343E" w:rsidRDefault="00DA1C7F" w:rsidP="00F772AD">
            <w:pPr>
              <w:pStyle w:val="TableText0"/>
              <w:jc w:val="center"/>
            </w:pPr>
            <w:r w:rsidRPr="0061343E">
              <w:t>164</w:t>
            </w:r>
          </w:p>
        </w:tc>
        <w:tc>
          <w:tcPr>
            <w:tcW w:w="532" w:type="pct"/>
            <w:tcMar>
              <w:left w:w="20" w:type="dxa"/>
              <w:right w:w="20" w:type="dxa"/>
            </w:tcMar>
            <w:vAlign w:val="center"/>
          </w:tcPr>
          <w:p w14:paraId="39A3803E" w14:textId="77777777" w:rsidR="00DA1C7F" w:rsidRPr="0061343E" w:rsidRDefault="00DA1C7F" w:rsidP="00F772AD">
            <w:pPr>
              <w:pStyle w:val="TableText0"/>
              <w:jc w:val="center"/>
            </w:pPr>
            <w:r w:rsidRPr="0061343E">
              <w:t>33.1%</w:t>
            </w:r>
          </w:p>
        </w:tc>
        <w:tc>
          <w:tcPr>
            <w:tcW w:w="733" w:type="pct"/>
            <w:tcMar>
              <w:left w:w="20" w:type="dxa"/>
              <w:right w:w="20" w:type="dxa"/>
            </w:tcMar>
            <w:vAlign w:val="center"/>
          </w:tcPr>
          <w:p w14:paraId="30FBC55E" w14:textId="77777777" w:rsidR="00DA1C7F" w:rsidRPr="0061343E" w:rsidRDefault="00DA1C7F" w:rsidP="00F772AD">
            <w:pPr>
              <w:pStyle w:val="TableText0"/>
              <w:jc w:val="center"/>
            </w:pPr>
            <w:r w:rsidRPr="0061343E">
              <w:t>184</w:t>
            </w:r>
          </w:p>
        </w:tc>
        <w:tc>
          <w:tcPr>
            <w:tcW w:w="680" w:type="pct"/>
            <w:noWrap/>
            <w:tcMar>
              <w:left w:w="20" w:type="dxa"/>
              <w:right w:w="20" w:type="dxa"/>
            </w:tcMar>
            <w:vAlign w:val="center"/>
          </w:tcPr>
          <w:p w14:paraId="45CF6257" w14:textId="77777777" w:rsidR="00DA1C7F" w:rsidRPr="0061343E" w:rsidRDefault="00DA1C7F" w:rsidP="00F772AD">
            <w:pPr>
              <w:pStyle w:val="TableText0"/>
              <w:jc w:val="center"/>
            </w:pPr>
            <w:r w:rsidRPr="0061343E">
              <w:t>62.7%</w:t>
            </w:r>
          </w:p>
        </w:tc>
        <w:tc>
          <w:tcPr>
            <w:tcW w:w="396" w:type="pct"/>
            <w:noWrap/>
            <w:tcMar>
              <w:left w:w="20" w:type="dxa"/>
              <w:right w:w="20" w:type="dxa"/>
            </w:tcMar>
            <w:vAlign w:val="center"/>
          </w:tcPr>
          <w:p w14:paraId="3FFC907A" w14:textId="77777777" w:rsidR="00DA1C7F" w:rsidRPr="0061343E" w:rsidRDefault="00DA1C7F" w:rsidP="00F772AD">
            <w:pPr>
              <w:pStyle w:val="TableText0"/>
              <w:jc w:val="center"/>
            </w:pPr>
            <w:r w:rsidRPr="0061343E">
              <w:t>59.7%</w:t>
            </w:r>
          </w:p>
        </w:tc>
      </w:tr>
    </w:tbl>
    <w:p w14:paraId="63D3E056" w14:textId="5D9528BC" w:rsidR="003D779B" w:rsidRPr="0061343E" w:rsidRDefault="006668D6" w:rsidP="00F772AD">
      <w:pPr>
        <w:pStyle w:val="TableFigureFooter"/>
        <w:keepNext/>
        <w:spacing w:after="0"/>
        <w:rPr>
          <w:rStyle w:val="TableFigureFooterChar"/>
          <w:szCs w:val="18"/>
        </w:rPr>
      </w:pPr>
      <w:r w:rsidRPr="0061343E">
        <w:rPr>
          <w:rStyle w:val="TableFigureFooterChar"/>
          <w:szCs w:val="18"/>
        </w:rPr>
        <w:t>Source:</w:t>
      </w:r>
      <w:r w:rsidR="003D779B" w:rsidRPr="0061343E">
        <w:rPr>
          <w:rStyle w:val="TableFigureFooterChar"/>
          <w:szCs w:val="18"/>
        </w:rPr>
        <w:t xml:space="preserve"> Table 3, p3 of the PSCR</w:t>
      </w:r>
    </w:p>
    <w:p w14:paraId="52522C97" w14:textId="090273A4" w:rsidR="003D779B" w:rsidRPr="0061343E" w:rsidRDefault="003D779B" w:rsidP="00F772AD">
      <w:pPr>
        <w:pStyle w:val="Caption"/>
        <w:rPr>
          <w:b w:val="0"/>
          <w:bCs w:val="0"/>
          <w:sz w:val="18"/>
        </w:rPr>
      </w:pPr>
      <w:r w:rsidRPr="0061343E">
        <w:rPr>
          <w:b w:val="0"/>
          <w:bCs w:val="0"/>
          <w:sz w:val="18"/>
        </w:rPr>
        <w:t>AD = atopic dermatitis; DLQI = Dermatology Life Quality Index; DUPI = dupilumab; EASI = Eczema Area and Severity Index; IGA = Investigator’s Global Assessment; ITT = intent to treat; LTE = long-term extension; NEMO = nemolizumab; PBS = Pharmaceutical Benefits Scheme; PGA = Physician’s Global Assessment</w:t>
      </w:r>
    </w:p>
    <w:p w14:paraId="35858588" w14:textId="77777777" w:rsidR="003D779B" w:rsidRPr="0061343E" w:rsidRDefault="003D779B" w:rsidP="00F772AD">
      <w:pPr>
        <w:pStyle w:val="TableFigureFooter"/>
        <w:keepNext/>
        <w:spacing w:after="0"/>
        <w:rPr>
          <w:rStyle w:val="TableFigureFooterChar"/>
          <w:szCs w:val="18"/>
        </w:rPr>
      </w:pPr>
      <w:r w:rsidRPr="0061343E">
        <w:rPr>
          <w:rStyle w:val="TableFigureFooterChar"/>
          <w:szCs w:val="18"/>
        </w:rPr>
        <w:t>* Derived from LEB PSD, March 2024 PBAC meeting</w:t>
      </w:r>
    </w:p>
    <w:p w14:paraId="5E6082BA" w14:textId="77777777" w:rsidR="003D779B" w:rsidRPr="0061343E" w:rsidRDefault="003D779B" w:rsidP="00F772AD">
      <w:pPr>
        <w:pStyle w:val="TableFigureFooter"/>
        <w:keepNext/>
        <w:spacing w:after="0"/>
        <w:rPr>
          <w:szCs w:val="18"/>
        </w:rPr>
      </w:pPr>
      <w:r w:rsidRPr="0061343E">
        <w:rPr>
          <w:szCs w:val="18"/>
        </w:rPr>
        <w:t xml:space="preserve">** Calculated as additional responders in LTE divided by those patients who entered LTE following treatment with NEMO in ARCADIA 1 or 2 as non-responders </w:t>
      </w:r>
    </w:p>
    <w:p w14:paraId="37840EFC" w14:textId="68C075C3" w:rsidR="003D779B" w:rsidRPr="0061343E" w:rsidRDefault="003D779B" w:rsidP="00F772AD">
      <w:pPr>
        <w:pStyle w:val="Caption"/>
        <w:spacing w:after="120"/>
        <w:rPr>
          <w:b w:val="0"/>
          <w:bCs w:val="0"/>
          <w:sz w:val="18"/>
        </w:rPr>
      </w:pPr>
      <w:r w:rsidRPr="0061343E">
        <w:rPr>
          <w:b w:val="0"/>
          <w:bCs w:val="0"/>
          <w:sz w:val="18"/>
        </w:rPr>
        <w:t>*** Subgroup population with severe AD only defined as an EASI score ≥ 20 and an PGA/IGA score of 4</w:t>
      </w:r>
    </w:p>
    <w:p w14:paraId="0523FD19" w14:textId="46DDE0D6" w:rsidR="00D85532" w:rsidRPr="0061343E" w:rsidRDefault="00D85532" w:rsidP="00D85532">
      <w:pPr>
        <w:pStyle w:val="5-SubsectionSubheading"/>
        <w:rPr>
          <w:b w:val="0"/>
          <w:bCs/>
          <w:u w:val="single"/>
        </w:rPr>
      </w:pPr>
      <w:r w:rsidRPr="0061343E">
        <w:rPr>
          <w:b w:val="0"/>
          <w:bCs/>
          <w:u w:val="single"/>
        </w:rPr>
        <w:t>NEMO versus placebo in the subgroup of patients with severe AD</w:t>
      </w:r>
    </w:p>
    <w:p w14:paraId="3C942B55" w14:textId="7B720590" w:rsidR="00D85532" w:rsidRPr="0061343E" w:rsidRDefault="00D85532" w:rsidP="00D85532">
      <w:pPr>
        <w:pStyle w:val="3-BodyText"/>
      </w:pPr>
      <w:r w:rsidRPr="0061343E">
        <w:t xml:space="preserve">The requested listing for NEMO was restricted to patients with severe AD only, which was defined as IGA = 4 and EASI ≥ 20 at baseline. Results </w:t>
      </w:r>
      <w:r w:rsidR="00791763" w:rsidRPr="0061343E">
        <w:t xml:space="preserve">for </w:t>
      </w:r>
      <w:r w:rsidRPr="0061343E">
        <w:t xml:space="preserve">the severe AD subgroups of </w:t>
      </w:r>
      <w:r w:rsidR="00791763" w:rsidRPr="0061343E">
        <w:t xml:space="preserve">the </w:t>
      </w:r>
      <w:r w:rsidRPr="0061343E">
        <w:t>NEMO trials</w:t>
      </w:r>
      <w:r w:rsidR="00791763" w:rsidRPr="0061343E">
        <w:t>,</w:t>
      </w:r>
      <w:r w:rsidRPr="0061343E">
        <w:t xml:space="preserve"> as per the definition in the PBS listing</w:t>
      </w:r>
      <w:r w:rsidR="00791763" w:rsidRPr="0061343E">
        <w:t>,</w:t>
      </w:r>
      <w:r w:rsidRPr="0061343E">
        <w:t xml:space="preserve"> are presented in </w:t>
      </w:r>
      <w:r w:rsidRPr="0061343E">
        <w:fldChar w:fldCharType="begin"/>
      </w:r>
      <w:r w:rsidRPr="0061343E">
        <w:instrText xml:space="preserve"> REF _Ref197514270 \h </w:instrText>
      </w:r>
      <w:r w:rsidR="0061343E" w:rsidRPr="0061343E">
        <w:instrText xml:space="preserve"> \* MERGEFORMAT </w:instrText>
      </w:r>
      <w:r w:rsidRPr="0061343E">
        <w:fldChar w:fldCharType="separate"/>
      </w:r>
      <w:r w:rsidR="00E5780E" w:rsidRPr="0061343E">
        <w:t xml:space="preserve">Table </w:t>
      </w:r>
      <w:r w:rsidR="00E5780E">
        <w:rPr>
          <w:noProof/>
        </w:rPr>
        <w:t>12</w:t>
      </w:r>
      <w:r w:rsidRPr="0061343E">
        <w:fldChar w:fldCharType="end"/>
      </w:r>
      <w:r w:rsidRPr="0061343E">
        <w:t xml:space="preserve"> to </w:t>
      </w:r>
      <w:r w:rsidRPr="0061343E">
        <w:fldChar w:fldCharType="begin"/>
      </w:r>
      <w:r w:rsidRPr="0061343E">
        <w:instrText xml:space="preserve"> REF _Ref197514812 \h </w:instrText>
      </w:r>
      <w:r w:rsidR="0061343E" w:rsidRPr="0061343E">
        <w:instrText xml:space="preserve"> \* MERGEFORMAT </w:instrText>
      </w:r>
      <w:r w:rsidRPr="0061343E">
        <w:fldChar w:fldCharType="separate"/>
      </w:r>
      <w:r w:rsidR="00E5780E" w:rsidRPr="0061343E">
        <w:t xml:space="preserve">Table </w:t>
      </w:r>
      <w:r w:rsidR="00E5780E">
        <w:rPr>
          <w:noProof/>
        </w:rPr>
        <w:t>14</w:t>
      </w:r>
      <w:r w:rsidRPr="0061343E">
        <w:fldChar w:fldCharType="end"/>
      </w:r>
      <w:r w:rsidRPr="0061343E">
        <w:t xml:space="preserve">, for the composite endpoint of EASI-50 and </w:t>
      </w:r>
      <w:r w:rsidRPr="0061343E">
        <w:rPr>
          <w:rFonts w:cstheme="minorHAnsi"/>
        </w:rPr>
        <w:t>≥</w:t>
      </w:r>
      <w:r w:rsidRPr="0061343E">
        <w:t xml:space="preserve"> 4-point improvement in DLQI and its component outcomes. </w:t>
      </w:r>
    </w:p>
    <w:p w14:paraId="47DB3061" w14:textId="031EEFF4" w:rsidR="00D85532" w:rsidRPr="0061343E" w:rsidRDefault="00D85532" w:rsidP="00D85532">
      <w:pPr>
        <w:pStyle w:val="Caption"/>
      </w:pPr>
      <w:bookmarkStart w:id="44" w:name="_Ref197514270"/>
      <w:r w:rsidRPr="0061343E">
        <w:t xml:space="preserve">Table </w:t>
      </w:r>
      <w:r w:rsidR="00167892">
        <w:fldChar w:fldCharType="begin"/>
      </w:r>
      <w:r w:rsidR="00167892">
        <w:instrText xml:space="preserve"> SEQ Table \* ARABIC </w:instrText>
      </w:r>
      <w:r w:rsidR="00167892">
        <w:fldChar w:fldCharType="separate"/>
      </w:r>
      <w:r w:rsidR="00E5780E">
        <w:rPr>
          <w:noProof/>
        </w:rPr>
        <w:t>12</w:t>
      </w:r>
      <w:r w:rsidR="00167892">
        <w:rPr>
          <w:noProof/>
        </w:rPr>
        <w:fldChar w:fldCharType="end"/>
      </w:r>
      <w:bookmarkEnd w:id="44"/>
      <w:r w:rsidRPr="0061343E">
        <w:t>: Pooled results for NEMO 30 mg Q4W vs placebo: EASI-50 at Week 16 – PBS population</w:t>
      </w:r>
    </w:p>
    <w:tbl>
      <w:tblPr>
        <w:tblStyle w:val="Submissionstandard"/>
        <w:tblW w:w="5000" w:type="pct"/>
        <w:tblLook w:val="04A0" w:firstRow="1" w:lastRow="0" w:firstColumn="1" w:lastColumn="0" w:noHBand="0" w:noVBand="1"/>
        <w:tblCaption w:val="Table 12: Pooled results for NEMO 30 mg Q4W vs placebo: EASI-50 at Week 16 – PBS population"/>
      </w:tblPr>
      <w:tblGrid>
        <w:gridCol w:w="1410"/>
        <w:gridCol w:w="2130"/>
        <w:gridCol w:w="1843"/>
        <w:gridCol w:w="1841"/>
        <w:gridCol w:w="1793"/>
      </w:tblGrid>
      <w:tr w:rsidR="00D85532" w:rsidRPr="0061343E" w14:paraId="5F1257FD" w14:textId="77777777" w:rsidTr="00E7466A">
        <w:trPr>
          <w:cnfStyle w:val="100000000000" w:firstRow="1" w:lastRow="0" w:firstColumn="0" w:lastColumn="0" w:oddVBand="0" w:evenVBand="0" w:oddHBand="0" w:evenHBand="0" w:firstRowFirstColumn="0" w:firstRowLastColumn="0" w:lastRowFirstColumn="0" w:lastRowLastColumn="0"/>
        </w:trPr>
        <w:tc>
          <w:tcPr>
            <w:tcW w:w="0" w:type="auto"/>
            <w:shd w:val="clear" w:color="auto" w:fill="auto"/>
          </w:tcPr>
          <w:p w14:paraId="3EDBD387" w14:textId="77777777" w:rsidR="00D85532" w:rsidRPr="0061343E" w:rsidRDefault="00D85532" w:rsidP="00E7466A">
            <w:pPr>
              <w:pStyle w:val="TableLeft"/>
              <w:keepNext/>
              <w:jc w:val="left"/>
              <w:rPr>
                <w:rFonts w:ascii="Arial Narrow" w:hAnsi="Arial Narrow"/>
                <w:sz w:val="20"/>
                <w:szCs w:val="20"/>
              </w:rPr>
            </w:pPr>
          </w:p>
        </w:tc>
        <w:tc>
          <w:tcPr>
            <w:tcW w:w="1181" w:type="pct"/>
            <w:shd w:val="clear" w:color="auto" w:fill="auto"/>
          </w:tcPr>
          <w:p w14:paraId="124EB72A" w14:textId="77777777" w:rsidR="00D85532" w:rsidRPr="0061343E" w:rsidRDefault="00D85532" w:rsidP="00E7466A">
            <w:pPr>
              <w:pStyle w:val="TableCentre"/>
              <w:keepNext/>
              <w:rPr>
                <w:rFonts w:ascii="Arial Narrow" w:hAnsi="Arial Narrow"/>
                <w:b w:val="0"/>
                <w:sz w:val="20"/>
                <w:szCs w:val="20"/>
              </w:rPr>
            </w:pPr>
            <w:r w:rsidRPr="0061343E">
              <w:rPr>
                <w:rFonts w:ascii="Arial Narrow" w:hAnsi="Arial Narrow"/>
                <w:sz w:val="20"/>
                <w:szCs w:val="20"/>
              </w:rPr>
              <w:t>NEMO 30 mg Q4W</w:t>
            </w:r>
          </w:p>
          <w:p w14:paraId="70D586EB" w14:textId="77777777" w:rsidR="00D85532" w:rsidRPr="0061343E" w:rsidRDefault="00D85532" w:rsidP="00E7466A">
            <w:pPr>
              <w:pStyle w:val="TableCentre"/>
              <w:keepNext/>
              <w:rPr>
                <w:rFonts w:ascii="Arial Narrow" w:hAnsi="Arial Narrow"/>
                <w:sz w:val="20"/>
                <w:szCs w:val="20"/>
              </w:rPr>
            </w:pPr>
            <w:r w:rsidRPr="0061343E">
              <w:rPr>
                <w:rFonts w:ascii="Arial Narrow" w:hAnsi="Arial Narrow"/>
                <w:sz w:val="20"/>
                <w:szCs w:val="20"/>
              </w:rPr>
              <w:t>n/N (%)</w:t>
            </w:r>
          </w:p>
        </w:tc>
        <w:tc>
          <w:tcPr>
            <w:tcW w:w="1022" w:type="pct"/>
            <w:shd w:val="clear" w:color="auto" w:fill="auto"/>
          </w:tcPr>
          <w:p w14:paraId="4AA5DC35" w14:textId="77777777" w:rsidR="00D85532" w:rsidRPr="0061343E" w:rsidRDefault="00D85532" w:rsidP="00E7466A">
            <w:pPr>
              <w:pStyle w:val="TableCentre"/>
              <w:keepNext/>
              <w:rPr>
                <w:rFonts w:ascii="Arial Narrow" w:hAnsi="Arial Narrow"/>
                <w:b w:val="0"/>
                <w:sz w:val="20"/>
                <w:szCs w:val="20"/>
              </w:rPr>
            </w:pPr>
            <w:r w:rsidRPr="0061343E">
              <w:rPr>
                <w:rFonts w:ascii="Arial Narrow" w:hAnsi="Arial Narrow"/>
                <w:sz w:val="20"/>
                <w:szCs w:val="20"/>
              </w:rPr>
              <w:t>Placebo</w:t>
            </w:r>
          </w:p>
          <w:p w14:paraId="57FDBA63" w14:textId="77777777" w:rsidR="00D85532" w:rsidRPr="0061343E" w:rsidRDefault="00D85532" w:rsidP="00E7466A">
            <w:pPr>
              <w:pStyle w:val="TableCentre"/>
              <w:keepNext/>
              <w:rPr>
                <w:rFonts w:ascii="Arial Narrow" w:hAnsi="Arial Narrow"/>
                <w:sz w:val="20"/>
                <w:szCs w:val="20"/>
              </w:rPr>
            </w:pPr>
            <w:r w:rsidRPr="0061343E">
              <w:rPr>
                <w:rFonts w:ascii="Arial Narrow" w:hAnsi="Arial Narrow"/>
                <w:sz w:val="20"/>
                <w:szCs w:val="20"/>
              </w:rPr>
              <w:t>n/N (%)</w:t>
            </w:r>
          </w:p>
        </w:tc>
        <w:tc>
          <w:tcPr>
            <w:tcW w:w="1021" w:type="pct"/>
            <w:shd w:val="clear" w:color="auto" w:fill="auto"/>
          </w:tcPr>
          <w:p w14:paraId="3BE45FB3" w14:textId="77777777" w:rsidR="00D85532" w:rsidRPr="0061343E" w:rsidRDefault="00D85532" w:rsidP="00E7466A">
            <w:pPr>
              <w:pStyle w:val="TableCentre"/>
              <w:keepNext/>
              <w:rPr>
                <w:rFonts w:ascii="Arial Narrow" w:hAnsi="Arial Narrow"/>
                <w:sz w:val="20"/>
                <w:szCs w:val="20"/>
              </w:rPr>
            </w:pPr>
            <w:r w:rsidRPr="0061343E">
              <w:rPr>
                <w:rFonts w:ascii="Arial Narrow" w:hAnsi="Arial Narrow"/>
                <w:sz w:val="20"/>
                <w:szCs w:val="20"/>
              </w:rPr>
              <w:t>RR (95% CI)</w:t>
            </w:r>
          </w:p>
        </w:tc>
        <w:tc>
          <w:tcPr>
            <w:tcW w:w="994" w:type="pct"/>
            <w:shd w:val="clear" w:color="auto" w:fill="auto"/>
          </w:tcPr>
          <w:p w14:paraId="433839E8" w14:textId="77777777" w:rsidR="00D85532" w:rsidRPr="0061343E" w:rsidRDefault="00D85532" w:rsidP="00E7466A">
            <w:pPr>
              <w:pStyle w:val="TableCentre"/>
              <w:keepNext/>
              <w:rPr>
                <w:rFonts w:ascii="Arial Narrow" w:hAnsi="Arial Narrow"/>
                <w:sz w:val="20"/>
                <w:szCs w:val="20"/>
              </w:rPr>
            </w:pPr>
            <w:r w:rsidRPr="0061343E">
              <w:rPr>
                <w:rFonts w:ascii="Arial Narrow" w:hAnsi="Arial Narrow"/>
                <w:sz w:val="20"/>
                <w:szCs w:val="20"/>
              </w:rPr>
              <w:t>RD (95% CI)</w:t>
            </w:r>
          </w:p>
        </w:tc>
      </w:tr>
      <w:tr w:rsidR="00D85532" w:rsidRPr="0061343E" w14:paraId="7B86204F" w14:textId="77777777" w:rsidTr="00E7466A">
        <w:tc>
          <w:tcPr>
            <w:tcW w:w="0" w:type="auto"/>
            <w:shd w:val="clear" w:color="auto" w:fill="auto"/>
          </w:tcPr>
          <w:p w14:paraId="5DC67587" w14:textId="77777777" w:rsidR="00D85532" w:rsidRPr="0061343E" w:rsidRDefault="00D85532" w:rsidP="00E7466A">
            <w:pPr>
              <w:pStyle w:val="TableLeft"/>
              <w:keepNext/>
              <w:jc w:val="left"/>
              <w:rPr>
                <w:rFonts w:ascii="Arial Narrow" w:hAnsi="Arial Narrow"/>
                <w:sz w:val="20"/>
                <w:szCs w:val="20"/>
              </w:rPr>
            </w:pPr>
            <w:r w:rsidRPr="0061343E">
              <w:rPr>
                <w:rFonts w:ascii="Arial Narrow" w:hAnsi="Arial Narrow"/>
                <w:sz w:val="20"/>
                <w:szCs w:val="20"/>
              </w:rPr>
              <w:t>ARCADIA 1</w:t>
            </w:r>
          </w:p>
        </w:tc>
        <w:tc>
          <w:tcPr>
            <w:tcW w:w="1181" w:type="pct"/>
            <w:shd w:val="clear" w:color="auto" w:fill="auto"/>
          </w:tcPr>
          <w:p w14:paraId="2197961C" w14:textId="77777777" w:rsidR="00D85532" w:rsidRPr="0061343E" w:rsidRDefault="00D85532" w:rsidP="00E7466A">
            <w:pPr>
              <w:pStyle w:val="TableCentre"/>
              <w:keepNext/>
              <w:rPr>
                <w:rFonts w:ascii="Arial Narrow" w:hAnsi="Arial Narrow"/>
                <w:sz w:val="20"/>
                <w:szCs w:val="20"/>
              </w:rPr>
            </w:pPr>
            <w:r w:rsidRPr="0061343E">
              <w:rPr>
                <w:rFonts w:ascii="Arial Narrow" w:hAnsi="Arial Narrow"/>
                <w:sz w:val="20"/>
                <w:szCs w:val="20"/>
              </w:rPr>
              <w:t>90/173 (52.0)</w:t>
            </w:r>
          </w:p>
        </w:tc>
        <w:tc>
          <w:tcPr>
            <w:tcW w:w="1022" w:type="pct"/>
            <w:shd w:val="clear" w:color="auto" w:fill="auto"/>
          </w:tcPr>
          <w:p w14:paraId="4F667063" w14:textId="77777777" w:rsidR="00D85532" w:rsidRPr="0061343E" w:rsidRDefault="00D85532" w:rsidP="00E7466A">
            <w:pPr>
              <w:pStyle w:val="TableCentre"/>
              <w:keepNext/>
              <w:rPr>
                <w:rFonts w:ascii="Arial Narrow" w:hAnsi="Arial Narrow"/>
                <w:sz w:val="20"/>
                <w:szCs w:val="20"/>
              </w:rPr>
            </w:pPr>
            <w:r w:rsidRPr="0061343E">
              <w:rPr>
                <w:rFonts w:ascii="Arial Narrow" w:hAnsi="Arial Narrow"/>
                <w:sz w:val="20"/>
                <w:szCs w:val="20"/>
              </w:rPr>
              <w:t>36/80 (45.0)</w:t>
            </w:r>
          </w:p>
        </w:tc>
        <w:tc>
          <w:tcPr>
            <w:tcW w:w="1021" w:type="pct"/>
            <w:shd w:val="clear" w:color="auto" w:fill="auto"/>
          </w:tcPr>
          <w:p w14:paraId="27F252FE" w14:textId="77777777" w:rsidR="00D85532" w:rsidRPr="0061343E" w:rsidRDefault="00D85532" w:rsidP="00E7466A">
            <w:pPr>
              <w:keepNext/>
              <w:jc w:val="center"/>
              <w:rPr>
                <w:rFonts w:ascii="Arial Narrow" w:hAnsi="Arial Narrow"/>
                <w:sz w:val="20"/>
                <w:szCs w:val="20"/>
              </w:rPr>
            </w:pPr>
            <w:r w:rsidRPr="0061343E">
              <w:rPr>
                <w:rFonts w:ascii="Arial Narrow" w:hAnsi="Arial Narrow"/>
                <w:sz w:val="20"/>
                <w:szCs w:val="20"/>
              </w:rPr>
              <w:t>1.16 (0.87, 1.53)</w:t>
            </w:r>
          </w:p>
        </w:tc>
        <w:tc>
          <w:tcPr>
            <w:tcW w:w="994" w:type="pct"/>
            <w:shd w:val="clear" w:color="auto" w:fill="auto"/>
          </w:tcPr>
          <w:p w14:paraId="1666A9A0" w14:textId="77777777" w:rsidR="00D85532" w:rsidRPr="0061343E" w:rsidRDefault="00D85532" w:rsidP="00E7466A">
            <w:pPr>
              <w:keepNext/>
              <w:jc w:val="center"/>
              <w:rPr>
                <w:rFonts w:ascii="Arial Narrow" w:hAnsi="Arial Narrow"/>
                <w:sz w:val="20"/>
                <w:szCs w:val="20"/>
              </w:rPr>
            </w:pPr>
            <w:r w:rsidRPr="0061343E">
              <w:rPr>
                <w:rFonts w:ascii="Arial Narrow" w:hAnsi="Arial Narrow"/>
                <w:sz w:val="20"/>
                <w:szCs w:val="20"/>
              </w:rPr>
              <w:t>0.07 (-0.06, 0.20)</w:t>
            </w:r>
          </w:p>
        </w:tc>
      </w:tr>
      <w:tr w:rsidR="00D85532" w:rsidRPr="0061343E" w14:paraId="0F802CEC" w14:textId="77777777" w:rsidTr="00E7466A">
        <w:tc>
          <w:tcPr>
            <w:tcW w:w="0" w:type="auto"/>
            <w:shd w:val="clear" w:color="auto" w:fill="auto"/>
          </w:tcPr>
          <w:p w14:paraId="639277F3" w14:textId="77777777" w:rsidR="00D85532" w:rsidRPr="0061343E" w:rsidRDefault="00D85532" w:rsidP="00E7466A">
            <w:pPr>
              <w:pStyle w:val="TableLeft"/>
              <w:keepNext/>
              <w:jc w:val="left"/>
              <w:rPr>
                <w:rFonts w:ascii="Arial Narrow" w:hAnsi="Arial Narrow"/>
                <w:sz w:val="20"/>
                <w:szCs w:val="20"/>
              </w:rPr>
            </w:pPr>
            <w:r w:rsidRPr="0061343E">
              <w:rPr>
                <w:rFonts w:ascii="Arial Narrow" w:hAnsi="Arial Narrow"/>
                <w:sz w:val="20"/>
                <w:szCs w:val="20"/>
              </w:rPr>
              <w:t>ARCADIA 2</w:t>
            </w:r>
          </w:p>
        </w:tc>
        <w:tc>
          <w:tcPr>
            <w:tcW w:w="1181" w:type="pct"/>
            <w:shd w:val="clear" w:color="auto" w:fill="auto"/>
          </w:tcPr>
          <w:p w14:paraId="05108BDC" w14:textId="77777777" w:rsidR="00D85532" w:rsidRPr="0061343E" w:rsidRDefault="00D85532" w:rsidP="00E7466A">
            <w:pPr>
              <w:pStyle w:val="TableCentre"/>
              <w:keepNext/>
              <w:rPr>
                <w:rFonts w:ascii="Arial Narrow" w:hAnsi="Arial Narrow"/>
                <w:sz w:val="20"/>
                <w:szCs w:val="20"/>
              </w:rPr>
            </w:pPr>
            <w:r w:rsidRPr="0061343E">
              <w:rPr>
                <w:rFonts w:ascii="Arial Narrow" w:hAnsi="Arial Narrow"/>
                <w:sz w:val="20"/>
                <w:szCs w:val="20"/>
              </w:rPr>
              <w:t>74/157 (47.1)</w:t>
            </w:r>
          </w:p>
        </w:tc>
        <w:tc>
          <w:tcPr>
            <w:tcW w:w="1022" w:type="pct"/>
            <w:shd w:val="clear" w:color="auto" w:fill="auto"/>
          </w:tcPr>
          <w:p w14:paraId="66D21D95" w14:textId="77777777" w:rsidR="00D85532" w:rsidRPr="0061343E" w:rsidRDefault="00D85532" w:rsidP="00E7466A">
            <w:pPr>
              <w:pStyle w:val="TableCentre"/>
              <w:keepNext/>
              <w:rPr>
                <w:rFonts w:ascii="Arial Narrow" w:hAnsi="Arial Narrow"/>
                <w:sz w:val="20"/>
                <w:szCs w:val="20"/>
              </w:rPr>
            </w:pPr>
            <w:r w:rsidRPr="0061343E">
              <w:rPr>
                <w:rFonts w:ascii="Arial Narrow" w:hAnsi="Arial Narrow"/>
                <w:sz w:val="20"/>
                <w:szCs w:val="20"/>
              </w:rPr>
              <w:t>20/78 (25.6)</w:t>
            </w:r>
          </w:p>
        </w:tc>
        <w:tc>
          <w:tcPr>
            <w:tcW w:w="1021" w:type="pct"/>
            <w:shd w:val="clear" w:color="auto" w:fill="auto"/>
          </w:tcPr>
          <w:p w14:paraId="25C5D2D8" w14:textId="77777777" w:rsidR="00D85532" w:rsidRPr="0061343E" w:rsidRDefault="00D85532" w:rsidP="00E7466A">
            <w:pPr>
              <w:keepNext/>
              <w:jc w:val="center"/>
              <w:rPr>
                <w:rFonts w:ascii="Arial Narrow" w:hAnsi="Arial Narrow"/>
                <w:b/>
                <w:bCs/>
                <w:sz w:val="20"/>
                <w:szCs w:val="20"/>
              </w:rPr>
            </w:pPr>
            <w:r w:rsidRPr="0061343E">
              <w:rPr>
                <w:rFonts w:ascii="Arial Narrow" w:hAnsi="Arial Narrow"/>
                <w:b/>
                <w:bCs/>
                <w:sz w:val="20"/>
                <w:szCs w:val="20"/>
              </w:rPr>
              <w:t>1.84 (1.22, 2.78)</w:t>
            </w:r>
          </w:p>
        </w:tc>
        <w:tc>
          <w:tcPr>
            <w:tcW w:w="994" w:type="pct"/>
            <w:shd w:val="clear" w:color="auto" w:fill="auto"/>
          </w:tcPr>
          <w:p w14:paraId="313669A8" w14:textId="77777777" w:rsidR="00D85532" w:rsidRPr="0061343E" w:rsidRDefault="00D85532" w:rsidP="00E7466A">
            <w:pPr>
              <w:keepNext/>
              <w:jc w:val="center"/>
              <w:rPr>
                <w:rFonts w:ascii="Arial Narrow" w:hAnsi="Arial Narrow"/>
                <w:b/>
                <w:bCs/>
                <w:sz w:val="20"/>
                <w:szCs w:val="20"/>
              </w:rPr>
            </w:pPr>
            <w:r w:rsidRPr="0061343E">
              <w:rPr>
                <w:rFonts w:ascii="Arial Narrow" w:hAnsi="Arial Narrow"/>
                <w:b/>
                <w:bCs/>
                <w:sz w:val="20"/>
                <w:szCs w:val="20"/>
              </w:rPr>
              <w:t>0.22 (0.09, 0.34)</w:t>
            </w:r>
          </w:p>
        </w:tc>
      </w:tr>
      <w:tr w:rsidR="00D85532" w:rsidRPr="0061343E" w14:paraId="0CFA0330" w14:textId="77777777" w:rsidTr="00E7466A">
        <w:tc>
          <w:tcPr>
            <w:tcW w:w="0" w:type="auto"/>
            <w:shd w:val="clear" w:color="auto" w:fill="auto"/>
          </w:tcPr>
          <w:p w14:paraId="434819E0" w14:textId="77777777" w:rsidR="00D85532" w:rsidRPr="0061343E" w:rsidRDefault="00D85532" w:rsidP="00E7466A">
            <w:pPr>
              <w:pStyle w:val="TableLeft"/>
              <w:keepNext/>
              <w:jc w:val="left"/>
              <w:rPr>
                <w:rFonts w:ascii="Arial Narrow" w:hAnsi="Arial Narrow"/>
                <w:sz w:val="20"/>
                <w:szCs w:val="20"/>
              </w:rPr>
            </w:pPr>
            <w:r w:rsidRPr="0061343E">
              <w:rPr>
                <w:rFonts w:ascii="Arial Narrow" w:hAnsi="Arial Narrow"/>
                <w:sz w:val="20"/>
                <w:szCs w:val="20"/>
              </w:rPr>
              <w:t>Study 114322</w:t>
            </w:r>
          </w:p>
        </w:tc>
        <w:tc>
          <w:tcPr>
            <w:tcW w:w="1181" w:type="pct"/>
            <w:shd w:val="clear" w:color="auto" w:fill="auto"/>
          </w:tcPr>
          <w:p w14:paraId="40156C6F" w14:textId="77777777" w:rsidR="00D85532" w:rsidRPr="0061343E" w:rsidRDefault="00D85532" w:rsidP="00E7466A">
            <w:pPr>
              <w:pStyle w:val="TableCentre"/>
              <w:keepNext/>
              <w:rPr>
                <w:rFonts w:ascii="Arial Narrow" w:hAnsi="Arial Narrow"/>
                <w:sz w:val="20"/>
                <w:szCs w:val="20"/>
              </w:rPr>
            </w:pPr>
            <w:r w:rsidRPr="0061343E">
              <w:rPr>
                <w:rFonts w:ascii="Arial Narrow" w:hAnsi="Arial Narrow"/>
                <w:sz w:val="20"/>
                <w:szCs w:val="20"/>
              </w:rPr>
              <w:t>26/46 (56.5)</w:t>
            </w:r>
          </w:p>
        </w:tc>
        <w:tc>
          <w:tcPr>
            <w:tcW w:w="1022" w:type="pct"/>
            <w:shd w:val="clear" w:color="auto" w:fill="auto"/>
          </w:tcPr>
          <w:p w14:paraId="10EDB1CC" w14:textId="77777777" w:rsidR="00D85532" w:rsidRPr="0061343E" w:rsidRDefault="00D85532" w:rsidP="00E7466A">
            <w:pPr>
              <w:pStyle w:val="TableCentre"/>
              <w:keepNext/>
              <w:rPr>
                <w:rFonts w:ascii="Arial Narrow" w:hAnsi="Arial Narrow"/>
                <w:sz w:val="20"/>
                <w:szCs w:val="20"/>
              </w:rPr>
            </w:pPr>
            <w:r w:rsidRPr="0061343E">
              <w:rPr>
                <w:rFonts w:ascii="Arial Narrow" w:hAnsi="Arial Narrow"/>
                <w:sz w:val="20"/>
                <w:szCs w:val="20"/>
              </w:rPr>
              <w:t>4/17 (23.5)</w:t>
            </w:r>
          </w:p>
        </w:tc>
        <w:tc>
          <w:tcPr>
            <w:tcW w:w="1021" w:type="pct"/>
            <w:shd w:val="clear" w:color="auto" w:fill="auto"/>
          </w:tcPr>
          <w:p w14:paraId="09CA9FED" w14:textId="77777777" w:rsidR="00D85532" w:rsidRPr="0061343E" w:rsidRDefault="00D85532" w:rsidP="00E7466A">
            <w:pPr>
              <w:keepNext/>
              <w:jc w:val="center"/>
              <w:rPr>
                <w:rFonts w:ascii="Arial Narrow" w:hAnsi="Arial Narrow"/>
                <w:sz w:val="20"/>
                <w:szCs w:val="20"/>
              </w:rPr>
            </w:pPr>
            <w:r w:rsidRPr="0061343E">
              <w:rPr>
                <w:rFonts w:ascii="Arial Narrow" w:hAnsi="Arial Narrow"/>
                <w:sz w:val="20"/>
                <w:szCs w:val="20"/>
              </w:rPr>
              <w:t>2.40 (0.98, 5.87)</w:t>
            </w:r>
          </w:p>
        </w:tc>
        <w:tc>
          <w:tcPr>
            <w:tcW w:w="994" w:type="pct"/>
            <w:shd w:val="clear" w:color="auto" w:fill="auto"/>
          </w:tcPr>
          <w:p w14:paraId="3D65FF25" w14:textId="77777777" w:rsidR="00D85532" w:rsidRPr="0061343E" w:rsidRDefault="00D85532" w:rsidP="00E7466A">
            <w:pPr>
              <w:keepNext/>
              <w:jc w:val="center"/>
              <w:rPr>
                <w:rFonts w:ascii="Arial Narrow" w:hAnsi="Arial Narrow"/>
                <w:sz w:val="20"/>
                <w:szCs w:val="20"/>
              </w:rPr>
            </w:pPr>
            <w:r w:rsidRPr="0061343E">
              <w:rPr>
                <w:rFonts w:ascii="Arial Narrow" w:hAnsi="Arial Narrow"/>
                <w:sz w:val="20"/>
                <w:szCs w:val="20"/>
              </w:rPr>
              <w:t>0.33 (0.08, 0.58)</w:t>
            </w:r>
          </w:p>
        </w:tc>
      </w:tr>
      <w:tr w:rsidR="008F169C" w:rsidRPr="0061343E" w14:paraId="16299D0E" w14:textId="77777777" w:rsidTr="008F169C">
        <w:tc>
          <w:tcPr>
            <w:tcW w:w="2985" w:type="pct"/>
            <w:gridSpan w:val="3"/>
            <w:shd w:val="clear" w:color="auto" w:fill="auto"/>
          </w:tcPr>
          <w:p w14:paraId="409A574B" w14:textId="2710A527" w:rsidR="008F169C" w:rsidRPr="0061343E" w:rsidRDefault="008F169C" w:rsidP="008F169C">
            <w:pPr>
              <w:pStyle w:val="TableCentre"/>
              <w:keepNext/>
              <w:jc w:val="left"/>
              <w:rPr>
                <w:rFonts w:ascii="Arial Narrow" w:hAnsi="Arial Narrow"/>
                <w:b/>
                <w:bCs/>
                <w:sz w:val="20"/>
                <w:szCs w:val="20"/>
              </w:rPr>
            </w:pPr>
            <w:r w:rsidRPr="0061343E">
              <w:rPr>
                <w:rFonts w:ascii="Arial Narrow" w:hAnsi="Arial Narrow"/>
                <w:b/>
                <w:bCs/>
                <w:sz w:val="20"/>
                <w:szCs w:val="20"/>
              </w:rPr>
              <w:t>Pooled (REM)</w:t>
            </w:r>
          </w:p>
        </w:tc>
        <w:tc>
          <w:tcPr>
            <w:tcW w:w="1021" w:type="pct"/>
            <w:shd w:val="clear" w:color="auto" w:fill="auto"/>
          </w:tcPr>
          <w:p w14:paraId="7C13B441" w14:textId="77777777" w:rsidR="008F169C" w:rsidRPr="0061343E" w:rsidRDefault="008F169C" w:rsidP="00E7466A">
            <w:pPr>
              <w:keepNext/>
              <w:jc w:val="center"/>
              <w:rPr>
                <w:rFonts w:ascii="Arial Narrow" w:hAnsi="Arial Narrow"/>
                <w:b/>
                <w:bCs/>
                <w:sz w:val="20"/>
                <w:szCs w:val="20"/>
              </w:rPr>
            </w:pPr>
            <w:r w:rsidRPr="0061343E">
              <w:rPr>
                <w:rFonts w:ascii="Arial Narrow" w:hAnsi="Arial Narrow"/>
                <w:b/>
                <w:bCs/>
                <w:sz w:val="20"/>
                <w:szCs w:val="20"/>
              </w:rPr>
              <w:t>1.55 (1.01, 2.37)</w:t>
            </w:r>
          </w:p>
        </w:tc>
        <w:tc>
          <w:tcPr>
            <w:tcW w:w="994" w:type="pct"/>
            <w:shd w:val="clear" w:color="auto" w:fill="auto"/>
          </w:tcPr>
          <w:p w14:paraId="1AF723EB" w14:textId="77777777" w:rsidR="008F169C" w:rsidRPr="0061343E" w:rsidRDefault="008F169C" w:rsidP="00E7466A">
            <w:pPr>
              <w:keepNext/>
              <w:jc w:val="center"/>
              <w:rPr>
                <w:rFonts w:ascii="Arial Narrow" w:hAnsi="Arial Narrow"/>
                <w:b/>
                <w:bCs/>
                <w:sz w:val="20"/>
                <w:szCs w:val="20"/>
              </w:rPr>
            </w:pPr>
            <w:r w:rsidRPr="0061343E">
              <w:rPr>
                <w:rFonts w:ascii="Arial Narrow" w:hAnsi="Arial Narrow"/>
                <w:b/>
                <w:bCs/>
                <w:sz w:val="20"/>
                <w:szCs w:val="20"/>
              </w:rPr>
              <w:t>0.18 (0.05, 0.32)</w:t>
            </w:r>
          </w:p>
        </w:tc>
      </w:tr>
    </w:tbl>
    <w:p w14:paraId="557ADBC8" w14:textId="77777777" w:rsidR="00D85532" w:rsidRPr="0061343E" w:rsidRDefault="00D85532" w:rsidP="00D85532">
      <w:pPr>
        <w:pStyle w:val="CaptionFootnote"/>
        <w:keepNext/>
        <w:rPr>
          <w:rFonts w:ascii="Arial Narrow" w:hAnsi="Arial Narrow"/>
          <w:sz w:val="18"/>
          <w:szCs w:val="18"/>
        </w:rPr>
      </w:pPr>
      <w:r w:rsidRPr="0061343E">
        <w:rPr>
          <w:rFonts w:ascii="Arial Narrow" w:hAnsi="Arial Narrow"/>
          <w:sz w:val="18"/>
          <w:szCs w:val="18"/>
        </w:rPr>
        <w:t>Source: Table 2-89, p217 of the submission.</w:t>
      </w:r>
    </w:p>
    <w:p w14:paraId="654E5C40" w14:textId="77777777" w:rsidR="00D85532" w:rsidRPr="0061343E" w:rsidRDefault="00D85532" w:rsidP="00D85532">
      <w:pPr>
        <w:pStyle w:val="CaptionFootnote"/>
        <w:keepNext/>
        <w:rPr>
          <w:rFonts w:ascii="Arial Narrow" w:hAnsi="Arial Narrow"/>
          <w:sz w:val="18"/>
          <w:szCs w:val="18"/>
        </w:rPr>
      </w:pPr>
      <w:r w:rsidRPr="0061343E">
        <w:rPr>
          <w:rFonts w:ascii="Arial Narrow" w:hAnsi="Arial Narrow"/>
          <w:sz w:val="18"/>
          <w:szCs w:val="18"/>
        </w:rPr>
        <w:t>CI = confidence interval; EASI-50 = proportion of patients with ≥ 50% improvement in Eczema Area and Severity Index from baseline; NEMO = nemolizumab; Q4W = every 4 weeks; RD = risk difference; REM = random effects model; RR = relative risk</w:t>
      </w:r>
    </w:p>
    <w:p w14:paraId="0A35DFDD" w14:textId="77777777" w:rsidR="00D85532" w:rsidRPr="0061343E" w:rsidRDefault="00D85532" w:rsidP="00D85532">
      <w:pPr>
        <w:pStyle w:val="CaptionFootnote"/>
        <w:keepNext/>
        <w:rPr>
          <w:rFonts w:ascii="Arial Narrow" w:hAnsi="Arial Narrow"/>
          <w:sz w:val="18"/>
          <w:szCs w:val="18"/>
        </w:rPr>
      </w:pPr>
      <w:r w:rsidRPr="0061343E">
        <w:rPr>
          <w:rFonts w:ascii="Arial Narrow" w:hAnsi="Arial Narrow"/>
          <w:b/>
          <w:bCs/>
          <w:sz w:val="18"/>
          <w:szCs w:val="18"/>
        </w:rPr>
        <w:t>Bold</w:t>
      </w:r>
      <w:r w:rsidRPr="0061343E">
        <w:rPr>
          <w:rFonts w:ascii="Arial Narrow" w:hAnsi="Arial Narrow"/>
          <w:sz w:val="18"/>
          <w:szCs w:val="18"/>
        </w:rPr>
        <w:t xml:space="preserve"> = statistically significant.</w:t>
      </w:r>
    </w:p>
    <w:p w14:paraId="4FD9E83E" w14:textId="77777777" w:rsidR="00D85532" w:rsidRPr="0061343E" w:rsidRDefault="00D85532" w:rsidP="00A75874">
      <w:pPr>
        <w:pStyle w:val="3-BodyText"/>
        <w:numPr>
          <w:ilvl w:val="0"/>
          <w:numId w:val="0"/>
        </w:numPr>
        <w:spacing w:before="0" w:after="0"/>
        <w:ind w:left="720" w:hanging="720"/>
      </w:pPr>
    </w:p>
    <w:p w14:paraId="75AF6CE2" w14:textId="0C54BA78" w:rsidR="00D85532" w:rsidRPr="0061343E" w:rsidRDefault="00D85532" w:rsidP="00C67925">
      <w:pPr>
        <w:pStyle w:val="Caption"/>
      </w:pPr>
      <w:bookmarkStart w:id="45" w:name="_Ref197514464"/>
      <w:r w:rsidRPr="0061343E">
        <w:t xml:space="preserve">Table </w:t>
      </w:r>
      <w:r w:rsidR="00167892">
        <w:fldChar w:fldCharType="begin"/>
      </w:r>
      <w:r w:rsidR="00167892">
        <w:instrText xml:space="preserve"> SEQ Table \* ARABIC </w:instrText>
      </w:r>
      <w:r w:rsidR="00167892">
        <w:fldChar w:fldCharType="separate"/>
      </w:r>
      <w:r w:rsidR="00E5780E">
        <w:rPr>
          <w:noProof/>
        </w:rPr>
        <w:t>13</w:t>
      </w:r>
      <w:r w:rsidR="00167892">
        <w:rPr>
          <w:noProof/>
        </w:rPr>
        <w:fldChar w:fldCharType="end"/>
      </w:r>
      <w:bookmarkEnd w:id="45"/>
      <w:r w:rsidRPr="0061343E">
        <w:t xml:space="preserve">: Pooled results for NEMO 30 mg Q4W vs placebo: </w:t>
      </w:r>
      <w:bookmarkStart w:id="46" w:name="_Hlk197813286"/>
      <w:r w:rsidRPr="0061343E">
        <w:t xml:space="preserve">≥ 4-point improvement in DLQI at Week </w:t>
      </w:r>
      <w:bookmarkEnd w:id="46"/>
      <w:r w:rsidRPr="0061343E">
        <w:t>16 – PBS population</w:t>
      </w:r>
    </w:p>
    <w:tbl>
      <w:tblPr>
        <w:tblStyle w:val="Submissionstandard"/>
        <w:tblW w:w="5000" w:type="pct"/>
        <w:tblLook w:val="04A0" w:firstRow="1" w:lastRow="0" w:firstColumn="1" w:lastColumn="0" w:noHBand="0" w:noVBand="1"/>
        <w:tblCaption w:val="Table 13: Pooled results for NEMO 30 mg Q4W vs placebo: ≥ 4-point improvement in DLQI at Week 16 – PBS population"/>
      </w:tblPr>
      <w:tblGrid>
        <w:gridCol w:w="1327"/>
        <w:gridCol w:w="2213"/>
        <w:gridCol w:w="1984"/>
        <w:gridCol w:w="1901"/>
        <w:gridCol w:w="1592"/>
      </w:tblGrid>
      <w:tr w:rsidR="00D85532" w:rsidRPr="0061343E" w14:paraId="0D0CBBEF" w14:textId="77777777" w:rsidTr="00E7466A">
        <w:trPr>
          <w:cnfStyle w:val="100000000000" w:firstRow="1" w:lastRow="0" w:firstColumn="0" w:lastColumn="0" w:oddVBand="0" w:evenVBand="0" w:oddHBand="0" w:evenHBand="0" w:firstRowFirstColumn="0" w:firstRowLastColumn="0" w:lastRowFirstColumn="0" w:lastRowLastColumn="0"/>
        </w:trPr>
        <w:tc>
          <w:tcPr>
            <w:tcW w:w="0" w:type="auto"/>
            <w:shd w:val="clear" w:color="auto" w:fill="auto"/>
          </w:tcPr>
          <w:p w14:paraId="65F11C8D" w14:textId="77777777" w:rsidR="00D85532" w:rsidRPr="0061343E" w:rsidRDefault="00D85532" w:rsidP="00C67925">
            <w:pPr>
              <w:pStyle w:val="TableLeft"/>
              <w:keepNext/>
              <w:keepLines/>
              <w:jc w:val="left"/>
              <w:rPr>
                <w:rFonts w:ascii="Arial Narrow" w:hAnsi="Arial Narrow"/>
                <w:sz w:val="20"/>
                <w:szCs w:val="20"/>
              </w:rPr>
            </w:pPr>
          </w:p>
        </w:tc>
        <w:tc>
          <w:tcPr>
            <w:tcW w:w="1227" w:type="pct"/>
            <w:shd w:val="clear" w:color="auto" w:fill="auto"/>
          </w:tcPr>
          <w:p w14:paraId="6DE13033" w14:textId="77777777" w:rsidR="00D85532" w:rsidRPr="0061343E" w:rsidRDefault="00D85532" w:rsidP="00C67925">
            <w:pPr>
              <w:pStyle w:val="TableCentre"/>
              <w:keepNext/>
              <w:keepLines/>
              <w:rPr>
                <w:rFonts w:ascii="Arial Narrow" w:hAnsi="Arial Narrow"/>
                <w:b w:val="0"/>
                <w:sz w:val="20"/>
                <w:szCs w:val="20"/>
              </w:rPr>
            </w:pPr>
            <w:r w:rsidRPr="0061343E">
              <w:rPr>
                <w:rFonts w:ascii="Arial Narrow" w:hAnsi="Arial Narrow"/>
                <w:sz w:val="20"/>
                <w:szCs w:val="20"/>
              </w:rPr>
              <w:t>MENO 30 mg Q4W</w:t>
            </w:r>
          </w:p>
          <w:p w14:paraId="730312B4" w14:textId="77777777" w:rsidR="00D85532" w:rsidRPr="0061343E" w:rsidRDefault="00D85532" w:rsidP="00C67925">
            <w:pPr>
              <w:pStyle w:val="TableCentre"/>
              <w:keepNext/>
              <w:keepLines/>
              <w:rPr>
                <w:rFonts w:ascii="Arial Narrow" w:hAnsi="Arial Narrow"/>
                <w:sz w:val="20"/>
                <w:szCs w:val="20"/>
              </w:rPr>
            </w:pPr>
            <w:r w:rsidRPr="0061343E">
              <w:rPr>
                <w:rFonts w:ascii="Arial Narrow" w:hAnsi="Arial Narrow"/>
                <w:sz w:val="20"/>
                <w:szCs w:val="20"/>
              </w:rPr>
              <w:t>n/N (%)</w:t>
            </w:r>
          </w:p>
        </w:tc>
        <w:tc>
          <w:tcPr>
            <w:tcW w:w="1100" w:type="pct"/>
            <w:shd w:val="clear" w:color="auto" w:fill="auto"/>
          </w:tcPr>
          <w:p w14:paraId="57F17F19" w14:textId="77777777" w:rsidR="00D85532" w:rsidRPr="0061343E" w:rsidRDefault="00D85532" w:rsidP="00C67925">
            <w:pPr>
              <w:pStyle w:val="TableCentre"/>
              <w:keepNext/>
              <w:keepLines/>
              <w:rPr>
                <w:rFonts w:ascii="Arial Narrow" w:hAnsi="Arial Narrow"/>
                <w:b w:val="0"/>
                <w:sz w:val="20"/>
                <w:szCs w:val="20"/>
              </w:rPr>
            </w:pPr>
            <w:r w:rsidRPr="0061343E">
              <w:rPr>
                <w:rFonts w:ascii="Arial Narrow" w:hAnsi="Arial Narrow"/>
                <w:sz w:val="20"/>
                <w:szCs w:val="20"/>
              </w:rPr>
              <w:t>Placebo</w:t>
            </w:r>
          </w:p>
          <w:p w14:paraId="66A5B7B9" w14:textId="77777777" w:rsidR="00D85532" w:rsidRPr="0061343E" w:rsidRDefault="00D85532" w:rsidP="00C67925">
            <w:pPr>
              <w:pStyle w:val="TableCentre"/>
              <w:keepNext/>
              <w:keepLines/>
              <w:rPr>
                <w:rFonts w:ascii="Arial Narrow" w:hAnsi="Arial Narrow"/>
                <w:sz w:val="20"/>
                <w:szCs w:val="20"/>
              </w:rPr>
            </w:pPr>
            <w:r w:rsidRPr="0061343E">
              <w:rPr>
                <w:rFonts w:ascii="Arial Narrow" w:hAnsi="Arial Narrow"/>
                <w:sz w:val="20"/>
                <w:szCs w:val="20"/>
              </w:rPr>
              <w:t>n/N (%)</w:t>
            </w:r>
          </w:p>
        </w:tc>
        <w:tc>
          <w:tcPr>
            <w:tcW w:w="1054" w:type="pct"/>
            <w:shd w:val="clear" w:color="auto" w:fill="auto"/>
          </w:tcPr>
          <w:p w14:paraId="7E8625A5" w14:textId="77777777" w:rsidR="00D85532" w:rsidRPr="0061343E" w:rsidRDefault="00D85532" w:rsidP="00C67925">
            <w:pPr>
              <w:pStyle w:val="TableCentre"/>
              <w:keepNext/>
              <w:keepLines/>
              <w:rPr>
                <w:rFonts w:ascii="Arial Narrow" w:hAnsi="Arial Narrow"/>
                <w:sz w:val="20"/>
                <w:szCs w:val="20"/>
              </w:rPr>
            </w:pPr>
            <w:r w:rsidRPr="0061343E">
              <w:rPr>
                <w:rFonts w:ascii="Arial Narrow" w:hAnsi="Arial Narrow"/>
                <w:sz w:val="20"/>
                <w:szCs w:val="20"/>
              </w:rPr>
              <w:t>RR (95% CI)</w:t>
            </w:r>
          </w:p>
        </w:tc>
        <w:tc>
          <w:tcPr>
            <w:tcW w:w="883" w:type="pct"/>
            <w:shd w:val="clear" w:color="auto" w:fill="auto"/>
          </w:tcPr>
          <w:p w14:paraId="7B5F2B4A" w14:textId="77777777" w:rsidR="00D85532" w:rsidRPr="0061343E" w:rsidRDefault="00D85532" w:rsidP="00C67925">
            <w:pPr>
              <w:pStyle w:val="TableCentre"/>
              <w:keepNext/>
              <w:keepLines/>
              <w:rPr>
                <w:rFonts w:ascii="Arial Narrow" w:hAnsi="Arial Narrow"/>
                <w:sz w:val="20"/>
                <w:szCs w:val="20"/>
              </w:rPr>
            </w:pPr>
            <w:r w:rsidRPr="0061343E">
              <w:rPr>
                <w:rFonts w:ascii="Arial Narrow" w:hAnsi="Arial Narrow"/>
                <w:sz w:val="20"/>
                <w:szCs w:val="20"/>
              </w:rPr>
              <w:t>RD (95% CI)</w:t>
            </w:r>
          </w:p>
        </w:tc>
      </w:tr>
      <w:tr w:rsidR="00D85532" w:rsidRPr="0061343E" w14:paraId="30297F59" w14:textId="77777777" w:rsidTr="00E7466A">
        <w:tc>
          <w:tcPr>
            <w:tcW w:w="0" w:type="auto"/>
            <w:shd w:val="clear" w:color="auto" w:fill="auto"/>
          </w:tcPr>
          <w:p w14:paraId="3C9271A7" w14:textId="77777777" w:rsidR="00D85532" w:rsidRPr="0061343E" w:rsidRDefault="00D85532" w:rsidP="00C67925">
            <w:pPr>
              <w:pStyle w:val="TableLeft"/>
              <w:keepNext/>
              <w:keepLines/>
              <w:jc w:val="left"/>
              <w:rPr>
                <w:rFonts w:ascii="Arial Narrow" w:hAnsi="Arial Narrow"/>
                <w:sz w:val="20"/>
                <w:szCs w:val="20"/>
              </w:rPr>
            </w:pPr>
            <w:r w:rsidRPr="0061343E">
              <w:rPr>
                <w:rFonts w:ascii="Arial Narrow" w:hAnsi="Arial Narrow"/>
                <w:sz w:val="20"/>
                <w:szCs w:val="20"/>
              </w:rPr>
              <w:t>ARCADIA 1</w:t>
            </w:r>
          </w:p>
        </w:tc>
        <w:tc>
          <w:tcPr>
            <w:tcW w:w="1227" w:type="pct"/>
            <w:shd w:val="clear" w:color="auto" w:fill="auto"/>
          </w:tcPr>
          <w:p w14:paraId="591EE57D" w14:textId="77777777" w:rsidR="00D85532" w:rsidRPr="0061343E" w:rsidRDefault="00D85532" w:rsidP="00C67925">
            <w:pPr>
              <w:pStyle w:val="TableCentre"/>
              <w:keepNext/>
              <w:keepLines/>
              <w:rPr>
                <w:rFonts w:ascii="Arial Narrow" w:hAnsi="Arial Narrow"/>
                <w:sz w:val="20"/>
                <w:szCs w:val="20"/>
              </w:rPr>
            </w:pPr>
            <w:r w:rsidRPr="0061343E">
              <w:rPr>
                <w:rFonts w:ascii="Arial Narrow" w:hAnsi="Arial Narrow"/>
                <w:sz w:val="20"/>
                <w:szCs w:val="20"/>
              </w:rPr>
              <w:t>115/173 (66.5)</w:t>
            </w:r>
          </w:p>
        </w:tc>
        <w:tc>
          <w:tcPr>
            <w:tcW w:w="1100" w:type="pct"/>
            <w:shd w:val="clear" w:color="auto" w:fill="auto"/>
          </w:tcPr>
          <w:p w14:paraId="1156D3BD" w14:textId="77777777" w:rsidR="00D85532" w:rsidRPr="0061343E" w:rsidRDefault="00D85532" w:rsidP="00C67925">
            <w:pPr>
              <w:pStyle w:val="TableCentre"/>
              <w:keepNext/>
              <w:keepLines/>
              <w:rPr>
                <w:rFonts w:ascii="Arial Narrow" w:hAnsi="Arial Narrow"/>
                <w:sz w:val="20"/>
                <w:szCs w:val="20"/>
              </w:rPr>
            </w:pPr>
            <w:r w:rsidRPr="0061343E">
              <w:rPr>
                <w:rFonts w:ascii="Arial Narrow" w:hAnsi="Arial Narrow"/>
                <w:sz w:val="20"/>
                <w:szCs w:val="20"/>
              </w:rPr>
              <w:t>43/80 (53.8)</w:t>
            </w:r>
          </w:p>
        </w:tc>
        <w:tc>
          <w:tcPr>
            <w:tcW w:w="1054" w:type="pct"/>
            <w:shd w:val="clear" w:color="auto" w:fill="auto"/>
          </w:tcPr>
          <w:p w14:paraId="4B05BFA5" w14:textId="77777777" w:rsidR="00D85532" w:rsidRPr="0061343E" w:rsidRDefault="00D85532" w:rsidP="00C67925">
            <w:pPr>
              <w:keepNext/>
              <w:keepLines/>
              <w:jc w:val="center"/>
              <w:rPr>
                <w:rFonts w:ascii="Arial Narrow" w:hAnsi="Arial Narrow"/>
                <w:sz w:val="20"/>
                <w:szCs w:val="20"/>
                <w:vertAlign w:val="superscript"/>
              </w:rPr>
            </w:pPr>
            <w:r w:rsidRPr="0061343E">
              <w:rPr>
                <w:rFonts w:ascii="Arial Narrow" w:hAnsi="Arial Narrow"/>
                <w:sz w:val="20"/>
                <w:szCs w:val="20"/>
              </w:rPr>
              <w:t xml:space="preserve">1.24 (0.98, </w:t>
            </w:r>
            <w:proofErr w:type="gramStart"/>
            <w:r w:rsidRPr="0061343E">
              <w:rPr>
                <w:rFonts w:ascii="Arial Narrow" w:hAnsi="Arial Narrow"/>
                <w:sz w:val="20"/>
                <w:szCs w:val="20"/>
              </w:rPr>
              <w:t>1.56)</w:t>
            </w:r>
            <w:r w:rsidRPr="0061343E">
              <w:rPr>
                <w:rFonts w:ascii="Arial Narrow" w:hAnsi="Arial Narrow"/>
                <w:sz w:val="20"/>
                <w:szCs w:val="20"/>
                <w:vertAlign w:val="superscript"/>
              </w:rPr>
              <w:t>a</w:t>
            </w:r>
            <w:proofErr w:type="gramEnd"/>
          </w:p>
        </w:tc>
        <w:tc>
          <w:tcPr>
            <w:tcW w:w="883" w:type="pct"/>
            <w:shd w:val="clear" w:color="auto" w:fill="auto"/>
          </w:tcPr>
          <w:p w14:paraId="3695E972" w14:textId="77777777" w:rsidR="00D85532" w:rsidRPr="0061343E" w:rsidRDefault="00D85532" w:rsidP="00C67925">
            <w:pPr>
              <w:keepNext/>
              <w:keepLines/>
              <w:jc w:val="center"/>
              <w:rPr>
                <w:rFonts w:ascii="Arial Narrow" w:hAnsi="Arial Narrow"/>
                <w:sz w:val="20"/>
                <w:szCs w:val="20"/>
                <w:vertAlign w:val="superscript"/>
              </w:rPr>
            </w:pPr>
            <w:r w:rsidRPr="0061343E">
              <w:rPr>
                <w:rFonts w:ascii="Arial Narrow" w:hAnsi="Arial Narrow"/>
                <w:sz w:val="20"/>
                <w:szCs w:val="20"/>
              </w:rPr>
              <w:t xml:space="preserve">0.13 (-0.00, </w:t>
            </w:r>
            <w:proofErr w:type="gramStart"/>
            <w:r w:rsidRPr="0061343E">
              <w:rPr>
                <w:rFonts w:ascii="Arial Narrow" w:hAnsi="Arial Narrow"/>
                <w:sz w:val="20"/>
                <w:szCs w:val="20"/>
              </w:rPr>
              <w:t>0.26)</w:t>
            </w:r>
            <w:r w:rsidRPr="0061343E">
              <w:rPr>
                <w:rFonts w:ascii="Arial Narrow" w:hAnsi="Arial Narrow"/>
                <w:sz w:val="20"/>
                <w:szCs w:val="20"/>
                <w:vertAlign w:val="superscript"/>
              </w:rPr>
              <w:t>a</w:t>
            </w:r>
            <w:proofErr w:type="gramEnd"/>
          </w:p>
        </w:tc>
      </w:tr>
      <w:tr w:rsidR="00D85532" w:rsidRPr="0061343E" w14:paraId="567EE780" w14:textId="77777777" w:rsidTr="00E7466A">
        <w:tc>
          <w:tcPr>
            <w:tcW w:w="0" w:type="auto"/>
            <w:shd w:val="clear" w:color="auto" w:fill="auto"/>
          </w:tcPr>
          <w:p w14:paraId="4307575E" w14:textId="77777777" w:rsidR="00D85532" w:rsidRPr="0061343E" w:rsidRDefault="00D85532" w:rsidP="00C67925">
            <w:pPr>
              <w:pStyle w:val="TableLeft"/>
              <w:keepNext/>
              <w:keepLines/>
              <w:jc w:val="left"/>
              <w:rPr>
                <w:rFonts w:ascii="Arial Narrow" w:hAnsi="Arial Narrow"/>
                <w:sz w:val="20"/>
                <w:szCs w:val="20"/>
              </w:rPr>
            </w:pPr>
            <w:r w:rsidRPr="0061343E">
              <w:rPr>
                <w:rFonts w:ascii="Arial Narrow" w:hAnsi="Arial Narrow"/>
                <w:sz w:val="20"/>
                <w:szCs w:val="20"/>
              </w:rPr>
              <w:t>ARCADIA 2</w:t>
            </w:r>
          </w:p>
        </w:tc>
        <w:tc>
          <w:tcPr>
            <w:tcW w:w="1227" w:type="pct"/>
            <w:shd w:val="clear" w:color="auto" w:fill="auto"/>
          </w:tcPr>
          <w:p w14:paraId="0BAF896B" w14:textId="77777777" w:rsidR="00D85532" w:rsidRPr="0061343E" w:rsidRDefault="00D85532" w:rsidP="00C67925">
            <w:pPr>
              <w:pStyle w:val="TableCentre"/>
              <w:keepNext/>
              <w:keepLines/>
              <w:rPr>
                <w:rFonts w:ascii="Arial Narrow" w:hAnsi="Arial Narrow"/>
                <w:sz w:val="20"/>
                <w:szCs w:val="20"/>
              </w:rPr>
            </w:pPr>
            <w:r w:rsidRPr="0061343E">
              <w:rPr>
                <w:rFonts w:ascii="Arial Narrow" w:hAnsi="Arial Narrow"/>
                <w:sz w:val="20"/>
                <w:szCs w:val="20"/>
              </w:rPr>
              <w:t>99/157 (63.1)</w:t>
            </w:r>
          </w:p>
        </w:tc>
        <w:tc>
          <w:tcPr>
            <w:tcW w:w="1100" w:type="pct"/>
            <w:shd w:val="clear" w:color="auto" w:fill="auto"/>
          </w:tcPr>
          <w:p w14:paraId="6837804C" w14:textId="77777777" w:rsidR="00D85532" w:rsidRPr="0061343E" w:rsidRDefault="00D85532" w:rsidP="00C67925">
            <w:pPr>
              <w:pStyle w:val="TableCentre"/>
              <w:keepNext/>
              <w:keepLines/>
              <w:rPr>
                <w:rFonts w:ascii="Arial Narrow" w:hAnsi="Arial Narrow"/>
                <w:sz w:val="20"/>
                <w:szCs w:val="20"/>
              </w:rPr>
            </w:pPr>
            <w:r w:rsidRPr="0061343E">
              <w:rPr>
                <w:rFonts w:ascii="Arial Narrow" w:hAnsi="Arial Narrow"/>
                <w:sz w:val="20"/>
                <w:szCs w:val="20"/>
              </w:rPr>
              <w:t>34/78 (43.6)</w:t>
            </w:r>
          </w:p>
        </w:tc>
        <w:tc>
          <w:tcPr>
            <w:tcW w:w="1054" w:type="pct"/>
            <w:shd w:val="clear" w:color="auto" w:fill="auto"/>
          </w:tcPr>
          <w:p w14:paraId="3441C6D1" w14:textId="77777777" w:rsidR="00D85532" w:rsidRPr="0061343E" w:rsidRDefault="00D85532" w:rsidP="00C67925">
            <w:pPr>
              <w:keepNext/>
              <w:keepLines/>
              <w:jc w:val="center"/>
              <w:rPr>
                <w:rFonts w:ascii="Arial Narrow" w:hAnsi="Arial Narrow"/>
                <w:b/>
                <w:bCs/>
                <w:sz w:val="20"/>
                <w:szCs w:val="20"/>
                <w:vertAlign w:val="superscript"/>
              </w:rPr>
            </w:pPr>
            <w:r w:rsidRPr="0061343E">
              <w:rPr>
                <w:rFonts w:ascii="Arial Narrow" w:hAnsi="Arial Narrow"/>
                <w:b/>
                <w:bCs/>
                <w:sz w:val="20"/>
                <w:szCs w:val="20"/>
              </w:rPr>
              <w:t xml:space="preserve">1.45 (1.09, </w:t>
            </w:r>
            <w:proofErr w:type="gramStart"/>
            <w:r w:rsidRPr="0061343E">
              <w:rPr>
                <w:rFonts w:ascii="Arial Narrow" w:hAnsi="Arial Narrow"/>
                <w:b/>
                <w:bCs/>
                <w:sz w:val="20"/>
                <w:szCs w:val="20"/>
              </w:rPr>
              <w:t>1.91)</w:t>
            </w:r>
            <w:r w:rsidRPr="0061343E">
              <w:rPr>
                <w:rFonts w:ascii="Arial Narrow" w:hAnsi="Arial Narrow"/>
                <w:b/>
                <w:bCs/>
                <w:sz w:val="20"/>
                <w:szCs w:val="20"/>
                <w:vertAlign w:val="superscript"/>
              </w:rPr>
              <w:t>a</w:t>
            </w:r>
            <w:proofErr w:type="gramEnd"/>
          </w:p>
        </w:tc>
        <w:tc>
          <w:tcPr>
            <w:tcW w:w="883" w:type="pct"/>
            <w:shd w:val="clear" w:color="auto" w:fill="auto"/>
          </w:tcPr>
          <w:p w14:paraId="5A750648" w14:textId="77777777" w:rsidR="00D85532" w:rsidRPr="0061343E" w:rsidRDefault="00D85532" w:rsidP="00C67925">
            <w:pPr>
              <w:keepNext/>
              <w:keepLines/>
              <w:jc w:val="center"/>
              <w:rPr>
                <w:rFonts w:ascii="Arial Narrow" w:hAnsi="Arial Narrow"/>
                <w:b/>
                <w:bCs/>
                <w:sz w:val="20"/>
                <w:szCs w:val="20"/>
                <w:vertAlign w:val="superscript"/>
              </w:rPr>
            </w:pPr>
            <w:r w:rsidRPr="0061343E">
              <w:rPr>
                <w:rFonts w:ascii="Arial Narrow" w:hAnsi="Arial Narrow"/>
                <w:b/>
                <w:bCs/>
                <w:sz w:val="20"/>
                <w:szCs w:val="20"/>
              </w:rPr>
              <w:t xml:space="preserve">0.19 (0.06, </w:t>
            </w:r>
            <w:proofErr w:type="gramStart"/>
            <w:r w:rsidRPr="0061343E">
              <w:rPr>
                <w:rFonts w:ascii="Arial Narrow" w:hAnsi="Arial Narrow"/>
                <w:b/>
                <w:bCs/>
                <w:sz w:val="20"/>
                <w:szCs w:val="20"/>
              </w:rPr>
              <w:t>0.33)</w:t>
            </w:r>
            <w:r w:rsidRPr="0061343E">
              <w:rPr>
                <w:rFonts w:ascii="Arial Narrow" w:hAnsi="Arial Narrow"/>
                <w:b/>
                <w:bCs/>
                <w:sz w:val="20"/>
                <w:szCs w:val="20"/>
                <w:vertAlign w:val="superscript"/>
              </w:rPr>
              <w:t>a</w:t>
            </w:r>
            <w:proofErr w:type="gramEnd"/>
          </w:p>
        </w:tc>
      </w:tr>
      <w:tr w:rsidR="00D85532" w:rsidRPr="0061343E" w14:paraId="72932679" w14:textId="77777777" w:rsidTr="00E7466A">
        <w:tc>
          <w:tcPr>
            <w:tcW w:w="0" w:type="auto"/>
            <w:shd w:val="clear" w:color="auto" w:fill="auto"/>
          </w:tcPr>
          <w:p w14:paraId="5D83F031" w14:textId="77777777" w:rsidR="00D85532" w:rsidRPr="0061343E" w:rsidRDefault="00D85532" w:rsidP="00C67925">
            <w:pPr>
              <w:pStyle w:val="TableLeft"/>
              <w:keepNext/>
              <w:keepLines/>
              <w:jc w:val="left"/>
              <w:rPr>
                <w:rFonts w:ascii="Arial Narrow" w:hAnsi="Arial Narrow"/>
                <w:sz w:val="20"/>
                <w:szCs w:val="20"/>
                <w:vertAlign w:val="superscript"/>
              </w:rPr>
            </w:pPr>
            <w:r w:rsidRPr="0061343E">
              <w:rPr>
                <w:rFonts w:ascii="Arial Narrow" w:hAnsi="Arial Narrow"/>
                <w:sz w:val="20"/>
                <w:szCs w:val="20"/>
              </w:rPr>
              <w:t>Study 114322</w:t>
            </w:r>
            <w:r w:rsidRPr="0061343E">
              <w:rPr>
                <w:rFonts w:ascii="Arial Narrow" w:hAnsi="Arial Narrow"/>
                <w:sz w:val="20"/>
                <w:szCs w:val="20"/>
                <w:vertAlign w:val="superscript"/>
              </w:rPr>
              <w:t>b</w:t>
            </w:r>
          </w:p>
        </w:tc>
        <w:tc>
          <w:tcPr>
            <w:tcW w:w="1227" w:type="pct"/>
            <w:shd w:val="clear" w:color="auto" w:fill="auto"/>
          </w:tcPr>
          <w:p w14:paraId="29A267B6" w14:textId="77777777" w:rsidR="00D85532" w:rsidRPr="0061343E" w:rsidRDefault="00D85532" w:rsidP="00C67925">
            <w:pPr>
              <w:pStyle w:val="TableCentre"/>
              <w:keepNext/>
              <w:keepLines/>
              <w:rPr>
                <w:rFonts w:ascii="Arial Narrow" w:hAnsi="Arial Narrow"/>
                <w:sz w:val="20"/>
                <w:szCs w:val="20"/>
              </w:rPr>
            </w:pPr>
            <w:r w:rsidRPr="0061343E">
              <w:rPr>
                <w:rFonts w:ascii="Arial Narrow" w:hAnsi="Arial Narrow"/>
                <w:sz w:val="20"/>
                <w:szCs w:val="20"/>
              </w:rPr>
              <w:t>27/46 (58.7)</w:t>
            </w:r>
          </w:p>
        </w:tc>
        <w:tc>
          <w:tcPr>
            <w:tcW w:w="1100" w:type="pct"/>
            <w:shd w:val="clear" w:color="auto" w:fill="auto"/>
          </w:tcPr>
          <w:p w14:paraId="567177C6" w14:textId="77777777" w:rsidR="00D85532" w:rsidRPr="0061343E" w:rsidRDefault="00D85532" w:rsidP="00C67925">
            <w:pPr>
              <w:pStyle w:val="TableCentre"/>
              <w:keepNext/>
              <w:keepLines/>
              <w:rPr>
                <w:rFonts w:ascii="Arial Narrow" w:hAnsi="Arial Narrow"/>
                <w:sz w:val="20"/>
                <w:szCs w:val="20"/>
              </w:rPr>
            </w:pPr>
            <w:r w:rsidRPr="0061343E">
              <w:rPr>
                <w:rFonts w:ascii="Arial Narrow" w:hAnsi="Arial Narrow"/>
                <w:sz w:val="20"/>
                <w:szCs w:val="20"/>
              </w:rPr>
              <w:t>7/17 (41.2)</w:t>
            </w:r>
          </w:p>
        </w:tc>
        <w:tc>
          <w:tcPr>
            <w:tcW w:w="1054" w:type="pct"/>
            <w:shd w:val="clear" w:color="auto" w:fill="auto"/>
          </w:tcPr>
          <w:p w14:paraId="5A0CCBC8" w14:textId="77777777" w:rsidR="00D85532" w:rsidRPr="0061343E" w:rsidRDefault="00D85532" w:rsidP="00C67925">
            <w:pPr>
              <w:keepNext/>
              <w:keepLines/>
              <w:jc w:val="center"/>
              <w:rPr>
                <w:rFonts w:ascii="Arial Narrow" w:hAnsi="Arial Narrow"/>
                <w:sz w:val="20"/>
                <w:szCs w:val="20"/>
              </w:rPr>
            </w:pPr>
            <w:r w:rsidRPr="0061343E">
              <w:rPr>
                <w:rFonts w:ascii="Arial Narrow" w:hAnsi="Arial Narrow"/>
                <w:sz w:val="20"/>
                <w:szCs w:val="20"/>
              </w:rPr>
              <w:t>1.43 (0.77, 2.64)</w:t>
            </w:r>
          </w:p>
        </w:tc>
        <w:tc>
          <w:tcPr>
            <w:tcW w:w="883" w:type="pct"/>
            <w:shd w:val="clear" w:color="auto" w:fill="auto"/>
          </w:tcPr>
          <w:p w14:paraId="37F2A43A" w14:textId="77777777" w:rsidR="00D85532" w:rsidRPr="0061343E" w:rsidRDefault="00D85532" w:rsidP="00C67925">
            <w:pPr>
              <w:keepNext/>
              <w:keepLines/>
              <w:jc w:val="center"/>
              <w:rPr>
                <w:rFonts w:ascii="Arial Narrow" w:hAnsi="Arial Narrow"/>
                <w:sz w:val="20"/>
                <w:szCs w:val="20"/>
              </w:rPr>
            </w:pPr>
            <w:r w:rsidRPr="0061343E">
              <w:rPr>
                <w:rFonts w:ascii="Arial Narrow" w:hAnsi="Arial Narrow"/>
                <w:sz w:val="20"/>
                <w:szCs w:val="20"/>
              </w:rPr>
              <w:t>0.18 (-0.10, 0.45)</w:t>
            </w:r>
          </w:p>
        </w:tc>
      </w:tr>
      <w:tr w:rsidR="008F169C" w:rsidRPr="0061343E" w14:paraId="362C03F8" w14:textId="77777777" w:rsidTr="008F169C">
        <w:tc>
          <w:tcPr>
            <w:tcW w:w="3063" w:type="pct"/>
            <w:gridSpan w:val="3"/>
            <w:shd w:val="clear" w:color="auto" w:fill="auto"/>
          </w:tcPr>
          <w:p w14:paraId="365C6280" w14:textId="6C4810C8" w:rsidR="008F169C" w:rsidRPr="0061343E" w:rsidRDefault="008F169C" w:rsidP="008F169C">
            <w:pPr>
              <w:pStyle w:val="TableCentre"/>
              <w:keepNext/>
              <w:keepLines/>
              <w:jc w:val="left"/>
              <w:rPr>
                <w:rFonts w:ascii="Arial Narrow" w:hAnsi="Arial Narrow"/>
                <w:b/>
                <w:bCs/>
                <w:sz w:val="20"/>
                <w:szCs w:val="20"/>
              </w:rPr>
            </w:pPr>
            <w:r w:rsidRPr="0061343E">
              <w:rPr>
                <w:rFonts w:ascii="Arial Narrow" w:hAnsi="Arial Narrow"/>
                <w:b/>
                <w:bCs/>
                <w:sz w:val="20"/>
                <w:szCs w:val="20"/>
              </w:rPr>
              <w:t>Pooled (REM)</w:t>
            </w:r>
          </w:p>
        </w:tc>
        <w:tc>
          <w:tcPr>
            <w:tcW w:w="1054" w:type="pct"/>
            <w:shd w:val="clear" w:color="auto" w:fill="auto"/>
          </w:tcPr>
          <w:p w14:paraId="113BAC15" w14:textId="77777777" w:rsidR="008F169C" w:rsidRPr="0061343E" w:rsidRDefault="008F169C" w:rsidP="00C67925">
            <w:pPr>
              <w:keepNext/>
              <w:keepLines/>
              <w:jc w:val="center"/>
              <w:rPr>
                <w:rFonts w:ascii="Arial Narrow" w:hAnsi="Arial Narrow"/>
                <w:b/>
                <w:bCs/>
                <w:sz w:val="20"/>
                <w:szCs w:val="20"/>
                <w:vertAlign w:val="superscript"/>
              </w:rPr>
            </w:pPr>
            <w:r w:rsidRPr="0061343E">
              <w:rPr>
                <w:rFonts w:ascii="Arial Narrow" w:hAnsi="Arial Narrow"/>
                <w:b/>
                <w:bCs/>
                <w:sz w:val="20"/>
                <w:szCs w:val="20"/>
              </w:rPr>
              <w:t xml:space="preserve">1.33 (1.12, </w:t>
            </w:r>
            <w:proofErr w:type="gramStart"/>
            <w:r w:rsidRPr="0061343E">
              <w:rPr>
                <w:rFonts w:ascii="Arial Narrow" w:hAnsi="Arial Narrow"/>
                <w:b/>
                <w:bCs/>
                <w:sz w:val="20"/>
                <w:szCs w:val="20"/>
              </w:rPr>
              <w:t>1.57)</w:t>
            </w:r>
            <w:r w:rsidRPr="0061343E">
              <w:rPr>
                <w:rFonts w:ascii="Arial Narrow" w:hAnsi="Arial Narrow"/>
                <w:b/>
                <w:bCs/>
                <w:sz w:val="20"/>
                <w:szCs w:val="20"/>
                <w:vertAlign w:val="superscript"/>
              </w:rPr>
              <w:t>a</w:t>
            </w:r>
            <w:proofErr w:type="gramEnd"/>
          </w:p>
        </w:tc>
        <w:tc>
          <w:tcPr>
            <w:tcW w:w="883" w:type="pct"/>
            <w:shd w:val="clear" w:color="auto" w:fill="auto"/>
          </w:tcPr>
          <w:p w14:paraId="39456477" w14:textId="77777777" w:rsidR="008F169C" w:rsidRPr="0061343E" w:rsidRDefault="008F169C" w:rsidP="00C67925">
            <w:pPr>
              <w:keepNext/>
              <w:keepLines/>
              <w:jc w:val="center"/>
              <w:rPr>
                <w:rFonts w:ascii="Arial Narrow" w:hAnsi="Arial Narrow"/>
                <w:sz w:val="20"/>
                <w:szCs w:val="20"/>
                <w:vertAlign w:val="superscript"/>
              </w:rPr>
            </w:pPr>
            <w:r w:rsidRPr="0061343E">
              <w:rPr>
                <w:rFonts w:ascii="Arial Narrow" w:hAnsi="Arial Narrow"/>
                <w:sz w:val="20"/>
                <w:szCs w:val="20"/>
              </w:rPr>
              <w:t xml:space="preserve">0.16 (0.07, </w:t>
            </w:r>
            <w:proofErr w:type="gramStart"/>
            <w:r w:rsidRPr="0061343E">
              <w:rPr>
                <w:rFonts w:ascii="Arial Narrow" w:hAnsi="Arial Narrow"/>
                <w:sz w:val="20"/>
                <w:szCs w:val="20"/>
              </w:rPr>
              <w:t>0.25)</w:t>
            </w:r>
            <w:r w:rsidRPr="0061343E">
              <w:rPr>
                <w:rFonts w:ascii="Arial Narrow" w:hAnsi="Arial Narrow"/>
                <w:sz w:val="20"/>
                <w:szCs w:val="20"/>
                <w:vertAlign w:val="superscript"/>
              </w:rPr>
              <w:t>a</w:t>
            </w:r>
            <w:proofErr w:type="gramEnd"/>
          </w:p>
        </w:tc>
      </w:tr>
    </w:tbl>
    <w:p w14:paraId="51A119A9" w14:textId="77777777" w:rsidR="00D85532" w:rsidRPr="0061343E" w:rsidRDefault="00D85532" w:rsidP="00C67925">
      <w:pPr>
        <w:pStyle w:val="CaptionFootnote"/>
        <w:keepNext/>
        <w:keepLines/>
        <w:rPr>
          <w:rFonts w:ascii="Arial Narrow" w:hAnsi="Arial Narrow"/>
          <w:sz w:val="18"/>
          <w:szCs w:val="18"/>
        </w:rPr>
      </w:pPr>
      <w:r w:rsidRPr="0061343E">
        <w:rPr>
          <w:rFonts w:ascii="Arial Narrow" w:hAnsi="Arial Narrow"/>
          <w:sz w:val="18"/>
          <w:szCs w:val="18"/>
        </w:rPr>
        <w:t xml:space="preserve"> Source: Table 2-72, p204 of the submission.</w:t>
      </w:r>
    </w:p>
    <w:p w14:paraId="2C6236B2" w14:textId="77777777" w:rsidR="00D85532" w:rsidRPr="0061343E" w:rsidRDefault="00D85532" w:rsidP="00C67925">
      <w:pPr>
        <w:pStyle w:val="CaptionFootnote"/>
        <w:keepNext/>
        <w:keepLines/>
        <w:rPr>
          <w:rFonts w:ascii="Arial Narrow" w:hAnsi="Arial Narrow"/>
          <w:sz w:val="18"/>
          <w:szCs w:val="18"/>
        </w:rPr>
      </w:pPr>
      <w:r w:rsidRPr="0061343E">
        <w:rPr>
          <w:rFonts w:ascii="Arial Narrow" w:hAnsi="Arial Narrow"/>
          <w:sz w:val="18"/>
          <w:szCs w:val="18"/>
        </w:rPr>
        <w:t>CI = confidence interval; NEMO = nemolizumab, RD = risk difference; DLQI = Dermatology Life Quality Index; Q4W = every 4 weeks; REM = random effects model; RR = relative risk</w:t>
      </w:r>
    </w:p>
    <w:p w14:paraId="4ED91D62" w14:textId="77777777" w:rsidR="00D85532" w:rsidRPr="0061343E" w:rsidRDefault="00D85532" w:rsidP="00C67925">
      <w:pPr>
        <w:pStyle w:val="CaptionFootnote"/>
        <w:keepNext/>
        <w:keepLines/>
        <w:rPr>
          <w:rFonts w:ascii="Arial Narrow" w:hAnsi="Arial Narrow"/>
          <w:sz w:val="18"/>
          <w:szCs w:val="18"/>
        </w:rPr>
      </w:pPr>
      <w:r w:rsidRPr="0061343E">
        <w:rPr>
          <w:rFonts w:ascii="Arial Narrow" w:hAnsi="Arial Narrow"/>
          <w:b/>
          <w:bCs/>
          <w:sz w:val="18"/>
          <w:szCs w:val="18"/>
        </w:rPr>
        <w:t>Bold</w:t>
      </w:r>
      <w:r w:rsidRPr="0061343E">
        <w:rPr>
          <w:rFonts w:ascii="Arial Narrow" w:hAnsi="Arial Narrow"/>
          <w:sz w:val="18"/>
          <w:szCs w:val="18"/>
        </w:rPr>
        <w:t xml:space="preserve"> = statistically significant.</w:t>
      </w:r>
    </w:p>
    <w:p w14:paraId="7A4926D1" w14:textId="77777777" w:rsidR="00D85532" w:rsidRPr="0061343E" w:rsidRDefault="00D85532" w:rsidP="00C67925">
      <w:pPr>
        <w:pStyle w:val="CaptionFootnote"/>
        <w:keepNext/>
        <w:keepLines/>
        <w:rPr>
          <w:rFonts w:ascii="Arial Narrow" w:hAnsi="Arial Narrow"/>
          <w:sz w:val="18"/>
          <w:szCs w:val="18"/>
        </w:rPr>
      </w:pPr>
      <w:r w:rsidRPr="0061343E">
        <w:rPr>
          <w:rFonts w:ascii="Arial Narrow" w:hAnsi="Arial Narrow"/>
          <w:sz w:val="18"/>
          <w:szCs w:val="18"/>
          <w:vertAlign w:val="superscript"/>
        </w:rPr>
        <w:t>a</w:t>
      </w:r>
      <w:r w:rsidRPr="0061343E">
        <w:rPr>
          <w:rFonts w:ascii="Arial Narrow" w:hAnsi="Arial Narrow"/>
          <w:sz w:val="18"/>
          <w:szCs w:val="18"/>
        </w:rPr>
        <w:t xml:space="preserve"> Results calculated during the evaluation, using STATA 15.</w:t>
      </w:r>
    </w:p>
    <w:p w14:paraId="6363278B" w14:textId="77777777" w:rsidR="00D85532" w:rsidRPr="0061343E" w:rsidRDefault="00D85532" w:rsidP="00D85532">
      <w:pPr>
        <w:pStyle w:val="CaptionFootnote"/>
        <w:keepNext/>
        <w:rPr>
          <w:rFonts w:ascii="Arial Narrow" w:hAnsi="Arial Narrow"/>
          <w:sz w:val="18"/>
          <w:szCs w:val="18"/>
        </w:rPr>
      </w:pPr>
      <w:r w:rsidRPr="0061343E">
        <w:rPr>
          <w:rFonts w:ascii="Arial Narrow" w:hAnsi="Arial Narrow"/>
          <w:sz w:val="18"/>
          <w:szCs w:val="18"/>
          <w:vertAlign w:val="superscript"/>
        </w:rPr>
        <w:t xml:space="preserve">b </w:t>
      </w:r>
      <w:r w:rsidRPr="0061343E">
        <w:rPr>
          <w:rFonts w:ascii="Arial Narrow" w:hAnsi="Arial Narrow"/>
          <w:sz w:val="18"/>
          <w:szCs w:val="18"/>
        </w:rPr>
        <w:t>Results for the outcome of ≥4-point improvement in DLQI were reported at Week 12 for Study 114322</w:t>
      </w:r>
    </w:p>
    <w:p w14:paraId="6DF0F701" w14:textId="77777777" w:rsidR="00D85532" w:rsidRPr="0061343E" w:rsidRDefault="00D85532" w:rsidP="00A75874">
      <w:pPr>
        <w:pStyle w:val="3-BodyText"/>
        <w:numPr>
          <w:ilvl w:val="0"/>
          <w:numId w:val="0"/>
        </w:numPr>
        <w:spacing w:before="0" w:after="0"/>
        <w:ind w:left="720" w:hanging="720"/>
      </w:pPr>
    </w:p>
    <w:p w14:paraId="5040D6B3" w14:textId="5EEB778C" w:rsidR="00D85532" w:rsidRPr="0061343E" w:rsidRDefault="00D85532" w:rsidP="00D85532">
      <w:pPr>
        <w:pStyle w:val="Caption"/>
      </w:pPr>
      <w:bookmarkStart w:id="47" w:name="_Ref197514812"/>
      <w:r w:rsidRPr="0061343E">
        <w:lastRenderedPageBreak/>
        <w:t xml:space="preserve">Table </w:t>
      </w:r>
      <w:r w:rsidR="00167892">
        <w:fldChar w:fldCharType="begin"/>
      </w:r>
      <w:r w:rsidR="00167892">
        <w:instrText xml:space="preserve"> SEQ Table \* ARABIC </w:instrText>
      </w:r>
      <w:r w:rsidR="00167892">
        <w:fldChar w:fldCharType="separate"/>
      </w:r>
      <w:r w:rsidR="00E5780E">
        <w:rPr>
          <w:noProof/>
        </w:rPr>
        <w:t>14</w:t>
      </w:r>
      <w:r w:rsidR="00167892">
        <w:rPr>
          <w:noProof/>
        </w:rPr>
        <w:fldChar w:fldCharType="end"/>
      </w:r>
      <w:bookmarkEnd w:id="47"/>
      <w:r w:rsidRPr="0061343E">
        <w:t>: Pooled results for NEMO 30 mg Q4W vs placebo: composite outcome of EASI-50 and ≥ 4-point improvement in DLQI at Week 16 – PBS population</w:t>
      </w:r>
    </w:p>
    <w:tbl>
      <w:tblPr>
        <w:tblStyle w:val="Submissionstandard"/>
        <w:tblW w:w="5000" w:type="pct"/>
        <w:tblLook w:val="04A0" w:firstRow="1" w:lastRow="0" w:firstColumn="1" w:lastColumn="0" w:noHBand="0" w:noVBand="1"/>
        <w:tblCaption w:val="Table 14: Pooled results for NEMO 30 mg Q4W vs placebo: composite outcome of EASI-50 and ≥ 4-point improvement in DLQI at Week 16 – PBS population"/>
      </w:tblPr>
      <w:tblGrid>
        <w:gridCol w:w="1554"/>
        <w:gridCol w:w="2108"/>
        <w:gridCol w:w="1858"/>
        <w:gridCol w:w="1715"/>
        <w:gridCol w:w="1782"/>
      </w:tblGrid>
      <w:tr w:rsidR="00133A25" w:rsidRPr="0061343E" w14:paraId="0A703916" w14:textId="77777777" w:rsidTr="00E7466A">
        <w:trPr>
          <w:cnfStyle w:val="100000000000" w:firstRow="1" w:lastRow="0" w:firstColumn="0" w:lastColumn="0" w:oddVBand="0" w:evenVBand="0" w:oddHBand="0" w:evenHBand="0" w:firstRowFirstColumn="0" w:firstRowLastColumn="0" w:lastRowFirstColumn="0" w:lastRowLastColumn="0"/>
        </w:trPr>
        <w:tc>
          <w:tcPr>
            <w:tcW w:w="0" w:type="auto"/>
            <w:shd w:val="clear" w:color="auto" w:fill="auto"/>
          </w:tcPr>
          <w:p w14:paraId="3F783FED" w14:textId="77777777" w:rsidR="00133A25" w:rsidRPr="0061343E" w:rsidRDefault="00133A25" w:rsidP="00E7466A">
            <w:pPr>
              <w:pStyle w:val="TableLeft"/>
              <w:keepNext/>
              <w:jc w:val="left"/>
              <w:rPr>
                <w:rFonts w:ascii="Arial Narrow" w:hAnsi="Arial Narrow"/>
                <w:sz w:val="20"/>
                <w:szCs w:val="20"/>
              </w:rPr>
            </w:pPr>
          </w:p>
        </w:tc>
        <w:tc>
          <w:tcPr>
            <w:tcW w:w="1169" w:type="pct"/>
            <w:shd w:val="clear" w:color="auto" w:fill="auto"/>
          </w:tcPr>
          <w:p w14:paraId="033936D3" w14:textId="77777777" w:rsidR="00133A25" w:rsidRPr="0061343E" w:rsidRDefault="00133A25" w:rsidP="00E7466A">
            <w:pPr>
              <w:pStyle w:val="TableCentre"/>
              <w:keepNext/>
              <w:rPr>
                <w:rFonts w:ascii="Arial Narrow" w:hAnsi="Arial Narrow"/>
                <w:b w:val="0"/>
                <w:sz w:val="20"/>
                <w:szCs w:val="20"/>
              </w:rPr>
            </w:pPr>
            <w:r w:rsidRPr="0061343E">
              <w:rPr>
                <w:rFonts w:ascii="Arial Narrow" w:hAnsi="Arial Narrow"/>
                <w:sz w:val="20"/>
                <w:szCs w:val="20"/>
              </w:rPr>
              <w:t>NEMO 30 mg Q4W</w:t>
            </w:r>
          </w:p>
          <w:p w14:paraId="44F8FA51" w14:textId="77777777" w:rsidR="00133A25" w:rsidRPr="0061343E" w:rsidRDefault="00133A25" w:rsidP="00E7466A">
            <w:pPr>
              <w:pStyle w:val="TableCentre"/>
              <w:keepNext/>
              <w:rPr>
                <w:rFonts w:ascii="Arial Narrow" w:hAnsi="Arial Narrow"/>
                <w:sz w:val="20"/>
                <w:szCs w:val="20"/>
              </w:rPr>
            </w:pPr>
            <w:r w:rsidRPr="0061343E">
              <w:rPr>
                <w:rFonts w:ascii="Arial Narrow" w:hAnsi="Arial Narrow"/>
                <w:sz w:val="20"/>
                <w:szCs w:val="20"/>
              </w:rPr>
              <w:t>n/N (%)</w:t>
            </w:r>
          </w:p>
        </w:tc>
        <w:tc>
          <w:tcPr>
            <w:tcW w:w="1030" w:type="pct"/>
            <w:shd w:val="clear" w:color="auto" w:fill="auto"/>
          </w:tcPr>
          <w:p w14:paraId="1EA7E214" w14:textId="77777777" w:rsidR="00133A25" w:rsidRPr="0061343E" w:rsidRDefault="00133A25" w:rsidP="00E7466A">
            <w:pPr>
              <w:pStyle w:val="TableCentre"/>
              <w:keepNext/>
              <w:rPr>
                <w:rFonts w:ascii="Arial Narrow" w:hAnsi="Arial Narrow"/>
                <w:b w:val="0"/>
                <w:sz w:val="20"/>
                <w:szCs w:val="20"/>
              </w:rPr>
            </w:pPr>
            <w:r w:rsidRPr="0061343E">
              <w:rPr>
                <w:rFonts w:ascii="Arial Narrow" w:hAnsi="Arial Narrow"/>
                <w:sz w:val="20"/>
                <w:szCs w:val="20"/>
              </w:rPr>
              <w:t>Placebo</w:t>
            </w:r>
          </w:p>
          <w:p w14:paraId="2998CBEB" w14:textId="77777777" w:rsidR="00133A25" w:rsidRPr="0061343E" w:rsidRDefault="00133A25" w:rsidP="00E7466A">
            <w:pPr>
              <w:pStyle w:val="TableCentre"/>
              <w:keepNext/>
              <w:rPr>
                <w:rFonts w:ascii="Arial Narrow" w:hAnsi="Arial Narrow"/>
                <w:sz w:val="20"/>
                <w:szCs w:val="20"/>
              </w:rPr>
            </w:pPr>
            <w:r w:rsidRPr="0061343E">
              <w:rPr>
                <w:rFonts w:ascii="Arial Narrow" w:hAnsi="Arial Narrow"/>
                <w:sz w:val="20"/>
                <w:szCs w:val="20"/>
              </w:rPr>
              <w:t>n/N (%)</w:t>
            </w:r>
          </w:p>
        </w:tc>
        <w:tc>
          <w:tcPr>
            <w:tcW w:w="0" w:type="auto"/>
            <w:shd w:val="clear" w:color="auto" w:fill="auto"/>
          </w:tcPr>
          <w:p w14:paraId="65D3C81E" w14:textId="77777777" w:rsidR="00133A25" w:rsidRPr="0061343E" w:rsidRDefault="00133A25" w:rsidP="00E7466A">
            <w:pPr>
              <w:pStyle w:val="TableCentre"/>
              <w:keepNext/>
              <w:rPr>
                <w:rFonts w:ascii="Arial Narrow" w:hAnsi="Arial Narrow"/>
                <w:sz w:val="20"/>
                <w:szCs w:val="20"/>
              </w:rPr>
            </w:pPr>
            <w:r w:rsidRPr="0061343E">
              <w:rPr>
                <w:rFonts w:ascii="Arial Narrow" w:hAnsi="Arial Narrow"/>
                <w:sz w:val="20"/>
                <w:szCs w:val="20"/>
              </w:rPr>
              <w:t>RR (95% CI)</w:t>
            </w:r>
          </w:p>
        </w:tc>
        <w:tc>
          <w:tcPr>
            <w:tcW w:w="0" w:type="auto"/>
            <w:shd w:val="clear" w:color="auto" w:fill="auto"/>
          </w:tcPr>
          <w:p w14:paraId="08B10743" w14:textId="77777777" w:rsidR="00133A25" w:rsidRPr="0061343E" w:rsidRDefault="00133A25" w:rsidP="00E7466A">
            <w:pPr>
              <w:pStyle w:val="TableCentre"/>
              <w:keepNext/>
              <w:rPr>
                <w:rFonts w:ascii="Arial Narrow" w:hAnsi="Arial Narrow"/>
                <w:sz w:val="20"/>
                <w:szCs w:val="20"/>
              </w:rPr>
            </w:pPr>
            <w:r w:rsidRPr="0061343E">
              <w:rPr>
                <w:rFonts w:ascii="Arial Narrow" w:hAnsi="Arial Narrow"/>
                <w:sz w:val="20"/>
                <w:szCs w:val="20"/>
              </w:rPr>
              <w:t>RD (95% CI)</w:t>
            </w:r>
          </w:p>
        </w:tc>
      </w:tr>
      <w:tr w:rsidR="00133A25" w:rsidRPr="0061343E" w14:paraId="55835438" w14:textId="77777777" w:rsidTr="00E7466A">
        <w:tc>
          <w:tcPr>
            <w:tcW w:w="0" w:type="auto"/>
            <w:shd w:val="clear" w:color="auto" w:fill="auto"/>
          </w:tcPr>
          <w:p w14:paraId="0E4AA6C2" w14:textId="77777777" w:rsidR="00133A25" w:rsidRPr="0061343E" w:rsidRDefault="00133A25" w:rsidP="00E7466A">
            <w:pPr>
              <w:pStyle w:val="TableLeft"/>
              <w:keepNext/>
              <w:jc w:val="left"/>
              <w:rPr>
                <w:rFonts w:ascii="Arial Narrow" w:hAnsi="Arial Narrow"/>
                <w:sz w:val="20"/>
                <w:szCs w:val="20"/>
              </w:rPr>
            </w:pPr>
            <w:r w:rsidRPr="0061343E">
              <w:rPr>
                <w:rFonts w:ascii="Arial Narrow" w:hAnsi="Arial Narrow"/>
                <w:sz w:val="20"/>
                <w:szCs w:val="20"/>
              </w:rPr>
              <w:t>ARCADIA 1</w:t>
            </w:r>
          </w:p>
        </w:tc>
        <w:tc>
          <w:tcPr>
            <w:tcW w:w="1169" w:type="pct"/>
            <w:shd w:val="clear" w:color="auto" w:fill="auto"/>
          </w:tcPr>
          <w:p w14:paraId="60EC28EE" w14:textId="77777777" w:rsidR="00133A25" w:rsidRPr="0061343E" w:rsidRDefault="00133A25" w:rsidP="00E7466A">
            <w:pPr>
              <w:pStyle w:val="TableCentre"/>
              <w:keepNext/>
              <w:rPr>
                <w:rFonts w:ascii="Arial Narrow" w:hAnsi="Arial Narrow"/>
                <w:sz w:val="20"/>
                <w:szCs w:val="20"/>
              </w:rPr>
            </w:pPr>
            <w:r w:rsidRPr="0061343E">
              <w:rPr>
                <w:rFonts w:ascii="Arial Narrow" w:hAnsi="Arial Narrow"/>
                <w:sz w:val="20"/>
                <w:szCs w:val="20"/>
              </w:rPr>
              <w:t>74/162 (45.7)</w:t>
            </w:r>
          </w:p>
        </w:tc>
        <w:tc>
          <w:tcPr>
            <w:tcW w:w="1030" w:type="pct"/>
            <w:shd w:val="clear" w:color="auto" w:fill="auto"/>
          </w:tcPr>
          <w:p w14:paraId="5EEB251A" w14:textId="77777777" w:rsidR="00133A25" w:rsidRPr="0061343E" w:rsidRDefault="00133A25" w:rsidP="00E7466A">
            <w:pPr>
              <w:pStyle w:val="TableCentre"/>
              <w:keepNext/>
              <w:rPr>
                <w:rFonts w:ascii="Arial Narrow" w:hAnsi="Arial Narrow"/>
                <w:sz w:val="20"/>
                <w:szCs w:val="20"/>
              </w:rPr>
            </w:pPr>
            <w:r w:rsidRPr="0061343E">
              <w:rPr>
                <w:rFonts w:ascii="Arial Narrow" w:hAnsi="Arial Narrow"/>
                <w:sz w:val="20"/>
                <w:szCs w:val="20"/>
              </w:rPr>
              <w:t>26/71 (36.6)</w:t>
            </w:r>
          </w:p>
        </w:tc>
        <w:tc>
          <w:tcPr>
            <w:tcW w:w="0" w:type="auto"/>
            <w:shd w:val="clear" w:color="auto" w:fill="auto"/>
          </w:tcPr>
          <w:p w14:paraId="7DFB2CD6" w14:textId="77777777" w:rsidR="00133A25" w:rsidRPr="0061343E" w:rsidRDefault="00133A25" w:rsidP="00E7466A">
            <w:pPr>
              <w:keepNext/>
              <w:jc w:val="center"/>
              <w:rPr>
                <w:rFonts w:ascii="Arial Narrow" w:hAnsi="Arial Narrow"/>
                <w:sz w:val="20"/>
                <w:szCs w:val="20"/>
              </w:rPr>
            </w:pPr>
            <w:r w:rsidRPr="0061343E">
              <w:rPr>
                <w:rFonts w:ascii="Arial Narrow" w:hAnsi="Arial Narrow"/>
                <w:sz w:val="20"/>
                <w:szCs w:val="20"/>
              </w:rPr>
              <w:t>1.25 (0.88, 1.77)</w:t>
            </w:r>
          </w:p>
        </w:tc>
        <w:tc>
          <w:tcPr>
            <w:tcW w:w="0" w:type="auto"/>
            <w:shd w:val="clear" w:color="auto" w:fill="auto"/>
          </w:tcPr>
          <w:p w14:paraId="27F3F824" w14:textId="77777777" w:rsidR="00133A25" w:rsidRPr="0061343E" w:rsidRDefault="00133A25" w:rsidP="00E7466A">
            <w:pPr>
              <w:keepNext/>
              <w:jc w:val="center"/>
              <w:rPr>
                <w:rFonts w:ascii="Arial Narrow" w:hAnsi="Arial Narrow"/>
                <w:sz w:val="20"/>
                <w:szCs w:val="20"/>
              </w:rPr>
            </w:pPr>
            <w:r w:rsidRPr="0061343E">
              <w:rPr>
                <w:rFonts w:ascii="Arial Narrow" w:hAnsi="Arial Narrow"/>
                <w:sz w:val="20"/>
                <w:szCs w:val="20"/>
              </w:rPr>
              <w:t>0.09 (-0.05, 0.23)</w:t>
            </w:r>
          </w:p>
        </w:tc>
      </w:tr>
      <w:tr w:rsidR="00133A25" w:rsidRPr="0061343E" w14:paraId="59716FA2" w14:textId="77777777" w:rsidTr="00E7466A">
        <w:tc>
          <w:tcPr>
            <w:tcW w:w="0" w:type="auto"/>
            <w:shd w:val="clear" w:color="auto" w:fill="auto"/>
          </w:tcPr>
          <w:p w14:paraId="2A42CBB3" w14:textId="77777777" w:rsidR="00133A25" w:rsidRPr="0061343E" w:rsidRDefault="00133A25" w:rsidP="00E7466A">
            <w:pPr>
              <w:pStyle w:val="TableLeft"/>
              <w:keepNext/>
              <w:jc w:val="left"/>
              <w:rPr>
                <w:rFonts w:ascii="Arial Narrow" w:hAnsi="Arial Narrow"/>
                <w:sz w:val="20"/>
                <w:szCs w:val="20"/>
              </w:rPr>
            </w:pPr>
            <w:r w:rsidRPr="0061343E">
              <w:rPr>
                <w:rFonts w:ascii="Arial Narrow" w:hAnsi="Arial Narrow"/>
                <w:sz w:val="20"/>
                <w:szCs w:val="20"/>
              </w:rPr>
              <w:t>ARCADIA 2</w:t>
            </w:r>
          </w:p>
        </w:tc>
        <w:tc>
          <w:tcPr>
            <w:tcW w:w="1169" w:type="pct"/>
            <w:shd w:val="clear" w:color="auto" w:fill="auto"/>
          </w:tcPr>
          <w:p w14:paraId="5F8D6652" w14:textId="77777777" w:rsidR="00133A25" w:rsidRPr="0061343E" w:rsidRDefault="00133A25" w:rsidP="00E7466A">
            <w:pPr>
              <w:pStyle w:val="TableCentre"/>
              <w:keepNext/>
              <w:rPr>
                <w:rFonts w:ascii="Arial Narrow" w:hAnsi="Arial Narrow"/>
                <w:sz w:val="20"/>
                <w:szCs w:val="20"/>
              </w:rPr>
            </w:pPr>
            <w:r w:rsidRPr="0061343E">
              <w:rPr>
                <w:rFonts w:ascii="Arial Narrow" w:hAnsi="Arial Narrow"/>
                <w:sz w:val="20"/>
                <w:szCs w:val="20"/>
              </w:rPr>
              <w:t>56/132 (42.4)</w:t>
            </w:r>
          </w:p>
        </w:tc>
        <w:tc>
          <w:tcPr>
            <w:tcW w:w="1030" w:type="pct"/>
            <w:shd w:val="clear" w:color="auto" w:fill="auto"/>
          </w:tcPr>
          <w:p w14:paraId="4E9B3EE4" w14:textId="77777777" w:rsidR="00133A25" w:rsidRPr="0061343E" w:rsidRDefault="00133A25" w:rsidP="00E7466A">
            <w:pPr>
              <w:pStyle w:val="TableCentre"/>
              <w:keepNext/>
              <w:rPr>
                <w:rFonts w:ascii="Arial Narrow" w:hAnsi="Arial Narrow"/>
                <w:sz w:val="20"/>
                <w:szCs w:val="20"/>
              </w:rPr>
            </w:pPr>
            <w:r w:rsidRPr="0061343E">
              <w:rPr>
                <w:rFonts w:ascii="Arial Narrow" w:hAnsi="Arial Narrow"/>
                <w:sz w:val="20"/>
                <w:szCs w:val="20"/>
              </w:rPr>
              <w:t>10/70 (14.3)</w:t>
            </w:r>
          </w:p>
        </w:tc>
        <w:tc>
          <w:tcPr>
            <w:tcW w:w="0" w:type="auto"/>
            <w:shd w:val="clear" w:color="auto" w:fill="auto"/>
          </w:tcPr>
          <w:p w14:paraId="34C88845" w14:textId="77777777" w:rsidR="00133A25" w:rsidRPr="0061343E" w:rsidRDefault="00133A25" w:rsidP="00E7466A">
            <w:pPr>
              <w:keepNext/>
              <w:jc w:val="center"/>
              <w:rPr>
                <w:rFonts w:ascii="Arial Narrow" w:hAnsi="Arial Narrow"/>
                <w:sz w:val="20"/>
                <w:szCs w:val="20"/>
              </w:rPr>
            </w:pPr>
            <w:r w:rsidRPr="0061343E">
              <w:rPr>
                <w:rFonts w:ascii="Arial Narrow" w:hAnsi="Arial Narrow"/>
                <w:sz w:val="20"/>
                <w:szCs w:val="20"/>
              </w:rPr>
              <w:t>2.97 (1.62, 5.45)</w:t>
            </w:r>
          </w:p>
        </w:tc>
        <w:tc>
          <w:tcPr>
            <w:tcW w:w="0" w:type="auto"/>
            <w:shd w:val="clear" w:color="auto" w:fill="auto"/>
          </w:tcPr>
          <w:p w14:paraId="0C2097EF" w14:textId="77777777" w:rsidR="00133A25" w:rsidRPr="0061343E" w:rsidRDefault="00133A25" w:rsidP="00E7466A">
            <w:pPr>
              <w:keepNext/>
              <w:jc w:val="center"/>
              <w:rPr>
                <w:rFonts w:ascii="Arial Narrow" w:hAnsi="Arial Narrow"/>
                <w:sz w:val="20"/>
                <w:szCs w:val="20"/>
              </w:rPr>
            </w:pPr>
            <w:r w:rsidRPr="0061343E">
              <w:rPr>
                <w:rFonts w:ascii="Arial Narrow" w:hAnsi="Arial Narrow"/>
                <w:sz w:val="20"/>
                <w:szCs w:val="20"/>
              </w:rPr>
              <w:t>0.28 (0.16, 0.40)</w:t>
            </w:r>
          </w:p>
        </w:tc>
      </w:tr>
      <w:tr w:rsidR="00133A25" w:rsidRPr="0061343E" w14:paraId="374CD8A4" w14:textId="77777777" w:rsidTr="00E7466A">
        <w:tc>
          <w:tcPr>
            <w:tcW w:w="0" w:type="auto"/>
            <w:shd w:val="clear" w:color="auto" w:fill="auto"/>
          </w:tcPr>
          <w:p w14:paraId="6FD48273" w14:textId="77777777" w:rsidR="00133A25" w:rsidRPr="0061343E" w:rsidRDefault="00133A25" w:rsidP="00E7466A">
            <w:pPr>
              <w:pStyle w:val="TableLeft"/>
              <w:keepNext/>
              <w:jc w:val="left"/>
              <w:rPr>
                <w:rFonts w:ascii="Arial Narrow" w:hAnsi="Arial Narrow"/>
                <w:sz w:val="20"/>
                <w:szCs w:val="20"/>
                <w:vertAlign w:val="superscript"/>
              </w:rPr>
            </w:pPr>
            <w:r w:rsidRPr="0061343E">
              <w:rPr>
                <w:rFonts w:ascii="Arial Narrow" w:hAnsi="Arial Narrow"/>
                <w:sz w:val="20"/>
                <w:szCs w:val="20"/>
              </w:rPr>
              <w:t>Study 114322</w:t>
            </w:r>
            <w:r w:rsidRPr="0061343E">
              <w:rPr>
                <w:rFonts w:ascii="Arial Narrow" w:hAnsi="Arial Narrow"/>
                <w:sz w:val="20"/>
                <w:szCs w:val="20"/>
                <w:vertAlign w:val="superscript"/>
              </w:rPr>
              <w:t>a</w:t>
            </w:r>
          </w:p>
        </w:tc>
        <w:tc>
          <w:tcPr>
            <w:tcW w:w="1169" w:type="pct"/>
            <w:shd w:val="clear" w:color="auto" w:fill="auto"/>
          </w:tcPr>
          <w:p w14:paraId="469D657F" w14:textId="77777777" w:rsidR="00133A25" w:rsidRPr="0061343E" w:rsidRDefault="00133A25" w:rsidP="00E7466A">
            <w:pPr>
              <w:pStyle w:val="TableCentre"/>
              <w:keepNext/>
              <w:rPr>
                <w:rFonts w:ascii="Arial Narrow" w:hAnsi="Arial Narrow"/>
                <w:sz w:val="20"/>
                <w:szCs w:val="20"/>
              </w:rPr>
            </w:pPr>
            <w:r w:rsidRPr="0061343E">
              <w:rPr>
                <w:rFonts w:ascii="Arial Narrow" w:hAnsi="Arial Narrow"/>
                <w:sz w:val="20"/>
                <w:szCs w:val="20"/>
              </w:rPr>
              <w:t>21/46 (45.7)</w:t>
            </w:r>
          </w:p>
        </w:tc>
        <w:tc>
          <w:tcPr>
            <w:tcW w:w="1030" w:type="pct"/>
            <w:shd w:val="clear" w:color="auto" w:fill="auto"/>
          </w:tcPr>
          <w:p w14:paraId="1F4B8C62" w14:textId="77777777" w:rsidR="00133A25" w:rsidRPr="0061343E" w:rsidRDefault="00133A25" w:rsidP="00E7466A">
            <w:pPr>
              <w:pStyle w:val="TableCentre"/>
              <w:keepNext/>
              <w:rPr>
                <w:rFonts w:ascii="Arial Narrow" w:hAnsi="Arial Narrow"/>
                <w:sz w:val="20"/>
                <w:szCs w:val="20"/>
              </w:rPr>
            </w:pPr>
            <w:r w:rsidRPr="0061343E">
              <w:rPr>
                <w:rFonts w:ascii="Arial Narrow" w:hAnsi="Arial Narrow"/>
                <w:sz w:val="20"/>
                <w:szCs w:val="20"/>
              </w:rPr>
              <w:t>3/17 (17.6)</w:t>
            </w:r>
          </w:p>
        </w:tc>
        <w:tc>
          <w:tcPr>
            <w:tcW w:w="0" w:type="auto"/>
            <w:shd w:val="clear" w:color="auto" w:fill="auto"/>
          </w:tcPr>
          <w:p w14:paraId="30555DE0" w14:textId="77777777" w:rsidR="00133A25" w:rsidRPr="0061343E" w:rsidRDefault="00133A25" w:rsidP="00E7466A">
            <w:pPr>
              <w:keepNext/>
              <w:jc w:val="center"/>
              <w:rPr>
                <w:rFonts w:ascii="Arial Narrow" w:hAnsi="Arial Narrow"/>
                <w:sz w:val="20"/>
                <w:szCs w:val="20"/>
              </w:rPr>
            </w:pPr>
            <w:r w:rsidRPr="0061343E">
              <w:rPr>
                <w:rFonts w:ascii="Arial Narrow" w:hAnsi="Arial Narrow"/>
                <w:sz w:val="20"/>
                <w:szCs w:val="20"/>
              </w:rPr>
              <w:t>2.59 (0.88, 7.57)</w:t>
            </w:r>
          </w:p>
        </w:tc>
        <w:tc>
          <w:tcPr>
            <w:tcW w:w="0" w:type="auto"/>
            <w:shd w:val="clear" w:color="auto" w:fill="auto"/>
          </w:tcPr>
          <w:p w14:paraId="55FF1EC9" w14:textId="77777777" w:rsidR="00133A25" w:rsidRPr="0061343E" w:rsidRDefault="00133A25" w:rsidP="00E7466A">
            <w:pPr>
              <w:keepNext/>
              <w:jc w:val="center"/>
              <w:rPr>
                <w:rFonts w:ascii="Arial Narrow" w:hAnsi="Arial Narrow"/>
                <w:b/>
                <w:bCs/>
                <w:sz w:val="20"/>
                <w:szCs w:val="20"/>
              </w:rPr>
            </w:pPr>
            <w:r w:rsidRPr="0061343E">
              <w:rPr>
                <w:rFonts w:ascii="Arial Narrow" w:hAnsi="Arial Narrow"/>
                <w:sz w:val="20"/>
                <w:szCs w:val="20"/>
              </w:rPr>
              <w:t>0.28 (0.05, 0.51)</w:t>
            </w:r>
          </w:p>
        </w:tc>
      </w:tr>
      <w:tr w:rsidR="008F169C" w:rsidRPr="0061343E" w14:paraId="37F93EFC" w14:textId="77777777" w:rsidTr="008F169C">
        <w:tc>
          <w:tcPr>
            <w:tcW w:w="3061" w:type="pct"/>
            <w:gridSpan w:val="3"/>
            <w:shd w:val="clear" w:color="auto" w:fill="auto"/>
          </w:tcPr>
          <w:p w14:paraId="665F7511" w14:textId="7E81D2CA" w:rsidR="008F169C" w:rsidRPr="0061343E" w:rsidRDefault="008F169C" w:rsidP="008F169C">
            <w:pPr>
              <w:pStyle w:val="TableCentre"/>
              <w:keepNext/>
              <w:jc w:val="left"/>
              <w:rPr>
                <w:rFonts w:ascii="Arial Narrow" w:hAnsi="Arial Narrow"/>
                <w:b/>
                <w:bCs/>
                <w:sz w:val="20"/>
                <w:szCs w:val="20"/>
              </w:rPr>
            </w:pPr>
            <w:r w:rsidRPr="0061343E">
              <w:rPr>
                <w:rFonts w:ascii="Arial Narrow" w:hAnsi="Arial Narrow"/>
                <w:b/>
                <w:bCs/>
                <w:sz w:val="20"/>
                <w:szCs w:val="20"/>
              </w:rPr>
              <w:t>Pooled (REM)</w:t>
            </w:r>
          </w:p>
        </w:tc>
        <w:tc>
          <w:tcPr>
            <w:tcW w:w="0" w:type="auto"/>
            <w:shd w:val="clear" w:color="auto" w:fill="auto"/>
          </w:tcPr>
          <w:p w14:paraId="771AF0AD" w14:textId="77777777" w:rsidR="008F169C" w:rsidRPr="0061343E" w:rsidRDefault="008F169C" w:rsidP="00E7466A">
            <w:pPr>
              <w:keepNext/>
              <w:jc w:val="center"/>
              <w:rPr>
                <w:rFonts w:ascii="Arial Narrow" w:hAnsi="Arial Narrow"/>
                <w:b/>
                <w:bCs/>
                <w:sz w:val="20"/>
                <w:szCs w:val="20"/>
              </w:rPr>
            </w:pPr>
            <w:r w:rsidRPr="0061343E">
              <w:rPr>
                <w:rFonts w:ascii="Arial Narrow" w:hAnsi="Arial Narrow"/>
                <w:b/>
                <w:bCs/>
                <w:sz w:val="20"/>
                <w:szCs w:val="20"/>
              </w:rPr>
              <w:t>1.98 (1.00, 3.92)</w:t>
            </w:r>
          </w:p>
        </w:tc>
        <w:tc>
          <w:tcPr>
            <w:tcW w:w="0" w:type="auto"/>
            <w:shd w:val="clear" w:color="auto" w:fill="auto"/>
          </w:tcPr>
          <w:p w14:paraId="5F902571" w14:textId="77777777" w:rsidR="008F169C" w:rsidRPr="0061343E" w:rsidRDefault="008F169C" w:rsidP="00E7466A">
            <w:pPr>
              <w:keepNext/>
              <w:jc w:val="center"/>
              <w:rPr>
                <w:rFonts w:ascii="Arial Narrow" w:hAnsi="Arial Narrow"/>
                <w:b/>
                <w:bCs/>
                <w:sz w:val="20"/>
                <w:szCs w:val="20"/>
              </w:rPr>
            </w:pPr>
            <w:r w:rsidRPr="0061343E">
              <w:rPr>
                <w:rFonts w:ascii="Arial Narrow" w:hAnsi="Arial Narrow"/>
                <w:b/>
                <w:bCs/>
                <w:sz w:val="20"/>
                <w:szCs w:val="20"/>
              </w:rPr>
              <w:t>0.21 (0.07,0.35)</w:t>
            </w:r>
          </w:p>
        </w:tc>
      </w:tr>
    </w:tbl>
    <w:p w14:paraId="5BE88DB6" w14:textId="317CD100" w:rsidR="00D85532" w:rsidRPr="0061343E" w:rsidRDefault="00D85532" w:rsidP="00D85532">
      <w:pPr>
        <w:pStyle w:val="CaptionFootnote"/>
        <w:rPr>
          <w:rFonts w:ascii="Arial Narrow" w:hAnsi="Arial Narrow"/>
          <w:sz w:val="18"/>
          <w:szCs w:val="18"/>
        </w:rPr>
      </w:pPr>
      <w:r w:rsidRPr="0061343E">
        <w:rPr>
          <w:rFonts w:ascii="Arial Narrow" w:hAnsi="Arial Narrow"/>
          <w:sz w:val="18"/>
          <w:szCs w:val="18"/>
        </w:rPr>
        <w:t xml:space="preserve">Source: </w:t>
      </w:r>
      <w:r w:rsidR="00133A25" w:rsidRPr="0061343E">
        <w:rPr>
          <w:rFonts w:ascii="Arial Narrow" w:hAnsi="Arial Narrow"/>
          <w:sz w:val="18"/>
          <w:szCs w:val="18"/>
        </w:rPr>
        <w:t xml:space="preserve"> Nemolizumab PBAC submission error 6 May 2025.</w:t>
      </w:r>
    </w:p>
    <w:p w14:paraId="03915344" w14:textId="06975B3B" w:rsidR="00D85532" w:rsidRPr="0061343E" w:rsidRDefault="00D85532" w:rsidP="00D85532">
      <w:pPr>
        <w:pStyle w:val="CaptionFootnote"/>
        <w:rPr>
          <w:rFonts w:ascii="Arial Narrow" w:hAnsi="Arial Narrow"/>
          <w:sz w:val="18"/>
          <w:szCs w:val="18"/>
        </w:rPr>
      </w:pPr>
      <w:r w:rsidRPr="0061343E">
        <w:rPr>
          <w:rFonts w:ascii="Arial Narrow" w:hAnsi="Arial Narrow"/>
          <w:sz w:val="18"/>
          <w:szCs w:val="18"/>
        </w:rPr>
        <w:t>CI = confidence interval; DLQI = Dermatology Life Quality Index; EASI-50 = proportion of patients with ≥ 50% improvement in Eczema Area and Severity Index from baseline; NEMO = nemolizumab, Q4W = every 4 weeks; RD = risk difference; REM = random effects model; RR = relative risk</w:t>
      </w:r>
    </w:p>
    <w:p w14:paraId="79340A80" w14:textId="77777777" w:rsidR="00D85532" w:rsidRPr="0061343E" w:rsidRDefault="00D85532" w:rsidP="00D85532">
      <w:pPr>
        <w:pStyle w:val="CaptionFootnote"/>
        <w:rPr>
          <w:rFonts w:ascii="Arial Narrow" w:hAnsi="Arial Narrow"/>
          <w:sz w:val="18"/>
          <w:szCs w:val="18"/>
        </w:rPr>
      </w:pPr>
      <w:r w:rsidRPr="0061343E">
        <w:rPr>
          <w:rFonts w:ascii="Arial Narrow" w:hAnsi="Arial Narrow"/>
          <w:b/>
          <w:bCs/>
          <w:sz w:val="18"/>
          <w:szCs w:val="18"/>
        </w:rPr>
        <w:t>Bold</w:t>
      </w:r>
      <w:r w:rsidRPr="0061343E">
        <w:rPr>
          <w:rFonts w:ascii="Arial Narrow" w:hAnsi="Arial Narrow"/>
          <w:sz w:val="18"/>
          <w:szCs w:val="18"/>
        </w:rPr>
        <w:t xml:space="preserve"> = statistically significant.</w:t>
      </w:r>
    </w:p>
    <w:p w14:paraId="48CA910D" w14:textId="54447D25" w:rsidR="00D85532" w:rsidRPr="0061343E" w:rsidRDefault="00D85532" w:rsidP="00C67925">
      <w:pPr>
        <w:pStyle w:val="CaptionFootnote"/>
        <w:keepNext/>
        <w:rPr>
          <w:rStyle w:val="CommentReference"/>
          <w:b w:val="0"/>
          <w:sz w:val="18"/>
          <w:szCs w:val="18"/>
        </w:rPr>
      </w:pPr>
      <w:r w:rsidRPr="0061343E">
        <w:rPr>
          <w:rFonts w:ascii="Arial Narrow" w:hAnsi="Arial Narrow"/>
          <w:sz w:val="18"/>
          <w:szCs w:val="18"/>
          <w:vertAlign w:val="superscript"/>
        </w:rPr>
        <w:t>a</w:t>
      </w:r>
      <w:r w:rsidRPr="0061343E">
        <w:rPr>
          <w:rFonts w:ascii="Arial Narrow" w:hAnsi="Arial Narrow"/>
          <w:sz w:val="18"/>
          <w:szCs w:val="18"/>
        </w:rPr>
        <w:t xml:space="preserve"> Results for the outcome of </w:t>
      </w:r>
      <w:r w:rsidRPr="0061343E">
        <w:rPr>
          <w:rFonts w:ascii="Arial Narrow" w:hAnsi="Arial Narrow" w:cstheme="minorHAnsi"/>
          <w:sz w:val="18"/>
          <w:szCs w:val="18"/>
        </w:rPr>
        <w:t xml:space="preserve">≥ </w:t>
      </w:r>
      <w:r w:rsidRPr="0061343E">
        <w:rPr>
          <w:rFonts w:ascii="Arial Narrow" w:hAnsi="Arial Narrow"/>
          <w:sz w:val="18"/>
          <w:szCs w:val="18"/>
        </w:rPr>
        <w:t>4-point improvement in DLQI were reported at Week 12 for Study 114322</w:t>
      </w:r>
    </w:p>
    <w:p w14:paraId="1E2B718C" w14:textId="1A28516A" w:rsidR="00D85532" w:rsidRPr="0061343E" w:rsidRDefault="00D85532" w:rsidP="001D7852">
      <w:pPr>
        <w:pStyle w:val="3-BodyText"/>
        <w:spacing w:before="120" w:after="120"/>
      </w:pPr>
      <w:r w:rsidRPr="0061343E">
        <w:t>For both components of the composite endpoint, the pooled results showed that NEMO was associated with a statistically significant improvement in EASI-50 (RR</w:t>
      </w:r>
      <w:r w:rsidR="000F1B6D" w:rsidRPr="0061343E">
        <w:t xml:space="preserve"> =</w:t>
      </w:r>
      <w:r w:rsidRPr="0061343E">
        <w:t xml:space="preserve"> 1.55, 95% CI: 1.01, 2.37) and 4-point improvement in DLQI (RR</w:t>
      </w:r>
      <w:r w:rsidR="000F1B6D" w:rsidRPr="0061343E">
        <w:t xml:space="preserve"> =</w:t>
      </w:r>
      <w:r w:rsidRPr="0061343E">
        <w:t xml:space="preserve"> 1.33, 95% CI: 1.12, 1.57), compared with placebo. </w:t>
      </w:r>
    </w:p>
    <w:p w14:paraId="03AFC8D4" w14:textId="0A1A8D02" w:rsidR="00D85532" w:rsidRPr="0061343E" w:rsidRDefault="00D85532" w:rsidP="00D85532">
      <w:pPr>
        <w:pStyle w:val="3-BodyText"/>
      </w:pPr>
      <w:r w:rsidRPr="0061343E">
        <w:t xml:space="preserve">The composite outcome of EASI-50 and ≥ 4-point improvement in DLQI is the PBAC preferred outcome for the assessment of severe AD and is also the definition of treatment response specified in the continuing listings for NEMO and DUPI. </w:t>
      </w:r>
      <w:r w:rsidR="00133A25" w:rsidRPr="0061343E">
        <w:t>The treatment effect of NEMO for this composite endpoint was inconsistent across the severe AD subgroups in NEMO trials, with a RR of 1.25 (95% CI: 0.88, 1.77) in ARCADIA 1 and 2.97 (95% CI: 1.62, 5.45) in ARCADIA 2. However, the pooled result did show a statistically significant difference between NEMO and placebo for the treatment of severe AD (RR</w:t>
      </w:r>
      <w:r w:rsidR="000F1B6D" w:rsidRPr="0061343E">
        <w:t xml:space="preserve"> =</w:t>
      </w:r>
      <w:r w:rsidR="00133A25" w:rsidRPr="0061343E">
        <w:t xml:space="preserve"> 1.98; 95% CI: 1.00, 3.92). Of note, the proportion of patients who achieved ≥ 4-point improvement in DLQI and the proportion of responders who achieved both EASI-50 and ≥ 4-point improvement in DLQI were calculated post hoc based on patient level data from NEMO trials for the purpose of the submission. The interpretation of the composite outcome should consider the heterogeneity in the event rate across the placebo arms of the NEMO trials (36.6% in ARCADIA 1 vs. 14.3% in ARCADIA 2 vs. 17.6% in Study 114322), which may suggest different baseline risks for patients in the trials</w:t>
      </w:r>
      <w:r w:rsidRPr="0061343E">
        <w:t xml:space="preserve">. </w:t>
      </w:r>
    </w:p>
    <w:p w14:paraId="09B80CA4" w14:textId="77777777" w:rsidR="00D85532" w:rsidRPr="0061343E" w:rsidRDefault="00D85532" w:rsidP="00D85532">
      <w:pPr>
        <w:pStyle w:val="3-BodyText"/>
      </w:pPr>
      <w:r w:rsidRPr="0061343E">
        <w:t xml:space="preserve">An ITC was not carried out to compare the severe AD subgroup of the NEMO trials to the severe AD subgroup of the DUPI trials, due to the lack subgroup data from the included DUPI trials. </w:t>
      </w:r>
    </w:p>
    <w:p w14:paraId="74C995B7" w14:textId="77777777" w:rsidR="00D85532" w:rsidRPr="0061343E" w:rsidRDefault="00D85532" w:rsidP="00D85532">
      <w:pPr>
        <w:pStyle w:val="3-BodyText"/>
      </w:pPr>
      <w:r w:rsidRPr="0061343E">
        <w:t>No evidence was provided in the submission to demonstrate the efficacy of NEMO for the treatment of severe AD affecting the face and/or hands only.</w:t>
      </w:r>
    </w:p>
    <w:p w14:paraId="26034854" w14:textId="77777777" w:rsidR="00D85532" w:rsidRDefault="00D85532" w:rsidP="00D85532">
      <w:pPr>
        <w:pStyle w:val="4-SubsectionHeading"/>
      </w:pPr>
      <w:bookmarkStart w:id="48" w:name="_Toc22897642"/>
      <w:bookmarkStart w:id="49" w:name="_Toc197466442"/>
      <w:bookmarkStart w:id="50" w:name="_Toc197899846"/>
      <w:bookmarkStart w:id="51" w:name="_Toc197963444"/>
      <w:bookmarkStart w:id="52" w:name="_Toc198648774"/>
      <w:r w:rsidRPr="00D86D87">
        <w:t>Comparative harms</w:t>
      </w:r>
      <w:bookmarkEnd w:id="48"/>
      <w:bookmarkEnd w:id="49"/>
      <w:bookmarkEnd w:id="50"/>
      <w:bookmarkEnd w:id="51"/>
      <w:bookmarkEnd w:id="52"/>
    </w:p>
    <w:p w14:paraId="66FA96DB" w14:textId="77777777" w:rsidR="00D85532" w:rsidRPr="0061343E" w:rsidRDefault="00D85532" w:rsidP="00D85532">
      <w:pPr>
        <w:pStyle w:val="5-SubsectionSubheading"/>
        <w:rPr>
          <w:b w:val="0"/>
          <w:bCs/>
          <w:u w:val="single"/>
        </w:rPr>
      </w:pPr>
      <w:r w:rsidRPr="0061343E">
        <w:rPr>
          <w:b w:val="0"/>
          <w:bCs/>
          <w:u w:val="single"/>
        </w:rPr>
        <w:t xml:space="preserve">NEMO versus placebo </w:t>
      </w:r>
    </w:p>
    <w:p w14:paraId="08761583" w14:textId="24A5BF34" w:rsidR="00D85532" w:rsidRPr="0061343E" w:rsidRDefault="00D85532" w:rsidP="00D85532">
      <w:pPr>
        <w:pStyle w:val="3-BodyText"/>
      </w:pPr>
      <w:r w:rsidRPr="0061343E">
        <w:fldChar w:fldCharType="begin"/>
      </w:r>
      <w:r w:rsidRPr="0061343E">
        <w:instrText xml:space="preserve"> REF _Ref197645041 \h </w:instrText>
      </w:r>
      <w:r w:rsidR="0061343E" w:rsidRPr="0061343E">
        <w:instrText xml:space="preserve"> \* MERGEFORMAT </w:instrText>
      </w:r>
      <w:r w:rsidRPr="0061343E">
        <w:fldChar w:fldCharType="separate"/>
      </w:r>
      <w:r w:rsidR="00E5780E" w:rsidRPr="0061343E">
        <w:t xml:space="preserve">Table </w:t>
      </w:r>
      <w:r w:rsidR="00E5780E">
        <w:rPr>
          <w:noProof/>
        </w:rPr>
        <w:t>15</w:t>
      </w:r>
      <w:r w:rsidRPr="0061343E">
        <w:fldChar w:fldCharType="end"/>
      </w:r>
      <w:r w:rsidRPr="0061343E">
        <w:t xml:space="preserve"> displays the treatment-emergent adverse events (TEAEs) reported during the initial treatment period across the NEMO trials.</w:t>
      </w:r>
    </w:p>
    <w:p w14:paraId="63BDD60B" w14:textId="37FFAB46" w:rsidR="00D85532" w:rsidRPr="0061343E" w:rsidRDefault="00D85532" w:rsidP="00D85532">
      <w:pPr>
        <w:pStyle w:val="Caption"/>
        <w:keepLines w:val="0"/>
        <w:widowControl w:val="0"/>
      </w:pPr>
      <w:bookmarkStart w:id="53" w:name="_Ref197645041"/>
      <w:r w:rsidRPr="0061343E">
        <w:lastRenderedPageBreak/>
        <w:t xml:space="preserve">Table </w:t>
      </w:r>
      <w:r w:rsidR="00167892">
        <w:fldChar w:fldCharType="begin"/>
      </w:r>
      <w:r w:rsidR="00167892">
        <w:instrText xml:space="preserve"> SEQ Table \* ARABIC </w:instrText>
      </w:r>
      <w:r w:rsidR="00167892">
        <w:fldChar w:fldCharType="separate"/>
      </w:r>
      <w:r w:rsidR="00E5780E">
        <w:rPr>
          <w:noProof/>
        </w:rPr>
        <w:t>15</w:t>
      </w:r>
      <w:r w:rsidR="00167892">
        <w:rPr>
          <w:noProof/>
        </w:rPr>
        <w:fldChar w:fldCharType="end"/>
      </w:r>
      <w:bookmarkEnd w:id="53"/>
      <w:r w:rsidRPr="0061343E">
        <w:t xml:space="preserve">: Summary of TEAEs in the NEMO trials – initial treatment </w:t>
      </w:r>
      <w:proofErr w:type="spellStart"/>
      <w:r w:rsidRPr="0061343E">
        <w:t>period</w:t>
      </w:r>
      <w:r w:rsidRPr="0061343E">
        <w:rPr>
          <w:vertAlign w:val="superscript"/>
        </w:rPr>
        <w:t>a</w:t>
      </w:r>
      <w:proofErr w:type="spellEnd"/>
      <w:r w:rsidRPr="0061343E">
        <w:t xml:space="preserve"> (safety population)</w:t>
      </w:r>
    </w:p>
    <w:tbl>
      <w:tblPr>
        <w:tblStyle w:val="Submissionstandard"/>
        <w:tblW w:w="5000" w:type="pct"/>
        <w:tblLook w:val="04A0" w:firstRow="1" w:lastRow="0" w:firstColumn="1" w:lastColumn="0" w:noHBand="0" w:noVBand="1"/>
        <w:tblCaption w:val="Table 15: Summary of TEAEs in the NEMO trials – initial treatment perioda (safety population)"/>
      </w:tblPr>
      <w:tblGrid>
        <w:gridCol w:w="1916"/>
        <w:gridCol w:w="840"/>
        <w:gridCol w:w="961"/>
        <w:gridCol w:w="907"/>
        <w:gridCol w:w="923"/>
        <w:gridCol w:w="857"/>
        <w:gridCol w:w="846"/>
        <w:gridCol w:w="923"/>
        <w:gridCol w:w="844"/>
      </w:tblGrid>
      <w:tr w:rsidR="00D85532" w:rsidRPr="0061343E" w14:paraId="62EAD928" w14:textId="77777777" w:rsidTr="003D779B">
        <w:trPr>
          <w:cnfStyle w:val="100000000000" w:firstRow="1" w:lastRow="0" w:firstColumn="0" w:lastColumn="0" w:oddVBand="0" w:evenVBand="0" w:oddHBand="0" w:evenHBand="0" w:firstRowFirstColumn="0" w:firstRowLastColumn="0" w:lastRowFirstColumn="0" w:lastRowLastColumn="0"/>
        </w:trPr>
        <w:tc>
          <w:tcPr>
            <w:tcW w:w="1062" w:type="pct"/>
            <w:vMerge w:val="restart"/>
            <w:shd w:val="clear" w:color="auto" w:fill="auto"/>
            <w:tcMar>
              <w:left w:w="20" w:type="dxa"/>
              <w:right w:w="20" w:type="dxa"/>
            </w:tcMar>
          </w:tcPr>
          <w:p w14:paraId="04C93F6A" w14:textId="77777777" w:rsidR="00D85532" w:rsidRPr="0061343E" w:rsidRDefault="00D85532" w:rsidP="003D779B">
            <w:pPr>
              <w:pStyle w:val="TableLeft"/>
              <w:keepNext/>
              <w:jc w:val="left"/>
              <w:rPr>
                <w:rFonts w:ascii="Arial Narrow" w:hAnsi="Arial Narrow"/>
                <w:sz w:val="20"/>
                <w:szCs w:val="20"/>
              </w:rPr>
            </w:pPr>
          </w:p>
        </w:tc>
        <w:tc>
          <w:tcPr>
            <w:tcW w:w="999" w:type="pct"/>
            <w:gridSpan w:val="2"/>
            <w:shd w:val="clear" w:color="auto" w:fill="auto"/>
            <w:tcMar>
              <w:left w:w="20" w:type="dxa"/>
              <w:right w:w="20" w:type="dxa"/>
            </w:tcMar>
          </w:tcPr>
          <w:p w14:paraId="379269B3" w14:textId="77777777" w:rsidR="00D85532" w:rsidRPr="0061343E" w:rsidRDefault="00D85532" w:rsidP="0033301D">
            <w:pPr>
              <w:pStyle w:val="TableCentre"/>
              <w:keepNext/>
              <w:rPr>
                <w:rFonts w:ascii="Arial Narrow" w:hAnsi="Arial Narrow"/>
                <w:sz w:val="20"/>
                <w:szCs w:val="20"/>
              </w:rPr>
            </w:pPr>
            <w:r w:rsidRPr="0061343E">
              <w:rPr>
                <w:rFonts w:ascii="Arial Narrow" w:hAnsi="Arial Narrow"/>
                <w:sz w:val="20"/>
                <w:szCs w:val="20"/>
              </w:rPr>
              <w:t>ARCADIA 1</w:t>
            </w:r>
          </w:p>
        </w:tc>
        <w:tc>
          <w:tcPr>
            <w:tcW w:w="1015" w:type="pct"/>
            <w:gridSpan w:val="2"/>
            <w:shd w:val="clear" w:color="auto" w:fill="auto"/>
            <w:tcMar>
              <w:left w:w="20" w:type="dxa"/>
              <w:right w:w="20" w:type="dxa"/>
            </w:tcMar>
          </w:tcPr>
          <w:p w14:paraId="06EDC79B" w14:textId="77777777" w:rsidR="00D85532" w:rsidRPr="0061343E" w:rsidRDefault="00D85532" w:rsidP="0033301D">
            <w:pPr>
              <w:pStyle w:val="TableCentre"/>
              <w:keepNext/>
              <w:ind w:hanging="720"/>
              <w:rPr>
                <w:rFonts w:ascii="Arial Narrow" w:hAnsi="Arial Narrow"/>
                <w:sz w:val="20"/>
                <w:szCs w:val="20"/>
              </w:rPr>
            </w:pPr>
            <w:r w:rsidRPr="0061343E">
              <w:rPr>
                <w:rFonts w:ascii="Arial Narrow" w:hAnsi="Arial Narrow"/>
                <w:sz w:val="20"/>
                <w:szCs w:val="20"/>
              </w:rPr>
              <w:t>ARCADIA 2</w:t>
            </w:r>
          </w:p>
        </w:tc>
        <w:tc>
          <w:tcPr>
            <w:tcW w:w="944" w:type="pct"/>
            <w:gridSpan w:val="2"/>
            <w:shd w:val="clear" w:color="auto" w:fill="auto"/>
            <w:tcMar>
              <w:left w:w="20" w:type="dxa"/>
              <w:right w:w="20" w:type="dxa"/>
            </w:tcMar>
          </w:tcPr>
          <w:p w14:paraId="6B0F3509" w14:textId="77777777" w:rsidR="00D85532" w:rsidRPr="0061343E" w:rsidRDefault="00D85532" w:rsidP="0033301D">
            <w:pPr>
              <w:pStyle w:val="TableCentre"/>
              <w:keepNext/>
              <w:ind w:left="720" w:hanging="720"/>
              <w:rPr>
                <w:rFonts w:ascii="Arial Narrow" w:hAnsi="Arial Narrow"/>
                <w:sz w:val="20"/>
                <w:szCs w:val="20"/>
              </w:rPr>
            </w:pPr>
            <w:r w:rsidRPr="0061343E">
              <w:rPr>
                <w:rFonts w:ascii="Arial Narrow" w:hAnsi="Arial Narrow"/>
                <w:sz w:val="20"/>
                <w:szCs w:val="20"/>
              </w:rPr>
              <w:t>ARCADIA CYCLO</w:t>
            </w:r>
          </w:p>
        </w:tc>
        <w:tc>
          <w:tcPr>
            <w:tcW w:w="980" w:type="pct"/>
            <w:gridSpan w:val="2"/>
            <w:shd w:val="clear" w:color="auto" w:fill="auto"/>
            <w:tcMar>
              <w:left w:w="20" w:type="dxa"/>
              <w:right w:w="20" w:type="dxa"/>
            </w:tcMar>
          </w:tcPr>
          <w:p w14:paraId="41728F28" w14:textId="77777777" w:rsidR="00D85532" w:rsidRPr="0061343E" w:rsidRDefault="00D85532" w:rsidP="0033301D">
            <w:pPr>
              <w:pStyle w:val="TableCentre"/>
              <w:keepNext/>
              <w:ind w:left="720" w:hanging="720"/>
              <w:rPr>
                <w:rFonts w:ascii="Arial Narrow" w:hAnsi="Arial Narrow"/>
                <w:sz w:val="20"/>
                <w:szCs w:val="20"/>
              </w:rPr>
            </w:pPr>
            <w:r w:rsidRPr="0061343E">
              <w:rPr>
                <w:rFonts w:ascii="Arial Narrow" w:hAnsi="Arial Narrow"/>
                <w:sz w:val="20"/>
                <w:szCs w:val="20"/>
              </w:rPr>
              <w:t>Study 114322</w:t>
            </w:r>
          </w:p>
        </w:tc>
      </w:tr>
      <w:tr w:rsidR="00D85532" w:rsidRPr="0061343E" w14:paraId="7CA25FB5" w14:textId="77777777" w:rsidTr="003D779B">
        <w:tc>
          <w:tcPr>
            <w:tcW w:w="1062" w:type="pct"/>
            <w:vMerge/>
            <w:shd w:val="clear" w:color="auto" w:fill="auto"/>
            <w:tcMar>
              <w:left w:w="20" w:type="dxa"/>
              <w:right w:w="20" w:type="dxa"/>
            </w:tcMar>
          </w:tcPr>
          <w:p w14:paraId="6699B563" w14:textId="77777777" w:rsidR="00D85532" w:rsidRPr="0061343E" w:rsidRDefault="00D85532" w:rsidP="003D779B">
            <w:pPr>
              <w:pStyle w:val="TableLeft"/>
              <w:keepNext/>
              <w:jc w:val="left"/>
              <w:rPr>
                <w:rFonts w:ascii="Arial Narrow" w:hAnsi="Arial Narrow"/>
                <w:b/>
                <w:bCs/>
                <w:sz w:val="20"/>
                <w:szCs w:val="20"/>
              </w:rPr>
            </w:pPr>
          </w:p>
        </w:tc>
        <w:tc>
          <w:tcPr>
            <w:tcW w:w="466" w:type="pct"/>
            <w:shd w:val="clear" w:color="auto" w:fill="auto"/>
            <w:tcMar>
              <w:left w:w="20" w:type="dxa"/>
              <w:right w:w="20" w:type="dxa"/>
            </w:tcMar>
          </w:tcPr>
          <w:p w14:paraId="31D07959" w14:textId="4216AAF6" w:rsidR="00D85532" w:rsidRPr="0061343E" w:rsidRDefault="00D85532" w:rsidP="003D779B">
            <w:pPr>
              <w:pStyle w:val="TableCentre"/>
              <w:keepNext/>
              <w:rPr>
                <w:rFonts w:ascii="Arial Narrow" w:hAnsi="Arial Narrow"/>
                <w:b/>
                <w:bCs/>
                <w:sz w:val="20"/>
                <w:szCs w:val="20"/>
              </w:rPr>
            </w:pPr>
            <w:r w:rsidRPr="0061343E">
              <w:rPr>
                <w:rFonts w:ascii="Arial Narrow" w:hAnsi="Arial Narrow"/>
                <w:b/>
                <w:bCs/>
                <w:sz w:val="20"/>
                <w:szCs w:val="20"/>
              </w:rPr>
              <w:t xml:space="preserve">NEMO </w:t>
            </w:r>
            <w:r w:rsidR="003D779B" w:rsidRPr="0061343E">
              <w:rPr>
                <w:rFonts w:ascii="Arial Narrow" w:hAnsi="Arial Narrow"/>
                <w:b/>
                <w:bCs/>
                <w:sz w:val="20"/>
                <w:szCs w:val="20"/>
              </w:rPr>
              <w:br/>
            </w:r>
            <w:r w:rsidRPr="0061343E">
              <w:rPr>
                <w:rFonts w:ascii="Arial Narrow" w:hAnsi="Arial Narrow"/>
                <w:b/>
                <w:bCs/>
                <w:sz w:val="20"/>
                <w:szCs w:val="20"/>
              </w:rPr>
              <w:t>30 mg Q4W</w:t>
            </w:r>
          </w:p>
          <w:p w14:paraId="25CC11C4" w14:textId="77777777" w:rsidR="00D85532" w:rsidRPr="0061343E" w:rsidRDefault="00D85532" w:rsidP="003D779B">
            <w:pPr>
              <w:pStyle w:val="TableCentre"/>
              <w:keepNext/>
              <w:rPr>
                <w:rFonts w:ascii="Arial Narrow" w:hAnsi="Arial Narrow"/>
                <w:b/>
                <w:bCs/>
                <w:sz w:val="20"/>
                <w:szCs w:val="20"/>
              </w:rPr>
            </w:pPr>
            <w:r w:rsidRPr="0061343E">
              <w:rPr>
                <w:rFonts w:ascii="Arial Narrow" w:hAnsi="Arial Narrow"/>
                <w:b/>
                <w:bCs/>
                <w:sz w:val="20"/>
                <w:szCs w:val="20"/>
              </w:rPr>
              <w:t>N = 616</w:t>
            </w:r>
          </w:p>
        </w:tc>
        <w:tc>
          <w:tcPr>
            <w:tcW w:w="533" w:type="pct"/>
            <w:shd w:val="clear" w:color="auto" w:fill="auto"/>
            <w:tcMar>
              <w:left w:w="20" w:type="dxa"/>
              <w:right w:w="20" w:type="dxa"/>
            </w:tcMar>
          </w:tcPr>
          <w:p w14:paraId="20D25C27" w14:textId="77777777" w:rsidR="00D85532" w:rsidRPr="0061343E" w:rsidRDefault="00D85532" w:rsidP="003D779B">
            <w:pPr>
              <w:pStyle w:val="TableCentre"/>
              <w:keepNext/>
              <w:rPr>
                <w:rFonts w:ascii="Arial Narrow" w:hAnsi="Arial Narrow"/>
                <w:b/>
                <w:bCs/>
                <w:sz w:val="20"/>
                <w:szCs w:val="20"/>
              </w:rPr>
            </w:pPr>
            <w:r w:rsidRPr="0061343E">
              <w:rPr>
                <w:rFonts w:ascii="Arial Narrow" w:hAnsi="Arial Narrow"/>
                <w:b/>
                <w:bCs/>
                <w:sz w:val="20"/>
                <w:szCs w:val="20"/>
              </w:rPr>
              <w:t>Placebo</w:t>
            </w:r>
          </w:p>
          <w:p w14:paraId="412616BD" w14:textId="77777777" w:rsidR="00D85532" w:rsidRPr="0061343E" w:rsidRDefault="00D85532" w:rsidP="003D779B">
            <w:pPr>
              <w:pStyle w:val="TableCentre"/>
              <w:keepNext/>
              <w:rPr>
                <w:rFonts w:ascii="Arial Narrow" w:hAnsi="Arial Narrow"/>
                <w:b/>
                <w:bCs/>
                <w:sz w:val="20"/>
                <w:szCs w:val="20"/>
              </w:rPr>
            </w:pPr>
            <w:r w:rsidRPr="0061343E">
              <w:rPr>
                <w:rFonts w:ascii="Arial Narrow" w:hAnsi="Arial Narrow"/>
                <w:b/>
                <w:bCs/>
                <w:sz w:val="20"/>
                <w:szCs w:val="20"/>
              </w:rPr>
              <w:t>N = 321</w:t>
            </w:r>
          </w:p>
        </w:tc>
        <w:tc>
          <w:tcPr>
            <w:tcW w:w="503" w:type="pct"/>
            <w:shd w:val="clear" w:color="auto" w:fill="auto"/>
            <w:tcMar>
              <w:left w:w="20" w:type="dxa"/>
              <w:right w:w="20" w:type="dxa"/>
            </w:tcMar>
          </w:tcPr>
          <w:p w14:paraId="6D4330F1" w14:textId="56CD56E6" w:rsidR="00D85532" w:rsidRPr="0061343E" w:rsidRDefault="00D85532" w:rsidP="003D779B">
            <w:pPr>
              <w:pStyle w:val="TableCentre"/>
              <w:keepNext/>
              <w:rPr>
                <w:rFonts w:ascii="Arial Narrow" w:hAnsi="Arial Narrow"/>
                <w:b/>
                <w:bCs/>
                <w:sz w:val="20"/>
                <w:szCs w:val="20"/>
              </w:rPr>
            </w:pPr>
            <w:r w:rsidRPr="0061343E">
              <w:rPr>
                <w:rFonts w:ascii="Arial Narrow" w:hAnsi="Arial Narrow"/>
                <w:b/>
                <w:bCs/>
                <w:sz w:val="20"/>
                <w:szCs w:val="20"/>
              </w:rPr>
              <w:t xml:space="preserve">NEMO </w:t>
            </w:r>
            <w:r w:rsidR="003D779B" w:rsidRPr="0061343E">
              <w:rPr>
                <w:rFonts w:ascii="Arial Narrow" w:hAnsi="Arial Narrow"/>
                <w:b/>
                <w:bCs/>
                <w:sz w:val="20"/>
                <w:szCs w:val="20"/>
              </w:rPr>
              <w:br/>
            </w:r>
            <w:r w:rsidRPr="0061343E">
              <w:rPr>
                <w:rFonts w:ascii="Arial Narrow" w:hAnsi="Arial Narrow"/>
                <w:b/>
                <w:bCs/>
                <w:sz w:val="20"/>
                <w:szCs w:val="20"/>
              </w:rPr>
              <w:t>30 mg Q4W</w:t>
            </w:r>
          </w:p>
          <w:p w14:paraId="45B9770D" w14:textId="77777777" w:rsidR="00D85532" w:rsidRPr="0061343E" w:rsidRDefault="00D85532" w:rsidP="003D779B">
            <w:pPr>
              <w:pStyle w:val="TableCentre"/>
              <w:keepNext/>
              <w:rPr>
                <w:rFonts w:ascii="Arial Narrow" w:hAnsi="Arial Narrow"/>
                <w:b/>
                <w:bCs/>
                <w:sz w:val="20"/>
                <w:szCs w:val="20"/>
              </w:rPr>
            </w:pPr>
            <w:r w:rsidRPr="0061343E">
              <w:rPr>
                <w:rFonts w:ascii="Arial Narrow" w:hAnsi="Arial Narrow"/>
                <w:b/>
                <w:bCs/>
                <w:sz w:val="20"/>
                <w:szCs w:val="20"/>
              </w:rPr>
              <w:t>N = 519</w:t>
            </w:r>
          </w:p>
        </w:tc>
        <w:tc>
          <w:tcPr>
            <w:tcW w:w="512" w:type="pct"/>
            <w:shd w:val="clear" w:color="auto" w:fill="auto"/>
            <w:tcMar>
              <w:left w:w="20" w:type="dxa"/>
              <w:right w:w="20" w:type="dxa"/>
            </w:tcMar>
          </w:tcPr>
          <w:p w14:paraId="7718FDF8" w14:textId="77777777" w:rsidR="00D85532" w:rsidRPr="0061343E" w:rsidRDefault="00D85532" w:rsidP="003D779B">
            <w:pPr>
              <w:pStyle w:val="TableCentre"/>
              <w:keepNext/>
              <w:rPr>
                <w:rFonts w:ascii="Arial Narrow" w:hAnsi="Arial Narrow"/>
                <w:b/>
                <w:bCs/>
                <w:sz w:val="20"/>
                <w:szCs w:val="20"/>
              </w:rPr>
            </w:pPr>
            <w:r w:rsidRPr="0061343E">
              <w:rPr>
                <w:rFonts w:ascii="Arial Narrow" w:hAnsi="Arial Narrow"/>
                <w:b/>
                <w:bCs/>
                <w:sz w:val="20"/>
                <w:szCs w:val="20"/>
              </w:rPr>
              <w:t>Placebo</w:t>
            </w:r>
          </w:p>
          <w:p w14:paraId="14D4018B" w14:textId="77777777" w:rsidR="00D85532" w:rsidRPr="0061343E" w:rsidRDefault="00D85532" w:rsidP="003D779B">
            <w:pPr>
              <w:pStyle w:val="TableCentre"/>
              <w:keepNext/>
              <w:rPr>
                <w:rFonts w:ascii="Arial Narrow" w:hAnsi="Arial Narrow"/>
                <w:b/>
                <w:bCs/>
                <w:sz w:val="20"/>
                <w:szCs w:val="20"/>
              </w:rPr>
            </w:pPr>
            <w:r w:rsidRPr="0061343E">
              <w:rPr>
                <w:rFonts w:ascii="Arial Narrow" w:hAnsi="Arial Narrow"/>
                <w:b/>
                <w:bCs/>
                <w:sz w:val="20"/>
                <w:szCs w:val="20"/>
              </w:rPr>
              <w:t>N = 263</w:t>
            </w:r>
          </w:p>
        </w:tc>
        <w:tc>
          <w:tcPr>
            <w:tcW w:w="475" w:type="pct"/>
            <w:shd w:val="clear" w:color="auto" w:fill="auto"/>
            <w:tcMar>
              <w:left w:w="20" w:type="dxa"/>
              <w:right w:w="20" w:type="dxa"/>
            </w:tcMar>
          </w:tcPr>
          <w:p w14:paraId="244BDB15" w14:textId="46F30137" w:rsidR="00D85532" w:rsidRPr="0061343E" w:rsidRDefault="00D85532" w:rsidP="003D779B">
            <w:pPr>
              <w:pStyle w:val="TableCentre"/>
              <w:keepNext/>
              <w:rPr>
                <w:rFonts w:ascii="Arial Narrow" w:hAnsi="Arial Narrow"/>
                <w:b/>
                <w:bCs/>
                <w:sz w:val="20"/>
                <w:szCs w:val="20"/>
              </w:rPr>
            </w:pPr>
            <w:r w:rsidRPr="0061343E">
              <w:rPr>
                <w:rFonts w:ascii="Arial Narrow" w:hAnsi="Arial Narrow"/>
                <w:b/>
                <w:bCs/>
                <w:sz w:val="20"/>
                <w:szCs w:val="20"/>
              </w:rPr>
              <w:t xml:space="preserve">NEMO </w:t>
            </w:r>
            <w:r w:rsidR="003D779B" w:rsidRPr="0061343E">
              <w:rPr>
                <w:rFonts w:ascii="Arial Narrow" w:hAnsi="Arial Narrow"/>
                <w:b/>
                <w:bCs/>
                <w:sz w:val="20"/>
                <w:szCs w:val="20"/>
              </w:rPr>
              <w:br/>
            </w:r>
            <w:r w:rsidRPr="0061343E">
              <w:rPr>
                <w:rFonts w:ascii="Arial Narrow" w:hAnsi="Arial Narrow"/>
                <w:b/>
                <w:bCs/>
                <w:sz w:val="20"/>
                <w:szCs w:val="20"/>
              </w:rPr>
              <w:t>30 mg Q4W</w:t>
            </w:r>
          </w:p>
          <w:p w14:paraId="0D208734" w14:textId="77777777" w:rsidR="00D85532" w:rsidRPr="0061343E" w:rsidRDefault="00D85532" w:rsidP="003D779B">
            <w:pPr>
              <w:pStyle w:val="TableCentre"/>
              <w:keepNext/>
              <w:rPr>
                <w:rFonts w:ascii="Arial Narrow" w:hAnsi="Arial Narrow"/>
                <w:b/>
                <w:bCs/>
                <w:sz w:val="20"/>
                <w:szCs w:val="20"/>
              </w:rPr>
            </w:pPr>
            <w:r w:rsidRPr="0061343E">
              <w:rPr>
                <w:rFonts w:ascii="Arial Narrow" w:hAnsi="Arial Narrow"/>
                <w:b/>
                <w:bCs/>
                <w:sz w:val="20"/>
                <w:szCs w:val="20"/>
              </w:rPr>
              <w:t>N = 137</w:t>
            </w:r>
          </w:p>
        </w:tc>
        <w:tc>
          <w:tcPr>
            <w:tcW w:w="469" w:type="pct"/>
            <w:shd w:val="clear" w:color="auto" w:fill="auto"/>
            <w:tcMar>
              <w:left w:w="20" w:type="dxa"/>
              <w:right w:w="20" w:type="dxa"/>
            </w:tcMar>
          </w:tcPr>
          <w:p w14:paraId="33EF8FD0" w14:textId="77777777" w:rsidR="00D85532" w:rsidRPr="0061343E" w:rsidRDefault="00D85532" w:rsidP="003D779B">
            <w:pPr>
              <w:pStyle w:val="TableCentre"/>
              <w:keepNext/>
              <w:rPr>
                <w:rFonts w:ascii="Arial Narrow" w:hAnsi="Arial Narrow"/>
                <w:b/>
                <w:bCs/>
                <w:sz w:val="20"/>
                <w:szCs w:val="20"/>
              </w:rPr>
            </w:pPr>
            <w:r w:rsidRPr="0061343E">
              <w:rPr>
                <w:rFonts w:ascii="Arial Narrow" w:hAnsi="Arial Narrow"/>
                <w:b/>
                <w:bCs/>
                <w:sz w:val="20"/>
                <w:szCs w:val="20"/>
              </w:rPr>
              <w:t>Placebo</w:t>
            </w:r>
          </w:p>
          <w:p w14:paraId="086CE1B4" w14:textId="77777777" w:rsidR="00D85532" w:rsidRPr="0061343E" w:rsidRDefault="00D85532" w:rsidP="003D779B">
            <w:pPr>
              <w:pStyle w:val="TableCentre"/>
              <w:keepNext/>
              <w:rPr>
                <w:rFonts w:ascii="Arial Narrow" w:hAnsi="Arial Narrow"/>
                <w:b/>
                <w:bCs/>
                <w:sz w:val="20"/>
                <w:szCs w:val="20"/>
              </w:rPr>
            </w:pPr>
            <w:r w:rsidRPr="0061343E">
              <w:rPr>
                <w:rFonts w:ascii="Arial Narrow" w:hAnsi="Arial Narrow"/>
                <w:b/>
                <w:bCs/>
                <w:sz w:val="20"/>
                <w:szCs w:val="20"/>
              </w:rPr>
              <w:t>N = 137</w:t>
            </w:r>
          </w:p>
        </w:tc>
        <w:tc>
          <w:tcPr>
            <w:tcW w:w="512" w:type="pct"/>
            <w:shd w:val="clear" w:color="auto" w:fill="auto"/>
            <w:tcMar>
              <w:left w:w="20" w:type="dxa"/>
              <w:right w:w="20" w:type="dxa"/>
            </w:tcMar>
          </w:tcPr>
          <w:p w14:paraId="541B6046" w14:textId="6F146A8D" w:rsidR="00D85532" w:rsidRPr="0061343E" w:rsidRDefault="00D85532" w:rsidP="003D779B">
            <w:pPr>
              <w:pStyle w:val="TableCentre"/>
              <w:keepNext/>
              <w:rPr>
                <w:rFonts w:ascii="Arial Narrow" w:hAnsi="Arial Narrow"/>
                <w:b/>
                <w:bCs/>
                <w:sz w:val="20"/>
                <w:szCs w:val="20"/>
              </w:rPr>
            </w:pPr>
            <w:r w:rsidRPr="0061343E">
              <w:rPr>
                <w:rFonts w:ascii="Arial Narrow" w:hAnsi="Arial Narrow"/>
                <w:b/>
                <w:bCs/>
                <w:sz w:val="20"/>
                <w:szCs w:val="20"/>
              </w:rPr>
              <w:t xml:space="preserve">NEMO </w:t>
            </w:r>
            <w:r w:rsidR="003D779B" w:rsidRPr="0061343E">
              <w:rPr>
                <w:rFonts w:ascii="Arial Narrow" w:hAnsi="Arial Narrow"/>
                <w:b/>
                <w:bCs/>
                <w:sz w:val="20"/>
                <w:szCs w:val="20"/>
              </w:rPr>
              <w:br/>
            </w:r>
            <w:r w:rsidRPr="0061343E">
              <w:rPr>
                <w:rFonts w:ascii="Arial Narrow" w:hAnsi="Arial Narrow"/>
                <w:b/>
                <w:bCs/>
                <w:sz w:val="20"/>
                <w:szCs w:val="20"/>
              </w:rPr>
              <w:t>30 mg Q4W</w:t>
            </w:r>
          </w:p>
          <w:p w14:paraId="39494BE0" w14:textId="77777777" w:rsidR="00D85532" w:rsidRPr="0061343E" w:rsidRDefault="00D85532" w:rsidP="003D779B">
            <w:pPr>
              <w:pStyle w:val="TableCentre"/>
              <w:keepNext/>
              <w:rPr>
                <w:rFonts w:ascii="Arial Narrow" w:hAnsi="Arial Narrow"/>
                <w:b/>
                <w:bCs/>
                <w:sz w:val="20"/>
                <w:szCs w:val="20"/>
              </w:rPr>
            </w:pPr>
            <w:r w:rsidRPr="0061343E">
              <w:rPr>
                <w:rFonts w:ascii="Arial Narrow" w:hAnsi="Arial Narrow"/>
                <w:b/>
                <w:bCs/>
                <w:sz w:val="20"/>
                <w:szCs w:val="20"/>
              </w:rPr>
              <w:t>N = 55</w:t>
            </w:r>
          </w:p>
        </w:tc>
        <w:tc>
          <w:tcPr>
            <w:tcW w:w="468" w:type="pct"/>
            <w:shd w:val="clear" w:color="auto" w:fill="auto"/>
            <w:tcMar>
              <w:left w:w="20" w:type="dxa"/>
              <w:right w:w="20" w:type="dxa"/>
            </w:tcMar>
          </w:tcPr>
          <w:p w14:paraId="4BF0A02C" w14:textId="77777777" w:rsidR="00D85532" w:rsidRPr="0061343E" w:rsidRDefault="00D85532" w:rsidP="003D779B">
            <w:pPr>
              <w:pStyle w:val="TableCentre"/>
              <w:keepNext/>
              <w:rPr>
                <w:rFonts w:ascii="Arial Narrow" w:hAnsi="Arial Narrow"/>
                <w:b/>
                <w:bCs/>
                <w:sz w:val="20"/>
                <w:szCs w:val="20"/>
              </w:rPr>
            </w:pPr>
            <w:r w:rsidRPr="0061343E">
              <w:rPr>
                <w:rFonts w:ascii="Arial Narrow" w:hAnsi="Arial Narrow"/>
                <w:b/>
                <w:bCs/>
                <w:sz w:val="20"/>
                <w:szCs w:val="20"/>
              </w:rPr>
              <w:t>Placebo</w:t>
            </w:r>
          </w:p>
          <w:p w14:paraId="693DA2FB" w14:textId="77777777" w:rsidR="00D85532" w:rsidRPr="0061343E" w:rsidRDefault="00D85532" w:rsidP="003D779B">
            <w:pPr>
              <w:pStyle w:val="TableCentre"/>
              <w:keepNext/>
              <w:rPr>
                <w:rFonts w:ascii="Arial Narrow" w:hAnsi="Arial Narrow"/>
                <w:b/>
                <w:bCs/>
                <w:sz w:val="20"/>
                <w:szCs w:val="20"/>
              </w:rPr>
            </w:pPr>
            <w:r w:rsidRPr="0061343E">
              <w:rPr>
                <w:rFonts w:ascii="Arial Narrow" w:hAnsi="Arial Narrow"/>
                <w:b/>
                <w:bCs/>
                <w:sz w:val="20"/>
                <w:szCs w:val="20"/>
              </w:rPr>
              <w:t>N = 57</w:t>
            </w:r>
          </w:p>
        </w:tc>
      </w:tr>
      <w:tr w:rsidR="00D85532" w:rsidRPr="0061343E" w14:paraId="72C8D604" w14:textId="77777777" w:rsidTr="003D779B">
        <w:tc>
          <w:tcPr>
            <w:tcW w:w="1062" w:type="pct"/>
            <w:shd w:val="clear" w:color="auto" w:fill="auto"/>
            <w:tcMar>
              <w:left w:w="20" w:type="dxa"/>
              <w:right w:w="20" w:type="dxa"/>
            </w:tcMar>
          </w:tcPr>
          <w:p w14:paraId="7C3E8B80" w14:textId="77777777" w:rsidR="00D85532" w:rsidRPr="0061343E" w:rsidRDefault="00D85532" w:rsidP="00217163">
            <w:pPr>
              <w:pStyle w:val="TableLeft"/>
              <w:keepNext/>
              <w:jc w:val="left"/>
              <w:rPr>
                <w:rFonts w:ascii="Arial Narrow" w:hAnsi="Arial Narrow"/>
                <w:sz w:val="20"/>
                <w:szCs w:val="20"/>
              </w:rPr>
            </w:pPr>
            <w:r w:rsidRPr="0061343E">
              <w:rPr>
                <w:rFonts w:ascii="Arial Narrow" w:hAnsi="Arial Narrow"/>
                <w:sz w:val="20"/>
                <w:szCs w:val="20"/>
              </w:rPr>
              <w:t>TEAE</w:t>
            </w:r>
          </w:p>
        </w:tc>
        <w:tc>
          <w:tcPr>
            <w:tcW w:w="466" w:type="pct"/>
            <w:shd w:val="clear" w:color="auto" w:fill="auto"/>
            <w:tcMar>
              <w:left w:w="20" w:type="dxa"/>
              <w:right w:w="20" w:type="dxa"/>
            </w:tcMar>
          </w:tcPr>
          <w:p w14:paraId="067AAB4F"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 xml:space="preserve">306 (49.7) </w:t>
            </w:r>
          </w:p>
        </w:tc>
        <w:tc>
          <w:tcPr>
            <w:tcW w:w="533" w:type="pct"/>
            <w:shd w:val="clear" w:color="auto" w:fill="auto"/>
            <w:tcMar>
              <w:left w:w="20" w:type="dxa"/>
              <w:right w:w="20" w:type="dxa"/>
            </w:tcMar>
          </w:tcPr>
          <w:p w14:paraId="2B0AA847"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146 (45.5)</w:t>
            </w:r>
          </w:p>
        </w:tc>
        <w:tc>
          <w:tcPr>
            <w:tcW w:w="503" w:type="pct"/>
            <w:shd w:val="clear" w:color="auto" w:fill="auto"/>
            <w:tcMar>
              <w:left w:w="20" w:type="dxa"/>
              <w:right w:w="20" w:type="dxa"/>
            </w:tcMar>
          </w:tcPr>
          <w:p w14:paraId="52E67692"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215 (41.4)</w:t>
            </w:r>
          </w:p>
        </w:tc>
        <w:tc>
          <w:tcPr>
            <w:tcW w:w="512" w:type="pct"/>
            <w:shd w:val="clear" w:color="auto" w:fill="auto"/>
            <w:tcMar>
              <w:left w:w="20" w:type="dxa"/>
              <w:right w:w="20" w:type="dxa"/>
            </w:tcMar>
          </w:tcPr>
          <w:p w14:paraId="6E5FA384"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117 (44.5)</w:t>
            </w:r>
          </w:p>
        </w:tc>
        <w:tc>
          <w:tcPr>
            <w:tcW w:w="475" w:type="pct"/>
            <w:shd w:val="clear" w:color="auto" w:fill="auto"/>
            <w:tcMar>
              <w:left w:w="20" w:type="dxa"/>
              <w:right w:w="20" w:type="dxa"/>
            </w:tcMar>
          </w:tcPr>
          <w:p w14:paraId="6610EF0B"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71 (51.8)</w:t>
            </w:r>
          </w:p>
        </w:tc>
        <w:tc>
          <w:tcPr>
            <w:tcW w:w="469" w:type="pct"/>
            <w:shd w:val="clear" w:color="auto" w:fill="auto"/>
            <w:tcMar>
              <w:left w:w="20" w:type="dxa"/>
              <w:right w:w="20" w:type="dxa"/>
            </w:tcMar>
          </w:tcPr>
          <w:p w14:paraId="32AF6F02"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70 (51.1)</w:t>
            </w:r>
          </w:p>
        </w:tc>
        <w:tc>
          <w:tcPr>
            <w:tcW w:w="512" w:type="pct"/>
            <w:shd w:val="clear" w:color="auto" w:fill="auto"/>
            <w:tcMar>
              <w:left w:w="20" w:type="dxa"/>
              <w:right w:w="20" w:type="dxa"/>
            </w:tcMar>
          </w:tcPr>
          <w:p w14:paraId="0F427CCA"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47 (82.5)</w:t>
            </w:r>
          </w:p>
        </w:tc>
        <w:tc>
          <w:tcPr>
            <w:tcW w:w="468" w:type="pct"/>
            <w:shd w:val="clear" w:color="auto" w:fill="auto"/>
            <w:tcMar>
              <w:left w:w="20" w:type="dxa"/>
              <w:right w:w="20" w:type="dxa"/>
            </w:tcMar>
          </w:tcPr>
          <w:p w14:paraId="04BA1BCA"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43 (76.8)</w:t>
            </w:r>
          </w:p>
        </w:tc>
      </w:tr>
      <w:tr w:rsidR="00D85532" w:rsidRPr="0061343E" w14:paraId="04271206" w14:textId="77777777" w:rsidTr="002D352A">
        <w:tc>
          <w:tcPr>
            <w:tcW w:w="0" w:type="auto"/>
            <w:gridSpan w:val="9"/>
            <w:shd w:val="clear" w:color="auto" w:fill="auto"/>
            <w:tcMar>
              <w:left w:w="20" w:type="dxa"/>
              <w:right w:w="20" w:type="dxa"/>
            </w:tcMar>
          </w:tcPr>
          <w:p w14:paraId="1DC75C27" w14:textId="77777777" w:rsidR="00D85532" w:rsidRPr="0061343E" w:rsidRDefault="00D85532" w:rsidP="00217163">
            <w:pPr>
              <w:pStyle w:val="TableCentre"/>
              <w:keepNext/>
              <w:jc w:val="left"/>
              <w:rPr>
                <w:rFonts w:ascii="Arial Narrow" w:hAnsi="Arial Narrow"/>
                <w:sz w:val="20"/>
                <w:szCs w:val="20"/>
              </w:rPr>
            </w:pPr>
            <w:r w:rsidRPr="0061343E">
              <w:rPr>
                <w:rFonts w:ascii="Arial Narrow" w:hAnsi="Arial Narrow"/>
                <w:sz w:val="20"/>
                <w:szCs w:val="20"/>
              </w:rPr>
              <w:t>TEAE by maximum severity</w:t>
            </w:r>
          </w:p>
        </w:tc>
      </w:tr>
      <w:tr w:rsidR="00D85532" w:rsidRPr="0061343E" w14:paraId="7142DED2" w14:textId="77777777" w:rsidTr="003D779B">
        <w:tc>
          <w:tcPr>
            <w:tcW w:w="1062" w:type="pct"/>
            <w:shd w:val="clear" w:color="auto" w:fill="auto"/>
            <w:tcMar>
              <w:left w:w="20" w:type="dxa"/>
              <w:right w:w="20" w:type="dxa"/>
            </w:tcMar>
          </w:tcPr>
          <w:p w14:paraId="69EB1917" w14:textId="77777777" w:rsidR="00D85532" w:rsidRPr="0061343E" w:rsidRDefault="00D85532" w:rsidP="00217163">
            <w:pPr>
              <w:pStyle w:val="TableLeft"/>
              <w:keepNext/>
              <w:jc w:val="left"/>
              <w:rPr>
                <w:rFonts w:ascii="Arial Narrow" w:hAnsi="Arial Narrow"/>
                <w:sz w:val="20"/>
                <w:szCs w:val="20"/>
              </w:rPr>
            </w:pPr>
            <w:r w:rsidRPr="0061343E">
              <w:rPr>
                <w:rFonts w:ascii="Arial Narrow" w:hAnsi="Arial Narrow"/>
                <w:sz w:val="20"/>
                <w:szCs w:val="20"/>
              </w:rPr>
              <w:t xml:space="preserve">  Mild</w:t>
            </w:r>
          </w:p>
        </w:tc>
        <w:tc>
          <w:tcPr>
            <w:tcW w:w="466" w:type="pct"/>
            <w:shd w:val="clear" w:color="auto" w:fill="auto"/>
            <w:tcMar>
              <w:left w:w="20" w:type="dxa"/>
              <w:right w:w="20" w:type="dxa"/>
            </w:tcMar>
          </w:tcPr>
          <w:p w14:paraId="7B2E67EF"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 xml:space="preserve">168 (27.3) </w:t>
            </w:r>
          </w:p>
        </w:tc>
        <w:tc>
          <w:tcPr>
            <w:tcW w:w="533" w:type="pct"/>
            <w:shd w:val="clear" w:color="auto" w:fill="auto"/>
            <w:tcMar>
              <w:left w:w="20" w:type="dxa"/>
              <w:right w:w="20" w:type="dxa"/>
            </w:tcMar>
          </w:tcPr>
          <w:p w14:paraId="3E564132"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89 (27.7)</w:t>
            </w:r>
          </w:p>
        </w:tc>
        <w:tc>
          <w:tcPr>
            <w:tcW w:w="503" w:type="pct"/>
            <w:shd w:val="clear" w:color="auto" w:fill="auto"/>
            <w:tcMar>
              <w:left w:w="20" w:type="dxa"/>
              <w:right w:w="20" w:type="dxa"/>
            </w:tcMar>
          </w:tcPr>
          <w:p w14:paraId="0E10014B"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113 (21.8)</w:t>
            </w:r>
          </w:p>
        </w:tc>
        <w:tc>
          <w:tcPr>
            <w:tcW w:w="512" w:type="pct"/>
            <w:shd w:val="clear" w:color="auto" w:fill="auto"/>
            <w:tcMar>
              <w:left w:w="20" w:type="dxa"/>
              <w:right w:w="20" w:type="dxa"/>
            </w:tcMar>
          </w:tcPr>
          <w:p w14:paraId="170E63D4"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66 (25.1)</w:t>
            </w:r>
          </w:p>
        </w:tc>
        <w:tc>
          <w:tcPr>
            <w:tcW w:w="475" w:type="pct"/>
            <w:shd w:val="clear" w:color="auto" w:fill="auto"/>
            <w:tcMar>
              <w:left w:w="20" w:type="dxa"/>
              <w:right w:w="20" w:type="dxa"/>
            </w:tcMar>
          </w:tcPr>
          <w:p w14:paraId="1E187DBB"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27 (19.7)</w:t>
            </w:r>
          </w:p>
        </w:tc>
        <w:tc>
          <w:tcPr>
            <w:tcW w:w="469" w:type="pct"/>
            <w:shd w:val="clear" w:color="auto" w:fill="auto"/>
            <w:tcMar>
              <w:left w:w="20" w:type="dxa"/>
              <w:right w:w="20" w:type="dxa"/>
            </w:tcMar>
          </w:tcPr>
          <w:p w14:paraId="2C9C2DE0"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35 (25.5)</w:t>
            </w:r>
          </w:p>
        </w:tc>
        <w:tc>
          <w:tcPr>
            <w:tcW w:w="512" w:type="pct"/>
            <w:shd w:val="clear" w:color="auto" w:fill="auto"/>
            <w:tcMar>
              <w:left w:w="20" w:type="dxa"/>
              <w:right w:w="20" w:type="dxa"/>
            </w:tcMar>
          </w:tcPr>
          <w:p w14:paraId="7E98B407"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NR</w:t>
            </w:r>
          </w:p>
        </w:tc>
        <w:tc>
          <w:tcPr>
            <w:tcW w:w="468" w:type="pct"/>
            <w:shd w:val="clear" w:color="auto" w:fill="auto"/>
            <w:tcMar>
              <w:left w:w="20" w:type="dxa"/>
              <w:right w:w="20" w:type="dxa"/>
            </w:tcMar>
          </w:tcPr>
          <w:p w14:paraId="433F5F96"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NR</w:t>
            </w:r>
          </w:p>
        </w:tc>
      </w:tr>
      <w:tr w:rsidR="00D85532" w:rsidRPr="0061343E" w14:paraId="6890D92B" w14:textId="77777777" w:rsidTr="003D779B">
        <w:tc>
          <w:tcPr>
            <w:tcW w:w="1062" w:type="pct"/>
            <w:shd w:val="clear" w:color="auto" w:fill="auto"/>
            <w:tcMar>
              <w:left w:w="20" w:type="dxa"/>
              <w:right w:w="20" w:type="dxa"/>
            </w:tcMar>
          </w:tcPr>
          <w:p w14:paraId="2D6B1C9F" w14:textId="77777777" w:rsidR="00D85532" w:rsidRPr="0061343E" w:rsidRDefault="00D85532" w:rsidP="00217163">
            <w:pPr>
              <w:pStyle w:val="TableLeft"/>
              <w:keepNext/>
              <w:jc w:val="left"/>
              <w:rPr>
                <w:rFonts w:ascii="Arial Narrow" w:hAnsi="Arial Narrow"/>
                <w:sz w:val="20"/>
                <w:szCs w:val="20"/>
              </w:rPr>
            </w:pPr>
            <w:r w:rsidRPr="0061343E">
              <w:rPr>
                <w:rFonts w:ascii="Arial Narrow" w:hAnsi="Arial Narrow"/>
                <w:sz w:val="20"/>
                <w:szCs w:val="20"/>
              </w:rPr>
              <w:t xml:space="preserve">  Moderate</w:t>
            </w:r>
          </w:p>
        </w:tc>
        <w:tc>
          <w:tcPr>
            <w:tcW w:w="466" w:type="pct"/>
            <w:shd w:val="clear" w:color="auto" w:fill="auto"/>
            <w:tcMar>
              <w:left w:w="20" w:type="dxa"/>
              <w:right w:w="20" w:type="dxa"/>
            </w:tcMar>
          </w:tcPr>
          <w:p w14:paraId="0135BCD5"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 xml:space="preserve">120 (19.5) </w:t>
            </w:r>
          </w:p>
        </w:tc>
        <w:tc>
          <w:tcPr>
            <w:tcW w:w="533" w:type="pct"/>
            <w:shd w:val="clear" w:color="auto" w:fill="auto"/>
            <w:tcMar>
              <w:left w:w="20" w:type="dxa"/>
              <w:right w:w="20" w:type="dxa"/>
            </w:tcMar>
          </w:tcPr>
          <w:p w14:paraId="0599EC48"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49 (15.3)</w:t>
            </w:r>
          </w:p>
        </w:tc>
        <w:tc>
          <w:tcPr>
            <w:tcW w:w="503" w:type="pct"/>
            <w:shd w:val="clear" w:color="auto" w:fill="auto"/>
            <w:tcMar>
              <w:left w:w="20" w:type="dxa"/>
              <w:right w:w="20" w:type="dxa"/>
            </w:tcMar>
          </w:tcPr>
          <w:p w14:paraId="7D0A42C5"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81 (15.6)</w:t>
            </w:r>
          </w:p>
        </w:tc>
        <w:tc>
          <w:tcPr>
            <w:tcW w:w="512" w:type="pct"/>
            <w:shd w:val="clear" w:color="auto" w:fill="auto"/>
            <w:tcMar>
              <w:left w:w="20" w:type="dxa"/>
              <w:right w:w="20" w:type="dxa"/>
            </w:tcMar>
          </w:tcPr>
          <w:p w14:paraId="0DB0893F"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44 (16.7)</w:t>
            </w:r>
          </w:p>
        </w:tc>
        <w:tc>
          <w:tcPr>
            <w:tcW w:w="475" w:type="pct"/>
            <w:shd w:val="clear" w:color="auto" w:fill="auto"/>
            <w:tcMar>
              <w:left w:w="20" w:type="dxa"/>
              <w:right w:w="20" w:type="dxa"/>
            </w:tcMar>
          </w:tcPr>
          <w:p w14:paraId="488DEBE9"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42 (30.7)</w:t>
            </w:r>
          </w:p>
        </w:tc>
        <w:tc>
          <w:tcPr>
            <w:tcW w:w="469" w:type="pct"/>
            <w:shd w:val="clear" w:color="auto" w:fill="auto"/>
            <w:tcMar>
              <w:left w:w="20" w:type="dxa"/>
              <w:right w:w="20" w:type="dxa"/>
            </w:tcMar>
          </w:tcPr>
          <w:p w14:paraId="07A02210"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33 (24.1)</w:t>
            </w:r>
          </w:p>
        </w:tc>
        <w:tc>
          <w:tcPr>
            <w:tcW w:w="512" w:type="pct"/>
            <w:shd w:val="clear" w:color="auto" w:fill="auto"/>
            <w:tcMar>
              <w:left w:w="20" w:type="dxa"/>
              <w:right w:w="20" w:type="dxa"/>
            </w:tcMar>
          </w:tcPr>
          <w:p w14:paraId="2547802E"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NR</w:t>
            </w:r>
          </w:p>
        </w:tc>
        <w:tc>
          <w:tcPr>
            <w:tcW w:w="468" w:type="pct"/>
            <w:shd w:val="clear" w:color="auto" w:fill="auto"/>
            <w:tcMar>
              <w:left w:w="20" w:type="dxa"/>
              <w:right w:w="20" w:type="dxa"/>
            </w:tcMar>
          </w:tcPr>
          <w:p w14:paraId="430D1950"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NR</w:t>
            </w:r>
          </w:p>
        </w:tc>
      </w:tr>
      <w:tr w:rsidR="00D85532" w:rsidRPr="0061343E" w14:paraId="3A03660C" w14:textId="77777777" w:rsidTr="003D779B">
        <w:tc>
          <w:tcPr>
            <w:tcW w:w="1062" w:type="pct"/>
            <w:shd w:val="clear" w:color="auto" w:fill="auto"/>
            <w:tcMar>
              <w:left w:w="20" w:type="dxa"/>
              <w:right w:w="20" w:type="dxa"/>
            </w:tcMar>
          </w:tcPr>
          <w:p w14:paraId="17E82EED" w14:textId="77777777" w:rsidR="00D85532" w:rsidRPr="0061343E" w:rsidRDefault="00D85532" w:rsidP="00217163">
            <w:pPr>
              <w:pStyle w:val="TableLeft"/>
              <w:keepNext/>
              <w:jc w:val="left"/>
              <w:rPr>
                <w:rFonts w:ascii="Arial Narrow" w:hAnsi="Arial Narrow"/>
                <w:sz w:val="20"/>
                <w:szCs w:val="20"/>
              </w:rPr>
            </w:pPr>
            <w:r w:rsidRPr="0061343E">
              <w:rPr>
                <w:rFonts w:ascii="Arial Narrow" w:hAnsi="Arial Narrow"/>
                <w:sz w:val="20"/>
                <w:szCs w:val="20"/>
              </w:rPr>
              <w:t xml:space="preserve">  Severe</w:t>
            </w:r>
          </w:p>
        </w:tc>
        <w:tc>
          <w:tcPr>
            <w:tcW w:w="466" w:type="pct"/>
            <w:shd w:val="clear" w:color="auto" w:fill="auto"/>
            <w:tcMar>
              <w:left w:w="20" w:type="dxa"/>
              <w:right w:w="20" w:type="dxa"/>
            </w:tcMar>
          </w:tcPr>
          <w:p w14:paraId="415CE794"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 xml:space="preserve">18 (2.9) </w:t>
            </w:r>
          </w:p>
        </w:tc>
        <w:tc>
          <w:tcPr>
            <w:tcW w:w="533" w:type="pct"/>
            <w:shd w:val="clear" w:color="auto" w:fill="auto"/>
            <w:tcMar>
              <w:left w:w="20" w:type="dxa"/>
              <w:right w:w="20" w:type="dxa"/>
            </w:tcMar>
          </w:tcPr>
          <w:p w14:paraId="242CFC6C"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8 (2.5)</w:t>
            </w:r>
          </w:p>
        </w:tc>
        <w:tc>
          <w:tcPr>
            <w:tcW w:w="503" w:type="pct"/>
            <w:shd w:val="clear" w:color="auto" w:fill="auto"/>
            <w:tcMar>
              <w:left w:w="20" w:type="dxa"/>
              <w:right w:w="20" w:type="dxa"/>
            </w:tcMar>
          </w:tcPr>
          <w:p w14:paraId="6CDC8509"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21 (4.0)</w:t>
            </w:r>
          </w:p>
        </w:tc>
        <w:tc>
          <w:tcPr>
            <w:tcW w:w="512" w:type="pct"/>
            <w:shd w:val="clear" w:color="auto" w:fill="auto"/>
            <w:tcMar>
              <w:left w:w="20" w:type="dxa"/>
              <w:right w:w="20" w:type="dxa"/>
            </w:tcMar>
          </w:tcPr>
          <w:p w14:paraId="62E8A740"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7 (2.7)</w:t>
            </w:r>
          </w:p>
        </w:tc>
        <w:tc>
          <w:tcPr>
            <w:tcW w:w="475" w:type="pct"/>
            <w:shd w:val="clear" w:color="auto" w:fill="auto"/>
            <w:tcMar>
              <w:left w:w="20" w:type="dxa"/>
              <w:right w:w="20" w:type="dxa"/>
            </w:tcMar>
          </w:tcPr>
          <w:p w14:paraId="12651B31"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2 (1.5)</w:t>
            </w:r>
          </w:p>
        </w:tc>
        <w:tc>
          <w:tcPr>
            <w:tcW w:w="469" w:type="pct"/>
            <w:shd w:val="clear" w:color="auto" w:fill="auto"/>
            <w:tcMar>
              <w:left w:w="20" w:type="dxa"/>
              <w:right w:w="20" w:type="dxa"/>
            </w:tcMar>
          </w:tcPr>
          <w:p w14:paraId="4BD0F194"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2 (1.5)</w:t>
            </w:r>
          </w:p>
        </w:tc>
        <w:tc>
          <w:tcPr>
            <w:tcW w:w="512" w:type="pct"/>
            <w:shd w:val="clear" w:color="auto" w:fill="auto"/>
            <w:tcMar>
              <w:left w:w="20" w:type="dxa"/>
              <w:right w:w="20" w:type="dxa"/>
            </w:tcMar>
          </w:tcPr>
          <w:p w14:paraId="29D09F3F"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NR</w:t>
            </w:r>
          </w:p>
        </w:tc>
        <w:tc>
          <w:tcPr>
            <w:tcW w:w="468" w:type="pct"/>
            <w:shd w:val="clear" w:color="auto" w:fill="auto"/>
            <w:tcMar>
              <w:left w:w="20" w:type="dxa"/>
              <w:right w:w="20" w:type="dxa"/>
            </w:tcMar>
          </w:tcPr>
          <w:p w14:paraId="4379FD9E"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NR</w:t>
            </w:r>
          </w:p>
        </w:tc>
      </w:tr>
      <w:tr w:rsidR="00D85532" w:rsidRPr="0061343E" w14:paraId="5786F205" w14:textId="77777777" w:rsidTr="003D779B">
        <w:tc>
          <w:tcPr>
            <w:tcW w:w="1062" w:type="pct"/>
            <w:shd w:val="clear" w:color="auto" w:fill="auto"/>
            <w:tcMar>
              <w:left w:w="20" w:type="dxa"/>
              <w:right w:w="20" w:type="dxa"/>
            </w:tcMar>
          </w:tcPr>
          <w:p w14:paraId="2F6EB76C" w14:textId="77777777" w:rsidR="00D85532" w:rsidRPr="0061343E" w:rsidRDefault="00D85532" w:rsidP="00217163">
            <w:pPr>
              <w:pStyle w:val="TableLeft"/>
              <w:keepNext/>
              <w:jc w:val="left"/>
              <w:rPr>
                <w:rFonts w:ascii="Arial Narrow" w:hAnsi="Arial Narrow"/>
                <w:sz w:val="20"/>
                <w:szCs w:val="20"/>
              </w:rPr>
            </w:pPr>
            <w:r w:rsidRPr="0061343E">
              <w:rPr>
                <w:rFonts w:ascii="Arial Narrow" w:hAnsi="Arial Narrow"/>
                <w:sz w:val="20"/>
                <w:szCs w:val="20"/>
              </w:rPr>
              <w:t xml:space="preserve">Study drug-related </w:t>
            </w:r>
            <w:proofErr w:type="spellStart"/>
            <w:r w:rsidRPr="0061343E">
              <w:rPr>
                <w:rFonts w:ascii="Arial Narrow" w:hAnsi="Arial Narrow"/>
                <w:sz w:val="20"/>
                <w:szCs w:val="20"/>
              </w:rPr>
              <w:t>TEAE</w:t>
            </w:r>
            <w:r w:rsidRPr="0061343E">
              <w:rPr>
                <w:rFonts w:ascii="Arial Narrow" w:hAnsi="Arial Narrow"/>
                <w:sz w:val="20"/>
                <w:szCs w:val="20"/>
                <w:vertAlign w:val="superscript"/>
              </w:rPr>
              <w:t>a</w:t>
            </w:r>
            <w:proofErr w:type="spellEnd"/>
          </w:p>
        </w:tc>
        <w:tc>
          <w:tcPr>
            <w:tcW w:w="466" w:type="pct"/>
            <w:shd w:val="clear" w:color="auto" w:fill="auto"/>
            <w:tcMar>
              <w:left w:w="20" w:type="dxa"/>
              <w:right w:w="20" w:type="dxa"/>
            </w:tcMar>
          </w:tcPr>
          <w:p w14:paraId="457F74A3"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 xml:space="preserve">123 (20.0) </w:t>
            </w:r>
          </w:p>
        </w:tc>
        <w:tc>
          <w:tcPr>
            <w:tcW w:w="533" w:type="pct"/>
            <w:shd w:val="clear" w:color="auto" w:fill="auto"/>
            <w:tcMar>
              <w:left w:w="20" w:type="dxa"/>
              <w:right w:w="20" w:type="dxa"/>
            </w:tcMar>
          </w:tcPr>
          <w:p w14:paraId="45AA7937"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42 (13.1)</w:t>
            </w:r>
          </w:p>
        </w:tc>
        <w:tc>
          <w:tcPr>
            <w:tcW w:w="503" w:type="pct"/>
            <w:shd w:val="clear" w:color="auto" w:fill="auto"/>
            <w:tcMar>
              <w:left w:w="20" w:type="dxa"/>
              <w:right w:w="20" w:type="dxa"/>
            </w:tcMar>
          </w:tcPr>
          <w:p w14:paraId="37F91151"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67 (12.9)</w:t>
            </w:r>
          </w:p>
        </w:tc>
        <w:tc>
          <w:tcPr>
            <w:tcW w:w="512" w:type="pct"/>
            <w:shd w:val="clear" w:color="auto" w:fill="auto"/>
            <w:tcMar>
              <w:left w:w="20" w:type="dxa"/>
              <w:right w:w="20" w:type="dxa"/>
            </w:tcMar>
          </w:tcPr>
          <w:p w14:paraId="691A1E33"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29 (11.0)</w:t>
            </w:r>
          </w:p>
        </w:tc>
        <w:tc>
          <w:tcPr>
            <w:tcW w:w="475" w:type="pct"/>
            <w:shd w:val="clear" w:color="auto" w:fill="auto"/>
            <w:tcMar>
              <w:left w:w="20" w:type="dxa"/>
              <w:right w:w="20" w:type="dxa"/>
            </w:tcMar>
          </w:tcPr>
          <w:p w14:paraId="2A057933"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13 (9.5)</w:t>
            </w:r>
          </w:p>
        </w:tc>
        <w:tc>
          <w:tcPr>
            <w:tcW w:w="469" w:type="pct"/>
            <w:shd w:val="clear" w:color="auto" w:fill="auto"/>
            <w:tcMar>
              <w:left w:w="20" w:type="dxa"/>
              <w:right w:w="20" w:type="dxa"/>
            </w:tcMar>
          </w:tcPr>
          <w:p w14:paraId="2F0757DE"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15 (10.9)</w:t>
            </w:r>
          </w:p>
        </w:tc>
        <w:tc>
          <w:tcPr>
            <w:tcW w:w="512" w:type="pct"/>
            <w:shd w:val="clear" w:color="auto" w:fill="auto"/>
            <w:tcMar>
              <w:left w:w="20" w:type="dxa"/>
              <w:right w:w="20" w:type="dxa"/>
            </w:tcMar>
          </w:tcPr>
          <w:p w14:paraId="47C2BE48"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NR</w:t>
            </w:r>
          </w:p>
        </w:tc>
        <w:tc>
          <w:tcPr>
            <w:tcW w:w="468" w:type="pct"/>
            <w:shd w:val="clear" w:color="auto" w:fill="auto"/>
            <w:tcMar>
              <w:left w:w="20" w:type="dxa"/>
              <w:right w:w="20" w:type="dxa"/>
            </w:tcMar>
          </w:tcPr>
          <w:p w14:paraId="150AB9CF"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NR</w:t>
            </w:r>
          </w:p>
        </w:tc>
      </w:tr>
      <w:tr w:rsidR="00D85532" w:rsidRPr="0061343E" w14:paraId="5D44E05D" w14:textId="77777777" w:rsidTr="002D352A">
        <w:tc>
          <w:tcPr>
            <w:tcW w:w="5000" w:type="pct"/>
            <w:gridSpan w:val="9"/>
            <w:shd w:val="clear" w:color="auto" w:fill="auto"/>
            <w:tcMar>
              <w:left w:w="20" w:type="dxa"/>
              <w:right w:w="20" w:type="dxa"/>
            </w:tcMar>
          </w:tcPr>
          <w:p w14:paraId="6EFF9004" w14:textId="77777777" w:rsidR="00D85532" w:rsidRPr="0061343E" w:rsidRDefault="00D85532" w:rsidP="00620957">
            <w:pPr>
              <w:pStyle w:val="TableCentre"/>
              <w:keepNext/>
              <w:jc w:val="left"/>
              <w:rPr>
                <w:rFonts w:ascii="Arial Narrow" w:hAnsi="Arial Narrow"/>
                <w:sz w:val="20"/>
                <w:szCs w:val="20"/>
              </w:rPr>
            </w:pPr>
            <w:r w:rsidRPr="0061343E">
              <w:rPr>
                <w:rFonts w:ascii="Arial Narrow" w:hAnsi="Arial Narrow"/>
                <w:sz w:val="20"/>
                <w:szCs w:val="20"/>
              </w:rPr>
              <w:t xml:space="preserve">Study drug-related TEAE by maximum </w:t>
            </w:r>
            <w:proofErr w:type="spellStart"/>
            <w:proofErr w:type="gramStart"/>
            <w:r w:rsidRPr="0061343E">
              <w:rPr>
                <w:rFonts w:ascii="Arial Narrow" w:hAnsi="Arial Narrow"/>
                <w:sz w:val="20"/>
                <w:szCs w:val="20"/>
              </w:rPr>
              <w:t>severity</w:t>
            </w:r>
            <w:r w:rsidRPr="0061343E">
              <w:rPr>
                <w:rFonts w:ascii="Arial Narrow" w:hAnsi="Arial Narrow"/>
                <w:sz w:val="20"/>
                <w:szCs w:val="20"/>
                <w:vertAlign w:val="superscript"/>
              </w:rPr>
              <w:t>b,c</w:t>
            </w:r>
            <w:proofErr w:type="spellEnd"/>
            <w:proofErr w:type="gramEnd"/>
          </w:p>
        </w:tc>
      </w:tr>
      <w:tr w:rsidR="00D85532" w:rsidRPr="0061343E" w14:paraId="026E4876" w14:textId="77777777" w:rsidTr="003D779B">
        <w:tc>
          <w:tcPr>
            <w:tcW w:w="1062" w:type="pct"/>
            <w:shd w:val="clear" w:color="auto" w:fill="auto"/>
            <w:tcMar>
              <w:left w:w="20" w:type="dxa"/>
              <w:right w:w="20" w:type="dxa"/>
            </w:tcMar>
          </w:tcPr>
          <w:p w14:paraId="366033D1" w14:textId="77777777" w:rsidR="00D85532" w:rsidRPr="0061343E" w:rsidRDefault="00D85532" w:rsidP="00217163">
            <w:pPr>
              <w:pStyle w:val="TableLeft"/>
              <w:keepNext/>
              <w:jc w:val="left"/>
              <w:rPr>
                <w:rFonts w:ascii="Arial Narrow" w:hAnsi="Arial Narrow"/>
                <w:sz w:val="20"/>
                <w:szCs w:val="20"/>
              </w:rPr>
            </w:pPr>
            <w:r w:rsidRPr="0061343E">
              <w:rPr>
                <w:rFonts w:ascii="Arial Narrow" w:hAnsi="Arial Narrow"/>
                <w:sz w:val="20"/>
                <w:szCs w:val="20"/>
              </w:rPr>
              <w:t xml:space="preserve">  Mild</w:t>
            </w:r>
          </w:p>
        </w:tc>
        <w:tc>
          <w:tcPr>
            <w:tcW w:w="466" w:type="pct"/>
            <w:shd w:val="clear" w:color="auto" w:fill="auto"/>
            <w:tcMar>
              <w:left w:w="20" w:type="dxa"/>
              <w:right w:w="20" w:type="dxa"/>
            </w:tcMar>
          </w:tcPr>
          <w:p w14:paraId="23B09F36"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 xml:space="preserve">78 (12.7) </w:t>
            </w:r>
          </w:p>
        </w:tc>
        <w:tc>
          <w:tcPr>
            <w:tcW w:w="533" w:type="pct"/>
            <w:shd w:val="clear" w:color="auto" w:fill="auto"/>
            <w:tcMar>
              <w:left w:w="20" w:type="dxa"/>
              <w:right w:w="20" w:type="dxa"/>
            </w:tcMar>
          </w:tcPr>
          <w:p w14:paraId="49D89CA1"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30 (9.3)</w:t>
            </w:r>
          </w:p>
        </w:tc>
        <w:tc>
          <w:tcPr>
            <w:tcW w:w="503" w:type="pct"/>
            <w:shd w:val="clear" w:color="auto" w:fill="auto"/>
            <w:tcMar>
              <w:left w:w="20" w:type="dxa"/>
              <w:right w:w="20" w:type="dxa"/>
            </w:tcMar>
          </w:tcPr>
          <w:p w14:paraId="15FDA74E"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29 (5.6)</w:t>
            </w:r>
          </w:p>
        </w:tc>
        <w:tc>
          <w:tcPr>
            <w:tcW w:w="512" w:type="pct"/>
            <w:shd w:val="clear" w:color="auto" w:fill="auto"/>
            <w:tcMar>
              <w:left w:w="20" w:type="dxa"/>
              <w:right w:w="20" w:type="dxa"/>
            </w:tcMar>
          </w:tcPr>
          <w:p w14:paraId="3F081482"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15 (5.7)</w:t>
            </w:r>
          </w:p>
        </w:tc>
        <w:tc>
          <w:tcPr>
            <w:tcW w:w="475" w:type="pct"/>
            <w:shd w:val="clear" w:color="auto" w:fill="auto"/>
            <w:tcMar>
              <w:left w:w="20" w:type="dxa"/>
              <w:right w:w="20" w:type="dxa"/>
            </w:tcMar>
          </w:tcPr>
          <w:p w14:paraId="34078968"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NR</w:t>
            </w:r>
          </w:p>
        </w:tc>
        <w:tc>
          <w:tcPr>
            <w:tcW w:w="469" w:type="pct"/>
            <w:shd w:val="clear" w:color="auto" w:fill="auto"/>
            <w:tcMar>
              <w:left w:w="20" w:type="dxa"/>
              <w:right w:w="20" w:type="dxa"/>
            </w:tcMar>
          </w:tcPr>
          <w:p w14:paraId="202F2DE1"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NR</w:t>
            </w:r>
          </w:p>
        </w:tc>
        <w:tc>
          <w:tcPr>
            <w:tcW w:w="512" w:type="pct"/>
            <w:shd w:val="clear" w:color="auto" w:fill="auto"/>
            <w:tcMar>
              <w:left w:w="20" w:type="dxa"/>
              <w:right w:w="20" w:type="dxa"/>
            </w:tcMar>
          </w:tcPr>
          <w:p w14:paraId="4CFFD513"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NR</w:t>
            </w:r>
          </w:p>
        </w:tc>
        <w:tc>
          <w:tcPr>
            <w:tcW w:w="468" w:type="pct"/>
            <w:shd w:val="clear" w:color="auto" w:fill="auto"/>
            <w:tcMar>
              <w:left w:w="20" w:type="dxa"/>
              <w:right w:w="20" w:type="dxa"/>
            </w:tcMar>
          </w:tcPr>
          <w:p w14:paraId="0D9E068F"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NR</w:t>
            </w:r>
          </w:p>
        </w:tc>
      </w:tr>
      <w:tr w:rsidR="00D85532" w:rsidRPr="0061343E" w14:paraId="44667303" w14:textId="77777777" w:rsidTr="003D779B">
        <w:tc>
          <w:tcPr>
            <w:tcW w:w="1062" w:type="pct"/>
            <w:shd w:val="clear" w:color="auto" w:fill="auto"/>
            <w:tcMar>
              <w:left w:w="20" w:type="dxa"/>
              <w:right w:w="20" w:type="dxa"/>
            </w:tcMar>
          </w:tcPr>
          <w:p w14:paraId="5BDE864C" w14:textId="77777777" w:rsidR="00D85532" w:rsidRPr="0061343E" w:rsidRDefault="00D85532" w:rsidP="00217163">
            <w:pPr>
              <w:pStyle w:val="TableLeft"/>
              <w:keepNext/>
              <w:jc w:val="left"/>
              <w:rPr>
                <w:rFonts w:ascii="Arial Narrow" w:hAnsi="Arial Narrow"/>
                <w:sz w:val="20"/>
                <w:szCs w:val="20"/>
              </w:rPr>
            </w:pPr>
            <w:r w:rsidRPr="0061343E">
              <w:rPr>
                <w:rFonts w:ascii="Arial Narrow" w:hAnsi="Arial Narrow"/>
                <w:sz w:val="20"/>
                <w:szCs w:val="20"/>
              </w:rPr>
              <w:t xml:space="preserve">  Moderate</w:t>
            </w:r>
          </w:p>
        </w:tc>
        <w:tc>
          <w:tcPr>
            <w:tcW w:w="466" w:type="pct"/>
            <w:shd w:val="clear" w:color="auto" w:fill="auto"/>
            <w:tcMar>
              <w:left w:w="20" w:type="dxa"/>
              <w:right w:w="20" w:type="dxa"/>
            </w:tcMar>
          </w:tcPr>
          <w:p w14:paraId="02D2EAA1"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 xml:space="preserve">38 (6.2) </w:t>
            </w:r>
          </w:p>
        </w:tc>
        <w:tc>
          <w:tcPr>
            <w:tcW w:w="533" w:type="pct"/>
            <w:shd w:val="clear" w:color="auto" w:fill="auto"/>
            <w:tcMar>
              <w:left w:w="20" w:type="dxa"/>
              <w:right w:w="20" w:type="dxa"/>
            </w:tcMar>
          </w:tcPr>
          <w:p w14:paraId="707FE4DF"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10 (3.1)</w:t>
            </w:r>
          </w:p>
        </w:tc>
        <w:tc>
          <w:tcPr>
            <w:tcW w:w="503" w:type="pct"/>
            <w:shd w:val="clear" w:color="auto" w:fill="auto"/>
            <w:tcMar>
              <w:left w:w="20" w:type="dxa"/>
              <w:right w:w="20" w:type="dxa"/>
            </w:tcMar>
          </w:tcPr>
          <w:p w14:paraId="757C3CAA"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31 (6.0)</w:t>
            </w:r>
          </w:p>
        </w:tc>
        <w:tc>
          <w:tcPr>
            <w:tcW w:w="512" w:type="pct"/>
            <w:shd w:val="clear" w:color="auto" w:fill="auto"/>
            <w:tcMar>
              <w:left w:w="20" w:type="dxa"/>
              <w:right w:w="20" w:type="dxa"/>
            </w:tcMar>
          </w:tcPr>
          <w:p w14:paraId="3A304E0E"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11 (4.2)</w:t>
            </w:r>
          </w:p>
        </w:tc>
        <w:tc>
          <w:tcPr>
            <w:tcW w:w="475" w:type="pct"/>
            <w:shd w:val="clear" w:color="auto" w:fill="auto"/>
            <w:tcMar>
              <w:left w:w="20" w:type="dxa"/>
              <w:right w:w="20" w:type="dxa"/>
            </w:tcMar>
          </w:tcPr>
          <w:p w14:paraId="6A2F3225"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NR</w:t>
            </w:r>
          </w:p>
        </w:tc>
        <w:tc>
          <w:tcPr>
            <w:tcW w:w="469" w:type="pct"/>
            <w:shd w:val="clear" w:color="auto" w:fill="auto"/>
            <w:tcMar>
              <w:left w:w="20" w:type="dxa"/>
              <w:right w:w="20" w:type="dxa"/>
            </w:tcMar>
          </w:tcPr>
          <w:p w14:paraId="2FA3A516"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NR</w:t>
            </w:r>
          </w:p>
        </w:tc>
        <w:tc>
          <w:tcPr>
            <w:tcW w:w="512" w:type="pct"/>
            <w:shd w:val="clear" w:color="auto" w:fill="auto"/>
            <w:tcMar>
              <w:left w:w="20" w:type="dxa"/>
              <w:right w:w="20" w:type="dxa"/>
            </w:tcMar>
          </w:tcPr>
          <w:p w14:paraId="34010932"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NR</w:t>
            </w:r>
          </w:p>
        </w:tc>
        <w:tc>
          <w:tcPr>
            <w:tcW w:w="468" w:type="pct"/>
            <w:shd w:val="clear" w:color="auto" w:fill="auto"/>
            <w:tcMar>
              <w:left w:w="20" w:type="dxa"/>
              <w:right w:w="20" w:type="dxa"/>
            </w:tcMar>
          </w:tcPr>
          <w:p w14:paraId="26CA9297"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NR</w:t>
            </w:r>
          </w:p>
        </w:tc>
      </w:tr>
      <w:tr w:rsidR="00D85532" w:rsidRPr="0061343E" w14:paraId="55AB4D31" w14:textId="77777777" w:rsidTr="003D779B">
        <w:tc>
          <w:tcPr>
            <w:tcW w:w="1062" w:type="pct"/>
            <w:shd w:val="clear" w:color="auto" w:fill="auto"/>
            <w:tcMar>
              <w:left w:w="20" w:type="dxa"/>
              <w:right w:w="20" w:type="dxa"/>
            </w:tcMar>
          </w:tcPr>
          <w:p w14:paraId="295710DC" w14:textId="77777777" w:rsidR="00D85532" w:rsidRPr="0061343E" w:rsidRDefault="00D85532" w:rsidP="00217163">
            <w:pPr>
              <w:pStyle w:val="TableLeft"/>
              <w:keepNext/>
              <w:jc w:val="left"/>
              <w:rPr>
                <w:rFonts w:ascii="Arial Narrow" w:hAnsi="Arial Narrow"/>
                <w:sz w:val="20"/>
                <w:szCs w:val="20"/>
              </w:rPr>
            </w:pPr>
            <w:r w:rsidRPr="0061343E">
              <w:rPr>
                <w:rFonts w:ascii="Arial Narrow" w:hAnsi="Arial Narrow"/>
                <w:sz w:val="20"/>
                <w:szCs w:val="20"/>
              </w:rPr>
              <w:t xml:space="preserve">  Severe</w:t>
            </w:r>
          </w:p>
        </w:tc>
        <w:tc>
          <w:tcPr>
            <w:tcW w:w="466" w:type="pct"/>
            <w:shd w:val="clear" w:color="auto" w:fill="auto"/>
            <w:tcMar>
              <w:left w:w="20" w:type="dxa"/>
              <w:right w:w="20" w:type="dxa"/>
            </w:tcMar>
          </w:tcPr>
          <w:p w14:paraId="0C2E8870"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 xml:space="preserve">7 (1.1) </w:t>
            </w:r>
          </w:p>
        </w:tc>
        <w:tc>
          <w:tcPr>
            <w:tcW w:w="533" w:type="pct"/>
            <w:shd w:val="clear" w:color="auto" w:fill="auto"/>
            <w:tcMar>
              <w:left w:w="20" w:type="dxa"/>
              <w:right w:w="20" w:type="dxa"/>
            </w:tcMar>
          </w:tcPr>
          <w:p w14:paraId="7034F339"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2 (0.6)</w:t>
            </w:r>
          </w:p>
        </w:tc>
        <w:tc>
          <w:tcPr>
            <w:tcW w:w="503" w:type="pct"/>
            <w:shd w:val="clear" w:color="auto" w:fill="auto"/>
            <w:tcMar>
              <w:left w:w="20" w:type="dxa"/>
              <w:right w:w="20" w:type="dxa"/>
            </w:tcMar>
          </w:tcPr>
          <w:p w14:paraId="3A63B6F0"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7 (1.3)</w:t>
            </w:r>
          </w:p>
        </w:tc>
        <w:tc>
          <w:tcPr>
            <w:tcW w:w="512" w:type="pct"/>
            <w:shd w:val="clear" w:color="auto" w:fill="auto"/>
            <w:tcMar>
              <w:left w:w="20" w:type="dxa"/>
              <w:right w:w="20" w:type="dxa"/>
            </w:tcMar>
          </w:tcPr>
          <w:p w14:paraId="1E6DD7F3"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3 (1.1)</w:t>
            </w:r>
          </w:p>
        </w:tc>
        <w:tc>
          <w:tcPr>
            <w:tcW w:w="475" w:type="pct"/>
            <w:shd w:val="clear" w:color="auto" w:fill="auto"/>
            <w:tcMar>
              <w:left w:w="20" w:type="dxa"/>
              <w:right w:w="20" w:type="dxa"/>
            </w:tcMar>
          </w:tcPr>
          <w:p w14:paraId="7702590B" w14:textId="77777777" w:rsidR="00D85532" w:rsidRPr="0061343E" w:rsidRDefault="00D85532" w:rsidP="00E7466A">
            <w:pPr>
              <w:pStyle w:val="TableCentre"/>
              <w:keepNext/>
              <w:ind w:left="-57" w:right="-57"/>
              <w:rPr>
                <w:rFonts w:ascii="Arial Narrow" w:hAnsi="Arial Narrow"/>
                <w:sz w:val="20"/>
                <w:szCs w:val="20"/>
              </w:rPr>
            </w:pPr>
          </w:p>
        </w:tc>
        <w:tc>
          <w:tcPr>
            <w:tcW w:w="469" w:type="pct"/>
            <w:shd w:val="clear" w:color="auto" w:fill="auto"/>
            <w:tcMar>
              <w:left w:w="20" w:type="dxa"/>
              <w:right w:w="20" w:type="dxa"/>
            </w:tcMar>
          </w:tcPr>
          <w:p w14:paraId="301EFE0C"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NR</w:t>
            </w:r>
          </w:p>
        </w:tc>
        <w:tc>
          <w:tcPr>
            <w:tcW w:w="512" w:type="pct"/>
            <w:shd w:val="clear" w:color="auto" w:fill="auto"/>
            <w:tcMar>
              <w:left w:w="20" w:type="dxa"/>
              <w:right w:w="20" w:type="dxa"/>
            </w:tcMar>
          </w:tcPr>
          <w:p w14:paraId="3004E05C"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NR</w:t>
            </w:r>
          </w:p>
        </w:tc>
        <w:tc>
          <w:tcPr>
            <w:tcW w:w="468" w:type="pct"/>
            <w:shd w:val="clear" w:color="auto" w:fill="auto"/>
            <w:tcMar>
              <w:left w:w="20" w:type="dxa"/>
              <w:right w:w="20" w:type="dxa"/>
            </w:tcMar>
          </w:tcPr>
          <w:p w14:paraId="462006A2"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NR</w:t>
            </w:r>
          </w:p>
        </w:tc>
      </w:tr>
      <w:tr w:rsidR="00D85532" w:rsidRPr="0061343E" w14:paraId="4BADA050" w14:textId="77777777" w:rsidTr="003D779B">
        <w:tc>
          <w:tcPr>
            <w:tcW w:w="1062" w:type="pct"/>
            <w:shd w:val="clear" w:color="auto" w:fill="auto"/>
            <w:tcMar>
              <w:left w:w="20" w:type="dxa"/>
              <w:right w:w="20" w:type="dxa"/>
            </w:tcMar>
          </w:tcPr>
          <w:p w14:paraId="27BD3090" w14:textId="77777777" w:rsidR="00D85532" w:rsidRPr="0061343E" w:rsidRDefault="00D85532" w:rsidP="00217163">
            <w:pPr>
              <w:pStyle w:val="TableLeft"/>
              <w:keepNext/>
              <w:jc w:val="left"/>
              <w:rPr>
                <w:rFonts w:ascii="Arial Narrow" w:hAnsi="Arial Narrow"/>
                <w:sz w:val="20"/>
                <w:szCs w:val="20"/>
              </w:rPr>
            </w:pPr>
            <w:r w:rsidRPr="0061343E">
              <w:rPr>
                <w:rFonts w:ascii="Arial Narrow" w:hAnsi="Arial Narrow"/>
                <w:sz w:val="20"/>
                <w:szCs w:val="20"/>
              </w:rPr>
              <w:t xml:space="preserve">TEAE related to protocol </w:t>
            </w:r>
            <w:proofErr w:type="spellStart"/>
            <w:r w:rsidRPr="0061343E">
              <w:rPr>
                <w:rFonts w:ascii="Arial Narrow" w:hAnsi="Arial Narrow"/>
                <w:sz w:val="20"/>
                <w:szCs w:val="20"/>
              </w:rPr>
              <w:t>procedure</w:t>
            </w:r>
            <w:r w:rsidRPr="0061343E">
              <w:rPr>
                <w:rFonts w:ascii="Arial Narrow" w:hAnsi="Arial Narrow"/>
                <w:sz w:val="20"/>
                <w:szCs w:val="20"/>
                <w:vertAlign w:val="superscript"/>
              </w:rPr>
              <w:t>d</w:t>
            </w:r>
            <w:proofErr w:type="spellEnd"/>
            <w:r w:rsidRPr="0061343E">
              <w:rPr>
                <w:rFonts w:ascii="Arial Narrow" w:hAnsi="Arial Narrow"/>
                <w:sz w:val="20"/>
                <w:szCs w:val="20"/>
                <w:vertAlign w:val="superscript"/>
              </w:rPr>
              <w:t xml:space="preserve"> </w:t>
            </w:r>
          </w:p>
        </w:tc>
        <w:tc>
          <w:tcPr>
            <w:tcW w:w="466" w:type="pct"/>
            <w:shd w:val="clear" w:color="auto" w:fill="auto"/>
            <w:tcMar>
              <w:left w:w="20" w:type="dxa"/>
              <w:right w:w="20" w:type="dxa"/>
            </w:tcMar>
          </w:tcPr>
          <w:p w14:paraId="1FFCBD09"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 xml:space="preserve">33 (5.4) </w:t>
            </w:r>
          </w:p>
        </w:tc>
        <w:tc>
          <w:tcPr>
            <w:tcW w:w="533" w:type="pct"/>
            <w:shd w:val="clear" w:color="auto" w:fill="auto"/>
            <w:tcMar>
              <w:left w:w="20" w:type="dxa"/>
              <w:right w:w="20" w:type="dxa"/>
            </w:tcMar>
          </w:tcPr>
          <w:p w14:paraId="3DECC901"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9 (2.8)</w:t>
            </w:r>
          </w:p>
        </w:tc>
        <w:tc>
          <w:tcPr>
            <w:tcW w:w="503" w:type="pct"/>
            <w:shd w:val="clear" w:color="auto" w:fill="auto"/>
            <w:tcMar>
              <w:left w:w="20" w:type="dxa"/>
              <w:right w:w="20" w:type="dxa"/>
            </w:tcMar>
          </w:tcPr>
          <w:p w14:paraId="3FE7F0D2"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14 (2.7)</w:t>
            </w:r>
          </w:p>
        </w:tc>
        <w:tc>
          <w:tcPr>
            <w:tcW w:w="512" w:type="pct"/>
            <w:shd w:val="clear" w:color="auto" w:fill="auto"/>
            <w:tcMar>
              <w:left w:w="20" w:type="dxa"/>
              <w:right w:w="20" w:type="dxa"/>
            </w:tcMar>
          </w:tcPr>
          <w:p w14:paraId="400E90BD"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6 (2.3)</w:t>
            </w:r>
          </w:p>
        </w:tc>
        <w:tc>
          <w:tcPr>
            <w:tcW w:w="475" w:type="pct"/>
            <w:shd w:val="clear" w:color="auto" w:fill="auto"/>
            <w:tcMar>
              <w:left w:w="20" w:type="dxa"/>
              <w:right w:w="20" w:type="dxa"/>
            </w:tcMar>
          </w:tcPr>
          <w:p w14:paraId="09D38472"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0</w:t>
            </w:r>
          </w:p>
        </w:tc>
        <w:tc>
          <w:tcPr>
            <w:tcW w:w="469" w:type="pct"/>
            <w:shd w:val="clear" w:color="auto" w:fill="auto"/>
            <w:tcMar>
              <w:left w:w="20" w:type="dxa"/>
              <w:right w:w="20" w:type="dxa"/>
            </w:tcMar>
          </w:tcPr>
          <w:p w14:paraId="128CBE77"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2 (1.5)</w:t>
            </w:r>
          </w:p>
        </w:tc>
        <w:tc>
          <w:tcPr>
            <w:tcW w:w="512" w:type="pct"/>
            <w:shd w:val="clear" w:color="auto" w:fill="auto"/>
            <w:tcMar>
              <w:left w:w="20" w:type="dxa"/>
              <w:right w:w="20" w:type="dxa"/>
            </w:tcMar>
          </w:tcPr>
          <w:p w14:paraId="3C73A5C9"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NR</w:t>
            </w:r>
          </w:p>
        </w:tc>
        <w:tc>
          <w:tcPr>
            <w:tcW w:w="468" w:type="pct"/>
            <w:shd w:val="clear" w:color="auto" w:fill="auto"/>
            <w:tcMar>
              <w:left w:w="20" w:type="dxa"/>
              <w:right w:w="20" w:type="dxa"/>
            </w:tcMar>
          </w:tcPr>
          <w:p w14:paraId="3BABDF98"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NR</w:t>
            </w:r>
          </w:p>
        </w:tc>
      </w:tr>
      <w:tr w:rsidR="00D85532" w:rsidRPr="0061343E" w14:paraId="33766FAF" w14:textId="77777777" w:rsidTr="003D779B">
        <w:tc>
          <w:tcPr>
            <w:tcW w:w="1062" w:type="pct"/>
            <w:shd w:val="clear" w:color="auto" w:fill="auto"/>
            <w:tcMar>
              <w:left w:w="20" w:type="dxa"/>
              <w:right w:w="20" w:type="dxa"/>
            </w:tcMar>
          </w:tcPr>
          <w:p w14:paraId="5EEBEB96" w14:textId="77777777" w:rsidR="00D85532" w:rsidRPr="0061343E" w:rsidRDefault="00D85532" w:rsidP="00217163">
            <w:pPr>
              <w:pStyle w:val="TableLeft"/>
              <w:keepNext/>
              <w:jc w:val="left"/>
              <w:rPr>
                <w:rFonts w:ascii="Arial Narrow" w:hAnsi="Arial Narrow"/>
                <w:sz w:val="20"/>
                <w:szCs w:val="20"/>
              </w:rPr>
            </w:pPr>
            <w:r w:rsidRPr="0061343E">
              <w:rPr>
                <w:rFonts w:ascii="Arial Narrow" w:hAnsi="Arial Narrow"/>
                <w:sz w:val="20"/>
                <w:szCs w:val="20"/>
              </w:rPr>
              <w:t>SAE</w:t>
            </w:r>
          </w:p>
        </w:tc>
        <w:tc>
          <w:tcPr>
            <w:tcW w:w="466" w:type="pct"/>
            <w:shd w:val="clear" w:color="auto" w:fill="auto"/>
            <w:tcMar>
              <w:left w:w="20" w:type="dxa"/>
              <w:right w:w="20" w:type="dxa"/>
            </w:tcMar>
          </w:tcPr>
          <w:p w14:paraId="1BB9C11F"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 xml:space="preserve">6 (1.0) </w:t>
            </w:r>
          </w:p>
        </w:tc>
        <w:tc>
          <w:tcPr>
            <w:tcW w:w="533" w:type="pct"/>
            <w:shd w:val="clear" w:color="auto" w:fill="auto"/>
            <w:tcMar>
              <w:left w:w="20" w:type="dxa"/>
              <w:right w:w="20" w:type="dxa"/>
            </w:tcMar>
          </w:tcPr>
          <w:p w14:paraId="40327DC1"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4 (1.2)</w:t>
            </w:r>
          </w:p>
        </w:tc>
        <w:tc>
          <w:tcPr>
            <w:tcW w:w="503" w:type="pct"/>
            <w:shd w:val="clear" w:color="auto" w:fill="auto"/>
            <w:tcMar>
              <w:left w:w="20" w:type="dxa"/>
              <w:right w:w="20" w:type="dxa"/>
            </w:tcMar>
          </w:tcPr>
          <w:p w14:paraId="6C0F377E"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13 (2.5)</w:t>
            </w:r>
          </w:p>
        </w:tc>
        <w:tc>
          <w:tcPr>
            <w:tcW w:w="512" w:type="pct"/>
            <w:shd w:val="clear" w:color="auto" w:fill="auto"/>
            <w:tcMar>
              <w:left w:w="20" w:type="dxa"/>
              <w:right w:w="20" w:type="dxa"/>
            </w:tcMar>
          </w:tcPr>
          <w:p w14:paraId="1ED0C992"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3 (1.1)</w:t>
            </w:r>
          </w:p>
        </w:tc>
        <w:tc>
          <w:tcPr>
            <w:tcW w:w="475" w:type="pct"/>
            <w:shd w:val="clear" w:color="auto" w:fill="auto"/>
            <w:tcMar>
              <w:left w:w="20" w:type="dxa"/>
              <w:right w:w="20" w:type="dxa"/>
            </w:tcMar>
          </w:tcPr>
          <w:p w14:paraId="4AD1B5FD"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3 (2.2)</w:t>
            </w:r>
          </w:p>
        </w:tc>
        <w:tc>
          <w:tcPr>
            <w:tcW w:w="469" w:type="pct"/>
            <w:shd w:val="clear" w:color="auto" w:fill="auto"/>
            <w:tcMar>
              <w:left w:w="20" w:type="dxa"/>
              <w:right w:w="20" w:type="dxa"/>
            </w:tcMar>
          </w:tcPr>
          <w:p w14:paraId="6A3F7D7B"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2 (1.5)</w:t>
            </w:r>
          </w:p>
        </w:tc>
        <w:tc>
          <w:tcPr>
            <w:tcW w:w="512" w:type="pct"/>
            <w:shd w:val="clear" w:color="auto" w:fill="auto"/>
            <w:tcMar>
              <w:left w:w="20" w:type="dxa"/>
              <w:right w:w="20" w:type="dxa"/>
            </w:tcMar>
          </w:tcPr>
          <w:p w14:paraId="20BDB7F8"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2 (3.5)</w:t>
            </w:r>
          </w:p>
        </w:tc>
        <w:tc>
          <w:tcPr>
            <w:tcW w:w="468" w:type="pct"/>
            <w:shd w:val="clear" w:color="auto" w:fill="auto"/>
            <w:tcMar>
              <w:left w:w="20" w:type="dxa"/>
              <w:right w:w="20" w:type="dxa"/>
            </w:tcMar>
          </w:tcPr>
          <w:p w14:paraId="2947683B"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1 (1.8)</w:t>
            </w:r>
          </w:p>
        </w:tc>
      </w:tr>
      <w:tr w:rsidR="00D85532" w:rsidRPr="0061343E" w14:paraId="27A23CAB" w14:textId="77777777" w:rsidTr="003D779B">
        <w:tc>
          <w:tcPr>
            <w:tcW w:w="1062" w:type="pct"/>
            <w:shd w:val="clear" w:color="auto" w:fill="auto"/>
            <w:tcMar>
              <w:left w:w="20" w:type="dxa"/>
              <w:right w:w="20" w:type="dxa"/>
            </w:tcMar>
          </w:tcPr>
          <w:p w14:paraId="61A754A7" w14:textId="77777777" w:rsidR="00D85532" w:rsidRPr="0061343E" w:rsidRDefault="00D85532" w:rsidP="00217163">
            <w:pPr>
              <w:pStyle w:val="TableLeft"/>
              <w:keepNext/>
              <w:jc w:val="left"/>
              <w:rPr>
                <w:rFonts w:ascii="Arial Narrow" w:hAnsi="Arial Narrow"/>
                <w:sz w:val="20"/>
                <w:szCs w:val="20"/>
              </w:rPr>
            </w:pPr>
            <w:r w:rsidRPr="0061343E">
              <w:rPr>
                <w:rFonts w:ascii="Arial Narrow" w:hAnsi="Arial Narrow"/>
                <w:sz w:val="20"/>
                <w:szCs w:val="20"/>
              </w:rPr>
              <w:t>SAE related to study drug</w:t>
            </w:r>
          </w:p>
        </w:tc>
        <w:tc>
          <w:tcPr>
            <w:tcW w:w="466" w:type="pct"/>
            <w:shd w:val="clear" w:color="auto" w:fill="auto"/>
            <w:tcMar>
              <w:left w:w="20" w:type="dxa"/>
              <w:right w:w="20" w:type="dxa"/>
            </w:tcMar>
          </w:tcPr>
          <w:p w14:paraId="6B6780D4"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0</w:t>
            </w:r>
          </w:p>
        </w:tc>
        <w:tc>
          <w:tcPr>
            <w:tcW w:w="533" w:type="pct"/>
            <w:shd w:val="clear" w:color="auto" w:fill="auto"/>
            <w:tcMar>
              <w:left w:w="20" w:type="dxa"/>
              <w:right w:w="20" w:type="dxa"/>
            </w:tcMar>
          </w:tcPr>
          <w:p w14:paraId="7CC63003"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0</w:t>
            </w:r>
          </w:p>
        </w:tc>
        <w:tc>
          <w:tcPr>
            <w:tcW w:w="503" w:type="pct"/>
            <w:shd w:val="clear" w:color="auto" w:fill="auto"/>
            <w:tcMar>
              <w:left w:w="20" w:type="dxa"/>
              <w:right w:w="20" w:type="dxa"/>
            </w:tcMar>
          </w:tcPr>
          <w:p w14:paraId="5A2CCB9D"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5 (1.0)</w:t>
            </w:r>
          </w:p>
        </w:tc>
        <w:tc>
          <w:tcPr>
            <w:tcW w:w="512" w:type="pct"/>
            <w:shd w:val="clear" w:color="auto" w:fill="auto"/>
            <w:tcMar>
              <w:left w:w="20" w:type="dxa"/>
              <w:right w:w="20" w:type="dxa"/>
            </w:tcMar>
          </w:tcPr>
          <w:p w14:paraId="038C2EDD"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0</w:t>
            </w:r>
          </w:p>
        </w:tc>
        <w:tc>
          <w:tcPr>
            <w:tcW w:w="475" w:type="pct"/>
            <w:shd w:val="clear" w:color="auto" w:fill="auto"/>
            <w:tcMar>
              <w:left w:w="20" w:type="dxa"/>
              <w:right w:w="20" w:type="dxa"/>
            </w:tcMar>
          </w:tcPr>
          <w:p w14:paraId="33EE8C2F"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1 (0.7)</w:t>
            </w:r>
          </w:p>
        </w:tc>
        <w:tc>
          <w:tcPr>
            <w:tcW w:w="469" w:type="pct"/>
            <w:shd w:val="clear" w:color="auto" w:fill="auto"/>
            <w:tcMar>
              <w:left w:w="20" w:type="dxa"/>
              <w:right w:w="20" w:type="dxa"/>
            </w:tcMar>
          </w:tcPr>
          <w:p w14:paraId="6184ADE1"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1 (0.7)</w:t>
            </w:r>
          </w:p>
        </w:tc>
        <w:tc>
          <w:tcPr>
            <w:tcW w:w="512" w:type="pct"/>
            <w:shd w:val="clear" w:color="auto" w:fill="auto"/>
            <w:tcMar>
              <w:left w:w="20" w:type="dxa"/>
              <w:right w:w="20" w:type="dxa"/>
            </w:tcMar>
          </w:tcPr>
          <w:p w14:paraId="3A0F8387"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NR</w:t>
            </w:r>
          </w:p>
        </w:tc>
        <w:tc>
          <w:tcPr>
            <w:tcW w:w="468" w:type="pct"/>
            <w:shd w:val="clear" w:color="auto" w:fill="auto"/>
            <w:tcMar>
              <w:left w:w="20" w:type="dxa"/>
              <w:right w:w="20" w:type="dxa"/>
            </w:tcMar>
          </w:tcPr>
          <w:p w14:paraId="0035B660"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NR</w:t>
            </w:r>
          </w:p>
        </w:tc>
      </w:tr>
      <w:tr w:rsidR="00D85532" w:rsidRPr="0061343E" w14:paraId="50294A30" w14:textId="77777777" w:rsidTr="003D779B">
        <w:tc>
          <w:tcPr>
            <w:tcW w:w="1062" w:type="pct"/>
            <w:shd w:val="clear" w:color="auto" w:fill="auto"/>
            <w:tcMar>
              <w:left w:w="20" w:type="dxa"/>
              <w:right w:w="20" w:type="dxa"/>
            </w:tcMar>
          </w:tcPr>
          <w:p w14:paraId="15FE4404" w14:textId="77777777" w:rsidR="00D85532" w:rsidRPr="0061343E" w:rsidRDefault="00D85532" w:rsidP="00217163">
            <w:pPr>
              <w:pStyle w:val="TableLeft"/>
              <w:keepNext/>
              <w:jc w:val="left"/>
              <w:rPr>
                <w:rFonts w:ascii="Arial Narrow" w:hAnsi="Arial Narrow"/>
                <w:sz w:val="20"/>
                <w:szCs w:val="20"/>
              </w:rPr>
            </w:pPr>
            <w:r w:rsidRPr="0061343E">
              <w:rPr>
                <w:rFonts w:ascii="Arial Narrow" w:hAnsi="Arial Narrow"/>
                <w:sz w:val="20"/>
                <w:szCs w:val="20"/>
              </w:rPr>
              <w:t>TEAE leading to study drug withdrawal</w:t>
            </w:r>
          </w:p>
        </w:tc>
        <w:tc>
          <w:tcPr>
            <w:tcW w:w="466" w:type="pct"/>
            <w:shd w:val="clear" w:color="auto" w:fill="auto"/>
            <w:tcMar>
              <w:left w:w="20" w:type="dxa"/>
              <w:right w:w="20" w:type="dxa"/>
            </w:tcMar>
          </w:tcPr>
          <w:p w14:paraId="568411C9"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 xml:space="preserve">11 (1.8) </w:t>
            </w:r>
          </w:p>
        </w:tc>
        <w:tc>
          <w:tcPr>
            <w:tcW w:w="533" w:type="pct"/>
            <w:shd w:val="clear" w:color="auto" w:fill="auto"/>
            <w:tcMar>
              <w:left w:w="20" w:type="dxa"/>
              <w:right w:w="20" w:type="dxa"/>
            </w:tcMar>
          </w:tcPr>
          <w:p w14:paraId="23AB3F09"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13 (4.0)</w:t>
            </w:r>
          </w:p>
        </w:tc>
        <w:tc>
          <w:tcPr>
            <w:tcW w:w="503" w:type="pct"/>
            <w:shd w:val="clear" w:color="auto" w:fill="auto"/>
            <w:tcMar>
              <w:left w:w="20" w:type="dxa"/>
              <w:right w:w="20" w:type="dxa"/>
            </w:tcMar>
          </w:tcPr>
          <w:p w14:paraId="7B9E0F23"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18 (3.5)</w:t>
            </w:r>
          </w:p>
        </w:tc>
        <w:tc>
          <w:tcPr>
            <w:tcW w:w="512" w:type="pct"/>
            <w:shd w:val="clear" w:color="auto" w:fill="auto"/>
            <w:tcMar>
              <w:left w:w="20" w:type="dxa"/>
              <w:right w:w="20" w:type="dxa"/>
            </w:tcMar>
          </w:tcPr>
          <w:p w14:paraId="79B7ADDE"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3 (1.1)</w:t>
            </w:r>
          </w:p>
        </w:tc>
        <w:tc>
          <w:tcPr>
            <w:tcW w:w="475" w:type="pct"/>
            <w:shd w:val="clear" w:color="auto" w:fill="auto"/>
            <w:tcMar>
              <w:left w:w="20" w:type="dxa"/>
              <w:right w:w="20" w:type="dxa"/>
            </w:tcMar>
          </w:tcPr>
          <w:p w14:paraId="16961D1B"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3 (2.2)</w:t>
            </w:r>
          </w:p>
        </w:tc>
        <w:tc>
          <w:tcPr>
            <w:tcW w:w="469" w:type="pct"/>
            <w:shd w:val="clear" w:color="auto" w:fill="auto"/>
            <w:tcMar>
              <w:left w:w="20" w:type="dxa"/>
              <w:right w:w="20" w:type="dxa"/>
            </w:tcMar>
          </w:tcPr>
          <w:p w14:paraId="17E7473D"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3 (2.2)</w:t>
            </w:r>
          </w:p>
        </w:tc>
        <w:tc>
          <w:tcPr>
            <w:tcW w:w="512" w:type="pct"/>
            <w:shd w:val="clear" w:color="auto" w:fill="auto"/>
            <w:tcMar>
              <w:left w:w="20" w:type="dxa"/>
              <w:right w:w="20" w:type="dxa"/>
            </w:tcMar>
          </w:tcPr>
          <w:p w14:paraId="1EA4AC01"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NR</w:t>
            </w:r>
          </w:p>
        </w:tc>
        <w:tc>
          <w:tcPr>
            <w:tcW w:w="468" w:type="pct"/>
            <w:shd w:val="clear" w:color="auto" w:fill="auto"/>
            <w:tcMar>
              <w:left w:w="20" w:type="dxa"/>
              <w:right w:w="20" w:type="dxa"/>
            </w:tcMar>
          </w:tcPr>
          <w:p w14:paraId="2E6768B9"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NR</w:t>
            </w:r>
          </w:p>
        </w:tc>
      </w:tr>
      <w:tr w:rsidR="00D85532" w:rsidRPr="0061343E" w14:paraId="3ED15244" w14:textId="77777777" w:rsidTr="003D779B">
        <w:tc>
          <w:tcPr>
            <w:tcW w:w="1062" w:type="pct"/>
            <w:shd w:val="clear" w:color="auto" w:fill="auto"/>
            <w:tcMar>
              <w:left w:w="20" w:type="dxa"/>
              <w:right w:w="20" w:type="dxa"/>
            </w:tcMar>
          </w:tcPr>
          <w:p w14:paraId="5B0FEA21" w14:textId="77777777" w:rsidR="00D85532" w:rsidRPr="0061343E" w:rsidRDefault="00D85532" w:rsidP="00217163">
            <w:pPr>
              <w:pStyle w:val="TableLeft"/>
              <w:keepNext/>
              <w:jc w:val="left"/>
              <w:rPr>
                <w:rFonts w:ascii="Arial Narrow" w:hAnsi="Arial Narrow"/>
                <w:sz w:val="20"/>
                <w:szCs w:val="20"/>
              </w:rPr>
            </w:pPr>
            <w:r w:rsidRPr="0061343E">
              <w:rPr>
                <w:rFonts w:ascii="Arial Narrow" w:hAnsi="Arial Narrow"/>
                <w:sz w:val="20"/>
                <w:szCs w:val="20"/>
              </w:rPr>
              <w:t>TEAE leading to study discontinuation</w:t>
            </w:r>
          </w:p>
        </w:tc>
        <w:tc>
          <w:tcPr>
            <w:tcW w:w="466" w:type="pct"/>
            <w:shd w:val="clear" w:color="auto" w:fill="auto"/>
            <w:tcMar>
              <w:left w:w="20" w:type="dxa"/>
              <w:right w:w="20" w:type="dxa"/>
            </w:tcMar>
          </w:tcPr>
          <w:p w14:paraId="0C95D3E6"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 xml:space="preserve">9 (1.5) </w:t>
            </w:r>
          </w:p>
        </w:tc>
        <w:tc>
          <w:tcPr>
            <w:tcW w:w="533" w:type="pct"/>
            <w:shd w:val="clear" w:color="auto" w:fill="auto"/>
            <w:tcMar>
              <w:left w:w="20" w:type="dxa"/>
              <w:right w:w="20" w:type="dxa"/>
            </w:tcMar>
          </w:tcPr>
          <w:p w14:paraId="6AEEE536"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3 (0.9)</w:t>
            </w:r>
          </w:p>
        </w:tc>
        <w:tc>
          <w:tcPr>
            <w:tcW w:w="503" w:type="pct"/>
            <w:shd w:val="clear" w:color="auto" w:fill="auto"/>
            <w:tcMar>
              <w:left w:w="20" w:type="dxa"/>
              <w:right w:w="20" w:type="dxa"/>
            </w:tcMar>
          </w:tcPr>
          <w:p w14:paraId="69DC2D78"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15 (2.9)</w:t>
            </w:r>
          </w:p>
        </w:tc>
        <w:tc>
          <w:tcPr>
            <w:tcW w:w="512" w:type="pct"/>
            <w:shd w:val="clear" w:color="auto" w:fill="auto"/>
            <w:tcMar>
              <w:left w:w="20" w:type="dxa"/>
              <w:right w:w="20" w:type="dxa"/>
            </w:tcMar>
          </w:tcPr>
          <w:p w14:paraId="3EC94151"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3 (1.1)</w:t>
            </w:r>
          </w:p>
        </w:tc>
        <w:tc>
          <w:tcPr>
            <w:tcW w:w="475" w:type="pct"/>
            <w:shd w:val="clear" w:color="auto" w:fill="auto"/>
            <w:tcMar>
              <w:left w:w="20" w:type="dxa"/>
              <w:right w:w="20" w:type="dxa"/>
            </w:tcMar>
          </w:tcPr>
          <w:p w14:paraId="49DB8968"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2 (1.5)</w:t>
            </w:r>
          </w:p>
        </w:tc>
        <w:tc>
          <w:tcPr>
            <w:tcW w:w="469" w:type="pct"/>
            <w:shd w:val="clear" w:color="auto" w:fill="auto"/>
            <w:tcMar>
              <w:left w:w="20" w:type="dxa"/>
              <w:right w:w="20" w:type="dxa"/>
            </w:tcMar>
          </w:tcPr>
          <w:p w14:paraId="0633317A"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3 (2.2)</w:t>
            </w:r>
          </w:p>
        </w:tc>
        <w:tc>
          <w:tcPr>
            <w:tcW w:w="512" w:type="pct"/>
            <w:shd w:val="clear" w:color="auto" w:fill="auto"/>
            <w:tcMar>
              <w:left w:w="20" w:type="dxa"/>
              <w:right w:w="20" w:type="dxa"/>
            </w:tcMar>
          </w:tcPr>
          <w:p w14:paraId="74FDCEDD"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2 (3.5)</w:t>
            </w:r>
          </w:p>
        </w:tc>
        <w:tc>
          <w:tcPr>
            <w:tcW w:w="468" w:type="pct"/>
            <w:shd w:val="clear" w:color="auto" w:fill="auto"/>
            <w:tcMar>
              <w:left w:w="20" w:type="dxa"/>
              <w:right w:w="20" w:type="dxa"/>
            </w:tcMar>
          </w:tcPr>
          <w:p w14:paraId="47F5E14E"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4 (7.0)</w:t>
            </w:r>
          </w:p>
        </w:tc>
      </w:tr>
      <w:tr w:rsidR="00D85532" w:rsidRPr="0061343E" w14:paraId="29805521" w14:textId="77777777" w:rsidTr="003D779B">
        <w:tc>
          <w:tcPr>
            <w:tcW w:w="1062" w:type="pct"/>
            <w:shd w:val="clear" w:color="auto" w:fill="auto"/>
            <w:tcMar>
              <w:left w:w="20" w:type="dxa"/>
              <w:right w:w="20" w:type="dxa"/>
            </w:tcMar>
          </w:tcPr>
          <w:p w14:paraId="7F4DC7E0" w14:textId="77777777" w:rsidR="00D85532" w:rsidRPr="0061343E" w:rsidRDefault="00D85532" w:rsidP="00217163">
            <w:pPr>
              <w:pStyle w:val="TableLeft"/>
              <w:keepNext/>
              <w:jc w:val="left"/>
              <w:rPr>
                <w:rFonts w:ascii="Arial Narrow" w:hAnsi="Arial Narrow"/>
                <w:sz w:val="20"/>
                <w:szCs w:val="20"/>
              </w:rPr>
            </w:pPr>
            <w:r w:rsidRPr="0061343E">
              <w:rPr>
                <w:rFonts w:ascii="Arial Narrow" w:hAnsi="Arial Narrow"/>
                <w:sz w:val="20"/>
                <w:szCs w:val="20"/>
              </w:rPr>
              <w:t>Treatment-emergent AESIs</w:t>
            </w:r>
          </w:p>
        </w:tc>
        <w:tc>
          <w:tcPr>
            <w:tcW w:w="466" w:type="pct"/>
            <w:shd w:val="clear" w:color="auto" w:fill="auto"/>
            <w:tcMar>
              <w:left w:w="20" w:type="dxa"/>
              <w:right w:w="20" w:type="dxa"/>
            </w:tcMar>
          </w:tcPr>
          <w:p w14:paraId="65F9E006"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 xml:space="preserve">56 (9.1) </w:t>
            </w:r>
          </w:p>
        </w:tc>
        <w:tc>
          <w:tcPr>
            <w:tcW w:w="533" w:type="pct"/>
            <w:shd w:val="clear" w:color="auto" w:fill="auto"/>
            <w:tcMar>
              <w:left w:w="20" w:type="dxa"/>
              <w:right w:w="20" w:type="dxa"/>
            </w:tcMar>
          </w:tcPr>
          <w:p w14:paraId="3E142590"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20 (6.2)</w:t>
            </w:r>
          </w:p>
        </w:tc>
        <w:tc>
          <w:tcPr>
            <w:tcW w:w="503" w:type="pct"/>
            <w:shd w:val="clear" w:color="auto" w:fill="auto"/>
            <w:tcMar>
              <w:left w:w="20" w:type="dxa"/>
              <w:right w:w="20" w:type="dxa"/>
            </w:tcMar>
          </w:tcPr>
          <w:p w14:paraId="25F1E7EC"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47 (9.1)</w:t>
            </w:r>
          </w:p>
        </w:tc>
        <w:tc>
          <w:tcPr>
            <w:tcW w:w="512" w:type="pct"/>
            <w:shd w:val="clear" w:color="auto" w:fill="auto"/>
            <w:tcMar>
              <w:left w:w="20" w:type="dxa"/>
              <w:right w:w="20" w:type="dxa"/>
            </w:tcMar>
          </w:tcPr>
          <w:p w14:paraId="4C5AFDB5"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21 (8.0)</w:t>
            </w:r>
          </w:p>
        </w:tc>
        <w:tc>
          <w:tcPr>
            <w:tcW w:w="475" w:type="pct"/>
            <w:shd w:val="clear" w:color="auto" w:fill="auto"/>
            <w:tcMar>
              <w:left w:w="20" w:type="dxa"/>
              <w:right w:w="20" w:type="dxa"/>
            </w:tcMar>
          </w:tcPr>
          <w:p w14:paraId="59C3F2B4"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18 (13.1)</w:t>
            </w:r>
          </w:p>
        </w:tc>
        <w:tc>
          <w:tcPr>
            <w:tcW w:w="469" w:type="pct"/>
            <w:shd w:val="clear" w:color="auto" w:fill="auto"/>
            <w:tcMar>
              <w:left w:w="20" w:type="dxa"/>
              <w:right w:w="20" w:type="dxa"/>
            </w:tcMar>
          </w:tcPr>
          <w:p w14:paraId="4D42B716"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6 (4.4)</w:t>
            </w:r>
          </w:p>
        </w:tc>
        <w:tc>
          <w:tcPr>
            <w:tcW w:w="512" w:type="pct"/>
            <w:shd w:val="clear" w:color="auto" w:fill="auto"/>
            <w:tcMar>
              <w:left w:w="20" w:type="dxa"/>
              <w:right w:w="20" w:type="dxa"/>
            </w:tcMar>
          </w:tcPr>
          <w:p w14:paraId="13769CB7"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NR</w:t>
            </w:r>
          </w:p>
        </w:tc>
        <w:tc>
          <w:tcPr>
            <w:tcW w:w="468" w:type="pct"/>
            <w:shd w:val="clear" w:color="auto" w:fill="auto"/>
            <w:tcMar>
              <w:left w:w="20" w:type="dxa"/>
              <w:right w:w="20" w:type="dxa"/>
            </w:tcMar>
          </w:tcPr>
          <w:p w14:paraId="4866C42A"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NR</w:t>
            </w:r>
          </w:p>
        </w:tc>
      </w:tr>
      <w:tr w:rsidR="00D85532" w:rsidRPr="0061343E" w14:paraId="5F1123C3" w14:textId="77777777" w:rsidTr="003D779B">
        <w:tc>
          <w:tcPr>
            <w:tcW w:w="1062" w:type="pct"/>
            <w:shd w:val="clear" w:color="auto" w:fill="auto"/>
            <w:tcMar>
              <w:left w:w="20" w:type="dxa"/>
              <w:right w:w="20" w:type="dxa"/>
            </w:tcMar>
          </w:tcPr>
          <w:p w14:paraId="3B4E8C9C" w14:textId="77777777" w:rsidR="00D85532" w:rsidRPr="0061343E" w:rsidRDefault="00D85532" w:rsidP="00217163">
            <w:pPr>
              <w:pStyle w:val="TableLeft"/>
              <w:keepNext/>
              <w:jc w:val="left"/>
              <w:rPr>
                <w:rFonts w:ascii="Arial Narrow" w:hAnsi="Arial Narrow"/>
                <w:sz w:val="20"/>
                <w:szCs w:val="20"/>
              </w:rPr>
            </w:pPr>
            <w:r w:rsidRPr="0061343E">
              <w:rPr>
                <w:rFonts w:ascii="Arial Narrow" w:hAnsi="Arial Narrow"/>
                <w:sz w:val="20"/>
                <w:szCs w:val="20"/>
              </w:rPr>
              <w:t>TEAE leading to death</w:t>
            </w:r>
          </w:p>
        </w:tc>
        <w:tc>
          <w:tcPr>
            <w:tcW w:w="466" w:type="pct"/>
            <w:shd w:val="clear" w:color="auto" w:fill="auto"/>
            <w:tcMar>
              <w:left w:w="20" w:type="dxa"/>
              <w:right w:w="20" w:type="dxa"/>
            </w:tcMar>
          </w:tcPr>
          <w:p w14:paraId="4F750A4C"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0</w:t>
            </w:r>
          </w:p>
        </w:tc>
        <w:tc>
          <w:tcPr>
            <w:tcW w:w="533" w:type="pct"/>
            <w:shd w:val="clear" w:color="auto" w:fill="auto"/>
            <w:tcMar>
              <w:left w:w="20" w:type="dxa"/>
              <w:right w:w="20" w:type="dxa"/>
            </w:tcMar>
          </w:tcPr>
          <w:p w14:paraId="5818E657"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0</w:t>
            </w:r>
          </w:p>
        </w:tc>
        <w:tc>
          <w:tcPr>
            <w:tcW w:w="503" w:type="pct"/>
            <w:shd w:val="clear" w:color="auto" w:fill="auto"/>
            <w:tcMar>
              <w:left w:w="20" w:type="dxa"/>
              <w:right w:w="20" w:type="dxa"/>
            </w:tcMar>
          </w:tcPr>
          <w:p w14:paraId="4E49848D"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0</w:t>
            </w:r>
          </w:p>
        </w:tc>
        <w:tc>
          <w:tcPr>
            <w:tcW w:w="512" w:type="pct"/>
            <w:shd w:val="clear" w:color="auto" w:fill="auto"/>
            <w:tcMar>
              <w:left w:w="20" w:type="dxa"/>
              <w:right w:w="20" w:type="dxa"/>
            </w:tcMar>
          </w:tcPr>
          <w:p w14:paraId="756EF31B"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0</w:t>
            </w:r>
          </w:p>
        </w:tc>
        <w:tc>
          <w:tcPr>
            <w:tcW w:w="475" w:type="pct"/>
            <w:shd w:val="clear" w:color="auto" w:fill="auto"/>
            <w:tcMar>
              <w:left w:w="20" w:type="dxa"/>
              <w:right w:w="20" w:type="dxa"/>
            </w:tcMar>
          </w:tcPr>
          <w:p w14:paraId="3C714380"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0</w:t>
            </w:r>
          </w:p>
        </w:tc>
        <w:tc>
          <w:tcPr>
            <w:tcW w:w="469" w:type="pct"/>
            <w:shd w:val="clear" w:color="auto" w:fill="auto"/>
            <w:tcMar>
              <w:left w:w="20" w:type="dxa"/>
              <w:right w:w="20" w:type="dxa"/>
            </w:tcMar>
          </w:tcPr>
          <w:p w14:paraId="60376688"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0</w:t>
            </w:r>
          </w:p>
        </w:tc>
        <w:tc>
          <w:tcPr>
            <w:tcW w:w="512" w:type="pct"/>
            <w:shd w:val="clear" w:color="auto" w:fill="auto"/>
            <w:tcMar>
              <w:left w:w="20" w:type="dxa"/>
              <w:right w:w="20" w:type="dxa"/>
            </w:tcMar>
          </w:tcPr>
          <w:p w14:paraId="486551DD"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0</w:t>
            </w:r>
          </w:p>
        </w:tc>
        <w:tc>
          <w:tcPr>
            <w:tcW w:w="468" w:type="pct"/>
            <w:shd w:val="clear" w:color="auto" w:fill="auto"/>
            <w:tcMar>
              <w:left w:w="20" w:type="dxa"/>
              <w:right w:w="20" w:type="dxa"/>
            </w:tcMar>
          </w:tcPr>
          <w:p w14:paraId="720258AF" w14:textId="77777777" w:rsidR="00D85532" w:rsidRPr="0061343E" w:rsidRDefault="00D85532" w:rsidP="00E7466A">
            <w:pPr>
              <w:pStyle w:val="TableCentre"/>
              <w:keepNext/>
              <w:ind w:left="-57" w:right="-57"/>
              <w:rPr>
                <w:rFonts w:ascii="Arial Narrow" w:hAnsi="Arial Narrow"/>
                <w:sz w:val="20"/>
                <w:szCs w:val="20"/>
              </w:rPr>
            </w:pPr>
            <w:r w:rsidRPr="0061343E">
              <w:rPr>
                <w:rFonts w:ascii="Arial Narrow" w:hAnsi="Arial Narrow"/>
                <w:sz w:val="20"/>
                <w:szCs w:val="20"/>
              </w:rPr>
              <w:t>0</w:t>
            </w:r>
          </w:p>
        </w:tc>
      </w:tr>
    </w:tbl>
    <w:p w14:paraId="2F95E926" w14:textId="77777777" w:rsidR="00D85532" w:rsidRPr="0061343E" w:rsidRDefault="00D85532" w:rsidP="00D85532">
      <w:pPr>
        <w:pStyle w:val="3-BodyText"/>
        <w:numPr>
          <w:ilvl w:val="0"/>
          <w:numId w:val="0"/>
        </w:numPr>
        <w:spacing w:before="0" w:after="0"/>
        <w:rPr>
          <w:rFonts w:ascii="Arial Narrow" w:hAnsi="Arial Narrow"/>
          <w:sz w:val="18"/>
          <w:szCs w:val="18"/>
        </w:rPr>
      </w:pPr>
      <w:r w:rsidRPr="0061343E">
        <w:rPr>
          <w:rFonts w:ascii="Arial Narrow" w:hAnsi="Arial Narrow"/>
          <w:sz w:val="18"/>
          <w:szCs w:val="18"/>
        </w:rPr>
        <w:t>Source: Table 2-51, p169, Table 2-59, p181, and Table 2-60, p182 of the submission.</w:t>
      </w:r>
    </w:p>
    <w:p w14:paraId="251E3391" w14:textId="77777777" w:rsidR="00D85532" w:rsidRPr="0061343E" w:rsidRDefault="00D85532" w:rsidP="00D85532">
      <w:pPr>
        <w:pStyle w:val="3-BodyText"/>
        <w:numPr>
          <w:ilvl w:val="0"/>
          <w:numId w:val="0"/>
        </w:numPr>
        <w:spacing w:before="0" w:after="0"/>
        <w:rPr>
          <w:rFonts w:ascii="Arial Narrow" w:hAnsi="Arial Narrow"/>
          <w:sz w:val="18"/>
          <w:szCs w:val="18"/>
        </w:rPr>
      </w:pPr>
      <w:r w:rsidRPr="0061343E">
        <w:rPr>
          <w:rFonts w:ascii="Arial Narrow" w:hAnsi="Arial Narrow"/>
          <w:sz w:val="18"/>
          <w:szCs w:val="18"/>
        </w:rPr>
        <w:t>AESIs = adverse events of special interest; NEMO = nemolizumab; Q4W = every 4 weeks; SAEs = serious adverse events; TEAEs = treatment-emergent adverse events</w:t>
      </w:r>
    </w:p>
    <w:p w14:paraId="12AD1693" w14:textId="77777777" w:rsidR="00D85532" w:rsidRPr="0061343E" w:rsidRDefault="00D85532" w:rsidP="00D85532">
      <w:pPr>
        <w:pStyle w:val="CaptionFootnote"/>
        <w:rPr>
          <w:rFonts w:ascii="Arial Narrow" w:hAnsi="Arial Narrow"/>
          <w:sz w:val="18"/>
          <w:szCs w:val="18"/>
        </w:rPr>
      </w:pPr>
      <w:r w:rsidRPr="0061343E">
        <w:rPr>
          <w:rFonts w:ascii="Arial Narrow" w:hAnsi="Arial Narrow"/>
          <w:sz w:val="18"/>
          <w:szCs w:val="18"/>
          <w:vertAlign w:val="superscript"/>
        </w:rPr>
        <w:t>a</w:t>
      </w:r>
      <w:r w:rsidRPr="0061343E">
        <w:rPr>
          <w:rFonts w:ascii="Arial Narrow" w:hAnsi="Arial Narrow"/>
          <w:sz w:val="18"/>
          <w:szCs w:val="18"/>
        </w:rPr>
        <w:t xml:space="preserve"> Safety results were reported at Week 16 for ARCADIA 1, ARCADIA 2 and ARCADIA CYCLO, and at Week 24 for Study 114322.</w:t>
      </w:r>
    </w:p>
    <w:p w14:paraId="1547B12A" w14:textId="77777777" w:rsidR="00D85532" w:rsidRPr="0061343E" w:rsidRDefault="00D85532" w:rsidP="00D85532">
      <w:pPr>
        <w:pStyle w:val="CaptionFootnote"/>
        <w:rPr>
          <w:rFonts w:ascii="Arial Narrow" w:hAnsi="Arial Narrow"/>
          <w:sz w:val="18"/>
          <w:szCs w:val="18"/>
        </w:rPr>
      </w:pPr>
      <w:proofErr w:type="spellStart"/>
      <w:r w:rsidRPr="0061343E">
        <w:rPr>
          <w:rFonts w:ascii="Arial Narrow" w:hAnsi="Arial Narrow"/>
          <w:sz w:val="18"/>
          <w:szCs w:val="18"/>
          <w:vertAlign w:val="superscript"/>
        </w:rPr>
        <w:t>b.</w:t>
      </w:r>
      <w:r w:rsidRPr="0061343E">
        <w:rPr>
          <w:rFonts w:ascii="Arial Narrow" w:hAnsi="Arial Narrow"/>
          <w:sz w:val="18"/>
          <w:szCs w:val="18"/>
        </w:rPr>
        <w:t>Study</w:t>
      </w:r>
      <w:proofErr w:type="spellEnd"/>
      <w:r w:rsidRPr="0061343E">
        <w:rPr>
          <w:rFonts w:ascii="Arial Narrow" w:hAnsi="Arial Narrow"/>
          <w:sz w:val="18"/>
          <w:szCs w:val="18"/>
        </w:rPr>
        <w:t xml:space="preserve"> drug-related TEAEs were those for which a reasonable possibility of relationship was reported (or with a missing relationship).</w:t>
      </w:r>
    </w:p>
    <w:p w14:paraId="7A644EBA" w14:textId="77777777" w:rsidR="00D85532" w:rsidRPr="0061343E" w:rsidRDefault="00D85532" w:rsidP="00D85532">
      <w:pPr>
        <w:pStyle w:val="CaptionFootnote"/>
        <w:rPr>
          <w:rFonts w:ascii="Arial Narrow" w:hAnsi="Arial Narrow"/>
          <w:sz w:val="18"/>
          <w:szCs w:val="18"/>
        </w:rPr>
      </w:pPr>
      <w:r w:rsidRPr="0061343E">
        <w:rPr>
          <w:rFonts w:ascii="Arial Narrow" w:hAnsi="Arial Narrow"/>
          <w:sz w:val="18"/>
          <w:szCs w:val="18"/>
          <w:vertAlign w:val="superscript"/>
        </w:rPr>
        <w:t xml:space="preserve">c </w:t>
      </w:r>
      <w:r w:rsidRPr="0061343E">
        <w:rPr>
          <w:rFonts w:ascii="Arial Narrow" w:hAnsi="Arial Narrow"/>
          <w:sz w:val="18"/>
          <w:szCs w:val="18"/>
        </w:rPr>
        <w:t>If subjects experienced multiple events, the subjects were counted once at the event with maximum severity.</w:t>
      </w:r>
    </w:p>
    <w:p w14:paraId="752D37CB" w14:textId="77777777" w:rsidR="00D85532" w:rsidRPr="0061343E" w:rsidRDefault="00D85532" w:rsidP="00A75874">
      <w:pPr>
        <w:pStyle w:val="3-BodyText"/>
        <w:numPr>
          <w:ilvl w:val="0"/>
          <w:numId w:val="0"/>
        </w:numPr>
        <w:spacing w:before="0" w:after="120"/>
        <w:rPr>
          <w:rFonts w:ascii="Arial Narrow" w:hAnsi="Arial Narrow"/>
          <w:sz w:val="18"/>
          <w:szCs w:val="18"/>
        </w:rPr>
      </w:pPr>
      <w:r w:rsidRPr="0061343E">
        <w:rPr>
          <w:rFonts w:ascii="Arial Narrow" w:hAnsi="Arial Narrow"/>
          <w:sz w:val="18"/>
          <w:szCs w:val="18"/>
          <w:vertAlign w:val="superscript"/>
        </w:rPr>
        <w:t xml:space="preserve">d </w:t>
      </w:r>
      <w:r w:rsidRPr="0061343E">
        <w:rPr>
          <w:rFonts w:ascii="Arial Narrow" w:hAnsi="Arial Narrow"/>
          <w:sz w:val="18"/>
          <w:szCs w:val="18"/>
        </w:rPr>
        <w:t>Including topical background therapy.</w:t>
      </w:r>
    </w:p>
    <w:p w14:paraId="25BFD2C8" w14:textId="011C66FE" w:rsidR="00C05E17" w:rsidRPr="0061343E" w:rsidRDefault="00C05E17" w:rsidP="00C05E17">
      <w:pPr>
        <w:pStyle w:val="3-BodyText"/>
      </w:pPr>
      <w:r w:rsidRPr="0061343E">
        <w:t>Compared with placebo, a higher proportion of patients in the NEMO group experienced drug-related TEAEs (20.0% vs. 13.1%) and TEAEs related to protocol procedure (including topical background therapy) (5.4% vs. 2.8%) in ARCADIA 1, serious adverse events (SAEs) (2.5% vs. 1.1%), TEAEs leading to study drug withdrawal (3.5% vs. 1.1%) and TEAEs leading to study discontinuation (2.9% vs. 1.1%) in ARCADIA 2, treatment-emergent adverse events of special interest (AESIs)</w:t>
      </w:r>
      <w:r w:rsidRPr="0061343E">
        <w:rPr>
          <w:rStyle w:val="FootnoteReference"/>
        </w:rPr>
        <w:footnoteReference w:id="11"/>
      </w:r>
      <w:r w:rsidRPr="0061343E">
        <w:t xml:space="preserve"> (13.1% vs. 4.4%) in ARCADIA CYCLO, and SAEs (3.5% vs. 1.8%) in Study 114322. </w:t>
      </w:r>
      <w:r w:rsidR="008172A3" w:rsidRPr="0061343E">
        <w:t>Some of t</w:t>
      </w:r>
      <w:r w:rsidRPr="0061343E">
        <w:t xml:space="preserve">he differences </w:t>
      </w:r>
      <w:r w:rsidR="008172A3" w:rsidRPr="0061343E">
        <w:t>were</w:t>
      </w:r>
      <w:r w:rsidRPr="0061343E">
        <w:t xml:space="preserve"> not statistically significant, as the trials were not statistically powered to detect a true difference.  </w:t>
      </w:r>
    </w:p>
    <w:p w14:paraId="4B06178D" w14:textId="77777777" w:rsidR="00C05E17" w:rsidRPr="0061343E" w:rsidRDefault="00C05E17" w:rsidP="00C05E17">
      <w:pPr>
        <w:pStyle w:val="3-BodyText"/>
      </w:pPr>
      <w:r w:rsidRPr="0061343E">
        <w:t xml:space="preserve">In ARCADIA 1 the most common TEAE by system organ class reported at Week 16 was infections and infestations (18.3% for NEMO vs. 20.9% for placebo). This was also the </w:t>
      </w:r>
      <w:r w:rsidRPr="0061343E">
        <w:lastRenderedPageBreak/>
        <w:t xml:space="preserve">most common TEAEs in ARCADIA 2 (17.0% vs. 20.2%), ARCADIA CYCLO (32.1% vs. 27.7%), and Study 114322 (59.6% vs. 42.9%). The difference between the arms in Study 114322 was heavily driven by the rate of upper respiratory tract infections reported in the NEMO arm (10.5% vs. 1.8%). Dermatitis atopic was the </w:t>
      </w:r>
      <w:proofErr w:type="gramStart"/>
      <w:r w:rsidRPr="0061343E">
        <w:t>most commonly reported</w:t>
      </w:r>
      <w:proofErr w:type="gramEnd"/>
      <w:r w:rsidRPr="0061343E">
        <w:t xml:space="preserve"> TEAE by preferred term in ARCADIA 1 (12.2% for NEMO vs. 10.6% for placebo) and ARCADIA 2 (7.1% vs. 5.7%), and this was also the common TEAE in ARCADIA CYCLO (7.3% vs. 4.4%) and Study 114322 (24.6% vs. 32.1%). </w:t>
      </w:r>
    </w:p>
    <w:p w14:paraId="41E02198" w14:textId="1E0CCFB1" w:rsidR="00D85532" w:rsidRPr="0061343E" w:rsidRDefault="00D85532" w:rsidP="00F4134C">
      <w:pPr>
        <w:pStyle w:val="3-BodyText"/>
      </w:pPr>
      <w:r w:rsidRPr="0061343E">
        <w:fldChar w:fldCharType="begin"/>
      </w:r>
      <w:r w:rsidRPr="0061343E">
        <w:instrText xml:space="preserve"> REF _Ref197771098 \h  \* MERGEFORMAT </w:instrText>
      </w:r>
      <w:r w:rsidRPr="0061343E">
        <w:fldChar w:fldCharType="separate"/>
      </w:r>
      <w:r w:rsidR="00E5780E" w:rsidRPr="0061343E">
        <w:t xml:space="preserve">Table </w:t>
      </w:r>
      <w:r w:rsidR="00E5780E">
        <w:t>16</w:t>
      </w:r>
      <w:r w:rsidRPr="0061343E">
        <w:fldChar w:fldCharType="end"/>
      </w:r>
      <w:r w:rsidRPr="0061343E">
        <w:t xml:space="preserve"> provides a summary of TEAEs during the maintenance period of ARCADIA 1 and ARCADIA 2 up to Week 48. </w:t>
      </w:r>
    </w:p>
    <w:p w14:paraId="119F32BA" w14:textId="6C10C52E" w:rsidR="00D85532" w:rsidRPr="0061343E" w:rsidRDefault="00D85532" w:rsidP="002234AF">
      <w:pPr>
        <w:pStyle w:val="Caption"/>
      </w:pPr>
      <w:bookmarkStart w:id="54" w:name="_Ref197771098"/>
      <w:r w:rsidRPr="0061343E">
        <w:lastRenderedPageBreak/>
        <w:t xml:space="preserve">Table </w:t>
      </w:r>
      <w:r w:rsidR="00167892">
        <w:fldChar w:fldCharType="begin"/>
      </w:r>
      <w:r w:rsidR="00167892">
        <w:instrText xml:space="preserve"> SEQ Table \* ARABIC </w:instrText>
      </w:r>
      <w:r w:rsidR="00167892">
        <w:fldChar w:fldCharType="separate"/>
      </w:r>
      <w:r w:rsidR="00E5780E">
        <w:rPr>
          <w:noProof/>
        </w:rPr>
        <w:t>16</w:t>
      </w:r>
      <w:r w:rsidR="00167892">
        <w:rPr>
          <w:noProof/>
        </w:rPr>
        <w:fldChar w:fldCharType="end"/>
      </w:r>
      <w:bookmarkEnd w:id="54"/>
      <w:r w:rsidRPr="0061343E">
        <w:t>: Overall summary of TEAEs during the maintenance treatment period – ARCADIA 1 and ARCADIA 2 (enrolled safety subjects in the maintenance period population)</w:t>
      </w:r>
    </w:p>
    <w:tbl>
      <w:tblPr>
        <w:tblStyle w:val="Submissionstandard"/>
        <w:tblW w:w="5000" w:type="pct"/>
        <w:tblLook w:val="04A0" w:firstRow="1" w:lastRow="0" w:firstColumn="1" w:lastColumn="0" w:noHBand="0" w:noVBand="1"/>
        <w:tblCaption w:val="Table 16: Overall summary of TEAEs during the maintenance treatment period – ARCADIA 1 and ARCADIA 2 (enrolled safety subjects in the maintenance period population)"/>
      </w:tblPr>
      <w:tblGrid>
        <w:gridCol w:w="1259"/>
        <w:gridCol w:w="1095"/>
        <w:gridCol w:w="1095"/>
        <w:gridCol w:w="797"/>
        <w:gridCol w:w="735"/>
        <w:gridCol w:w="1251"/>
        <w:gridCol w:w="1252"/>
        <w:gridCol w:w="798"/>
        <w:gridCol w:w="735"/>
      </w:tblGrid>
      <w:tr w:rsidR="00D85532" w:rsidRPr="0061343E" w14:paraId="3B192FB6" w14:textId="77777777" w:rsidTr="002C04CE">
        <w:trPr>
          <w:cnfStyle w:val="100000000000" w:firstRow="1" w:lastRow="0" w:firstColumn="0" w:lastColumn="0" w:oddVBand="0" w:evenVBand="0" w:oddHBand="0" w:evenHBand="0" w:firstRowFirstColumn="0" w:firstRowLastColumn="0" w:lastRowFirstColumn="0" w:lastRowLastColumn="0"/>
          <w:tblHeader/>
        </w:trPr>
        <w:tc>
          <w:tcPr>
            <w:tcW w:w="718" w:type="pct"/>
            <w:shd w:val="clear" w:color="auto" w:fill="auto"/>
            <w:tcMar>
              <w:left w:w="20" w:type="dxa"/>
              <w:right w:w="20" w:type="dxa"/>
            </w:tcMar>
          </w:tcPr>
          <w:p w14:paraId="2369C9F0" w14:textId="77777777" w:rsidR="00D85532" w:rsidRPr="0061343E" w:rsidRDefault="00D85532" w:rsidP="002234AF">
            <w:pPr>
              <w:pStyle w:val="TableLeft"/>
              <w:keepNext/>
              <w:keepLines/>
              <w:widowControl w:val="0"/>
              <w:jc w:val="left"/>
              <w:rPr>
                <w:rFonts w:ascii="Arial Narrow" w:hAnsi="Arial Narrow"/>
                <w:sz w:val="20"/>
                <w:szCs w:val="20"/>
              </w:rPr>
            </w:pPr>
          </w:p>
        </w:tc>
        <w:tc>
          <w:tcPr>
            <w:tcW w:w="2032" w:type="pct"/>
            <w:gridSpan w:val="4"/>
            <w:shd w:val="clear" w:color="auto" w:fill="auto"/>
            <w:tcMar>
              <w:left w:w="20" w:type="dxa"/>
              <w:right w:w="20" w:type="dxa"/>
            </w:tcMar>
          </w:tcPr>
          <w:p w14:paraId="2C74B0CA" w14:textId="77777777" w:rsidR="00D85532" w:rsidRPr="0061343E" w:rsidRDefault="00D85532" w:rsidP="002234AF">
            <w:pPr>
              <w:pStyle w:val="TableCentre"/>
              <w:keepNext/>
              <w:keepLines/>
              <w:widowControl w:val="0"/>
              <w:rPr>
                <w:rFonts w:ascii="Arial Narrow" w:hAnsi="Arial Narrow"/>
                <w:sz w:val="20"/>
                <w:szCs w:val="20"/>
              </w:rPr>
            </w:pPr>
            <w:r w:rsidRPr="0061343E">
              <w:rPr>
                <w:rFonts w:ascii="Arial Narrow" w:hAnsi="Arial Narrow"/>
                <w:sz w:val="20"/>
                <w:szCs w:val="20"/>
              </w:rPr>
              <w:t>ARCADIA 1</w:t>
            </w:r>
          </w:p>
        </w:tc>
        <w:tc>
          <w:tcPr>
            <w:tcW w:w="2250" w:type="pct"/>
            <w:gridSpan w:val="4"/>
            <w:shd w:val="clear" w:color="auto" w:fill="auto"/>
            <w:tcMar>
              <w:left w:w="20" w:type="dxa"/>
              <w:right w:w="20" w:type="dxa"/>
            </w:tcMar>
          </w:tcPr>
          <w:p w14:paraId="13AEFC7E" w14:textId="77777777" w:rsidR="00D85532" w:rsidRPr="0061343E" w:rsidRDefault="00D85532" w:rsidP="002234AF">
            <w:pPr>
              <w:pStyle w:val="TableCentre"/>
              <w:keepNext/>
              <w:keepLines/>
              <w:widowControl w:val="0"/>
              <w:ind w:left="720" w:hanging="720"/>
              <w:rPr>
                <w:rFonts w:ascii="Arial Narrow" w:hAnsi="Arial Narrow"/>
                <w:sz w:val="20"/>
                <w:szCs w:val="20"/>
              </w:rPr>
            </w:pPr>
            <w:r w:rsidRPr="0061343E">
              <w:rPr>
                <w:rFonts w:ascii="Arial Narrow" w:hAnsi="Arial Narrow"/>
                <w:sz w:val="20"/>
                <w:szCs w:val="20"/>
              </w:rPr>
              <w:t>ARCADIA 2</w:t>
            </w:r>
          </w:p>
        </w:tc>
      </w:tr>
      <w:tr w:rsidR="00D85532" w:rsidRPr="0061343E" w14:paraId="5B768F32" w14:textId="77777777" w:rsidTr="002C04CE">
        <w:trPr>
          <w:cnfStyle w:val="100000000000" w:firstRow="1" w:lastRow="0" w:firstColumn="0" w:lastColumn="0" w:oddVBand="0" w:evenVBand="0" w:oddHBand="0" w:evenHBand="0" w:firstRowFirstColumn="0" w:firstRowLastColumn="0" w:lastRowFirstColumn="0" w:lastRowLastColumn="0"/>
          <w:tblHeader/>
        </w:trPr>
        <w:tc>
          <w:tcPr>
            <w:tcW w:w="718" w:type="pct"/>
            <w:shd w:val="clear" w:color="auto" w:fill="auto"/>
            <w:tcMar>
              <w:left w:w="20" w:type="dxa"/>
              <w:right w:w="20" w:type="dxa"/>
            </w:tcMar>
          </w:tcPr>
          <w:p w14:paraId="50482CF6" w14:textId="77777777" w:rsidR="00D85532" w:rsidRPr="0061343E" w:rsidRDefault="00D85532" w:rsidP="002234AF">
            <w:pPr>
              <w:pStyle w:val="TableLeft"/>
              <w:keepNext/>
              <w:keepLines/>
              <w:widowControl w:val="0"/>
              <w:jc w:val="left"/>
              <w:rPr>
                <w:rFonts w:ascii="Arial Narrow" w:hAnsi="Arial Narrow"/>
                <w:b w:val="0"/>
                <w:bCs/>
                <w:sz w:val="20"/>
                <w:szCs w:val="20"/>
              </w:rPr>
            </w:pPr>
            <w:r w:rsidRPr="0061343E">
              <w:rPr>
                <w:rFonts w:ascii="Arial Narrow" w:hAnsi="Arial Narrow"/>
                <w:bCs/>
                <w:sz w:val="20"/>
                <w:szCs w:val="20"/>
              </w:rPr>
              <w:t>Treatment in ITP</w:t>
            </w:r>
          </w:p>
        </w:tc>
        <w:tc>
          <w:tcPr>
            <w:tcW w:w="1533" w:type="pct"/>
            <w:gridSpan w:val="3"/>
            <w:shd w:val="clear" w:color="auto" w:fill="auto"/>
            <w:tcMar>
              <w:left w:w="20" w:type="dxa"/>
              <w:right w:w="20" w:type="dxa"/>
            </w:tcMar>
          </w:tcPr>
          <w:p w14:paraId="7BF1BD05" w14:textId="77777777" w:rsidR="00D85532" w:rsidRPr="0061343E" w:rsidRDefault="00D85532" w:rsidP="002234AF">
            <w:pPr>
              <w:pStyle w:val="TableCentre"/>
              <w:keepNext/>
              <w:keepLines/>
              <w:widowControl w:val="0"/>
              <w:rPr>
                <w:rFonts w:ascii="Arial Narrow" w:hAnsi="Arial Narrow"/>
                <w:b w:val="0"/>
                <w:bCs/>
                <w:sz w:val="20"/>
                <w:szCs w:val="20"/>
              </w:rPr>
            </w:pPr>
            <w:r w:rsidRPr="0061343E">
              <w:rPr>
                <w:rFonts w:ascii="Arial Narrow" w:hAnsi="Arial Narrow"/>
                <w:bCs/>
                <w:sz w:val="20"/>
                <w:szCs w:val="20"/>
              </w:rPr>
              <w:t>NEMO 30 mg Q4W</w:t>
            </w:r>
          </w:p>
        </w:tc>
        <w:tc>
          <w:tcPr>
            <w:tcW w:w="0" w:type="auto"/>
            <w:shd w:val="clear" w:color="auto" w:fill="auto"/>
            <w:tcMar>
              <w:left w:w="20" w:type="dxa"/>
              <w:right w:w="20" w:type="dxa"/>
            </w:tcMar>
          </w:tcPr>
          <w:p w14:paraId="03ED58FD" w14:textId="77777777" w:rsidR="00D85532" w:rsidRPr="0061343E" w:rsidRDefault="00D85532" w:rsidP="002234AF">
            <w:pPr>
              <w:pStyle w:val="TableCentre"/>
              <w:keepNext/>
              <w:keepLines/>
              <w:widowControl w:val="0"/>
              <w:rPr>
                <w:rFonts w:ascii="Arial Narrow" w:hAnsi="Arial Narrow"/>
                <w:b w:val="0"/>
                <w:bCs/>
                <w:sz w:val="20"/>
                <w:szCs w:val="20"/>
              </w:rPr>
            </w:pPr>
            <w:r w:rsidRPr="0061343E">
              <w:rPr>
                <w:rFonts w:ascii="Arial Narrow" w:hAnsi="Arial Narrow"/>
                <w:bCs/>
                <w:sz w:val="20"/>
                <w:szCs w:val="20"/>
              </w:rPr>
              <w:t>Placebo</w:t>
            </w:r>
          </w:p>
        </w:tc>
        <w:tc>
          <w:tcPr>
            <w:tcW w:w="1752" w:type="pct"/>
            <w:gridSpan w:val="3"/>
            <w:shd w:val="clear" w:color="auto" w:fill="auto"/>
            <w:tcMar>
              <w:left w:w="20" w:type="dxa"/>
              <w:right w:w="20" w:type="dxa"/>
            </w:tcMar>
          </w:tcPr>
          <w:p w14:paraId="437B923D" w14:textId="77777777" w:rsidR="00D85532" w:rsidRPr="0061343E" w:rsidRDefault="00D85532" w:rsidP="002234AF">
            <w:pPr>
              <w:pStyle w:val="TableCentre"/>
              <w:keepNext/>
              <w:keepLines/>
              <w:widowControl w:val="0"/>
              <w:rPr>
                <w:rFonts w:ascii="Arial Narrow" w:hAnsi="Arial Narrow"/>
                <w:b w:val="0"/>
                <w:bCs/>
                <w:sz w:val="20"/>
                <w:szCs w:val="20"/>
              </w:rPr>
            </w:pPr>
            <w:r w:rsidRPr="0061343E">
              <w:rPr>
                <w:rFonts w:ascii="Arial Narrow" w:hAnsi="Arial Narrow"/>
                <w:bCs/>
                <w:sz w:val="20"/>
                <w:szCs w:val="20"/>
              </w:rPr>
              <w:t>NEMO 30 mg Q4W</w:t>
            </w:r>
          </w:p>
        </w:tc>
        <w:tc>
          <w:tcPr>
            <w:tcW w:w="0" w:type="auto"/>
            <w:shd w:val="clear" w:color="auto" w:fill="auto"/>
            <w:tcMar>
              <w:left w:w="20" w:type="dxa"/>
              <w:right w:w="20" w:type="dxa"/>
            </w:tcMar>
          </w:tcPr>
          <w:p w14:paraId="76A60E11" w14:textId="77777777" w:rsidR="00D85532" w:rsidRPr="0061343E" w:rsidRDefault="00D85532" w:rsidP="002234AF">
            <w:pPr>
              <w:pStyle w:val="TableCentre"/>
              <w:keepNext/>
              <w:keepLines/>
              <w:widowControl w:val="0"/>
              <w:rPr>
                <w:rFonts w:ascii="Arial Narrow" w:hAnsi="Arial Narrow"/>
                <w:b w:val="0"/>
                <w:bCs/>
                <w:sz w:val="20"/>
                <w:szCs w:val="20"/>
              </w:rPr>
            </w:pPr>
            <w:r w:rsidRPr="0061343E">
              <w:rPr>
                <w:rFonts w:ascii="Arial Narrow" w:hAnsi="Arial Narrow"/>
                <w:bCs/>
                <w:sz w:val="20"/>
                <w:szCs w:val="20"/>
              </w:rPr>
              <w:t>Placebo</w:t>
            </w:r>
          </w:p>
        </w:tc>
      </w:tr>
      <w:tr w:rsidR="00D85532" w:rsidRPr="0061343E" w14:paraId="09FF5BEC" w14:textId="77777777" w:rsidTr="002C04CE">
        <w:tc>
          <w:tcPr>
            <w:tcW w:w="718" w:type="pct"/>
            <w:shd w:val="clear" w:color="auto" w:fill="auto"/>
            <w:tcMar>
              <w:left w:w="20" w:type="dxa"/>
              <w:right w:w="20" w:type="dxa"/>
            </w:tcMar>
          </w:tcPr>
          <w:p w14:paraId="6E605617" w14:textId="77777777" w:rsidR="00D85532" w:rsidRPr="0061343E" w:rsidRDefault="00D85532" w:rsidP="002234AF">
            <w:pPr>
              <w:pStyle w:val="TableLeft"/>
              <w:keepNext/>
              <w:keepLines/>
              <w:widowControl w:val="0"/>
              <w:jc w:val="left"/>
              <w:rPr>
                <w:rFonts w:ascii="Arial Narrow" w:hAnsi="Arial Narrow"/>
                <w:b/>
                <w:bCs/>
                <w:sz w:val="20"/>
                <w:szCs w:val="20"/>
              </w:rPr>
            </w:pPr>
            <w:r w:rsidRPr="0061343E">
              <w:rPr>
                <w:rFonts w:ascii="Arial Narrow" w:hAnsi="Arial Narrow"/>
                <w:b/>
                <w:bCs/>
                <w:sz w:val="20"/>
                <w:szCs w:val="20"/>
              </w:rPr>
              <w:t>Treatment in MTP</w:t>
            </w:r>
          </w:p>
        </w:tc>
        <w:tc>
          <w:tcPr>
            <w:tcW w:w="0" w:type="auto"/>
            <w:shd w:val="clear" w:color="auto" w:fill="auto"/>
            <w:tcMar>
              <w:left w:w="20" w:type="dxa"/>
              <w:right w:w="20" w:type="dxa"/>
            </w:tcMar>
          </w:tcPr>
          <w:p w14:paraId="00D3A3E6" w14:textId="77777777" w:rsidR="00D85532" w:rsidRPr="0061343E" w:rsidRDefault="00D85532" w:rsidP="002234AF">
            <w:pPr>
              <w:pStyle w:val="TableCentre"/>
              <w:keepNext/>
              <w:keepLines/>
              <w:widowControl w:val="0"/>
              <w:rPr>
                <w:rFonts w:ascii="Arial Narrow" w:hAnsi="Arial Narrow"/>
                <w:b/>
                <w:bCs/>
                <w:sz w:val="20"/>
                <w:szCs w:val="20"/>
              </w:rPr>
            </w:pPr>
            <w:r w:rsidRPr="0061343E">
              <w:rPr>
                <w:rFonts w:ascii="Arial Narrow" w:hAnsi="Arial Narrow"/>
                <w:b/>
                <w:bCs/>
                <w:sz w:val="20"/>
                <w:szCs w:val="20"/>
              </w:rPr>
              <w:t>NEMO 30 mg Q8W</w:t>
            </w:r>
          </w:p>
          <w:p w14:paraId="524365A0" w14:textId="77777777" w:rsidR="00D85532" w:rsidRPr="0061343E" w:rsidRDefault="00D85532" w:rsidP="002234AF">
            <w:pPr>
              <w:pStyle w:val="TableCentre"/>
              <w:keepNext/>
              <w:keepLines/>
              <w:widowControl w:val="0"/>
              <w:rPr>
                <w:rFonts w:ascii="Arial Narrow" w:hAnsi="Arial Narrow"/>
                <w:b/>
                <w:bCs/>
                <w:sz w:val="20"/>
                <w:szCs w:val="20"/>
              </w:rPr>
            </w:pPr>
            <w:r w:rsidRPr="0061343E">
              <w:rPr>
                <w:rFonts w:ascii="Arial Narrow" w:hAnsi="Arial Narrow"/>
                <w:b/>
                <w:bCs/>
                <w:sz w:val="20"/>
                <w:szCs w:val="20"/>
              </w:rPr>
              <w:t>N = 90</w:t>
            </w:r>
          </w:p>
        </w:tc>
        <w:tc>
          <w:tcPr>
            <w:tcW w:w="0" w:type="auto"/>
            <w:shd w:val="clear" w:color="auto" w:fill="auto"/>
            <w:tcMar>
              <w:left w:w="20" w:type="dxa"/>
              <w:right w:w="20" w:type="dxa"/>
            </w:tcMar>
          </w:tcPr>
          <w:p w14:paraId="7E9E985E" w14:textId="77777777" w:rsidR="00D85532" w:rsidRPr="0061343E" w:rsidRDefault="00D85532" w:rsidP="002234AF">
            <w:pPr>
              <w:pStyle w:val="TableCentre"/>
              <w:keepNext/>
              <w:keepLines/>
              <w:widowControl w:val="0"/>
              <w:rPr>
                <w:rFonts w:ascii="Arial Narrow" w:hAnsi="Arial Narrow"/>
                <w:b/>
                <w:bCs/>
                <w:sz w:val="20"/>
                <w:szCs w:val="20"/>
              </w:rPr>
            </w:pPr>
            <w:r w:rsidRPr="0061343E">
              <w:rPr>
                <w:rFonts w:ascii="Arial Narrow" w:hAnsi="Arial Narrow"/>
                <w:b/>
                <w:bCs/>
                <w:sz w:val="20"/>
                <w:szCs w:val="20"/>
              </w:rPr>
              <w:t>NEMO 30 mg Q4W</w:t>
            </w:r>
          </w:p>
          <w:p w14:paraId="2548535F" w14:textId="77777777" w:rsidR="00D85532" w:rsidRPr="0061343E" w:rsidRDefault="00D85532" w:rsidP="002234AF">
            <w:pPr>
              <w:pStyle w:val="TableCentre"/>
              <w:keepNext/>
              <w:keepLines/>
              <w:widowControl w:val="0"/>
              <w:rPr>
                <w:rFonts w:ascii="Arial Narrow" w:hAnsi="Arial Narrow"/>
                <w:b/>
                <w:bCs/>
                <w:sz w:val="20"/>
                <w:szCs w:val="20"/>
              </w:rPr>
            </w:pPr>
            <w:r w:rsidRPr="0061343E">
              <w:rPr>
                <w:rFonts w:ascii="Arial Narrow" w:hAnsi="Arial Narrow"/>
                <w:b/>
                <w:bCs/>
                <w:sz w:val="20"/>
                <w:szCs w:val="20"/>
              </w:rPr>
              <w:t>N = 91</w:t>
            </w:r>
          </w:p>
        </w:tc>
        <w:tc>
          <w:tcPr>
            <w:tcW w:w="463" w:type="pct"/>
            <w:shd w:val="clear" w:color="auto" w:fill="auto"/>
            <w:tcMar>
              <w:left w:w="20" w:type="dxa"/>
              <w:right w:w="20" w:type="dxa"/>
            </w:tcMar>
          </w:tcPr>
          <w:p w14:paraId="62B33BDA" w14:textId="77777777" w:rsidR="00D85532" w:rsidRPr="0061343E" w:rsidRDefault="00D85532" w:rsidP="002234AF">
            <w:pPr>
              <w:pStyle w:val="TableCentre"/>
              <w:keepNext/>
              <w:keepLines/>
              <w:widowControl w:val="0"/>
              <w:rPr>
                <w:rFonts w:ascii="Arial Narrow" w:hAnsi="Arial Narrow"/>
                <w:b/>
                <w:bCs/>
                <w:sz w:val="20"/>
                <w:szCs w:val="20"/>
              </w:rPr>
            </w:pPr>
            <w:r w:rsidRPr="0061343E">
              <w:rPr>
                <w:rFonts w:ascii="Arial Narrow" w:hAnsi="Arial Narrow"/>
                <w:b/>
                <w:bCs/>
                <w:sz w:val="20"/>
                <w:szCs w:val="20"/>
              </w:rPr>
              <w:t>Placebo</w:t>
            </w:r>
          </w:p>
          <w:p w14:paraId="110BF9F5" w14:textId="77777777" w:rsidR="00D85532" w:rsidRPr="0061343E" w:rsidRDefault="00D85532" w:rsidP="002234AF">
            <w:pPr>
              <w:pStyle w:val="TableCentre"/>
              <w:keepNext/>
              <w:keepLines/>
              <w:widowControl w:val="0"/>
              <w:rPr>
                <w:rFonts w:ascii="Arial Narrow" w:hAnsi="Arial Narrow"/>
                <w:b/>
                <w:bCs/>
                <w:sz w:val="20"/>
                <w:szCs w:val="20"/>
              </w:rPr>
            </w:pPr>
            <w:r w:rsidRPr="0061343E">
              <w:rPr>
                <w:rFonts w:ascii="Arial Narrow" w:hAnsi="Arial Narrow"/>
                <w:b/>
                <w:bCs/>
                <w:sz w:val="20"/>
                <w:szCs w:val="20"/>
              </w:rPr>
              <w:t>N = 91</w:t>
            </w:r>
          </w:p>
        </w:tc>
        <w:tc>
          <w:tcPr>
            <w:tcW w:w="0" w:type="auto"/>
            <w:shd w:val="clear" w:color="auto" w:fill="auto"/>
            <w:tcMar>
              <w:left w:w="20" w:type="dxa"/>
              <w:right w:w="20" w:type="dxa"/>
            </w:tcMar>
          </w:tcPr>
          <w:p w14:paraId="1380E4BA" w14:textId="77777777" w:rsidR="00D85532" w:rsidRPr="0061343E" w:rsidRDefault="00D85532" w:rsidP="002234AF">
            <w:pPr>
              <w:pStyle w:val="TableCentre"/>
              <w:keepNext/>
              <w:keepLines/>
              <w:widowControl w:val="0"/>
              <w:rPr>
                <w:rFonts w:ascii="Arial Narrow" w:hAnsi="Arial Narrow"/>
                <w:b/>
                <w:bCs/>
                <w:sz w:val="20"/>
                <w:szCs w:val="20"/>
                <w:vertAlign w:val="superscript"/>
              </w:rPr>
            </w:pPr>
            <w:proofErr w:type="spellStart"/>
            <w:r w:rsidRPr="0061343E">
              <w:rPr>
                <w:rFonts w:ascii="Arial Narrow" w:hAnsi="Arial Narrow"/>
                <w:b/>
                <w:bCs/>
                <w:sz w:val="20"/>
                <w:szCs w:val="20"/>
              </w:rPr>
              <w:t>Placebo</w:t>
            </w:r>
            <w:r w:rsidRPr="0061343E">
              <w:rPr>
                <w:rFonts w:ascii="Arial Narrow" w:hAnsi="Arial Narrow"/>
                <w:b/>
                <w:bCs/>
                <w:sz w:val="20"/>
                <w:szCs w:val="20"/>
                <w:vertAlign w:val="superscript"/>
              </w:rPr>
              <w:t>b</w:t>
            </w:r>
            <w:proofErr w:type="spellEnd"/>
          </w:p>
          <w:p w14:paraId="52D37A4D" w14:textId="77777777" w:rsidR="00D85532" w:rsidRPr="0061343E" w:rsidRDefault="00D85532" w:rsidP="002234AF">
            <w:pPr>
              <w:pStyle w:val="TableCentre"/>
              <w:keepNext/>
              <w:keepLines/>
              <w:widowControl w:val="0"/>
              <w:rPr>
                <w:rFonts w:ascii="Arial Narrow" w:hAnsi="Arial Narrow"/>
                <w:b/>
                <w:bCs/>
                <w:sz w:val="20"/>
                <w:szCs w:val="20"/>
              </w:rPr>
            </w:pPr>
            <w:r w:rsidRPr="0061343E">
              <w:rPr>
                <w:rFonts w:ascii="Arial Narrow" w:hAnsi="Arial Narrow"/>
                <w:b/>
                <w:bCs/>
                <w:sz w:val="20"/>
                <w:szCs w:val="20"/>
              </w:rPr>
              <w:t>N = 100</w:t>
            </w:r>
          </w:p>
        </w:tc>
        <w:tc>
          <w:tcPr>
            <w:tcW w:w="0" w:type="auto"/>
            <w:shd w:val="clear" w:color="auto" w:fill="auto"/>
            <w:tcMar>
              <w:left w:w="20" w:type="dxa"/>
              <w:right w:w="20" w:type="dxa"/>
            </w:tcMar>
          </w:tcPr>
          <w:p w14:paraId="1607C7CC" w14:textId="77777777" w:rsidR="00D85532" w:rsidRPr="0061343E" w:rsidRDefault="00D85532" w:rsidP="002234AF">
            <w:pPr>
              <w:pStyle w:val="TableCentre"/>
              <w:keepNext/>
              <w:keepLines/>
              <w:widowControl w:val="0"/>
              <w:rPr>
                <w:rFonts w:ascii="Arial Narrow" w:hAnsi="Arial Narrow"/>
                <w:b/>
                <w:bCs/>
                <w:sz w:val="20"/>
                <w:szCs w:val="20"/>
              </w:rPr>
            </w:pPr>
            <w:r w:rsidRPr="0061343E">
              <w:rPr>
                <w:rFonts w:ascii="Arial Narrow" w:hAnsi="Arial Narrow"/>
                <w:b/>
                <w:bCs/>
                <w:sz w:val="20"/>
                <w:szCs w:val="20"/>
              </w:rPr>
              <w:t>NEMO 30 mg Q8W</w:t>
            </w:r>
          </w:p>
          <w:p w14:paraId="43889F32" w14:textId="77777777" w:rsidR="00D85532" w:rsidRPr="0061343E" w:rsidRDefault="00D85532" w:rsidP="002234AF">
            <w:pPr>
              <w:pStyle w:val="TableCentre"/>
              <w:keepNext/>
              <w:keepLines/>
              <w:widowControl w:val="0"/>
              <w:rPr>
                <w:rFonts w:ascii="Arial Narrow" w:hAnsi="Arial Narrow"/>
                <w:b/>
                <w:bCs/>
                <w:sz w:val="20"/>
                <w:szCs w:val="20"/>
              </w:rPr>
            </w:pPr>
            <w:r w:rsidRPr="0061343E">
              <w:rPr>
                <w:rFonts w:ascii="Arial Narrow" w:hAnsi="Arial Narrow"/>
                <w:b/>
                <w:bCs/>
                <w:sz w:val="20"/>
                <w:szCs w:val="20"/>
              </w:rPr>
              <w:t>N = 77</w:t>
            </w:r>
          </w:p>
        </w:tc>
        <w:tc>
          <w:tcPr>
            <w:tcW w:w="0" w:type="auto"/>
            <w:shd w:val="clear" w:color="auto" w:fill="auto"/>
            <w:tcMar>
              <w:left w:w="20" w:type="dxa"/>
              <w:right w:w="20" w:type="dxa"/>
            </w:tcMar>
          </w:tcPr>
          <w:p w14:paraId="6B5022F1" w14:textId="77777777" w:rsidR="00D85532" w:rsidRPr="0061343E" w:rsidRDefault="00D85532" w:rsidP="002234AF">
            <w:pPr>
              <w:pStyle w:val="TableCentre"/>
              <w:keepNext/>
              <w:keepLines/>
              <w:widowControl w:val="0"/>
              <w:rPr>
                <w:rFonts w:ascii="Arial Narrow" w:hAnsi="Arial Narrow"/>
                <w:b/>
                <w:bCs/>
                <w:sz w:val="20"/>
                <w:szCs w:val="20"/>
              </w:rPr>
            </w:pPr>
            <w:r w:rsidRPr="0061343E">
              <w:rPr>
                <w:rFonts w:ascii="Arial Narrow" w:hAnsi="Arial Narrow"/>
                <w:b/>
                <w:bCs/>
                <w:sz w:val="20"/>
                <w:szCs w:val="20"/>
              </w:rPr>
              <w:t>NEMO 30 mg Q4W</w:t>
            </w:r>
          </w:p>
          <w:p w14:paraId="7C597953" w14:textId="77777777" w:rsidR="00D85532" w:rsidRPr="0061343E" w:rsidRDefault="00D85532" w:rsidP="002234AF">
            <w:pPr>
              <w:pStyle w:val="TableCentre"/>
              <w:keepNext/>
              <w:keepLines/>
              <w:widowControl w:val="0"/>
              <w:rPr>
                <w:rFonts w:ascii="Arial Narrow" w:hAnsi="Arial Narrow"/>
                <w:b/>
                <w:bCs/>
                <w:sz w:val="20"/>
                <w:szCs w:val="20"/>
              </w:rPr>
            </w:pPr>
            <w:r w:rsidRPr="0061343E">
              <w:rPr>
                <w:rFonts w:ascii="Arial Narrow" w:hAnsi="Arial Narrow"/>
                <w:b/>
                <w:bCs/>
                <w:sz w:val="20"/>
                <w:szCs w:val="20"/>
              </w:rPr>
              <w:t>N = 79</w:t>
            </w:r>
          </w:p>
        </w:tc>
        <w:tc>
          <w:tcPr>
            <w:tcW w:w="463" w:type="pct"/>
            <w:shd w:val="clear" w:color="auto" w:fill="auto"/>
            <w:tcMar>
              <w:left w:w="20" w:type="dxa"/>
              <w:right w:w="20" w:type="dxa"/>
            </w:tcMar>
          </w:tcPr>
          <w:p w14:paraId="0F905613" w14:textId="77777777" w:rsidR="00D85532" w:rsidRPr="0061343E" w:rsidRDefault="00D85532" w:rsidP="002234AF">
            <w:pPr>
              <w:pStyle w:val="TableCentre"/>
              <w:keepNext/>
              <w:keepLines/>
              <w:widowControl w:val="0"/>
              <w:rPr>
                <w:rFonts w:ascii="Arial Narrow" w:hAnsi="Arial Narrow"/>
                <w:b/>
                <w:bCs/>
                <w:sz w:val="20"/>
                <w:szCs w:val="20"/>
              </w:rPr>
            </w:pPr>
            <w:r w:rsidRPr="0061343E">
              <w:rPr>
                <w:rFonts w:ascii="Arial Narrow" w:hAnsi="Arial Narrow"/>
                <w:b/>
                <w:bCs/>
                <w:sz w:val="20"/>
                <w:szCs w:val="20"/>
              </w:rPr>
              <w:t>Placebo</w:t>
            </w:r>
          </w:p>
          <w:p w14:paraId="2F42C030" w14:textId="77777777" w:rsidR="00D85532" w:rsidRPr="0061343E" w:rsidRDefault="00D85532" w:rsidP="002234AF">
            <w:pPr>
              <w:pStyle w:val="TableCentre"/>
              <w:keepNext/>
              <w:keepLines/>
              <w:widowControl w:val="0"/>
              <w:rPr>
                <w:rFonts w:ascii="Arial Narrow" w:hAnsi="Arial Narrow"/>
                <w:b/>
                <w:bCs/>
                <w:sz w:val="20"/>
                <w:szCs w:val="20"/>
              </w:rPr>
            </w:pPr>
            <w:r w:rsidRPr="0061343E">
              <w:rPr>
                <w:rFonts w:ascii="Arial Narrow" w:hAnsi="Arial Narrow"/>
                <w:b/>
                <w:bCs/>
                <w:sz w:val="20"/>
                <w:szCs w:val="20"/>
              </w:rPr>
              <w:t>N = 77</w:t>
            </w:r>
          </w:p>
        </w:tc>
        <w:tc>
          <w:tcPr>
            <w:tcW w:w="0" w:type="auto"/>
            <w:shd w:val="clear" w:color="auto" w:fill="auto"/>
            <w:tcMar>
              <w:left w:w="20" w:type="dxa"/>
              <w:right w:w="20" w:type="dxa"/>
            </w:tcMar>
          </w:tcPr>
          <w:p w14:paraId="2ED3CE80" w14:textId="77777777" w:rsidR="00D85532" w:rsidRPr="0061343E" w:rsidRDefault="00D85532" w:rsidP="002234AF">
            <w:pPr>
              <w:pStyle w:val="TableCentre"/>
              <w:keepNext/>
              <w:keepLines/>
              <w:widowControl w:val="0"/>
              <w:rPr>
                <w:rFonts w:ascii="Arial Narrow" w:hAnsi="Arial Narrow"/>
                <w:b/>
                <w:bCs/>
                <w:sz w:val="20"/>
                <w:szCs w:val="20"/>
              </w:rPr>
            </w:pPr>
            <w:proofErr w:type="spellStart"/>
            <w:r w:rsidRPr="0061343E">
              <w:rPr>
                <w:rFonts w:ascii="Arial Narrow" w:hAnsi="Arial Narrow"/>
                <w:b/>
                <w:bCs/>
                <w:sz w:val="20"/>
                <w:szCs w:val="20"/>
              </w:rPr>
              <w:t>Placebo</w:t>
            </w:r>
            <w:r w:rsidRPr="0061343E">
              <w:rPr>
                <w:rFonts w:ascii="Arial Narrow" w:hAnsi="Arial Narrow"/>
                <w:b/>
                <w:bCs/>
                <w:sz w:val="20"/>
                <w:szCs w:val="20"/>
                <w:vertAlign w:val="superscript"/>
              </w:rPr>
              <w:t>b</w:t>
            </w:r>
            <w:proofErr w:type="spellEnd"/>
          </w:p>
          <w:p w14:paraId="0EA5CEE8" w14:textId="77777777" w:rsidR="00D85532" w:rsidRPr="0061343E" w:rsidRDefault="00D85532" w:rsidP="002234AF">
            <w:pPr>
              <w:pStyle w:val="TableCentre"/>
              <w:keepNext/>
              <w:keepLines/>
              <w:widowControl w:val="0"/>
              <w:rPr>
                <w:rFonts w:ascii="Arial Narrow" w:hAnsi="Arial Narrow"/>
                <w:b/>
                <w:bCs/>
                <w:sz w:val="20"/>
                <w:szCs w:val="20"/>
              </w:rPr>
            </w:pPr>
            <w:r w:rsidRPr="0061343E">
              <w:rPr>
                <w:rFonts w:ascii="Arial Narrow" w:hAnsi="Arial Narrow"/>
                <w:b/>
                <w:bCs/>
                <w:sz w:val="20"/>
                <w:szCs w:val="20"/>
              </w:rPr>
              <w:t>N = 84</w:t>
            </w:r>
          </w:p>
        </w:tc>
      </w:tr>
      <w:tr w:rsidR="00D85532" w:rsidRPr="0061343E" w14:paraId="05887576" w14:textId="77777777" w:rsidTr="002C04CE">
        <w:tc>
          <w:tcPr>
            <w:tcW w:w="718" w:type="pct"/>
            <w:shd w:val="clear" w:color="auto" w:fill="auto"/>
            <w:tcMar>
              <w:left w:w="20" w:type="dxa"/>
              <w:right w:w="20" w:type="dxa"/>
            </w:tcMar>
          </w:tcPr>
          <w:p w14:paraId="247624B5" w14:textId="77777777" w:rsidR="00D85532" w:rsidRPr="0061343E" w:rsidRDefault="00D85532" w:rsidP="002234AF">
            <w:pPr>
              <w:pStyle w:val="TableLeft"/>
              <w:keepNext/>
              <w:keepLines/>
              <w:widowControl w:val="0"/>
              <w:jc w:val="left"/>
              <w:rPr>
                <w:rFonts w:ascii="Arial Narrow" w:hAnsi="Arial Narrow"/>
                <w:sz w:val="20"/>
                <w:szCs w:val="20"/>
              </w:rPr>
            </w:pPr>
            <w:r w:rsidRPr="0061343E">
              <w:rPr>
                <w:rFonts w:ascii="Arial Narrow" w:hAnsi="Arial Narrow"/>
                <w:sz w:val="20"/>
                <w:szCs w:val="20"/>
              </w:rPr>
              <w:t>TEAE</w:t>
            </w:r>
          </w:p>
        </w:tc>
        <w:tc>
          <w:tcPr>
            <w:tcW w:w="0" w:type="auto"/>
            <w:shd w:val="clear" w:color="auto" w:fill="auto"/>
            <w:tcMar>
              <w:left w:w="20" w:type="dxa"/>
              <w:right w:w="20" w:type="dxa"/>
            </w:tcMar>
          </w:tcPr>
          <w:p w14:paraId="636B0187" w14:textId="77777777" w:rsidR="00D85532" w:rsidRPr="0061343E" w:rsidRDefault="00D85532" w:rsidP="002234AF">
            <w:pPr>
              <w:pStyle w:val="TableCentre"/>
              <w:keepNext/>
              <w:keepLines/>
              <w:widowControl w:val="0"/>
              <w:ind w:left="-57" w:right="-57"/>
              <w:rPr>
                <w:rFonts w:ascii="Arial Narrow" w:hAnsi="Arial Narrow"/>
                <w:sz w:val="20"/>
                <w:szCs w:val="20"/>
              </w:rPr>
            </w:pPr>
            <w:r w:rsidRPr="0061343E">
              <w:rPr>
                <w:rFonts w:ascii="Arial Narrow" w:hAnsi="Arial Narrow"/>
                <w:sz w:val="20"/>
                <w:szCs w:val="20"/>
              </w:rPr>
              <w:t>50 (55.6)</w:t>
            </w:r>
          </w:p>
        </w:tc>
        <w:tc>
          <w:tcPr>
            <w:tcW w:w="0" w:type="auto"/>
            <w:shd w:val="clear" w:color="auto" w:fill="auto"/>
            <w:tcMar>
              <w:left w:w="20" w:type="dxa"/>
              <w:right w:w="20" w:type="dxa"/>
            </w:tcMar>
          </w:tcPr>
          <w:p w14:paraId="1B2686B7" w14:textId="77777777" w:rsidR="00D85532" w:rsidRPr="0061343E" w:rsidRDefault="00D85532" w:rsidP="002234AF">
            <w:pPr>
              <w:pStyle w:val="TableCentre"/>
              <w:keepNext/>
              <w:keepLines/>
              <w:widowControl w:val="0"/>
              <w:ind w:left="-57" w:right="-57"/>
              <w:rPr>
                <w:rFonts w:ascii="Arial Narrow" w:hAnsi="Arial Narrow"/>
                <w:sz w:val="20"/>
                <w:szCs w:val="20"/>
              </w:rPr>
            </w:pPr>
            <w:r w:rsidRPr="0061343E">
              <w:rPr>
                <w:rFonts w:ascii="Arial Narrow" w:hAnsi="Arial Narrow"/>
                <w:sz w:val="20"/>
                <w:szCs w:val="20"/>
              </w:rPr>
              <w:t>53 (58.2)</w:t>
            </w:r>
          </w:p>
        </w:tc>
        <w:tc>
          <w:tcPr>
            <w:tcW w:w="463" w:type="pct"/>
            <w:shd w:val="clear" w:color="auto" w:fill="auto"/>
            <w:tcMar>
              <w:left w:w="20" w:type="dxa"/>
              <w:right w:w="20" w:type="dxa"/>
            </w:tcMar>
          </w:tcPr>
          <w:p w14:paraId="300AD8D2" w14:textId="77777777" w:rsidR="00D85532" w:rsidRPr="0061343E" w:rsidRDefault="00D85532" w:rsidP="002234AF">
            <w:pPr>
              <w:pStyle w:val="TableCentre"/>
              <w:keepNext/>
              <w:keepLines/>
              <w:widowControl w:val="0"/>
              <w:ind w:left="-57" w:right="-57"/>
              <w:rPr>
                <w:rFonts w:ascii="Arial Narrow" w:hAnsi="Arial Narrow"/>
                <w:sz w:val="20"/>
                <w:szCs w:val="20"/>
              </w:rPr>
            </w:pPr>
            <w:r w:rsidRPr="0061343E">
              <w:rPr>
                <w:rFonts w:ascii="Arial Narrow" w:hAnsi="Arial Narrow"/>
                <w:sz w:val="20"/>
                <w:szCs w:val="20"/>
              </w:rPr>
              <w:t>53 (58.2)</w:t>
            </w:r>
          </w:p>
        </w:tc>
        <w:tc>
          <w:tcPr>
            <w:tcW w:w="0" w:type="auto"/>
            <w:shd w:val="clear" w:color="auto" w:fill="auto"/>
            <w:tcMar>
              <w:left w:w="20" w:type="dxa"/>
              <w:right w:w="20" w:type="dxa"/>
            </w:tcMar>
          </w:tcPr>
          <w:p w14:paraId="2B2CCEED" w14:textId="77777777" w:rsidR="00D85532" w:rsidRPr="0061343E" w:rsidRDefault="00D85532" w:rsidP="002234AF">
            <w:pPr>
              <w:pStyle w:val="TableCentre"/>
              <w:keepNext/>
              <w:keepLines/>
              <w:widowControl w:val="0"/>
              <w:ind w:left="-57" w:right="-57"/>
              <w:rPr>
                <w:rFonts w:ascii="Arial Narrow" w:hAnsi="Arial Narrow"/>
                <w:sz w:val="20"/>
                <w:szCs w:val="20"/>
              </w:rPr>
            </w:pPr>
            <w:r w:rsidRPr="0061343E">
              <w:rPr>
                <w:rFonts w:ascii="Arial Narrow" w:hAnsi="Arial Narrow"/>
                <w:sz w:val="20"/>
                <w:szCs w:val="20"/>
              </w:rPr>
              <w:t>55 (55.0)</w:t>
            </w:r>
          </w:p>
        </w:tc>
        <w:tc>
          <w:tcPr>
            <w:tcW w:w="0" w:type="auto"/>
            <w:shd w:val="clear" w:color="auto" w:fill="auto"/>
            <w:tcMar>
              <w:left w:w="20" w:type="dxa"/>
              <w:right w:w="20" w:type="dxa"/>
            </w:tcMar>
          </w:tcPr>
          <w:p w14:paraId="710B1D61" w14:textId="77777777" w:rsidR="00D85532" w:rsidRPr="0061343E" w:rsidRDefault="00D85532" w:rsidP="002234AF">
            <w:pPr>
              <w:pStyle w:val="TableCentre"/>
              <w:keepNext/>
              <w:keepLines/>
              <w:widowControl w:val="0"/>
              <w:ind w:left="-57" w:right="-57"/>
              <w:rPr>
                <w:rFonts w:ascii="Arial Narrow" w:hAnsi="Arial Narrow"/>
                <w:sz w:val="20"/>
                <w:szCs w:val="20"/>
              </w:rPr>
            </w:pPr>
            <w:r w:rsidRPr="0061343E">
              <w:rPr>
                <w:rFonts w:ascii="Arial Narrow" w:hAnsi="Arial Narrow"/>
                <w:sz w:val="20"/>
                <w:szCs w:val="20"/>
              </w:rPr>
              <w:t>40 (51.9)</w:t>
            </w:r>
          </w:p>
        </w:tc>
        <w:tc>
          <w:tcPr>
            <w:tcW w:w="0" w:type="auto"/>
            <w:shd w:val="clear" w:color="auto" w:fill="auto"/>
            <w:tcMar>
              <w:left w:w="20" w:type="dxa"/>
              <w:right w:w="20" w:type="dxa"/>
            </w:tcMar>
          </w:tcPr>
          <w:p w14:paraId="527316C9" w14:textId="77777777" w:rsidR="00D85532" w:rsidRPr="0061343E" w:rsidRDefault="00D85532" w:rsidP="002234AF">
            <w:pPr>
              <w:pStyle w:val="TableCentre"/>
              <w:keepNext/>
              <w:keepLines/>
              <w:widowControl w:val="0"/>
              <w:ind w:left="-57" w:right="-57"/>
              <w:rPr>
                <w:rFonts w:ascii="Arial Narrow" w:hAnsi="Arial Narrow"/>
                <w:sz w:val="20"/>
                <w:szCs w:val="20"/>
              </w:rPr>
            </w:pPr>
            <w:r w:rsidRPr="0061343E">
              <w:rPr>
                <w:rFonts w:ascii="Arial Narrow" w:hAnsi="Arial Narrow"/>
                <w:sz w:val="20"/>
                <w:szCs w:val="20"/>
              </w:rPr>
              <w:t>38 (48.1)</w:t>
            </w:r>
          </w:p>
        </w:tc>
        <w:tc>
          <w:tcPr>
            <w:tcW w:w="463" w:type="pct"/>
            <w:shd w:val="clear" w:color="auto" w:fill="auto"/>
            <w:tcMar>
              <w:left w:w="20" w:type="dxa"/>
              <w:right w:w="20" w:type="dxa"/>
            </w:tcMar>
          </w:tcPr>
          <w:p w14:paraId="243E034C" w14:textId="77777777" w:rsidR="00D85532" w:rsidRPr="0061343E" w:rsidRDefault="00D85532" w:rsidP="002234AF">
            <w:pPr>
              <w:pStyle w:val="TableCentre"/>
              <w:keepNext/>
              <w:keepLines/>
              <w:widowControl w:val="0"/>
              <w:ind w:left="-57" w:right="-57"/>
              <w:rPr>
                <w:rFonts w:ascii="Arial Narrow" w:hAnsi="Arial Narrow"/>
                <w:sz w:val="20"/>
                <w:szCs w:val="20"/>
              </w:rPr>
            </w:pPr>
            <w:r w:rsidRPr="0061343E">
              <w:rPr>
                <w:rFonts w:ascii="Arial Narrow" w:hAnsi="Arial Narrow"/>
                <w:sz w:val="20"/>
                <w:szCs w:val="20"/>
              </w:rPr>
              <w:t>45 (58.4)</w:t>
            </w:r>
          </w:p>
        </w:tc>
        <w:tc>
          <w:tcPr>
            <w:tcW w:w="0" w:type="auto"/>
            <w:shd w:val="clear" w:color="auto" w:fill="auto"/>
            <w:tcMar>
              <w:left w:w="20" w:type="dxa"/>
              <w:right w:w="20" w:type="dxa"/>
            </w:tcMar>
          </w:tcPr>
          <w:p w14:paraId="7A11521F" w14:textId="77777777" w:rsidR="00D85532" w:rsidRPr="0061343E" w:rsidRDefault="00D85532" w:rsidP="002234AF">
            <w:pPr>
              <w:pStyle w:val="TableCentre"/>
              <w:keepNext/>
              <w:keepLines/>
              <w:widowControl w:val="0"/>
              <w:ind w:left="-57" w:right="-57"/>
              <w:rPr>
                <w:rFonts w:ascii="Arial Narrow" w:hAnsi="Arial Narrow"/>
                <w:sz w:val="20"/>
                <w:szCs w:val="20"/>
              </w:rPr>
            </w:pPr>
            <w:r w:rsidRPr="0061343E">
              <w:rPr>
                <w:rFonts w:ascii="Arial Narrow" w:hAnsi="Arial Narrow"/>
                <w:sz w:val="20"/>
                <w:szCs w:val="20"/>
              </w:rPr>
              <w:t>37 (44.0)</w:t>
            </w:r>
          </w:p>
        </w:tc>
      </w:tr>
      <w:tr w:rsidR="00D85532" w:rsidRPr="0061343E" w14:paraId="5B0BE36E" w14:textId="77777777" w:rsidTr="002C04CE">
        <w:tc>
          <w:tcPr>
            <w:tcW w:w="5000" w:type="pct"/>
            <w:gridSpan w:val="9"/>
            <w:shd w:val="clear" w:color="auto" w:fill="auto"/>
            <w:tcMar>
              <w:left w:w="20" w:type="dxa"/>
              <w:right w:w="20" w:type="dxa"/>
            </w:tcMar>
          </w:tcPr>
          <w:p w14:paraId="5F0EEFA1" w14:textId="77777777" w:rsidR="00D85532" w:rsidRPr="0061343E" w:rsidRDefault="00D85532" w:rsidP="002234AF">
            <w:pPr>
              <w:pStyle w:val="TableCentre"/>
              <w:keepNext/>
              <w:keepLines/>
              <w:widowControl w:val="0"/>
              <w:ind w:left="-57" w:right="-57"/>
              <w:jc w:val="left"/>
              <w:rPr>
                <w:rFonts w:ascii="Arial Narrow" w:hAnsi="Arial Narrow"/>
                <w:sz w:val="20"/>
                <w:szCs w:val="20"/>
              </w:rPr>
            </w:pPr>
            <w:r w:rsidRPr="0061343E">
              <w:rPr>
                <w:rFonts w:ascii="Arial Narrow" w:hAnsi="Arial Narrow"/>
                <w:sz w:val="20"/>
                <w:szCs w:val="20"/>
              </w:rPr>
              <w:t>TEAE by maximum severity</w:t>
            </w:r>
          </w:p>
        </w:tc>
      </w:tr>
      <w:tr w:rsidR="00D85532" w:rsidRPr="0061343E" w14:paraId="05818F43" w14:textId="77777777" w:rsidTr="002C04CE">
        <w:tc>
          <w:tcPr>
            <w:tcW w:w="718" w:type="pct"/>
            <w:shd w:val="clear" w:color="auto" w:fill="auto"/>
            <w:tcMar>
              <w:left w:w="20" w:type="dxa"/>
              <w:right w:w="20" w:type="dxa"/>
            </w:tcMar>
          </w:tcPr>
          <w:p w14:paraId="7220DB09" w14:textId="77777777" w:rsidR="00D85532" w:rsidRPr="0061343E" w:rsidRDefault="00D85532" w:rsidP="002234AF">
            <w:pPr>
              <w:pStyle w:val="TableLeft"/>
              <w:keepNext/>
              <w:keepLines/>
              <w:widowControl w:val="0"/>
              <w:jc w:val="left"/>
              <w:rPr>
                <w:rFonts w:ascii="Arial Narrow" w:hAnsi="Arial Narrow"/>
                <w:sz w:val="20"/>
                <w:szCs w:val="20"/>
              </w:rPr>
            </w:pPr>
            <w:r w:rsidRPr="0061343E">
              <w:rPr>
                <w:rFonts w:ascii="Arial Narrow" w:hAnsi="Arial Narrow"/>
                <w:sz w:val="20"/>
                <w:szCs w:val="20"/>
              </w:rPr>
              <w:t xml:space="preserve">  Mild</w:t>
            </w:r>
          </w:p>
        </w:tc>
        <w:tc>
          <w:tcPr>
            <w:tcW w:w="0" w:type="auto"/>
            <w:shd w:val="clear" w:color="auto" w:fill="auto"/>
            <w:tcMar>
              <w:left w:w="20" w:type="dxa"/>
              <w:right w:w="20" w:type="dxa"/>
            </w:tcMar>
          </w:tcPr>
          <w:p w14:paraId="717FCD92" w14:textId="77777777" w:rsidR="00D85532" w:rsidRPr="0061343E" w:rsidRDefault="00D85532" w:rsidP="002234AF">
            <w:pPr>
              <w:pStyle w:val="TableCentre"/>
              <w:keepNext/>
              <w:keepLines/>
              <w:widowControl w:val="0"/>
              <w:ind w:left="-57" w:right="-57"/>
              <w:rPr>
                <w:rFonts w:ascii="Arial Narrow" w:hAnsi="Arial Narrow"/>
                <w:sz w:val="20"/>
                <w:szCs w:val="20"/>
              </w:rPr>
            </w:pPr>
            <w:r w:rsidRPr="0061343E">
              <w:rPr>
                <w:rFonts w:ascii="Arial Narrow" w:hAnsi="Arial Narrow"/>
                <w:sz w:val="20"/>
                <w:szCs w:val="20"/>
              </w:rPr>
              <w:t>24 (26.7)</w:t>
            </w:r>
          </w:p>
        </w:tc>
        <w:tc>
          <w:tcPr>
            <w:tcW w:w="0" w:type="auto"/>
            <w:shd w:val="clear" w:color="auto" w:fill="auto"/>
            <w:tcMar>
              <w:left w:w="20" w:type="dxa"/>
              <w:right w:w="20" w:type="dxa"/>
            </w:tcMar>
          </w:tcPr>
          <w:p w14:paraId="4EFE4A0E" w14:textId="77777777" w:rsidR="00D85532" w:rsidRPr="0061343E" w:rsidRDefault="00D85532" w:rsidP="002234AF">
            <w:pPr>
              <w:pStyle w:val="TableCentre"/>
              <w:keepNext/>
              <w:keepLines/>
              <w:widowControl w:val="0"/>
              <w:ind w:left="-57" w:right="-57"/>
              <w:rPr>
                <w:rFonts w:ascii="Arial Narrow" w:hAnsi="Arial Narrow"/>
                <w:sz w:val="20"/>
                <w:szCs w:val="20"/>
              </w:rPr>
            </w:pPr>
            <w:r w:rsidRPr="0061343E">
              <w:rPr>
                <w:rFonts w:ascii="Arial Narrow" w:hAnsi="Arial Narrow"/>
                <w:sz w:val="20"/>
                <w:szCs w:val="20"/>
              </w:rPr>
              <w:t>27 (29.7)</w:t>
            </w:r>
          </w:p>
        </w:tc>
        <w:tc>
          <w:tcPr>
            <w:tcW w:w="463" w:type="pct"/>
            <w:shd w:val="clear" w:color="auto" w:fill="auto"/>
            <w:tcMar>
              <w:left w:w="20" w:type="dxa"/>
              <w:right w:w="20" w:type="dxa"/>
            </w:tcMar>
          </w:tcPr>
          <w:p w14:paraId="0C6BEA35" w14:textId="77777777" w:rsidR="00D85532" w:rsidRPr="0061343E" w:rsidRDefault="00D85532" w:rsidP="002234AF">
            <w:pPr>
              <w:pStyle w:val="TableCentre"/>
              <w:keepNext/>
              <w:keepLines/>
              <w:widowControl w:val="0"/>
              <w:ind w:left="-57" w:right="-57"/>
              <w:rPr>
                <w:rFonts w:ascii="Arial Narrow" w:hAnsi="Arial Narrow"/>
                <w:sz w:val="20"/>
                <w:szCs w:val="20"/>
              </w:rPr>
            </w:pPr>
            <w:r w:rsidRPr="0061343E">
              <w:rPr>
                <w:rFonts w:ascii="Arial Narrow" w:hAnsi="Arial Narrow"/>
                <w:sz w:val="20"/>
                <w:szCs w:val="20"/>
              </w:rPr>
              <w:t>30 (33.0)</w:t>
            </w:r>
          </w:p>
        </w:tc>
        <w:tc>
          <w:tcPr>
            <w:tcW w:w="0" w:type="auto"/>
            <w:shd w:val="clear" w:color="auto" w:fill="auto"/>
            <w:tcMar>
              <w:left w:w="20" w:type="dxa"/>
              <w:right w:w="20" w:type="dxa"/>
            </w:tcMar>
          </w:tcPr>
          <w:p w14:paraId="2304B50B" w14:textId="77777777" w:rsidR="00D85532" w:rsidRPr="0061343E" w:rsidRDefault="00D85532" w:rsidP="002234AF">
            <w:pPr>
              <w:pStyle w:val="TableCentre"/>
              <w:keepNext/>
              <w:keepLines/>
              <w:widowControl w:val="0"/>
              <w:ind w:left="-57" w:right="-57"/>
              <w:rPr>
                <w:rFonts w:ascii="Arial Narrow" w:hAnsi="Arial Narrow"/>
                <w:sz w:val="20"/>
                <w:szCs w:val="20"/>
              </w:rPr>
            </w:pPr>
            <w:r w:rsidRPr="0061343E">
              <w:rPr>
                <w:rFonts w:ascii="Arial Narrow" w:hAnsi="Arial Narrow"/>
                <w:sz w:val="20"/>
                <w:szCs w:val="20"/>
              </w:rPr>
              <w:t>36 (36.0)</w:t>
            </w:r>
          </w:p>
        </w:tc>
        <w:tc>
          <w:tcPr>
            <w:tcW w:w="0" w:type="auto"/>
            <w:shd w:val="clear" w:color="auto" w:fill="auto"/>
            <w:tcMar>
              <w:left w:w="20" w:type="dxa"/>
              <w:right w:w="20" w:type="dxa"/>
            </w:tcMar>
          </w:tcPr>
          <w:p w14:paraId="06A22CE8" w14:textId="77777777" w:rsidR="00D85532" w:rsidRPr="0061343E" w:rsidRDefault="00D85532" w:rsidP="002234AF">
            <w:pPr>
              <w:pStyle w:val="TableCentre"/>
              <w:keepNext/>
              <w:keepLines/>
              <w:widowControl w:val="0"/>
              <w:ind w:left="-57" w:right="-57"/>
              <w:rPr>
                <w:rFonts w:ascii="Arial Narrow" w:hAnsi="Arial Narrow"/>
                <w:sz w:val="20"/>
                <w:szCs w:val="20"/>
              </w:rPr>
            </w:pPr>
            <w:r w:rsidRPr="0061343E">
              <w:rPr>
                <w:rFonts w:ascii="Arial Narrow" w:hAnsi="Arial Narrow"/>
                <w:sz w:val="20"/>
                <w:szCs w:val="20"/>
              </w:rPr>
              <w:t>24 (31.2)</w:t>
            </w:r>
          </w:p>
        </w:tc>
        <w:tc>
          <w:tcPr>
            <w:tcW w:w="0" w:type="auto"/>
            <w:shd w:val="clear" w:color="auto" w:fill="auto"/>
            <w:tcMar>
              <w:left w:w="20" w:type="dxa"/>
              <w:right w:w="20" w:type="dxa"/>
            </w:tcMar>
          </w:tcPr>
          <w:p w14:paraId="16A185D1" w14:textId="77777777" w:rsidR="00D85532" w:rsidRPr="0061343E" w:rsidRDefault="00D85532" w:rsidP="002234AF">
            <w:pPr>
              <w:pStyle w:val="TableCentre"/>
              <w:keepNext/>
              <w:keepLines/>
              <w:widowControl w:val="0"/>
              <w:ind w:left="-57" w:right="-57"/>
              <w:rPr>
                <w:rFonts w:ascii="Arial Narrow" w:hAnsi="Arial Narrow"/>
                <w:sz w:val="20"/>
                <w:szCs w:val="20"/>
              </w:rPr>
            </w:pPr>
            <w:r w:rsidRPr="0061343E">
              <w:rPr>
                <w:rFonts w:ascii="Arial Narrow" w:hAnsi="Arial Narrow"/>
                <w:sz w:val="20"/>
                <w:szCs w:val="20"/>
              </w:rPr>
              <w:t>20 (25.3)</w:t>
            </w:r>
          </w:p>
        </w:tc>
        <w:tc>
          <w:tcPr>
            <w:tcW w:w="463" w:type="pct"/>
            <w:shd w:val="clear" w:color="auto" w:fill="auto"/>
            <w:tcMar>
              <w:left w:w="20" w:type="dxa"/>
              <w:right w:w="20" w:type="dxa"/>
            </w:tcMar>
          </w:tcPr>
          <w:p w14:paraId="4D976BFB" w14:textId="77777777" w:rsidR="00D85532" w:rsidRPr="0061343E" w:rsidRDefault="00D85532" w:rsidP="002234AF">
            <w:pPr>
              <w:pStyle w:val="TableCentre"/>
              <w:keepNext/>
              <w:keepLines/>
              <w:widowControl w:val="0"/>
              <w:ind w:left="-57" w:right="-57"/>
              <w:rPr>
                <w:rFonts w:ascii="Arial Narrow" w:hAnsi="Arial Narrow"/>
                <w:sz w:val="20"/>
                <w:szCs w:val="20"/>
              </w:rPr>
            </w:pPr>
            <w:r w:rsidRPr="0061343E">
              <w:rPr>
                <w:rFonts w:ascii="Arial Narrow" w:hAnsi="Arial Narrow"/>
                <w:sz w:val="20"/>
                <w:szCs w:val="20"/>
              </w:rPr>
              <w:t>22 (28.6)</w:t>
            </w:r>
          </w:p>
        </w:tc>
        <w:tc>
          <w:tcPr>
            <w:tcW w:w="0" w:type="auto"/>
            <w:shd w:val="clear" w:color="auto" w:fill="auto"/>
            <w:tcMar>
              <w:left w:w="20" w:type="dxa"/>
              <w:right w:w="20" w:type="dxa"/>
            </w:tcMar>
          </w:tcPr>
          <w:p w14:paraId="451659D8" w14:textId="77777777" w:rsidR="00D85532" w:rsidRPr="0061343E" w:rsidRDefault="00D85532" w:rsidP="002234AF">
            <w:pPr>
              <w:pStyle w:val="TableCentre"/>
              <w:keepNext/>
              <w:keepLines/>
              <w:widowControl w:val="0"/>
              <w:ind w:left="-57" w:right="-57"/>
              <w:rPr>
                <w:rFonts w:ascii="Arial Narrow" w:hAnsi="Arial Narrow"/>
                <w:sz w:val="20"/>
                <w:szCs w:val="20"/>
              </w:rPr>
            </w:pPr>
            <w:r w:rsidRPr="0061343E">
              <w:rPr>
                <w:rFonts w:ascii="Arial Narrow" w:hAnsi="Arial Narrow"/>
                <w:sz w:val="20"/>
                <w:szCs w:val="20"/>
              </w:rPr>
              <w:t>19 (22.6)</w:t>
            </w:r>
          </w:p>
        </w:tc>
      </w:tr>
      <w:tr w:rsidR="00D85532" w:rsidRPr="0061343E" w14:paraId="6930C7DB" w14:textId="77777777" w:rsidTr="002C04CE">
        <w:tc>
          <w:tcPr>
            <w:tcW w:w="718" w:type="pct"/>
            <w:shd w:val="clear" w:color="auto" w:fill="auto"/>
            <w:tcMar>
              <w:left w:w="20" w:type="dxa"/>
              <w:right w:w="20" w:type="dxa"/>
            </w:tcMar>
          </w:tcPr>
          <w:p w14:paraId="56619E02" w14:textId="77777777" w:rsidR="00D85532" w:rsidRPr="0061343E" w:rsidRDefault="00D85532" w:rsidP="002234AF">
            <w:pPr>
              <w:pStyle w:val="TableLeft"/>
              <w:keepNext/>
              <w:keepLines/>
              <w:widowControl w:val="0"/>
              <w:jc w:val="left"/>
              <w:rPr>
                <w:rFonts w:ascii="Arial Narrow" w:hAnsi="Arial Narrow"/>
                <w:sz w:val="20"/>
                <w:szCs w:val="20"/>
              </w:rPr>
            </w:pPr>
            <w:r w:rsidRPr="0061343E">
              <w:rPr>
                <w:rFonts w:ascii="Arial Narrow" w:hAnsi="Arial Narrow"/>
                <w:sz w:val="20"/>
                <w:szCs w:val="20"/>
              </w:rPr>
              <w:t xml:space="preserve">  Moderate</w:t>
            </w:r>
          </w:p>
        </w:tc>
        <w:tc>
          <w:tcPr>
            <w:tcW w:w="0" w:type="auto"/>
            <w:shd w:val="clear" w:color="auto" w:fill="auto"/>
            <w:tcMar>
              <w:left w:w="20" w:type="dxa"/>
              <w:right w:w="20" w:type="dxa"/>
            </w:tcMar>
          </w:tcPr>
          <w:p w14:paraId="79F7940E" w14:textId="77777777" w:rsidR="00D85532" w:rsidRPr="0061343E" w:rsidRDefault="00D85532" w:rsidP="002234AF">
            <w:pPr>
              <w:pStyle w:val="TableCentre"/>
              <w:keepNext/>
              <w:keepLines/>
              <w:widowControl w:val="0"/>
              <w:ind w:left="-57" w:right="-57"/>
              <w:rPr>
                <w:rFonts w:ascii="Arial Narrow" w:hAnsi="Arial Narrow"/>
                <w:sz w:val="20"/>
                <w:szCs w:val="20"/>
              </w:rPr>
            </w:pPr>
            <w:r w:rsidRPr="0061343E">
              <w:rPr>
                <w:rFonts w:ascii="Arial Narrow" w:hAnsi="Arial Narrow"/>
                <w:sz w:val="20"/>
                <w:szCs w:val="20"/>
              </w:rPr>
              <w:t>22 (24.4)</w:t>
            </w:r>
          </w:p>
        </w:tc>
        <w:tc>
          <w:tcPr>
            <w:tcW w:w="0" w:type="auto"/>
            <w:shd w:val="clear" w:color="auto" w:fill="auto"/>
            <w:tcMar>
              <w:left w:w="20" w:type="dxa"/>
              <w:right w:w="20" w:type="dxa"/>
            </w:tcMar>
          </w:tcPr>
          <w:p w14:paraId="29F7DB6B" w14:textId="77777777" w:rsidR="00D85532" w:rsidRPr="0061343E" w:rsidRDefault="00D85532" w:rsidP="002234AF">
            <w:pPr>
              <w:pStyle w:val="TableCentre"/>
              <w:keepNext/>
              <w:keepLines/>
              <w:widowControl w:val="0"/>
              <w:ind w:left="-57" w:right="-57"/>
              <w:rPr>
                <w:rFonts w:ascii="Arial Narrow" w:hAnsi="Arial Narrow"/>
                <w:sz w:val="20"/>
                <w:szCs w:val="20"/>
              </w:rPr>
            </w:pPr>
            <w:r w:rsidRPr="0061343E">
              <w:rPr>
                <w:rFonts w:ascii="Arial Narrow" w:hAnsi="Arial Narrow"/>
                <w:sz w:val="20"/>
                <w:szCs w:val="20"/>
              </w:rPr>
              <w:t>22 (24.2)</w:t>
            </w:r>
          </w:p>
        </w:tc>
        <w:tc>
          <w:tcPr>
            <w:tcW w:w="463" w:type="pct"/>
            <w:shd w:val="clear" w:color="auto" w:fill="auto"/>
            <w:tcMar>
              <w:left w:w="20" w:type="dxa"/>
              <w:right w:w="20" w:type="dxa"/>
            </w:tcMar>
          </w:tcPr>
          <w:p w14:paraId="24A954F1" w14:textId="77777777" w:rsidR="00D85532" w:rsidRPr="0061343E" w:rsidRDefault="00D85532" w:rsidP="002234AF">
            <w:pPr>
              <w:pStyle w:val="TableCentre"/>
              <w:keepNext/>
              <w:keepLines/>
              <w:widowControl w:val="0"/>
              <w:ind w:left="-57" w:right="-57"/>
              <w:rPr>
                <w:rFonts w:ascii="Arial Narrow" w:hAnsi="Arial Narrow"/>
                <w:sz w:val="20"/>
                <w:szCs w:val="20"/>
              </w:rPr>
            </w:pPr>
            <w:r w:rsidRPr="0061343E">
              <w:rPr>
                <w:rFonts w:ascii="Arial Narrow" w:hAnsi="Arial Narrow"/>
                <w:sz w:val="20"/>
                <w:szCs w:val="20"/>
              </w:rPr>
              <w:t>20 (22.0)</w:t>
            </w:r>
          </w:p>
        </w:tc>
        <w:tc>
          <w:tcPr>
            <w:tcW w:w="0" w:type="auto"/>
            <w:shd w:val="clear" w:color="auto" w:fill="auto"/>
            <w:tcMar>
              <w:left w:w="20" w:type="dxa"/>
              <w:right w:w="20" w:type="dxa"/>
            </w:tcMar>
          </w:tcPr>
          <w:p w14:paraId="0F2C5674" w14:textId="77777777" w:rsidR="00D85532" w:rsidRPr="0061343E" w:rsidRDefault="00D85532" w:rsidP="002234AF">
            <w:pPr>
              <w:pStyle w:val="TableCentre"/>
              <w:keepNext/>
              <w:keepLines/>
              <w:widowControl w:val="0"/>
              <w:ind w:left="-57" w:right="-57"/>
              <w:rPr>
                <w:rFonts w:ascii="Arial Narrow" w:hAnsi="Arial Narrow"/>
                <w:sz w:val="20"/>
                <w:szCs w:val="20"/>
              </w:rPr>
            </w:pPr>
            <w:r w:rsidRPr="0061343E">
              <w:rPr>
                <w:rFonts w:ascii="Arial Narrow" w:hAnsi="Arial Narrow"/>
                <w:sz w:val="20"/>
                <w:szCs w:val="20"/>
              </w:rPr>
              <w:t>18 (18.0)</w:t>
            </w:r>
          </w:p>
        </w:tc>
        <w:tc>
          <w:tcPr>
            <w:tcW w:w="0" w:type="auto"/>
            <w:shd w:val="clear" w:color="auto" w:fill="auto"/>
            <w:tcMar>
              <w:left w:w="20" w:type="dxa"/>
              <w:right w:w="20" w:type="dxa"/>
            </w:tcMar>
          </w:tcPr>
          <w:p w14:paraId="32FD5CC2" w14:textId="77777777" w:rsidR="00D85532" w:rsidRPr="0061343E" w:rsidRDefault="00D85532" w:rsidP="002234AF">
            <w:pPr>
              <w:pStyle w:val="TableCentre"/>
              <w:keepNext/>
              <w:keepLines/>
              <w:widowControl w:val="0"/>
              <w:ind w:left="-57" w:right="-57"/>
              <w:rPr>
                <w:rFonts w:ascii="Arial Narrow" w:hAnsi="Arial Narrow"/>
                <w:sz w:val="20"/>
                <w:szCs w:val="20"/>
              </w:rPr>
            </w:pPr>
            <w:r w:rsidRPr="0061343E">
              <w:rPr>
                <w:rFonts w:ascii="Arial Narrow" w:hAnsi="Arial Narrow"/>
                <w:sz w:val="20"/>
                <w:szCs w:val="20"/>
              </w:rPr>
              <w:t>14 (18.2)</w:t>
            </w:r>
          </w:p>
        </w:tc>
        <w:tc>
          <w:tcPr>
            <w:tcW w:w="0" w:type="auto"/>
            <w:shd w:val="clear" w:color="auto" w:fill="auto"/>
            <w:tcMar>
              <w:left w:w="20" w:type="dxa"/>
              <w:right w:w="20" w:type="dxa"/>
            </w:tcMar>
          </w:tcPr>
          <w:p w14:paraId="3CDC564B" w14:textId="77777777" w:rsidR="00D85532" w:rsidRPr="0061343E" w:rsidRDefault="00D85532" w:rsidP="002234AF">
            <w:pPr>
              <w:pStyle w:val="TableCentre"/>
              <w:keepNext/>
              <w:keepLines/>
              <w:widowControl w:val="0"/>
              <w:ind w:left="-57" w:right="-57"/>
              <w:rPr>
                <w:rFonts w:ascii="Arial Narrow" w:hAnsi="Arial Narrow"/>
                <w:sz w:val="20"/>
                <w:szCs w:val="20"/>
              </w:rPr>
            </w:pPr>
            <w:r w:rsidRPr="0061343E">
              <w:rPr>
                <w:rFonts w:ascii="Arial Narrow" w:hAnsi="Arial Narrow"/>
                <w:sz w:val="20"/>
                <w:szCs w:val="20"/>
              </w:rPr>
              <w:t>17 (21.5)</w:t>
            </w:r>
          </w:p>
        </w:tc>
        <w:tc>
          <w:tcPr>
            <w:tcW w:w="463" w:type="pct"/>
            <w:shd w:val="clear" w:color="auto" w:fill="auto"/>
            <w:tcMar>
              <w:left w:w="20" w:type="dxa"/>
              <w:right w:w="20" w:type="dxa"/>
            </w:tcMar>
          </w:tcPr>
          <w:p w14:paraId="6BE75096" w14:textId="77777777" w:rsidR="00D85532" w:rsidRPr="0061343E" w:rsidRDefault="00D85532" w:rsidP="002234AF">
            <w:pPr>
              <w:pStyle w:val="TableCentre"/>
              <w:keepNext/>
              <w:keepLines/>
              <w:widowControl w:val="0"/>
              <w:ind w:left="-57" w:right="-57"/>
              <w:rPr>
                <w:rFonts w:ascii="Arial Narrow" w:hAnsi="Arial Narrow"/>
                <w:sz w:val="20"/>
                <w:szCs w:val="20"/>
              </w:rPr>
            </w:pPr>
            <w:r w:rsidRPr="0061343E">
              <w:rPr>
                <w:rFonts w:ascii="Arial Narrow" w:hAnsi="Arial Narrow"/>
                <w:sz w:val="20"/>
                <w:szCs w:val="20"/>
              </w:rPr>
              <w:t>21 (27.3)</w:t>
            </w:r>
          </w:p>
        </w:tc>
        <w:tc>
          <w:tcPr>
            <w:tcW w:w="0" w:type="auto"/>
            <w:shd w:val="clear" w:color="auto" w:fill="auto"/>
            <w:tcMar>
              <w:left w:w="20" w:type="dxa"/>
              <w:right w:w="20" w:type="dxa"/>
            </w:tcMar>
          </w:tcPr>
          <w:p w14:paraId="240B866D" w14:textId="77777777" w:rsidR="00D85532" w:rsidRPr="0061343E" w:rsidRDefault="00D85532" w:rsidP="002234AF">
            <w:pPr>
              <w:pStyle w:val="TableCentre"/>
              <w:keepNext/>
              <w:keepLines/>
              <w:widowControl w:val="0"/>
              <w:ind w:left="-57" w:right="-57"/>
              <w:rPr>
                <w:rFonts w:ascii="Arial Narrow" w:hAnsi="Arial Narrow"/>
                <w:sz w:val="20"/>
                <w:szCs w:val="20"/>
              </w:rPr>
            </w:pPr>
            <w:r w:rsidRPr="0061343E">
              <w:rPr>
                <w:rFonts w:ascii="Arial Narrow" w:hAnsi="Arial Narrow"/>
                <w:sz w:val="20"/>
                <w:szCs w:val="20"/>
              </w:rPr>
              <w:t>17 (20.2)</w:t>
            </w:r>
          </w:p>
        </w:tc>
      </w:tr>
      <w:tr w:rsidR="00D85532" w:rsidRPr="0061343E" w14:paraId="549B4C27" w14:textId="77777777" w:rsidTr="002C04CE">
        <w:tc>
          <w:tcPr>
            <w:tcW w:w="718" w:type="pct"/>
            <w:shd w:val="clear" w:color="auto" w:fill="auto"/>
            <w:tcMar>
              <w:left w:w="20" w:type="dxa"/>
              <w:right w:w="20" w:type="dxa"/>
            </w:tcMar>
          </w:tcPr>
          <w:p w14:paraId="0F70089C" w14:textId="77777777" w:rsidR="00D85532" w:rsidRPr="0061343E" w:rsidRDefault="00D85532" w:rsidP="002234AF">
            <w:pPr>
              <w:pStyle w:val="TableLeft"/>
              <w:keepNext/>
              <w:keepLines/>
              <w:widowControl w:val="0"/>
              <w:jc w:val="left"/>
              <w:rPr>
                <w:rFonts w:ascii="Arial Narrow" w:hAnsi="Arial Narrow"/>
                <w:sz w:val="20"/>
                <w:szCs w:val="20"/>
              </w:rPr>
            </w:pPr>
            <w:r w:rsidRPr="0061343E">
              <w:rPr>
                <w:rFonts w:ascii="Arial Narrow" w:hAnsi="Arial Narrow"/>
                <w:sz w:val="20"/>
                <w:szCs w:val="20"/>
              </w:rPr>
              <w:t xml:space="preserve">  Severe</w:t>
            </w:r>
          </w:p>
        </w:tc>
        <w:tc>
          <w:tcPr>
            <w:tcW w:w="0" w:type="auto"/>
            <w:shd w:val="clear" w:color="auto" w:fill="auto"/>
            <w:tcMar>
              <w:left w:w="20" w:type="dxa"/>
              <w:right w:w="20" w:type="dxa"/>
            </w:tcMar>
          </w:tcPr>
          <w:p w14:paraId="5806F94D" w14:textId="77777777" w:rsidR="00D85532" w:rsidRPr="0061343E" w:rsidRDefault="00D85532" w:rsidP="002234AF">
            <w:pPr>
              <w:pStyle w:val="TableCentre"/>
              <w:keepNext/>
              <w:keepLines/>
              <w:widowControl w:val="0"/>
              <w:ind w:left="-57" w:right="-57"/>
              <w:rPr>
                <w:rFonts w:ascii="Arial Narrow" w:hAnsi="Arial Narrow"/>
                <w:sz w:val="20"/>
                <w:szCs w:val="20"/>
              </w:rPr>
            </w:pPr>
            <w:r w:rsidRPr="0061343E">
              <w:rPr>
                <w:rFonts w:ascii="Arial Narrow" w:hAnsi="Arial Narrow"/>
                <w:sz w:val="20"/>
                <w:szCs w:val="20"/>
              </w:rPr>
              <w:t>4 (4.4)</w:t>
            </w:r>
          </w:p>
        </w:tc>
        <w:tc>
          <w:tcPr>
            <w:tcW w:w="0" w:type="auto"/>
            <w:shd w:val="clear" w:color="auto" w:fill="auto"/>
            <w:tcMar>
              <w:left w:w="20" w:type="dxa"/>
              <w:right w:w="20" w:type="dxa"/>
            </w:tcMar>
          </w:tcPr>
          <w:p w14:paraId="1E96D465" w14:textId="77777777" w:rsidR="00D85532" w:rsidRPr="0061343E" w:rsidRDefault="00D85532" w:rsidP="002234AF">
            <w:pPr>
              <w:pStyle w:val="TableCentre"/>
              <w:keepNext/>
              <w:keepLines/>
              <w:widowControl w:val="0"/>
              <w:ind w:left="-57" w:right="-57"/>
              <w:rPr>
                <w:rFonts w:ascii="Arial Narrow" w:hAnsi="Arial Narrow"/>
                <w:sz w:val="20"/>
                <w:szCs w:val="20"/>
              </w:rPr>
            </w:pPr>
            <w:r w:rsidRPr="0061343E">
              <w:rPr>
                <w:rFonts w:ascii="Arial Narrow" w:hAnsi="Arial Narrow"/>
                <w:sz w:val="20"/>
                <w:szCs w:val="20"/>
              </w:rPr>
              <w:t>4 (4.4)</w:t>
            </w:r>
          </w:p>
        </w:tc>
        <w:tc>
          <w:tcPr>
            <w:tcW w:w="463" w:type="pct"/>
            <w:shd w:val="clear" w:color="auto" w:fill="auto"/>
            <w:tcMar>
              <w:left w:w="20" w:type="dxa"/>
              <w:right w:w="20" w:type="dxa"/>
            </w:tcMar>
          </w:tcPr>
          <w:p w14:paraId="1B5EDCDE" w14:textId="77777777" w:rsidR="00D85532" w:rsidRPr="0061343E" w:rsidRDefault="00D85532" w:rsidP="002234AF">
            <w:pPr>
              <w:pStyle w:val="TableCentre"/>
              <w:keepNext/>
              <w:keepLines/>
              <w:widowControl w:val="0"/>
              <w:ind w:left="-57" w:right="-57"/>
              <w:rPr>
                <w:rFonts w:ascii="Arial Narrow" w:hAnsi="Arial Narrow"/>
                <w:sz w:val="20"/>
                <w:szCs w:val="20"/>
              </w:rPr>
            </w:pPr>
            <w:r w:rsidRPr="0061343E">
              <w:rPr>
                <w:rFonts w:ascii="Arial Narrow" w:hAnsi="Arial Narrow"/>
                <w:sz w:val="20"/>
                <w:szCs w:val="20"/>
              </w:rPr>
              <w:t>3 (3.3)</w:t>
            </w:r>
          </w:p>
        </w:tc>
        <w:tc>
          <w:tcPr>
            <w:tcW w:w="0" w:type="auto"/>
            <w:shd w:val="clear" w:color="auto" w:fill="auto"/>
            <w:tcMar>
              <w:left w:w="20" w:type="dxa"/>
              <w:right w:w="20" w:type="dxa"/>
            </w:tcMar>
          </w:tcPr>
          <w:p w14:paraId="214BF0A4" w14:textId="77777777" w:rsidR="00D85532" w:rsidRPr="0061343E" w:rsidRDefault="00D85532" w:rsidP="002234AF">
            <w:pPr>
              <w:pStyle w:val="TableCentre"/>
              <w:keepNext/>
              <w:keepLines/>
              <w:widowControl w:val="0"/>
              <w:ind w:left="-57" w:right="-57"/>
              <w:rPr>
                <w:rFonts w:ascii="Arial Narrow" w:hAnsi="Arial Narrow"/>
                <w:sz w:val="20"/>
                <w:szCs w:val="20"/>
              </w:rPr>
            </w:pPr>
            <w:r w:rsidRPr="0061343E">
              <w:rPr>
                <w:rFonts w:ascii="Arial Narrow" w:hAnsi="Arial Narrow"/>
                <w:sz w:val="20"/>
                <w:szCs w:val="20"/>
              </w:rPr>
              <w:t>1 (1.0)</w:t>
            </w:r>
          </w:p>
        </w:tc>
        <w:tc>
          <w:tcPr>
            <w:tcW w:w="0" w:type="auto"/>
            <w:shd w:val="clear" w:color="auto" w:fill="auto"/>
            <w:tcMar>
              <w:left w:w="20" w:type="dxa"/>
              <w:right w:w="20" w:type="dxa"/>
            </w:tcMar>
          </w:tcPr>
          <w:p w14:paraId="795B7BB2" w14:textId="77777777" w:rsidR="00D85532" w:rsidRPr="0061343E" w:rsidRDefault="00D85532" w:rsidP="002234AF">
            <w:pPr>
              <w:pStyle w:val="TableCentre"/>
              <w:keepNext/>
              <w:keepLines/>
              <w:widowControl w:val="0"/>
              <w:ind w:left="-57" w:right="-57"/>
              <w:rPr>
                <w:rFonts w:ascii="Arial Narrow" w:hAnsi="Arial Narrow"/>
                <w:sz w:val="20"/>
                <w:szCs w:val="20"/>
              </w:rPr>
            </w:pPr>
            <w:r w:rsidRPr="0061343E">
              <w:rPr>
                <w:rFonts w:ascii="Arial Narrow" w:hAnsi="Arial Narrow"/>
                <w:sz w:val="20"/>
                <w:szCs w:val="20"/>
              </w:rPr>
              <w:t>2 (2.6)</w:t>
            </w:r>
          </w:p>
        </w:tc>
        <w:tc>
          <w:tcPr>
            <w:tcW w:w="0" w:type="auto"/>
            <w:shd w:val="clear" w:color="auto" w:fill="auto"/>
            <w:tcMar>
              <w:left w:w="20" w:type="dxa"/>
              <w:right w:w="20" w:type="dxa"/>
            </w:tcMar>
          </w:tcPr>
          <w:p w14:paraId="45A55DBD" w14:textId="77777777" w:rsidR="00D85532" w:rsidRPr="0061343E" w:rsidRDefault="00D85532" w:rsidP="002234AF">
            <w:pPr>
              <w:pStyle w:val="TableCentre"/>
              <w:keepNext/>
              <w:keepLines/>
              <w:widowControl w:val="0"/>
              <w:ind w:left="-57" w:right="-57"/>
              <w:rPr>
                <w:rFonts w:ascii="Arial Narrow" w:hAnsi="Arial Narrow"/>
                <w:sz w:val="20"/>
                <w:szCs w:val="20"/>
              </w:rPr>
            </w:pPr>
            <w:r w:rsidRPr="0061343E">
              <w:rPr>
                <w:rFonts w:ascii="Arial Narrow" w:hAnsi="Arial Narrow"/>
                <w:sz w:val="20"/>
                <w:szCs w:val="20"/>
              </w:rPr>
              <w:t>1 (1.3)</w:t>
            </w:r>
          </w:p>
        </w:tc>
        <w:tc>
          <w:tcPr>
            <w:tcW w:w="463" w:type="pct"/>
            <w:shd w:val="clear" w:color="auto" w:fill="auto"/>
            <w:tcMar>
              <w:left w:w="20" w:type="dxa"/>
              <w:right w:w="20" w:type="dxa"/>
            </w:tcMar>
          </w:tcPr>
          <w:p w14:paraId="740A0216" w14:textId="77777777" w:rsidR="00D85532" w:rsidRPr="0061343E" w:rsidRDefault="00D85532" w:rsidP="002234AF">
            <w:pPr>
              <w:pStyle w:val="TableCentre"/>
              <w:keepNext/>
              <w:keepLines/>
              <w:widowControl w:val="0"/>
              <w:ind w:left="-57" w:right="-57"/>
              <w:rPr>
                <w:rFonts w:ascii="Arial Narrow" w:hAnsi="Arial Narrow"/>
                <w:sz w:val="20"/>
                <w:szCs w:val="20"/>
              </w:rPr>
            </w:pPr>
            <w:r w:rsidRPr="0061343E">
              <w:rPr>
                <w:rFonts w:ascii="Arial Narrow" w:hAnsi="Arial Narrow"/>
                <w:sz w:val="20"/>
                <w:szCs w:val="20"/>
              </w:rPr>
              <w:t>2 (2.6)</w:t>
            </w:r>
          </w:p>
        </w:tc>
        <w:tc>
          <w:tcPr>
            <w:tcW w:w="0" w:type="auto"/>
            <w:shd w:val="clear" w:color="auto" w:fill="auto"/>
            <w:tcMar>
              <w:left w:w="20" w:type="dxa"/>
              <w:right w:w="20" w:type="dxa"/>
            </w:tcMar>
          </w:tcPr>
          <w:p w14:paraId="3EFEEB72" w14:textId="77777777" w:rsidR="00D85532" w:rsidRPr="0061343E" w:rsidRDefault="00D85532" w:rsidP="002234AF">
            <w:pPr>
              <w:pStyle w:val="TableCentre"/>
              <w:keepNext/>
              <w:keepLines/>
              <w:widowControl w:val="0"/>
              <w:ind w:left="-57" w:right="-57"/>
              <w:rPr>
                <w:rFonts w:ascii="Arial Narrow" w:hAnsi="Arial Narrow"/>
                <w:sz w:val="20"/>
                <w:szCs w:val="20"/>
              </w:rPr>
            </w:pPr>
            <w:r w:rsidRPr="0061343E">
              <w:rPr>
                <w:rFonts w:ascii="Arial Narrow" w:hAnsi="Arial Narrow"/>
                <w:sz w:val="20"/>
                <w:szCs w:val="20"/>
              </w:rPr>
              <w:t>1 (1.2)</w:t>
            </w:r>
          </w:p>
        </w:tc>
      </w:tr>
      <w:tr w:rsidR="00D85532" w:rsidRPr="0061343E" w14:paraId="1C59E927" w14:textId="77777777" w:rsidTr="002C04CE">
        <w:tc>
          <w:tcPr>
            <w:tcW w:w="718" w:type="pct"/>
            <w:shd w:val="clear" w:color="auto" w:fill="auto"/>
            <w:tcMar>
              <w:left w:w="20" w:type="dxa"/>
              <w:right w:w="20" w:type="dxa"/>
            </w:tcMar>
          </w:tcPr>
          <w:p w14:paraId="64C568E8" w14:textId="77777777" w:rsidR="00D85532" w:rsidRPr="0061343E" w:rsidRDefault="00D85532" w:rsidP="002234AF">
            <w:pPr>
              <w:pStyle w:val="TableLeft"/>
              <w:keepNext/>
              <w:keepLines/>
              <w:widowControl w:val="0"/>
              <w:jc w:val="left"/>
              <w:rPr>
                <w:rFonts w:ascii="Arial Narrow" w:hAnsi="Arial Narrow"/>
                <w:sz w:val="20"/>
                <w:szCs w:val="20"/>
              </w:rPr>
            </w:pPr>
            <w:r w:rsidRPr="0061343E">
              <w:rPr>
                <w:rFonts w:ascii="Arial Narrow" w:hAnsi="Arial Narrow"/>
                <w:sz w:val="20"/>
                <w:szCs w:val="20"/>
              </w:rPr>
              <w:t xml:space="preserve">Study drug-related </w:t>
            </w:r>
            <w:proofErr w:type="spellStart"/>
            <w:r w:rsidRPr="0061343E">
              <w:rPr>
                <w:rFonts w:ascii="Arial Narrow" w:hAnsi="Arial Narrow"/>
                <w:sz w:val="20"/>
                <w:szCs w:val="20"/>
              </w:rPr>
              <w:t>TEAE</w:t>
            </w:r>
            <w:r w:rsidRPr="0061343E">
              <w:rPr>
                <w:rFonts w:ascii="Arial Narrow" w:hAnsi="Arial Narrow"/>
                <w:sz w:val="20"/>
                <w:szCs w:val="20"/>
                <w:vertAlign w:val="superscript"/>
              </w:rPr>
              <w:t>a</w:t>
            </w:r>
            <w:proofErr w:type="spellEnd"/>
          </w:p>
        </w:tc>
        <w:tc>
          <w:tcPr>
            <w:tcW w:w="0" w:type="auto"/>
            <w:shd w:val="clear" w:color="auto" w:fill="auto"/>
            <w:tcMar>
              <w:left w:w="20" w:type="dxa"/>
              <w:right w:w="20" w:type="dxa"/>
            </w:tcMar>
          </w:tcPr>
          <w:p w14:paraId="045665F9" w14:textId="77777777" w:rsidR="00D85532" w:rsidRPr="0061343E" w:rsidRDefault="00D85532" w:rsidP="002234AF">
            <w:pPr>
              <w:pStyle w:val="TableCentre"/>
              <w:keepNext/>
              <w:keepLines/>
              <w:widowControl w:val="0"/>
              <w:ind w:left="-57" w:right="-57"/>
              <w:rPr>
                <w:rFonts w:ascii="Arial Narrow" w:hAnsi="Arial Narrow"/>
                <w:sz w:val="20"/>
                <w:szCs w:val="20"/>
              </w:rPr>
            </w:pPr>
            <w:r w:rsidRPr="0061343E">
              <w:rPr>
                <w:rFonts w:ascii="Arial Narrow" w:hAnsi="Arial Narrow"/>
                <w:sz w:val="20"/>
                <w:szCs w:val="20"/>
              </w:rPr>
              <w:t>15 (16.7)</w:t>
            </w:r>
          </w:p>
        </w:tc>
        <w:tc>
          <w:tcPr>
            <w:tcW w:w="0" w:type="auto"/>
            <w:shd w:val="clear" w:color="auto" w:fill="auto"/>
            <w:tcMar>
              <w:left w:w="20" w:type="dxa"/>
              <w:right w:w="20" w:type="dxa"/>
            </w:tcMar>
          </w:tcPr>
          <w:p w14:paraId="0192C532" w14:textId="77777777" w:rsidR="00D85532" w:rsidRPr="0061343E" w:rsidRDefault="00D85532" w:rsidP="002234AF">
            <w:pPr>
              <w:pStyle w:val="TableCentre"/>
              <w:keepNext/>
              <w:keepLines/>
              <w:widowControl w:val="0"/>
              <w:ind w:left="-57" w:right="-57"/>
              <w:rPr>
                <w:rFonts w:ascii="Arial Narrow" w:hAnsi="Arial Narrow"/>
                <w:sz w:val="20"/>
                <w:szCs w:val="20"/>
              </w:rPr>
            </w:pPr>
            <w:r w:rsidRPr="0061343E">
              <w:rPr>
                <w:rFonts w:ascii="Arial Narrow" w:hAnsi="Arial Narrow"/>
                <w:sz w:val="20"/>
                <w:szCs w:val="20"/>
              </w:rPr>
              <w:t>10 (11.0)</w:t>
            </w:r>
          </w:p>
        </w:tc>
        <w:tc>
          <w:tcPr>
            <w:tcW w:w="463" w:type="pct"/>
            <w:shd w:val="clear" w:color="auto" w:fill="auto"/>
            <w:tcMar>
              <w:left w:w="20" w:type="dxa"/>
              <w:right w:w="20" w:type="dxa"/>
            </w:tcMar>
          </w:tcPr>
          <w:p w14:paraId="76A3CA6E" w14:textId="77777777" w:rsidR="00D85532" w:rsidRPr="0061343E" w:rsidRDefault="00D85532" w:rsidP="002234AF">
            <w:pPr>
              <w:pStyle w:val="TableCentre"/>
              <w:keepNext/>
              <w:keepLines/>
              <w:widowControl w:val="0"/>
              <w:ind w:left="-57" w:right="-57"/>
              <w:rPr>
                <w:rFonts w:ascii="Arial Narrow" w:hAnsi="Arial Narrow"/>
                <w:sz w:val="20"/>
                <w:szCs w:val="20"/>
              </w:rPr>
            </w:pPr>
            <w:r w:rsidRPr="0061343E">
              <w:rPr>
                <w:rFonts w:ascii="Arial Narrow" w:hAnsi="Arial Narrow"/>
                <w:sz w:val="20"/>
                <w:szCs w:val="20"/>
              </w:rPr>
              <w:t>9 (9.9)</w:t>
            </w:r>
          </w:p>
        </w:tc>
        <w:tc>
          <w:tcPr>
            <w:tcW w:w="0" w:type="auto"/>
            <w:shd w:val="clear" w:color="auto" w:fill="auto"/>
            <w:tcMar>
              <w:left w:w="20" w:type="dxa"/>
              <w:right w:w="20" w:type="dxa"/>
            </w:tcMar>
          </w:tcPr>
          <w:p w14:paraId="0499D1CE" w14:textId="77777777" w:rsidR="00D85532" w:rsidRPr="0061343E" w:rsidRDefault="00D85532" w:rsidP="002234AF">
            <w:pPr>
              <w:pStyle w:val="TableCentre"/>
              <w:keepNext/>
              <w:keepLines/>
              <w:widowControl w:val="0"/>
              <w:ind w:left="-57" w:right="-57"/>
              <w:rPr>
                <w:rFonts w:ascii="Arial Narrow" w:hAnsi="Arial Narrow"/>
                <w:sz w:val="20"/>
                <w:szCs w:val="20"/>
              </w:rPr>
            </w:pPr>
            <w:r w:rsidRPr="0061343E">
              <w:rPr>
                <w:rFonts w:ascii="Arial Narrow" w:hAnsi="Arial Narrow"/>
                <w:sz w:val="20"/>
                <w:szCs w:val="20"/>
              </w:rPr>
              <w:t>11 (11.0)</w:t>
            </w:r>
          </w:p>
        </w:tc>
        <w:tc>
          <w:tcPr>
            <w:tcW w:w="0" w:type="auto"/>
            <w:shd w:val="clear" w:color="auto" w:fill="auto"/>
            <w:tcMar>
              <w:left w:w="20" w:type="dxa"/>
              <w:right w:w="20" w:type="dxa"/>
            </w:tcMar>
          </w:tcPr>
          <w:p w14:paraId="1C1283CF" w14:textId="77777777" w:rsidR="00D85532" w:rsidRPr="0061343E" w:rsidRDefault="00D85532" w:rsidP="002234AF">
            <w:pPr>
              <w:pStyle w:val="TableCentre"/>
              <w:keepNext/>
              <w:keepLines/>
              <w:widowControl w:val="0"/>
              <w:ind w:left="-57" w:right="-57"/>
              <w:rPr>
                <w:rFonts w:ascii="Arial Narrow" w:hAnsi="Arial Narrow"/>
                <w:sz w:val="20"/>
                <w:szCs w:val="20"/>
              </w:rPr>
            </w:pPr>
            <w:r w:rsidRPr="0061343E">
              <w:rPr>
                <w:rFonts w:ascii="Arial Narrow" w:hAnsi="Arial Narrow"/>
                <w:sz w:val="20"/>
                <w:szCs w:val="20"/>
              </w:rPr>
              <w:t>5 (6.5)</w:t>
            </w:r>
          </w:p>
        </w:tc>
        <w:tc>
          <w:tcPr>
            <w:tcW w:w="0" w:type="auto"/>
            <w:shd w:val="clear" w:color="auto" w:fill="auto"/>
            <w:tcMar>
              <w:left w:w="20" w:type="dxa"/>
              <w:right w:w="20" w:type="dxa"/>
            </w:tcMar>
          </w:tcPr>
          <w:p w14:paraId="0D5769FA" w14:textId="77777777" w:rsidR="00D85532" w:rsidRPr="0061343E" w:rsidRDefault="00D85532" w:rsidP="002234AF">
            <w:pPr>
              <w:pStyle w:val="TableCentre"/>
              <w:keepNext/>
              <w:keepLines/>
              <w:widowControl w:val="0"/>
              <w:ind w:left="-57" w:right="-57"/>
              <w:rPr>
                <w:rFonts w:ascii="Arial Narrow" w:hAnsi="Arial Narrow"/>
                <w:sz w:val="20"/>
                <w:szCs w:val="20"/>
              </w:rPr>
            </w:pPr>
            <w:r w:rsidRPr="0061343E">
              <w:rPr>
                <w:rFonts w:ascii="Arial Narrow" w:hAnsi="Arial Narrow"/>
                <w:sz w:val="20"/>
                <w:szCs w:val="20"/>
              </w:rPr>
              <w:t>8 (10.1)</w:t>
            </w:r>
          </w:p>
        </w:tc>
        <w:tc>
          <w:tcPr>
            <w:tcW w:w="463" w:type="pct"/>
            <w:shd w:val="clear" w:color="auto" w:fill="auto"/>
            <w:tcMar>
              <w:left w:w="20" w:type="dxa"/>
              <w:right w:w="20" w:type="dxa"/>
            </w:tcMar>
          </w:tcPr>
          <w:p w14:paraId="6D896420" w14:textId="77777777" w:rsidR="00D85532" w:rsidRPr="0061343E" w:rsidRDefault="00D85532" w:rsidP="002234AF">
            <w:pPr>
              <w:pStyle w:val="TableCentre"/>
              <w:keepNext/>
              <w:keepLines/>
              <w:widowControl w:val="0"/>
              <w:ind w:left="-57" w:right="-57"/>
              <w:rPr>
                <w:rFonts w:ascii="Arial Narrow" w:hAnsi="Arial Narrow"/>
                <w:sz w:val="20"/>
                <w:szCs w:val="20"/>
              </w:rPr>
            </w:pPr>
            <w:r w:rsidRPr="0061343E">
              <w:rPr>
                <w:rFonts w:ascii="Arial Narrow" w:hAnsi="Arial Narrow"/>
                <w:sz w:val="20"/>
                <w:szCs w:val="20"/>
              </w:rPr>
              <w:t>9 (11.7)</w:t>
            </w:r>
          </w:p>
        </w:tc>
        <w:tc>
          <w:tcPr>
            <w:tcW w:w="0" w:type="auto"/>
            <w:shd w:val="clear" w:color="auto" w:fill="auto"/>
            <w:tcMar>
              <w:left w:w="20" w:type="dxa"/>
              <w:right w:w="20" w:type="dxa"/>
            </w:tcMar>
          </w:tcPr>
          <w:p w14:paraId="4AD30454" w14:textId="77777777" w:rsidR="00D85532" w:rsidRPr="0061343E" w:rsidRDefault="00D85532" w:rsidP="002234AF">
            <w:pPr>
              <w:pStyle w:val="TableCentre"/>
              <w:keepNext/>
              <w:keepLines/>
              <w:widowControl w:val="0"/>
              <w:ind w:left="-57" w:right="-57"/>
              <w:rPr>
                <w:rFonts w:ascii="Arial Narrow" w:hAnsi="Arial Narrow"/>
                <w:sz w:val="20"/>
                <w:szCs w:val="20"/>
              </w:rPr>
            </w:pPr>
            <w:r w:rsidRPr="0061343E">
              <w:rPr>
                <w:rFonts w:ascii="Arial Narrow" w:hAnsi="Arial Narrow"/>
                <w:sz w:val="20"/>
                <w:szCs w:val="20"/>
              </w:rPr>
              <w:t>3 (3.6)</w:t>
            </w:r>
          </w:p>
        </w:tc>
      </w:tr>
      <w:tr w:rsidR="00D85532" w:rsidRPr="0061343E" w14:paraId="2E7F8054" w14:textId="77777777" w:rsidTr="002C04CE">
        <w:tc>
          <w:tcPr>
            <w:tcW w:w="5000" w:type="pct"/>
            <w:gridSpan w:val="9"/>
            <w:shd w:val="clear" w:color="auto" w:fill="auto"/>
            <w:tcMar>
              <w:left w:w="20" w:type="dxa"/>
              <w:right w:w="20" w:type="dxa"/>
            </w:tcMar>
          </w:tcPr>
          <w:p w14:paraId="40524074" w14:textId="77777777" w:rsidR="00D85532" w:rsidRPr="0061343E" w:rsidRDefault="00D85532" w:rsidP="002C04CE">
            <w:pPr>
              <w:pStyle w:val="TableCentre"/>
              <w:keepNext/>
              <w:keepLines/>
              <w:widowControl w:val="0"/>
              <w:jc w:val="left"/>
              <w:rPr>
                <w:rFonts w:ascii="Arial Narrow" w:hAnsi="Arial Narrow"/>
                <w:sz w:val="20"/>
                <w:szCs w:val="20"/>
              </w:rPr>
            </w:pPr>
            <w:r w:rsidRPr="0061343E">
              <w:rPr>
                <w:rFonts w:ascii="Arial Narrow" w:hAnsi="Arial Narrow"/>
                <w:sz w:val="20"/>
                <w:szCs w:val="20"/>
              </w:rPr>
              <w:t xml:space="preserve">Study drug-related TEAE by maximum </w:t>
            </w:r>
            <w:proofErr w:type="spellStart"/>
            <w:proofErr w:type="gramStart"/>
            <w:r w:rsidRPr="0061343E">
              <w:rPr>
                <w:rFonts w:ascii="Arial Narrow" w:hAnsi="Arial Narrow"/>
                <w:sz w:val="20"/>
                <w:szCs w:val="20"/>
              </w:rPr>
              <w:t>severity</w:t>
            </w:r>
            <w:r w:rsidRPr="0061343E">
              <w:rPr>
                <w:rFonts w:ascii="Arial Narrow" w:hAnsi="Arial Narrow"/>
                <w:sz w:val="20"/>
                <w:szCs w:val="20"/>
                <w:vertAlign w:val="superscript"/>
              </w:rPr>
              <w:t>a,b</w:t>
            </w:r>
            <w:proofErr w:type="spellEnd"/>
            <w:proofErr w:type="gramEnd"/>
          </w:p>
        </w:tc>
      </w:tr>
      <w:tr w:rsidR="00D85532" w:rsidRPr="0061343E" w14:paraId="28563D11" w14:textId="77777777" w:rsidTr="002C04CE">
        <w:tc>
          <w:tcPr>
            <w:tcW w:w="718" w:type="pct"/>
            <w:shd w:val="clear" w:color="auto" w:fill="auto"/>
            <w:tcMar>
              <w:left w:w="20" w:type="dxa"/>
              <w:right w:w="20" w:type="dxa"/>
            </w:tcMar>
          </w:tcPr>
          <w:p w14:paraId="6C6AD65A" w14:textId="77777777" w:rsidR="00D85532" w:rsidRPr="0061343E" w:rsidRDefault="00D85532" w:rsidP="002234AF">
            <w:pPr>
              <w:pStyle w:val="TableLeft"/>
              <w:keepNext/>
              <w:keepLines/>
              <w:widowControl w:val="0"/>
              <w:jc w:val="left"/>
              <w:rPr>
                <w:rFonts w:ascii="Arial Narrow" w:hAnsi="Arial Narrow"/>
                <w:sz w:val="20"/>
                <w:szCs w:val="20"/>
              </w:rPr>
            </w:pPr>
            <w:r w:rsidRPr="0061343E">
              <w:rPr>
                <w:rFonts w:ascii="Arial Narrow" w:hAnsi="Arial Narrow"/>
                <w:sz w:val="20"/>
                <w:szCs w:val="20"/>
              </w:rPr>
              <w:t xml:space="preserve">  Mild</w:t>
            </w:r>
          </w:p>
        </w:tc>
        <w:tc>
          <w:tcPr>
            <w:tcW w:w="0" w:type="auto"/>
            <w:shd w:val="clear" w:color="auto" w:fill="auto"/>
            <w:tcMar>
              <w:left w:w="20" w:type="dxa"/>
              <w:right w:w="20" w:type="dxa"/>
            </w:tcMar>
          </w:tcPr>
          <w:p w14:paraId="59AE319B" w14:textId="77777777" w:rsidR="00D85532" w:rsidRPr="0061343E" w:rsidRDefault="00D85532" w:rsidP="002234AF">
            <w:pPr>
              <w:pStyle w:val="TableCentre"/>
              <w:keepNext/>
              <w:keepLines/>
              <w:widowControl w:val="0"/>
              <w:ind w:left="-57" w:right="-57"/>
              <w:rPr>
                <w:rFonts w:ascii="Arial Narrow" w:hAnsi="Arial Narrow"/>
                <w:sz w:val="20"/>
                <w:szCs w:val="20"/>
              </w:rPr>
            </w:pPr>
            <w:r w:rsidRPr="0061343E">
              <w:rPr>
                <w:rFonts w:ascii="Arial Narrow" w:hAnsi="Arial Narrow"/>
                <w:sz w:val="20"/>
                <w:szCs w:val="20"/>
              </w:rPr>
              <w:t>7 (7.8)</w:t>
            </w:r>
          </w:p>
        </w:tc>
        <w:tc>
          <w:tcPr>
            <w:tcW w:w="0" w:type="auto"/>
            <w:shd w:val="clear" w:color="auto" w:fill="auto"/>
            <w:tcMar>
              <w:left w:w="20" w:type="dxa"/>
              <w:right w:w="20" w:type="dxa"/>
            </w:tcMar>
          </w:tcPr>
          <w:p w14:paraId="0AB1EB57" w14:textId="77777777" w:rsidR="00D85532" w:rsidRPr="0061343E" w:rsidRDefault="00D85532" w:rsidP="002234AF">
            <w:pPr>
              <w:pStyle w:val="TableCentre"/>
              <w:keepNext/>
              <w:keepLines/>
              <w:widowControl w:val="0"/>
              <w:ind w:left="-57" w:right="-57"/>
              <w:rPr>
                <w:rFonts w:ascii="Arial Narrow" w:hAnsi="Arial Narrow"/>
                <w:sz w:val="20"/>
                <w:szCs w:val="20"/>
              </w:rPr>
            </w:pPr>
            <w:r w:rsidRPr="0061343E">
              <w:rPr>
                <w:rFonts w:ascii="Arial Narrow" w:hAnsi="Arial Narrow"/>
                <w:sz w:val="20"/>
                <w:szCs w:val="20"/>
              </w:rPr>
              <w:t>6 (6.6)</w:t>
            </w:r>
          </w:p>
        </w:tc>
        <w:tc>
          <w:tcPr>
            <w:tcW w:w="463" w:type="pct"/>
            <w:shd w:val="clear" w:color="auto" w:fill="auto"/>
            <w:tcMar>
              <w:left w:w="20" w:type="dxa"/>
              <w:right w:w="20" w:type="dxa"/>
            </w:tcMar>
          </w:tcPr>
          <w:p w14:paraId="669E2EE3" w14:textId="77777777" w:rsidR="00D85532" w:rsidRPr="0061343E" w:rsidRDefault="00D85532" w:rsidP="002234AF">
            <w:pPr>
              <w:pStyle w:val="TableCentre"/>
              <w:keepNext/>
              <w:keepLines/>
              <w:widowControl w:val="0"/>
              <w:ind w:left="-57" w:right="-57"/>
              <w:rPr>
                <w:rFonts w:ascii="Arial Narrow" w:hAnsi="Arial Narrow"/>
                <w:sz w:val="20"/>
                <w:szCs w:val="20"/>
              </w:rPr>
            </w:pPr>
            <w:r w:rsidRPr="0061343E">
              <w:rPr>
                <w:rFonts w:ascii="Arial Narrow" w:hAnsi="Arial Narrow"/>
                <w:sz w:val="20"/>
                <w:szCs w:val="20"/>
              </w:rPr>
              <w:t>6 (6.6)</w:t>
            </w:r>
          </w:p>
        </w:tc>
        <w:tc>
          <w:tcPr>
            <w:tcW w:w="0" w:type="auto"/>
            <w:shd w:val="clear" w:color="auto" w:fill="auto"/>
            <w:tcMar>
              <w:left w:w="20" w:type="dxa"/>
              <w:right w:w="20" w:type="dxa"/>
            </w:tcMar>
          </w:tcPr>
          <w:p w14:paraId="5D79A2D7" w14:textId="77777777" w:rsidR="00D85532" w:rsidRPr="0061343E" w:rsidRDefault="00D85532" w:rsidP="002234AF">
            <w:pPr>
              <w:pStyle w:val="TableCentre"/>
              <w:keepNext/>
              <w:keepLines/>
              <w:widowControl w:val="0"/>
              <w:ind w:left="-57" w:right="-57"/>
              <w:rPr>
                <w:rFonts w:ascii="Arial Narrow" w:hAnsi="Arial Narrow"/>
                <w:sz w:val="20"/>
                <w:szCs w:val="20"/>
              </w:rPr>
            </w:pPr>
            <w:r w:rsidRPr="0061343E">
              <w:rPr>
                <w:rFonts w:ascii="Arial Narrow" w:hAnsi="Arial Narrow"/>
                <w:sz w:val="20"/>
                <w:szCs w:val="20"/>
              </w:rPr>
              <w:t>10 (10.0)</w:t>
            </w:r>
          </w:p>
        </w:tc>
        <w:tc>
          <w:tcPr>
            <w:tcW w:w="0" w:type="auto"/>
            <w:shd w:val="clear" w:color="auto" w:fill="auto"/>
            <w:tcMar>
              <w:left w:w="20" w:type="dxa"/>
              <w:right w:w="20" w:type="dxa"/>
            </w:tcMar>
          </w:tcPr>
          <w:p w14:paraId="1E68ECEC" w14:textId="77777777" w:rsidR="00D85532" w:rsidRPr="0061343E" w:rsidRDefault="00D85532" w:rsidP="002234AF">
            <w:pPr>
              <w:pStyle w:val="TableCentre"/>
              <w:keepNext/>
              <w:keepLines/>
              <w:widowControl w:val="0"/>
              <w:ind w:left="-57" w:right="-57"/>
              <w:rPr>
                <w:rFonts w:ascii="Arial Narrow" w:hAnsi="Arial Narrow"/>
                <w:sz w:val="20"/>
                <w:szCs w:val="20"/>
              </w:rPr>
            </w:pPr>
            <w:r w:rsidRPr="0061343E">
              <w:rPr>
                <w:rFonts w:ascii="Arial Narrow" w:hAnsi="Arial Narrow"/>
                <w:sz w:val="20"/>
                <w:szCs w:val="20"/>
              </w:rPr>
              <w:t>1 (1.3)</w:t>
            </w:r>
          </w:p>
        </w:tc>
        <w:tc>
          <w:tcPr>
            <w:tcW w:w="0" w:type="auto"/>
            <w:shd w:val="clear" w:color="auto" w:fill="auto"/>
            <w:tcMar>
              <w:left w:w="20" w:type="dxa"/>
              <w:right w:w="20" w:type="dxa"/>
            </w:tcMar>
          </w:tcPr>
          <w:p w14:paraId="3A55D2E8" w14:textId="77777777" w:rsidR="00D85532" w:rsidRPr="0061343E" w:rsidRDefault="00D85532" w:rsidP="002234AF">
            <w:pPr>
              <w:pStyle w:val="TableCentre"/>
              <w:keepNext/>
              <w:keepLines/>
              <w:widowControl w:val="0"/>
              <w:ind w:left="-57" w:right="-57"/>
              <w:rPr>
                <w:rFonts w:ascii="Arial Narrow" w:hAnsi="Arial Narrow"/>
                <w:sz w:val="20"/>
                <w:szCs w:val="20"/>
              </w:rPr>
            </w:pPr>
            <w:r w:rsidRPr="0061343E">
              <w:rPr>
                <w:rFonts w:ascii="Arial Narrow" w:hAnsi="Arial Narrow"/>
                <w:sz w:val="20"/>
                <w:szCs w:val="20"/>
              </w:rPr>
              <w:t>3 (3.8)</w:t>
            </w:r>
          </w:p>
        </w:tc>
        <w:tc>
          <w:tcPr>
            <w:tcW w:w="463" w:type="pct"/>
            <w:shd w:val="clear" w:color="auto" w:fill="auto"/>
            <w:tcMar>
              <w:left w:w="20" w:type="dxa"/>
              <w:right w:w="20" w:type="dxa"/>
            </w:tcMar>
          </w:tcPr>
          <w:p w14:paraId="0988D877" w14:textId="77777777" w:rsidR="00D85532" w:rsidRPr="0061343E" w:rsidRDefault="00D85532" w:rsidP="002234AF">
            <w:pPr>
              <w:pStyle w:val="TableCentre"/>
              <w:keepNext/>
              <w:keepLines/>
              <w:widowControl w:val="0"/>
              <w:ind w:left="-57" w:right="-57"/>
              <w:rPr>
                <w:rFonts w:ascii="Arial Narrow" w:hAnsi="Arial Narrow"/>
                <w:sz w:val="20"/>
                <w:szCs w:val="20"/>
              </w:rPr>
            </w:pPr>
            <w:r w:rsidRPr="0061343E">
              <w:rPr>
                <w:rFonts w:ascii="Arial Narrow" w:hAnsi="Arial Narrow"/>
                <w:sz w:val="20"/>
                <w:szCs w:val="20"/>
              </w:rPr>
              <w:t>3 (3.9)</w:t>
            </w:r>
          </w:p>
        </w:tc>
        <w:tc>
          <w:tcPr>
            <w:tcW w:w="0" w:type="auto"/>
            <w:shd w:val="clear" w:color="auto" w:fill="auto"/>
            <w:tcMar>
              <w:left w:w="20" w:type="dxa"/>
              <w:right w:w="20" w:type="dxa"/>
            </w:tcMar>
          </w:tcPr>
          <w:p w14:paraId="61E4F9F6" w14:textId="77777777" w:rsidR="00D85532" w:rsidRPr="0061343E" w:rsidRDefault="00D85532" w:rsidP="002234AF">
            <w:pPr>
              <w:pStyle w:val="TableCentre"/>
              <w:keepNext/>
              <w:keepLines/>
              <w:widowControl w:val="0"/>
              <w:ind w:left="-57" w:right="-57"/>
              <w:rPr>
                <w:rFonts w:ascii="Arial Narrow" w:hAnsi="Arial Narrow"/>
                <w:sz w:val="20"/>
                <w:szCs w:val="20"/>
              </w:rPr>
            </w:pPr>
            <w:r w:rsidRPr="0061343E">
              <w:rPr>
                <w:rFonts w:ascii="Arial Narrow" w:hAnsi="Arial Narrow"/>
                <w:sz w:val="20"/>
                <w:szCs w:val="20"/>
              </w:rPr>
              <w:t>1 (1.2)</w:t>
            </w:r>
          </w:p>
        </w:tc>
      </w:tr>
      <w:tr w:rsidR="00D85532" w:rsidRPr="0061343E" w14:paraId="4C42C22B" w14:textId="77777777" w:rsidTr="002C04CE">
        <w:tc>
          <w:tcPr>
            <w:tcW w:w="718" w:type="pct"/>
            <w:shd w:val="clear" w:color="auto" w:fill="auto"/>
            <w:tcMar>
              <w:left w:w="20" w:type="dxa"/>
              <w:right w:w="20" w:type="dxa"/>
            </w:tcMar>
          </w:tcPr>
          <w:p w14:paraId="0F7181D5" w14:textId="77777777" w:rsidR="00D85532" w:rsidRPr="0061343E" w:rsidRDefault="00D85532" w:rsidP="002234AF">
            <w:pPr>
              <w:pStyle w:val="TableLeft"/>
              <w:keepNext/>
              <w:keepLines/>
              <w:widowControl w:val="0"/>
              <w:jc w:val="left"/>
              <w:rPr>
                <w:rFonts w:ascii="Arial Narrow" w:hAnsi="Arial Narrow"/>
                <w:sz w:val="20"/>
                <w:szCs w:val="20"/>
              </w:rPr>
            </w:pPr>
            <w:r w:rsidRPr="0061343E">
              <w:rPr>
                <w:rFonts w:ascii="Arial Narrow" w:hAnsi="Arial Narrow"/>
                <w:sz w:val="20"/>
                <w:szCs w:val="20"/>
              </w:rPr>
              <w:t xml:space="preserve">  Moderate</w:t>
            </w:r>
          </w:p>
        </w:tc>
        <w:tc>
          <w:tcPr>
            <w:tcW w:w="0" w:type="auto"/>
            <w:shd w:val="clear" w:color="auto" w:fill="auto"/>
            <w:tcMar>
              <w:left w:w="20" w:type="dxa"/>
              <w:right w:w="20" w:type="dxa"/>
            </w:tcMar>
          </w:tcPr>
          <w:p w14:paraId="108E74E4" w14:textId="77777777" w:rsidR="00D85532" w:rsidRPr="0061343E" w:rsidRDefault="00D85532" w:rsidP="002234AF">
            <w:pPr>
              <w:pStyle w:val="TableCentre"/>
              <w:keepNext/>
              <w:keepLines/>
              <w:widowControl w:val="0"/>
              <w:ind w:left="-57" w:right="-57"/>
              <w:rPr>
                <w:rFonts w:ascii="Arial Narrow" w:hAnsi="Arial Narrow"/>
                <w:sz w:val="20"/>
                <w:szCs w:val="20"/>
              </w:rPr>
            </w:pPr>
            <w:r w:rsidRPr="0061343E">
              <w:rPr>
                <w:rFonts w:ascii="Arial Narrow" w:hAnsi="Arial Narrow"/>
                <w:sz w:val="20"/>
                <w:szCs w:val="20"/>
              </w:rPr>
              <w:t>8 (8.9)</w:t>
            </w:r>
          </w:p>
        </w:tc>
        <w:tc>
          <w:tcPr>
            <w:tcW w:w="0" w:type="auto"/>
            <w:shd w:val="clear" w:color="auto" w:fill="auto"/>
            <w:tcMar>
              <w:left w:w="20" w:type="dxa"/>
              <w:right w:w="20" w:type="dxa"/>
            </w:tcMar>
          </w:tcPr>
          <w:p w14:paraId="4426FE42" w14:textId="77777777" w:rsidR="00D85532" w:rsidRPr="0061343E" w:rsidRDefault="00D85532" w:rsidP="002234AF">
            <w:pPr>
              <w:pStyle w:val="TableCentre"/>
              <w:keepNext/>
              <w:keepLines/>
              <w:widowControl w:val="0"/>
              <w:ind w:left="-57" w:right="-57"/>
              <w:rPr>
                <w:rFonts w:ascii="Arial Narrow" w:hAnsi="Arial Narrow"/>
                <w:sz w:val="20"/>
                <w:szCs w:val="20"/>
              </w:rPr>
            </w:pPr>
            <w:r w:rsidRPr="0061343E">
              <w:rPr>
                <w:rFonts w:ascii="Arial Narrow" w:hAnsi="Arial Narrow"/>
                <w:sz w:val="20"/>
                <w:szCs w:val="20"/>
              </w:rPr>
              <w:t>3 (3.3)</w:t>
            </w:r>
          </w:p>
        </w:tc>
        <w:tc>
          <w:tcPr>
            <w:tcW w:w="463" w:type="pct"/>
            <w:shd w:val="clear" w:color="auto" w:fill="auto"/>
            <w:tcMar>
              <w:left w:w="20" w:type="dxa"/>
              <w:right w:w="20" w:type="dxa"/>
            </w:tcMar>
          </w:tcPr>
          <w:p w14:paraId="26F502FE" w14:textId="77777777" w:rsidR="00D85532" w:rsidRPr="0061343E" w:rsidRDefault="00D85532" w:rsidP="002234AF">
            <w:pPr>
              <w:pStyle w:val="TableCentre"/>
              <w:keepNext/>
              <w:keepLines/>
              <w:widowControl w:val="0"/>
              <w:ind w:left="-57" w:right="-57"/>
              <w:rPr>
                <w:rFonts w:ascii="Arial Narrow" w:hAnsi="Arial Narrow"/>
                <w:sz w:val="20"/>
                <w:szCs w:val="20"/>
              </w:rPr>
            </w:pPr>
            <w:r w:rsidRPr="0061343E">
              <w:rPr>
                <w:rFonts w:ascii="Arial Narrow" w:hAnsi="Arial Narrow"/>
                <w:sz w:val="20"/>
                <w:szCs w:val="20"/>
              </w:rPr>
              <w:t>3 (3.3)</w:t>
            </w:r>
          </w:p>
        </w:tc>
        <w:tc>
          <w:tcPr>
            <w:tcW w:w="0" w:type="auto"/>
            <w:shd w:val="clear" w:color="auto" w:fill="auto"/>
            <w:tcMar>
              <w:left w:w="20" w:type="dxa"/>
              <w:right w:w="20" w:type="dxa"/>
            </w:tcMar>
          </w:tcPr>
          <w:p w14:paraId="20809C06" w14:textId="77777777" w:rsidR="00D85532" w:rsidRPr="0061343E" w:rsidRDefault="00D85532" w:rsidP="002234AF">
            <w:pPr>
              <w:pStyle w:val="TableCentre"/>
              <w:keepNext/>
              <w:keepLines/>
              <w:widowControl w:val="0"/>
              <w:ind w:left="-57" w:right="-57"/>
              <w:rPr>
                <w:rFonts w:ascii="Arial Narrow" w:hAnsi="Arial Narrow"/>
                <w:sz w:val="20"/>
                <w:szCs w:val="20"/>
              </w:rPr>
            </w:pPr>
            <w:r w:rsidRPr="0061343E">
              <w:rPr>
                <w:rFonts w:ascii="Arial Narrow" w:hAnsi="Arial Narrow"/>
                <w:sz w:val="20"/>
                <w:szCs w:val="20"/>
              </w:rPr>
              <w:t>1 (1.0)</w:t>
            </w:r>
          </w:p>
        </w:tc>
        <w:tc>
          <w:tcPr>
            <w:tcW w:w="0" w:type="auto"/>
            <w:shd w:val="clear" w:color="auto" w:fill="auto"/>
            <w:tcMar>
              <w:left w:w="20" w:type="dxa"/>
              <w:right w:w="20" w:type="dxa"/>
            </w:tcMar>
          </w:tcPr>
          <w:p w14:paraId="00EE4C2E" w14:textId="77777777" w:rsidR="00D85532" w:rsidRPr="0061343E" w:rsidRDefault="00D85532" w:rsidP="002234AF">
            <w:pPr>
              <w:pStyle w:val="TableCentre"/>
              <w:keepNext/>
              <w:keepLines/>
              <w:widowControl w:val="0"/>
              <w:ind w:left="-57" w:right="-57"/>
              <w:rPr>
                <w:rFonts w:ascii="Arial Narrow" w:hAnsi="Arial Narrow"/>
                <w:sz w:val="20"/>
                <w:szCs w:val="20"/>
              </w:rPr>
            </w:pPr>
            <w:r w:rsidRPr="0061343E">
              <w:rPr>
                <w:rFonts w:ascii="Arial Narrow" w:hAnsi="Arial Narrow"/>
                <w:sz w:val="20"/>
                <w:szCs w:val="20"/>
              </w:rPr>
              <w:t>4 (5.2)</w:t>
            </w:r>
          </w:p>
        </w:tc>
        <w:tc>
          <w:tcPr>
            <w:tcW w:w="0" w:type="auto"/>
            <w:shd w:val="clear" w:color="auto" w:fill="auto"/>
            <w:tcMar>
              <w:left w:w="20" w:type="dxa"/>
              <w:right w:w="20" w:type="dxa"/>
            </w:tcMar>
          </w:tcPr>
          <w:p w14:paraId="50ED2473" w14:textId="77777777" w:rsidR="00D85532" w:rsidRPr="0061343E" w:rsidRDefault="00D85532" w:rsidP="002234AF">
            <w:pPr>
              <w:pStyle w:val="TableCentre"/>
              <w:keepNext/>
              <w:keepLines/>
              <w:widowControl w:val="0"/>
              <w:ind w:left="-57" w:right="-57"/>
              <w:rPr>
                <w:rFonts w:ascii="Arial Narrow" w:hAnsi="Arial Narrow"/>
                <w:sz w:val="20"/>
                <w:szCs w:val="20"/>
              </w:rPr>
            </w:pPr>
            <w:r w:rsidRPr="0061343E">
              <w:rPr>
                <w:rFonts w:ascii="Arial Narrow" w:hAnsi="Arial Narrow"/>
                <w:sz w:val="20"/>
                <w:szCs w:val="20"/>
              </w:rPr>
              <w:t>5 (6.3)</w:t>
            </w:r>
          </w:p>
        </w:tc>
        <w:tc>
          <w:tcPr>
            <w:tcW w:w="463" w:type="pct"/>
            <w:shd w:val="clear" w:color="auto" w:fill="auto"/>
            <w:tcMar>
              <w:left w:w="20" w:type="dxa"/>
              <w:right w:w="20" w:type="dxa"/>
            </w:tcMar>
          </w:tcPr>
          <w:p w14:paraId="349C4245" w14:textId="77777777" w:rsidR="00D85532" w:rsidRPr="0061343E" w:rsidRDefault="00D85532" w:rsidP="002234AF">
            <w:pPr>
              <w:pStyle w:val="TableCentre"/>
              <w:keepNext/>
              <w:keepLines/>
              <w:widowControl w:val="0"/>
              <w:ind w:left="-57" w:right="-57"/>
              <w:rPr>
                <w:rFonts w:ascii="Arial Narrow" w:hAnsi="Arial Narrow"/>
                <w:sz w:val="20"/>
                <w:szCs w:val="20"/>
              </w:rPr>
            </w:pPr>
            <w:r w:rsidRPr="0061343E">
              <w:rPr>
                <w:rFonts w:ascii="Arial Narrow" w:hAnsi="Arial Narrow"/>
                <w:sz w:val="20"/>
                <w:szCs w:val="20"/>
              </w:rPr>
              <w:t>4 (5.2)</w:t>
            </w:r>
          </w:p>
        </w:tc>
        <w:tc>
          <w:tcPr>
            <w:tcW w:w="0" w:type="auto"/>
            <w:shd w:val="clear" w:color="auto" w:fill="auto"/>
            <w:tcMar>
              <w:left w:w="20" w:type="dxa"/>
              <w:right w:w="20" w:type="dxa"/>
            </w:tcMar>
          </w:tcPr>
          <w:p w14:paraId="69A724FC" w14:textId="77777777" w:rsidR="00D85532" w:rsidRPr="0061343E" w:rsidRDefault="00D85532" w:rsidP="002234AF">
            <w:pPr>
              <w:pStyle w:val="TableCentre"/>
              <w:keepNext/>
              <w:keepLines/>
              <w:widowControl w:val="0"/>
              <w:ind w:left="-57" w:right="-57"/>
              <w:rPr>
                <w:rFonts w:ascii="Arial Narrow" w:hAnsi="Arial Narrow"/>
                <w:sz w:val="20"/>
                <w:szCs w:val="20"/>
              </w:rPr>
            </w:pPr>
            <w:r w:rsidRPr="0061343E">
              <w:rPr>
                <w:rFonts w:ascii="Arial Narrow" w:hAnsi="Arial Narrow"/>
                <w:sz w:val="20"/>
                <w:szCs w:val="20"/>
              </w:rPr>
              <w:t>2 (2.4)</w:t>
            </w:r>
          </w:p>
        </w:tc>
      </w:tr>
      <w:tr w:rsidR="00D85532" w:rsidRPr="0061343E" w14:paraId="5A613705" w14:textId="77777777" w:rsidTr="002C04CE">
        <w:tc>
          <w:tcPr>
            <w:tcW w:w="718" w:type="pct"/>
            <w:shd w:val="clear" w:color="auto" w:fill="auto"/>
            <w:tcMar>
              <w:left w:w="20" w:type="dxa"/>
              <w:right w:w="20" w:type="dxa"/>
            </w:tcMar>
          </w:tcPr>
          <w:p w14:paraId="381FD7AB" w14:textId="77777777" w:rsidR="00D85532" w:rsidRPr="0061343E" w:rsidRDefault="00D85532" w:rsidP="002234AF">
            <w:pPr>
              <w:pStyle w:val="TableLeft"/>
              <w:keepNext/>
              <w:keepLines/>
              <w:widowControl w:val="0"/>
              <w:jc w:val="left"/>
              <w:rPr>
                <w:rFonts w:ascii="Arial Narrow" w:hAnsi="Arial Narrow"/>
                <w:sz w:val="20"/>
                <w:szCs w:val="20"/>
              </w:rPr>
            </w:pPr>
            <w:r w:rsidRPr="0061343E">
              <w:rPr>
                <w:rFonts w:ascii="Arial Narrow" w:hAnsi="Arial Narrow"/>
                <w:sz w:val="20"/>
                <w:szCs w:val="20"/>
              </w:rPr>
              <w:t xml:space="preserve">  Severe</w:t>
            </w:r>
          </w:p>
        </w:tc>
        <w:tc>
          <w:tcPr>
            <w:tcW w:w="0" w:type="auto"/>
            <w:shd w:val="clear" w:color="auto" w:fill="auto"/>
            <w:tcMar>
              <w:left w:w="20" w:type="dxa"/>
              <w:right w:w="20" w:type="dxa"/>
            </w:tcMar>
          </w:tcPr>
          <w:p w14:paraId="38A1921D" w14:textId="77777777" w:rsidR="00D85532" w:rsidRPr="0061343E" w:rsidRDefault="00D85532" w:rsidP="002234AF">
            <w:pPr>
              <w:pStyle w:val="TableCentre"/>
              <w:keepNext/>
              <w:keepLines/>
              <w:widowControl w:val="0"/>
              <w:ind w:left="-57" w:right="-57"/>
              <w:rPr>
                <w:rFonts w:ascii="Arial Narrow" w:hAnsi="Arial Narrow"/>
                <w:sz w:val="20"/>
                <w:szCs w:val="20"/>
              </w:rPr>
            </w:pPr>
            <w:r w:rsidRPr="0061343E">
              <w:rPr>
                <w:rFonts w:ascii="Arial Narrow" w:hAnsi="Arial Narrow"/>
                <w:sz w:val="20"/>
                <w:szCs w:val="20"/>
              </w:rPr>
              <w:t>0</w:t>
            </w:r>
          </w:p>
        </w:tc>
        <w:tc>
          <w:tcPr>
            <w:tcW w:w="0" w:type="auto"/>
            <w:shd w:val="clear" w:color="auto" w:fill="auto"/>
            <w:tcMar>
              <w:left w:w="20" w:type="dxa"/>
              <w:right w:w="20" w:type="dxa"/>
            </w:tcMar>
          </w:tcPr>
          <w:p w14:paraId="296F37F5" w14:textId="77777777" w:rsidR="00D85532" w:rsidRPr="0061343E" w:rsidRDefault="00D85532" w:rsidP="002234AF">
            <w:pPr>
              <w:pStyle w:val="TableCentre"/>
              <w:keepNext/>
              <w:keepLines/>
              <w:widowControl w:val="0"/>
              <w:ind w:left="-57" w:right="-57"/>
              <w:rPr>
                <w:rFonts w:ascii="Arial Narrow" w:hAnsi="Arial Narrow"/>
                <w:sz w:val="20"/>
                <w:szCs w:val="20"/>
              </w:rPr>
            </w:pPr>
            <w:r w:rsidRPr="0061343E">
              <w:rPr>
                <w:rFonts w:ascii="Arial Narrow" w:hAnsi="Arial Narrow"/>
                <w:sz w:val="20"/>
                <w:szCs w:val="20"/>
              </w:rPr>
              <w:t>1 (1.1)</w:t>
            </w:r>
          </w:p>
        </w:tc>
        <w:tc>
          <w:tcPr>
            <w:tcW w:w="463" w:type="pct"/>
            <w:shd w:val="clear" w:color="auto" w:fill="auto"/>
            <w:tcMar>
              <w:left w:w="20" w:type="dxa"/>
              <w:right w:w="20" w:type="dxa"/>
            </w:tcMar>
          </w:tcPr>
          <w:p w14:paraId="2AC2682E" w14:textId="77777777" w:rsidR="00D85532" w:rsidRPr="0061343E" w:rsidRDefault="00D85532" w:rsidP="002234AF">
            <w:pPr>
              <w:pStyle w:val="TableCentre"/>
              <w:keepNext/>
              <w:keepLines/>
              <w:widowControl w:val="0"/>
              <w:ind w:left="-57" w:right="-57"/>
              <w:rPr>
                <w:rFonts w:ascii="Arial Narrow" w:hAnsi="Arial Narrow"/>
                <w:sz w:val="20"/>
                <w:szCs w:val="20"/>
              </w:rPr>
            </w:pPr>
            <w:r w:rsidRPr="0061343E">
              <w:rPr>
                <w:rFonts w:ascii="Arial Narrow" w:hAnsi="Arial Narrow"/>
                <w:sz w:val="20"/>
                <w:szCs w:val="20"/>
              </w:rPr>
              <w:t>0</w:t>
            </w:r>
          </w:p>
        </w:tc>
        <w:tc>
          <w:tcPr>
            <w:tcW w:w="0" w:type="auto"/>
            <w:shd w:val="clear" w:color="auto" w:fill="auto"/>
            <w:tcMar>
              <w:left w:w="20" w:type="dxa"/>
              <w:right w:w="20" w:type="dxa"/>
            </w:tcMar>
          </w:tcPr>
          <w:p w14:paraId="7F236CB2" w14:textId="77777777" w:rsidR="00D85532" w:rsidRPr="0061343E" w:rsidRDefault="00D85532" w:rsidP="002234AF">
            <w:pPr>
              <w:pStyle w:val="TableCentre"/>
              <w:keepNext/>
              <w:keepLines/>
              <w:widowControl w:val="0"/>
              <w:ind w:left="-57" w:right="-57"/>
              <w:rPr>
                <w:rFonts w:ascii="Arial Narrow" w:hAnsi="Arial Narrow"/>
                <w:sz w:val="20"/>
                <w:szCs w:val="20"/>
              </w:rPr>
            </w:pPr>
            <w:r w:rsidRPr="0061343E">
              <w:rPr>
                <w:rFonts w:ascii="Arial Narrow" w:hAnsi="Arial Narrow"/>
                <w:sz w:val="20"/>
                <w:szCs w:val="20"/>
              </w:rPr>
              <w:t>0</w:t>
            </w:r>
          </w:p>
        </w:tc>
        <w:tc>
          <w:tcPr>
            <w:tcW w:w="0" w:type="auto"/>
            <w:shd w:val="clear" w:color="auto" w:fill="auto"/>
            <w:tcMar>
              <w:left w:w="20" w:type="dxa"/>
              <w:right w:w="20" w:type="dxa"/>
            </w:tcMar>
          </w:tcPr>
          <w:p w14:paraId="0D0DED84" w14:textId="77777777" w:rsidR="00D85532" w:rsidRPr="0061343E" w:rsidRDefault="00D85532" w:rsidP="002234AF">
            <w:pPr>
              <w:pStyle w:val="TableCentre"/>
              <w:keepNext/>
              <w:keepLines/>
              <w:widowControl w:val="0"/>
              <w:ind w:left="-57" w:right="-57"/>
              <w:rPr>
                <w:rFonts w:ascii="Arial Narrow" w:hAnsi="Arial Narrow"/>
                <w:sz w:val="20"/>
                <w:szCs w:val="20"/>
              </w:rPr>
            </w:pPr>
            <w:r w:rsidRPr="0061343E">
              <w:rPr>
                <w:rFonts w:ascii="Arial Narrow" w:hAnsi="Arial Narrow"/>
                <w:sz w:val="20"/>
                <w:szCs w:val="20"/>
              </w:rPr>
              <w:t>0</w:t>
            </w:r>
          </w:p>
        </w:tc>
        <w:tc>
          <w:tcPr>
            <w:tcW w:w="0" w:type="auto"/>
            <w:shd w:val="clear" w:color="auto" w:fill="auto"/>
            <w:tcMar>
              <w:left w:w="20" w:type="dxa"/>
              <w:right w:w="20" w:type="dxa"/>
            </w:tcMar>
          </w:tcPr>
          <w:p w14:paraId="6A5D9660" w14:textId="77777777" w:rsidR="00D85532" w:rsidRPr="0061343E" w:rsidRDefault="00D85532" w:rsidP="002234AF">
            <w:pPr>
              <w:pStyle w:val="TableCentre"/>
              <w:keepNext/>
              <w:keepLines/>
              <w:widowControl w:val="0"/>
              <w:ind w:left="-57" w:right="-57"/>
              <w:rPr>
                <w:rFonts w:ascii="Arial Narrow" w:hAnsi="Arial Narrow"/>
                <w:sz w:val="20"/>
                <w:szCs w:val="20"/>
              </w:rPr>
            </w:pPr>
            <w:r w:rsidRPr="0061343E">
              <w:rPr>
                <w:rFonts w:ascii="Arial Narrow" w:hAnsi="Arial Narrow"/>
                <w:sz w:val="20"/>
                <w:szCs w:val="20"/>
              </w:rPr>
              <w:t>0</w:t>
            </w:r>
          </w:p>
        </w:tc>
        <w:tc>
          <w:tcPr>
            <w:tcW w:w="463" w:type="pct"/>
            <w:shd w:val="clear" w:color="auto" w:fill="auto"/>
            <w:tcMar>
              <w:left w:w="20" w:type="dxa"/>
              <w:right w:w="20" w:type="dxa"/>
            </w:tcMar>
          </w:tcPr>
          <w:p w14:paraId="235ECE46" w14:textId="77777777" w:rsidR="00D85532" w:rsidRPr="0061343E" w:rsidRDefault="00D85532" w:rsidP="002234AF">
            <w:pPr>
              <w:pStyle w:val="TableCentre"/>
              <w:keepNext/>
              <w:keepLines/>
              <w:widowControl w:val="0"/>
              <w:ind w:left="-57" w:right="-57"/>
              <w:rPr>
                <w:rFonts w:ascii="Arial Narrow" w:hAnsi="Arial Narrow"/>
                <w:sz w:val="20"/>
                <w:szCs w:val="20"/>
              </w:rPr>
            </w:pPr>
            <w:r w:rsidRPr="0061343E">
              <w:rPr>
                <w:rFonts w:ascii="Arial Narrow" w:hAnsi="Arial Narrow"/>
                <w:sz w:val="20"/>
                <w:szCs w:val="20"/>
              </w:rPr>
              <w:t>2 (2.6)</w:t>
            </w:r>
          </w:p>
        </w:tc>
        <w:tc>
          <w:tcPr>
            <w:tcW w:w="0" w:type="auto"/>
            <w:shd w:val="clear" w:color="auto" w:fill="auto"/>
            <w:tcMar>
              <w:left w:w="20" w:type="dxa"/>
              <w:right w:w="20" w:type="dxa"/>
            </w:tcMar>
          </w:tcPr>
          <w:p w14:paraId="071C0E67" w14:textId="77777777" w:rsidR="00D85532" w:rsidRPr="0061343E" w:rsidRDefault="00D85532" w:rsidP="002234AF">
            <w:pPr>
              <w:pStyle w:val="TableCentre"/>
              <w:keepNext/>
              <w:keepLines/>
              <w:widowControl w:val="0"/>
              <w:ind w:left="-57" w:right="-57"/>
              <w:rPr>
                <w:rFonts w:ascii="Arial Narrow" w:hAnsi="Arial Narrow"/>
                <w:sz w:val="20"/>
                <w:szCs w:val="20"/>
              </w:rPr>
            </w:pPr>
            <w:r w:rsidRPr="0061343E">
              <w:rPr>
                <w:rFonts w:ascii="Arial Narrow" w:hAnsi="Arial Narrow"/>
                <w:sz w:val="20"/>
                <w:szCs w:val="20"/>
              </w:rPr>
              <w:t>0</w:t>
            </w:r>
          </w:p>
        </w:tc>
      </w:tr>
      <w:tr w:rsidR="00D85532" w:rsidRPr="0061343E" w14:paraId="5E794EAF" w14:textId="77777777" w:rsidTr="002C04CE">
        <w:tc>
          <w:tcPr>
            <w:tcW w:w="718" w:type="pct"/>
            <w:shd w:val="clear" w:color="auto" w:fill="auto"/>
            <w:tcMar>
              <w:left w:w="20" w:type="dxa"/>
              <w:right w:w="20" w:type="dxa"/>
            </w:tcMar>
          </w:tcPr>
          <w:p w14:paraId="5E889E18" w14:textId="77777777" w:rsidR="00D85532" w:rsidRPr="0061343E" w:rsidRDefault="00D85532" w:rsidP="002234AF">
            <w:pPr>
              <w:pStyle w:val="TableLeft"/>
              <w:keepNext/>
              <w:keepLines/>
              <w:widowControl w:val="0"/>
              <w:jc w:val="left"/>
              <w:rPr>
                <w:rFonts w:ascii="Arial Narrow" w:hAnsi="Arial Narrow"/>
                <w:sz w:val="20"/>
                <w:szCs w:val="20"/>
              </w:rPr>
            </w:pPr>
            <w:r w:rsidRPr="0061343E">
              <w:rPr>
                <w:rFonts w:ascii="Arial Narrow" w:hAnsi="Arial Narrow"/>
                <w:sz w:val="20"/>
                <w:szCs w:val="20"/>
              </w:rPr>
              <w:t xml:space="preserve">TEAE related to protocol </w:t>
            </w:r>
            <w:proofErr w:type="spellStart"/>
            <w:r w:rsidRPr="0061343E">
              <w:rPr>
                <w:rFonts w:ascii="Arial Narrow" w:hAnsi="Arial Narrow"/>
                <w:sz w:val="20"/>
                <w:szCs w:val="20"/>
              </w:rPr>
              <w:t>procedure</w:t>
            </w:r>
            <w:r w:rsidRPr="0061343E">
              <w:rPr>
                <w:rFonts w:ascii="Arial Narrow" w:hAnsi="Arial Narrow"/>
                <w:sz w:val="20"/>
                <w:szCs w:val="20"/>
                <w:vertAlign w:val="superscript"/>
              </w:rPr>
              <w:t>c</w:t>
            </w:r>
            <w:proofErr w:type="spellEnd"/>
          </w:p>
        </w:tc>
        <w:tc>
          <w:tcPr>
            <w:tcW w:w="0" w:type="auto"/>
            <w:shd w:val="clear" w:color="auto" w:fill="auto"/>
            <w:tcMar>
              <w:left w:w="20" w:type="dxa"/>
              <w:right w:w="20" w:type="dxa"/>
            </w:tcMar>
          </w:tcPr>
          <w:p w14:paraId="3A25F269" w14:textId="77777777" w:rsidR="00D85532" w:rsidRPr="0061343E" w:rsidRDefault="00D85532" w:rsidP="002234AF">
            <w:pPr>
              <w:pStyle w:val="TableCentre"/>
              <w:keepNext/>
              <w:keepLines/>
              <w:widowControl w:val="0"/>
              <w:ind w:left="-57" w:right="-57"/>
              <w:rPr>
                <w:rFonts w:ascii="Arial Narrow" w:hAnsi="Arial Narrow"/>
                <w:sz w:val="20"/>
                <w:szCs w:val="20"/>
              </w:rPr>
            </w:pPr>
            <w:r w:rsidRPr="0061343E">
              <w:rPr>
                <w:rFonts w:ascii="Arial Narrow" w:hAnsi="Arial Narrow"/>
                <w:sz w:val="20"/>
                <w:szCs w:val="20"/>
              </w:rPr>
              <w:t>5 (5.6)</w:t>
            </w:r>
          </w:p>
        </w:tc>
        <w:tc>
          <w:tcPr>
            <w:tcW w:w="0" w:type="auto"/>
            <w:shd w:val="clear" w:color="auto" w:fill="auto"/>
            <w:tcMar>
              <w:left w:w="20" w:type="dxa"/>
              <w:right w:w="20" w:type="dxa"/>
            </w:tcMar>
          </w:tcPr>
          <w:p w14:paraId="5CD16B01" w14:textId="77777777" w:rsidR="00D85532" w:rsidRPr="0061343E" w:rsidRDefault="00D85532" w:rsidP="002234AF">
            <w:pPr>
              <w:pStyle w:val="TableCentre"/>
              <w:keepNext/>
              <w:keepLines/>
              <w:widowControl w:val="0"/>
              <w:ind w:left="-57" w:right="-57"/>
              <w:rPr>
                <w:rFonts w:ascii="Arial Narrow" w:hAnsi="Arial Narrow"/>
                <w:sz w:val="20"/>
                <w:szCs w:val="20"/>
              </w:rPr>
            </w:pPr>
            <w:r w:rsidRPr="0061343E">
              <w:rPr>
                <w:rFonts w:ascii="Arial Narrow" w:hAnsi="Arial Narrow"/>
                <w:sz w:val="20"/>
                <w:szCs w:val="20"/>
              </w:rPr>
              <w:t>2 (2.2)</w:t>
            </w:r>
          </w:p>
        </w:tc>
        <w:tc>
          <w:tcPr>
            <w:tcW w:w="463" w:type="pct"/>
            <w:shd w:val="clear" w:color="auto" w:fill="auto"/>
            <w:tcMar>
              <w:left w:w="20" w:type="dxa"/>
              <w:right w:w="20" w:type="dxa"/>
            </w:tcMar>
          </w:tcPr>
          <w:p w14:paraId="6902DC6E" w14:textId="77777777" w:rsidR="00D85532" w:rsidRPr="0061343E" w:rsidRDefault="00D85532" w:rsidP="002234AF">
            <w:pPr>
              <w:pStyle w:val="TableCentre"/>
              <w:keepNext/>
              <w:keepLines/>
              <w:widowControl w:val="0"/>
              <w:ind w:left="-57" w:right="-57"/>
              <w:rPr>
                <w:rFonts w:ascii="Arial Narrow" w:hAnsi="Arial Narrow"/>
                <w:sz w:val="20"/>
                <w:szCs w:val="20"/>
              </w:rPr>
            </w:pPr>
            <w:r w:rsidRPr="0061343E">
              <w:rPr>
                <w:rFonts w:ascii="Arial Narrow" w:hAnsi="Arial Narrow"/>
                <w:sz w:val="20"/>
                <w:szCs w:val="20"/>
              </w:rPr>
              <w:t>2 (2.2)</w:t>
            </w:r>
          </w:p>
        </w:tc>
        <w:tc>
          <w:tcPr>
            <w:tcW w:w="0" w:type="auto"/>
            <w:shd w:val="clear" w:color="auto" w:fill="auto"/>
            <w:tcMar>
              <w:left w:w="20" w:type="dxa"/>
              <w:right w:w="20" w:type="dxa"/>
            </w:tcMar>
          </w:tcPr>
          <w:p w14:paraId="2DCF4459" w14:textId="77777777" w:rsidR="00D85532" w:rsidRPr="0061343E" w:rsidRDefault="00D85532" w:rsidP="002234AF">
            <w:pPr>
              <w:pStyle w:val="TableCentre"/>
              <w:keepNext/>
              <w:keepLines/>
              <w:widowControl w:val="0"/>
              <w:ind w:left="-57" w:right="-57"/>
              <w:rPr>
                <w:rFonts w:ascii="Arial Narrow" w:hAnsi="Arial Narrow"/>
                <w:sz w:val="20"/>
                <w:szCs w:val="20"/>
              </w:rPr>
            </w:pPr>
            <w:r w:rsidRPr="0061343E">
              <w:rPr>
                <w:rFonts w:ascii="Arial Narrow" w:hAnsi="Arial Narrow"/>
                <w:sz w:val="20"/>
                <w:szCs w:val="20"/>
              </w:rPr>
              <w:t>3 (3.0)</w:t>
            </w:r>
          </w:p>
        </w:tc>
        <w:tc>
          <w:tcPr>
            <w:tcW w:w="0" w:type="auto"/>
            <w:shd w:val="clear" w:color="auto" w:fill="auto"/>
            <w:tcMar>
              <w:left w:w="20" w:type="dxa"/>
              <w:right w:w="20" w:type="dxa"/>
            </w:tcMar>
          </w:tcPr>
          <w:p w14:paraId="037DE2C0" w14:textId="77777777" w:rsidR="00D85532" w:rsidRPr="0061343E" w:rsidRDefault="00D85532" w:rsidP="002234AF">
            <w:pPr>
              <w:pStyle w:val="TableCentre"/>
              <w:keepNext/>
              <w:keepLines/>
              <w:widowControl w:val="0"/>
              <w:ind w:left="-57" w:right="-57"/>
              <w:rPr>
                <w:rFonts w:ascii="Arial Narrow" w:hAnsi="Arial Narrow"/>
                <w:sz w:val="20"/>
                <w:szCs w:val="20"/>
              </w:rPr>
            </w:pPr>
            <w:r w:rsidRPr="0061343E">
              <w:rPr>
                <w:rFonts w:ascii="Arial Narrow" w:hAnsi="Arial Narrow"/>
                <w:sz w:val="20"/>
                <w:szCs w:val="20"/>
              </w:rPr>
              <w:t>1 (1.3)</w:t>
            </w:r>
          </w:p>
        </w:tc>
        <w:tc>
          <w:tcPr>
            <w:tcW w:w="0" w:type="auto"/>
            <w:shd w:val="clear" w:color="auto" w:fill="auto"/>
            <w:tcMar>
              <w:left w:w="20" w:type="dxa"/>
              <w:right w:w="20" w:type="dxa"/>
            </w:tcMar>
          </w:tcPr>
          <w:p w14:paraId="0F70A01E" w14:textId="77777777" w:rsidR="00D85532" w:rsidRPr="0061343E" w:rsidRDefault="00D85532" w:rsidP="002234AF">
            <w:pPr>
              <w:pStyle w:val="TableCentre"/>
              <w:keepNext/>
              <w:keepLines/>
              <w:widowControl w:val="0"/>
              <w:ind w:left="-57" w:right="-57"/>
              <w:rPr>
                <w:rFonts w:ascii="Arial Narrow" w:hAnsi="Arial Narrow"/>
                <w:sz w:val="20"/>
                <w:szCs w:val="20"/>
              </w:rPr>
            </w:pPr>
            <w:r w:rsidRPr="0061343E">
              <w:rPr>
                <w:rFonts w:ascii="Arial Narrow" w:hAnsi="Arial Narrow"/>
                <w:sz w:val="20"/>
                <w:szCs w:val="20"/>
              </w:rPr>
              <w:t>2 (2.5)</w:t>
            </w:r>
          </w:p>
        </w:tc>
        <w:tc>
          <w:tcPr>
            <w:tcW w:w="463" w:type="pct"/>
            <w:shd w:val="clear" w:color="auto" w:fill="auto"/>
            <w:tcMar>
              <w:left w:w="20" w:type="dxa"/>
              <w:right w:w="20" w:type="dxa"/>
            </w:tcMar>
          </w:tcPr>
          <w:p w14:paraId="6EBB537F" w14:textId="77777777" w:rsidR="00D85532" w:rsidRPr="0061343E" w:rsidRDefault="00D85532" w:rsidP="002234AF">
            <w:pPr>
              <w:pStyle w:val="TableCentre"/>
              <w:keepNext/>
              <w:keepLines/>
              <w:widowControl w:val="0"/>
              <w:ind w:left="-57" w:right="-57"/>
              <w:rPr>
                <w:rFonts w:ascii="Arial Narrow" w:hAnsi="Arial Narrow"/>
                <w:sz w:val="20"/>
                <w:szCs w:val="20"/>
              </w:rPr>
            </w:pPr>
            <w:r w:rsidRPr="0061343E">
              <w:rPr>
                <w:rFonts w:ascii="Arial Narrow" w:hAnsi="Arial Narrow"/>
                <w:sz w:val="20"/>
                <w:szCs w:val="20"/>
              </w:rPr>
              <w:t>1 (1.3)</w:t>
            </w:r>
          </w:p>
        </w:tc>
        <w:tc>
          <w:tcPr>
            <w:tcW w:w="0" w:type="auto"/>
            <w:shd w:val="clear" w:color="auto" w:fill="auto"/>
            <w:tcMar>
              <w:left w:w="20" w:type="dxa"/>
              <w:right w:w="20" w:type="dxa"/>
            </w:tcMar>
          </w:tcPr>
          <w:p w14:paraId="237F1C9C" w14:textId="77777777" w:rsidR="00D85532" w:rsidRPr="0061343E" w:rsidRDefault="00D85532" w:rsidP="002234AF">
            <w:pPr>
              <w:pStyle w:val="TableCentre"/>
              <w:keepNext/>
              <w:keepLines/>
              <w:widowControl w:val="0"/>
              <w:ind w:left="-57" w:right="-57"/>
              <w:rPr>
                <w:rFonts w:ascii="Arial Narrow" w:hAnsi="Arial Narrow"/>
                <w:sz w:val="20"/>
                <w:szCs w:val="20"/>
              </w:rPr>
            </w:pPr>
            <w:r w:rsidRPr="0061343E">
              <w:rPr>
                <w:rFonts w:ascii="Arial Narrow" w:hAnsi="Arial Narrow"/>
                <w:sz w:val="20"/>
                <w:szCs w:val="20"/>
              </w:rPr>
              <w:t>2 (2.4)</w:t>
            </w:r>
          </w:p>
        </w:tc>
      </w:tr>
      <w:tr w:rsidR="00D85532" w:rsidRPr="0061343E" w14:paraId="74CBCC89" w14:textId="77777777" w:rsidTr="002C04CE">
        <w:tc>
          <w:tcPr>
            <w:tcW w:w="718" w:type="pct"/>
            <w:shd w:val="clear" w:color="auto" w:fill="auto"/>
            <w:tcMar>
              <w:left w:w="20" w:type="dxa"/>
              <w:right w:w="20" w:type="dxa"/>
            </w:tcMar>
          </w:tcPr>
          <w:p w14:paraId="6ECC6A63" w14:textId="77777777" w:rsidR="00D85532" w:rsidRPr="0061343E" w:rsidRDefault="00D85532" w:rsidP="002234AF">
            <w:pPr>
              <w:pStyle w:val="TableLeft"/>
              <w:keepNext/>
              <w:keepLines/>
              <w:widowControl w:val="0"/>
              <w:jc w:val="left"/>
              <w:rPr>
                <w:rFonts w:ascii="Arial Narrow" w:hAnsi="Arial Narrow"/>
                <w:sz w:val="20"/>
                <w:szCs w:val="20"/>
              </w:rPr>
            </w:pPr>
            <w:r w:rsidRPr="0061343E">
              <w:rPr>
                <w:rFonts w:ascii="Arial Narrow" w:hAnsi="Arial Narrow"/>
                <w:sz w:val="20"/>
                <w:szCs w:val="20"/>
              </w:rPr>
              <w:t>SAE</w:t>
            </w:r>
          </w:p>
        </w:tc>
        <w:tc>
          <w:tcPr>
            <w:tcW w:w="0" w:type="auto"/>
            <w:shd w:val="clear" w:color="auto" w:fill="auto"/>
            <w:tcMar>
              <w:left w:w="20" w:type="dxa"/>
              <w:right w:w="20" w:type="dxa"/>
            </w:tcMar>
          </w:tcPr>
          <w:p w14:paraId="331A3780" w14:textId="77777777" w:rsidR="00D85532" w:rsidRPr="0061343E" w:rsidRDefault="00D85532" w:rsidP="002234AF">
            <w:pPr>
              <w:pStyle w:val="TableCentre"/>
              <w:keepNext/>
              <w:keepLines/>
              <w:widowControl w:val="0"/>
              <w:ind w:left="-57" w:right="-57"/>
              <w:rPr>
                <w:rFonts w:ascii="Arial Narrow" w:hAnsi="Arial Narrow"/>
                <w:sz w:val="20"/>
                <w:szCs w:val="20"/>
              </w:rPr>
            </w:pPr>
            <w:r w:rsidRPr="0061343E">
              <w:rPr>
                <w:rFonts w:ascii="Arial Narrow" w:hAnsi="Arial Narrow"/>
                <w:sz w:val="20"/>
                <w:szCs w:val="20"/>
              </w:rPr>
              <w:t>3 (3.3)</w:t>
            </w:r>
          </w:p>
        </w:tc>
        <w:tc>
          <w:tcPr>
            <w:tcW w:w="0" w:type="auto"/>
            <w:shd w:val="clear" w:color="auto" w:fill="auto"/>
            <w:tcMar>
              <w:left w:w="20" w:type="dxa"/>
              <w:right w:w="20" w:type="dxa"/>
            </w:tcMar>
          </w:tcPr>
          <w:p w14:paraId="0FCFF3C2" w14:textId="77777777" w:rsidR="00D85532" w:rsidRPr="0061343E" w:rsidRDefault="00D85532" w:rsidP="002234AF">
            <w:pPr>
              <w:pStyle w:val="TableCentre"/>
              <w:keepNext/>
              <w:keepLines/>
              <w:widowControl w:val="0"/>
              <w:ind w:left="-57" w:right="-57"/>
              <w:rPr>
                <w:rFonts w:ascii="Arial Narrow" w:hAnsi="Arial Narrow"/>
                <w:sz w:val="20"/>
                <w:szCs w:val="20"/>
              </w:rPr>
            </w:pPr>
            <w:r w:rsidRPr="0061343E">
              <w:rPr>
                <w:rFonts w:ascii="Arial Narrow" w:hAnsi="Arial Narrow"/>
                <w:sz w:val="20"/>
                <w:szCs w:val="20"/>
              </w:rPr>
              <w:t>4 (4.4)</w:t>
            </w:r>
          </w:p>
        </w:tc>
        <w:tc>
          <w:tcPr>
            <w:tcW w:w="463" w:type="pct"/>
            <w:shd w:val="clear" w:color="auto" w:fill="auto"/>
            <w:tcMar>
              <w:left w:w="20" w:type="dxa"/>
              <w:right w:w="20" w:type="dxa"/>
            </w:tcMar>
          </w:tcPr>
          <w:p w14:paraId="37C70D2E" w14:textId="77777777" w:rsidR="00D85532" w:rsidRPr="0061343E" w:rsidRDefault="00D85532" w:rsidP="002234AF">
            <w:pPr>
              <w:pStyle w:val="TableCentre"/>
              <w:keepNext/>
              <w:keepLines/>
              <w:widowControl w:val="0"/>
              <w:ind w:left="-57" w:right="-57"/>
              <w:rPr>
                <w:rFonts w:ascii="Arial Narrow" w:hAnsi="Arial Narrow"/>
                <w:sz w:val="20"/>
                <w:szCs w:val="20"/>
              </w:rPr>
            </w:pPr>
            <w:r w:rsidRPr="0061343E">
              <w:rPr>
                <w:rFonts w:ascii="Arial Narrow" w:hAnsi="Arial Narrow"/>
                <w:sz w:val="20"/>
                <w:szCs w:val="20"/>
              </w:rPr>
              <w:t>2 (2.2)</w:t>
            </w:r>
          </w:p>
        </w:tc>
        <w:tc>
          <w:tcPr>
            <w:tcW w:w="0" w:type="auto"/>
            <w:shd w:val="clear" w:color="auto" w:fill="auto"/>
            <w:tcMar>
              <w:left w:w="20" w:type="dxa"/>
              <w:right w:w="20" w:type="dxa"/>
            </w:tcMar>
          </w:tcPr>
          <w:p w14:paraId="6A515DEC" w14:textId="77777777" w:rsidR="00D85532" w:rsidRPr="0061343E" w:rsidRDefault="00D85532" w:rsidP="002234AF">
            <w:pPr>
              <w:pStyle w:val="TableCentre"/>
              <w:keepNext/>
              <w:keepLines/>
              <w:widowControl w:val="0"/>
              <w:ind w:left="-57" w:right="-57"/>
              <w:rPr>
                <w:rFonts w:ascii="Arial Narrow" w:hAnsi="Arial Narrow"/>
                <w:sz w:val="20"/>
                <w:szCs w:val="20"/>
              </w:rPr>
            </w:pPr>
            <w:r w:rsidRPr="0061343E">
              <w:rPr>
                <w:rFonts w:ascii="Arial Narrow" w:hAnsi="Arial Narrow"/>
                <w:sz w:val="20"/>
                <w:szCs w:val="20"/>
              </w:rPr>
              <w:t>1 (1.0)</w:t>
            </w:r>
          </w:p>
        </w:tc>
        <w:tc>
          <w:tcPr>
            <w:tcW w:w="0" w:type="auto"/>
            <w:shd w:val="clear" w:color="auto" w:fill="auto"/>
            <w:tcMar>
              <w:left w:w="20" w:type="dxa"/>
              <w:right w:w="20" w:type="dxa"/>
            </w:tcMar>
          </w:tcPr>
          <w:p w14:paraId="4E8D1A20" w14:textId="77777777" w:rsidR="00D85532" w:rsidRPr="0061343E" w:rsidRDefault="00D85532" w:rsidP="002234AF">
            <w:pPr>
              <w:pStyle w:val="TableCentre"/>
              <w:keepNext/>
              <w:keepLines/>
              <w:widowControl w:val="0"/>
              <w:ind w:left="-57" w:right="-57"/>
              <w:rPr>
                <w:rFonts w:ascii="Arial Narrow" w:hAnsi="Arial Narrow"/>
                <w:sz w:val="20"/>
                <w:szCs w:val="20"/>
              </w:rPr>
            </w:pPr>
            <w:r w:rsidRPr="0061343E">
              <w:rPr>
                <w:rFonts w:ascii="Arial Narrow" w:hAnsi="Arial Narrow"/>
                <w:sz w:val="20"/>
                <w:szCs w:val="20"/>
              </w:rPr>
              <w:t>0</w:t>
            </w:r>
          </w:p>
        </w:tc>
        <w:tc>
          <w:tcPr>
            <w:tcW w:w="0" w:type="auto"/>
            <w:shd w:val="clear" w:color="auto" w:fill="auto"/>
            <w:tcMar>
              <w:left w:w="20" w:type="dxa"/>
              <w:right w:w="20" w:type="dxa"/>
            </w:tcMar>
          </w:tcPr>
          <w:p w14:paraId="16300CFA" w14:textId="77777777" w:rsidR="00D85532" w:rsidRPr="0061343E" w:rsidRDefault="00D85532" w:rsidP="002234AF">
            <w:pPr>
              <w:pStyle w:val="TableCentre"/>
              <w:keepNext/>
              <w:keepLines/>
              <w:widowControl w:val="0"/>
              <w:ind w:left="-57" w:right="-57"/>
              <w:rPr>
                <w:rFonts w:ascii="Arial Narrow" w:hAnsi="Arial Narrow"/>
                <w:sz w:val="20"/>
                <w:szCs w:val="20"/>
              </w:rPr>
            </w:pPr>
            <w:r w:rsidRPr="0061343E">
              <w:rPr>
                <w:rFonts w:ascii="Arial Narrow" w:hAnsi="Arial Narrow"/>
                <w:sz w:val="20"/>
                <w:szCs w:val="20"/>
              </w:rPr>
              <w:t>6 (7.6)</w:t>
            </w:r>
          </w:p>
        </w:tc>
        <w:tc>
          <w:tcPr>
            <w:tcW w:w="463" w:type="pct"/>
            <w:shd w:val="clear" w:color="auto" w:fill="auto"/>
            <w:tcMar>
              <w:left w:w="20" w:type="dxa"/>
              <w:right w:w="20" w:type="dxa"/>
            </w:tcMar>
          </w:tcPr>
          <w:p w14:paraId="4C6E9402" w14:textId="77777777" w:rsidR="00D85532" w:rsidRPr="0061343E" w:rsidRDefault="00D85532" w:rsidP="002234AF">
            <w:pPr>
              <w:pStyle w:val="TableCentre"/>
              <w:keepNext/>
              <w:keepLines/>
              <w:widowControl w:val="0"/>
              <w:ind w:left="-57" w:right="-57"/>
              <w:rPr>
                <w:rFonts w:ascii="Arial Narrow" w:hAnsi="Arial Narrow"/>
                <w:sz w:val="20"/>
                <w:szCs w:val="20"/>
              </w:rPr>
            </w:pPr>
            <w:r w:rsidRPr="0061343E">
              <w:rPr>
                <w:rFonts w:ascii="Arial Narrow" w:hAnsi="Arial Narrow"/>
                <w:sz w:val="20"/>
                <w:szCs w:val="20"/>
              </w:rPr>
              <w:t>2 (2.6)</w:t>
            </w:r>
          </w:p>
        </w:tc>
        <w:tc>
          <w:tcPr>
            <w:tcW w:w="0" w:type="auto"/>
            <w:shd w:val="clear" w:color="auto" w:fill="auto"/>
            <w:tcMar>
              <w:left w:w="20" w:type="dxa"/>
              <w:right w:w="20" w:type="dxa"/>
            </w:tcMar>
          </w:tcPr>
          <w:p w14:paraId="4930EB9D" w14:textId="77777777" w:rsidR="00D85532" w:rsidRPr="0061343E" w:rsidRDefault="00D85532" w:rsidP="002234AF">
            <w:pPr>
              <w:pStyle w:val="TableCentre"/>
              <w:keepNext/>
              <w:keepLines/>
              <w:widowControl w:val="0"/>
              <w:ind w:left="-57" w:right="-57"/>
              <w:rPr>
                <w:rFonts w:ascii="Arial Narrow" w:hAnsi="Arial Narrow"/>
                <w:sz w:val="20"/>
                <w:szCs w:val="20"/>
              </w:rPr>
            </w:pPr>
            <w:r w:rsidRPr="0061343E">
              <w:rPr>
                <w:rFonts w:ascii="Arial Narrow" w:hAnsi="Arial Narrow"/>
                <w:sz w:val="20"/>
                <w:szCs w:val="20"/>
              </w:rPr>
              <w:t>1 (1.2)</w:t>
            </w:r>
          </w:p>
        </w:tc>
      </w:tr>
      <w:tr w:rsidR="00D85532" w:rsidRPr="0061343E" w14:paraId="319C256B" w14:textId="77777777" w:rsidTr="002C04CE">
        <w:tc>
          <w:tcPr>
            <w:tcW w:w="718" w:type="pct"/>
            <w:shd w:val="clear" w:color="auto" w:fill="auto"/>
            <w:tcMar>
              <w:left w:w="20" w:type="dxa"/>
              <w:right w:w="20" w:type="dxa"/>
            </w:tcMar>
          </w:tcPr>
          <w:p w14:paraId="49729031" w14:textId="77777777" w:rsidR="00D85532" w:rsidRPr="0061343E" w:rsidRDefault="00D85532" w:rsidP="002234AF">
            <w:pPr>
              <w:pStyle w:val="TableLeft"/>
              <w:keepNext/>
              <w:keepLines/>
              <w:widowControl w:val="0"/>
              <w:jc w:val="left"/>
              <w:rPr>
                <w:rFonts w:ascii="Arial Narrow" w:hAnsi="Arial Narrow"/>
                <w:sz w:val="20"/>
                <w:szCs w:val="20"/>
              </w:rPr>
            </w:pPr>
            <w:r w:rsidRPr="0061343E">
              <w:rPr>
                <w:rFonts w:ascii="Arial Narrow" w:hAnsi="Arial Narrow"/>
                <w:sz w:val="20"/>
                <w:szCs w:val="20"/>
              </w:rPr>
              <w:t>SAE related to study drug</w:t>
            </w:r>
          </w:p>
        </w:tc>
        <w:tc>
          <w:tcPr>
            <w:tcW w:w="0" w:type="auto"/>
            <w:shd w:val="clear" w:color="auto" w:fill="auto"/>
            <w:tcMar>
              <w:left w:w="20" w:type="dxa"/>
              <w:right w:w="20" w:type="dxa"/>
            </w:tcMar>
          </w:tcPr>
          <w:p w14:paraId="4B127B58" w14:textId="77777777" w:rsidR="00D85532" w:rsidRPr="0061343E" w:rsidRDefault="00D85532" w:rsidP="002234AF">
            <w:pPr>
              <w:pStyle w:val="TableCentre"/>
              <w:keepNext/>
              <w:keepLines/>
              <w:widowControl w:val="0"/>
              <w:ind w:left="-57" w:right="-57"/>
              <w:rPr>
                <w:rFonts w:ascii="Arial Narrow" w:hAnsi="Arial Narrow"/>
                <w:sz w:val="20"/>
                <w:szCs w:val="20"/>
              </w:rPr>
            </w:pPr>
            <w:r w:rsidRPr="0061343E">
              <w:rPr>
                <w:rFonts w:ascii="Arial Narrow" w:hAnsi="Arial Narrow"/>
                <w:sz w:val="20"/>
                <w:szCs w:val="20"/>
              </w:rPr>
              <w:t>0</w:t>
            </w:r>
          </w:p>
        </w:tc>
        <w:tc>
          <w:tcPr>
            <w:tcW w:w="0" w:type="auto"/>
            <w:shd w:val="clear" w:color="auto" w:fill="auto"/>
            <w:tcMar>
              <w:left w:w="20" w:type="dxa"/>
              <w:right w:w="20" w:type="dxa"/>
            </w:tcMar>
          </w:tcPr>
          <w:p w14:paraId="1F12CD1E" w14:textId="77777777" w:rsidR="00D85532" w:rsidRPr="0061343E" w:rsidRDefault="00D85532" w:rsidP="002234AF">
            <w:pPr>
              <w:pStyle w:val="TableCentre"/>
              <w:keepNext/>
              <w:keepLines/>
              <w:widowControl w:val="0"/>
              <w:ind w:left="-57" w:right="-57"/>
              <w:rPr>
                <w:rFonts w:ascii="Arial Narrow" w:hAnsi="Arial Narrow"/>
                <w:sz w:val="20"/>
                <w:szCs w:val="20"/>
              </w:rPr>
            </w:pPr>
            <w:r w:rsidRPr="0061343E">
              <w:rPr>
                <w:rFonts w:ascii="Arial Narrow" w:hAnsi="Arial Narrow"/>
                <w:sz w:val="20"/>
                <w:szCs w:val="20"/>
              </w:rPr>
              <w:t>0</w:t>
            </w:r>
          </w:p>
        </w:tc>
        <w:tc>
          <w:tcPr>
            <w:tcW w:w="463" w:type="pct"/>
            <w:shd w:val="clear" w:color="auto" w:fill="auto"/>
            <w:tcMar>
              <w:left w:w="20" w:type="dxa"/>
              <w:right w:w="20" w:type="dxa"/>
            </w:tcMar>
          </w:tcPr>
          <w:p w14:paraId="2F53ABD3" w14:textId="77777777" w:rsidR="00D85532" w:rsidRPr="0061343E" w:rsidRDefault="00D85532" w:rsidP="002234AF">
            <w:pPr>
              <w:pStyle w:val="TableCentre"/>
              <w:keepNext/>
              <w:keepLines/>
              <w:widowControl w:val="0"/>
              <w:ind w:left="-57" w:right="-57"/>
              <w:rPr>
                <w:rFonts w:ascii="Arial Narrow" w:hAnsi="Arial Narrow"/>
                <w:sz w:val="20"/>
                <w:szCs w:val="20"/>
              </w:rPr>
            </w:pPr>
            <w:r w:rsidRPr="0061343E">
              <w:rPr>
                <w:rFonts w:ascii="Arial Narrow" w:hAnsi="Arial Narrow"/>
                <w:sz w:val="20"/>
                <w:szCs w:val="20"/>
              </w:rPr>
              <w:t>0</w:t>
            </w:r>
          </w:p>
        </w:tc>
        <w:tc>
          <w:tcPr>
            <w:tcW w:w="0" w:type="auto"/>
            <w:shd w:val="clear" w:color="auto" w:fill="auto"/>
            <w:tcMar>
              <w:left w:w="20" w:type="dxa"/>
              <w:right w:w="20" w:type="dxa"/>
            </w:tcMar>
          </w:tcPr>
          <w:p w14:paraId="37F392C6" w14:textId="77777777" w:rsidR="00D85532" w:rsidRPr="0061343E" w:rsidRDefault="00D85532" w:rsidP="002234AF">
            <w:pPr>
              <w:pStyle w:val="TableCentre"/>
              <w:keepNext/>
              <w:keepLines/>
              <w:widowControl w:val="0"/>
              <w:ind w:left="-57" w:right="-57"/>
              <w:rPr>
                <w:rFonts w:ascii="Arial Narrow" w:hAnsi="Arial Narrow"/>
                <w:sz w:val="20"/>
                <w:szCs w:val="20"/>
              </w:rPr>
            </w:pPr>
            <w:r w:rsidRPr="0061343E">
              <w:rPr>
                <w:rFonts w:ascii="Arial Narrow" w:hAnsi="Arial Narrow"/>
                <w:sz w:val="20"/>
                <w:szCs w:val="20"/>
              </w:rPr>
              <w:t>0</w:t>
            </w:r>
          </w:p>
        </w:tc>
        <w:tc>
          <w:tcPr>
            <w:tcW w:w="0" w:type="auto"/>
            <w:shd w:val="clear" w:color="auto" w:fill="auto"/>
            <w:tcMar>
              <w:left w:w="20" w:type="dxa"/>
              <w:right w:w="20" w:type="dxa"/>
            </w:tcMar>
          </w:tcPr>
          <w:p w14:paraId="16527698" w14:textId="77777777" w:rsidR="00D85532" w:rsidRPr="0061343E" w:rsidRDefault="00D85532" w:rsidP="002234AF">
            <w:pPr>
              <w:pStyle w:val="TableCentre"/>
              <w:keepNext/>
              <w:keepLines/>
              <w:widowControl w:val="0"/>
              <w:ind w:left="-57" w:right="-57"/>
              <w:rPr>
                <w:rFonts w:ascii="Arial Narrow" w:hAnsi="Arial Narrow"/>
                <w:sz w:val="20"/>
                <w:szCs w:val="20"/>
              </w:rPr>
            </w:pPr>
            <w:r w:rsidRPr="0061343E">
              <w:rPr>
                <w:rFonts w:ascii="Arial Narrow" w:hAnsi="Arial Narrow"/>
                <w:sz w:val="20"/>
                <w:szCs w:val="20"/>
              </w:rPr>
              <w:t>0</w:t>
            </w:r>
          </w:p>
        </w:tc>
        <w:tc>
          <w:tcPr>
            <w:tcW w:w="0" w:type="auto"/>
            <w:shd w:val="clear" w:color="auto" w:fill="auto"/>
            <w:tcMar>
              <w:left w:w="20" w:type="dxa"/>
              <w:right w:w="20" w:type="dxa"/>
            </w:tcMar>
          </w:tcPr>
          <w:p w14:paraId="749C75B0" w14:textId="77777777" w:rsidR="00D85532" w:rsidRPr="0061343E" w:rsidRDefault="00D85532" w:rsidP="002234AF">
            <w:pPr>
              <w:pStyle w:val="TableCentre"/>
              <w:keepNext/>
              <w:keepLines/>
              <w:widowControl w:val="0"/>
              <w:ind w:left="-57" w:right="-57"/>
              <w:rPr>
                <w:rFonts w:ascii="Arial Narrow" w:hAnsi="Arial Narrow"/>
                <w:sz w:val="20"/>
                <w:szCs w:val="20"/>
              </w:rPr>
            </w:pPr>
            <w:r w:rsidRPr="0061343E">
              <w:rPr>
                <w:rFonts w:ascii="Arial Narrow" w:hAnsi="Arial Narrow"/>
                <w:sz w:val="20"/>
                <w:szCs w:val="20"/>
              </w:rPr>
              <w:t>1 (1.3)</w:t>
            </w:r>
          </w:p>
        </w:tc>
        <w:tc>
          <w:tcPr>
            <w:tcW w:w="463" w:type="pct"/>
            <w:shd w:val="clear" w:color="auto" w:fill="auto"/>
            <w:tcMar>
              <w:left w:w="20" w:type="dxa"/>
              <w:right w:w="20" w:type="dxa"/>
            </w:tcMar>
          </w:tcPr>
          <w:p w14:paraId="315BE44A" w14:textId="77777777" w:rsidR="00D85532" w:rsidRPr="0061343E" w:rsidRDefault="00D85532" w:rsidP="002234AF">
            <w:pPr>
              <w:pStyle w:val="TableCentre"/>
              <w:keepNext/>
              <w:keepLines/>
              <w:widowControl w:val="0"/>
              <w:ind w:left="-57" w:right="-57"/>
              <w:rPr>
                <w:rFonts w:ascii="Arial Narrow" w:hAnsi="Arial Narrow"/>
                <w:sz w:val="20"/>
                <w:szCs w:val="20"/>
              </w:rPr>
            </w:pPr>
            <w:r w:rsidRPr="0061343E">
              <w:rPr>
                <w:rFonts w:ascii="Arial Narrow" w:hAnsi="Arial Narrow"/>
                <w:sz w:val="20"/>
                <w:szCs w:val="20"/>
              </w:rPr>
              <w:t>1 (1.3)</w:t>
            </w:r>
          </w:p>
        </w:tc>
        <w:tc>
          <w:tcPr>
            <w:tcW w:w="0" w:type="auto"/>
            <w:shd w:val="clear" w:color="auto" w:fill="auto"/>
            <w:tcMar>
              <w:left w:w="20" w:type="dxa"/>
              <w:right w:w="20" w:type="dxa"/>
            </w:tcMar>
          </w:tcPr>
          <w:p w14:paraId="2D51AE65" w14:textId="77777777" w:rsidR="00D85532" w:rsidRPr="0061343E" w:rsidRDefault="00D85532" w:rsidP="002234AF">
            <w:pPr>
              <w:pStyle w:val="TableCentre"/>
              <w:keepNext/>
              <w:keepLines/>
              <w:widowControl w:val="0"/>
              <w:ind w:left="-57" w:right="-57"/>
              <w:rPr>
                <w:rFonts w:ascii="Arial Narrow" w:hAnsi="Arial Narrow"/>
                <w:sz w:val="20"/>
                <w:szCs w:val="20"/>
              </w:rPr>
            </w:pPr>
            <w:r w:rsidRPr="0061343E">
              <w:rPr>
                <w:rFonts w:ascii="Arial Narrow" w:hAnsi="Arial Narrow"/>
                <w:sz w:val="20"/>
                <w:szCs w:val="20"/>
              </w:rPr>
              <w:t>0</w:t>
            </w:r>
          </w:p>
        </w:tc>
      </w:tr>
      <w:tr w:rsidR="00D85532" w:rsidRPr="0061343E" w14:paraId="6651448A" w14:textId="77777777" w:rsidTr="002C04CE">
        <w:tc>
          <w:tcPr>
            <w:tcW w:w="718" w:type="pct"/>
            <w:shd w:val="clear" w:color="auto" w:fill="auto"/>
            <w:tcMar>
              <w:left w:w="20" w:type="dxa"/>
              <w:right w:w="20" w:type="dxa"/>
            </w:tcMar>
          </w:tcPr>
          <w:p w14:paraId="4E5453B6" w14:textId="77777777" w:rsidR="00D85532" w:rsidRPr="0061343E" w:rsidRDefault="00D85532" w:rsidP="002234AF">
            <w:pPr>
              <w:pStyle w:val="TableLeft"/>
              <w:keepNext/>
              <w:keepLines/>
              <w:widowControl w:val="0"/>
              <w:jc w:val="left"/>
              <w:rPr>
                <w:rFonts w:ascii="Arial Narrow" w:hAnsi="Arial Narrow"/>
                <w:sz w:val="20"/>
                <w:szCs w:val="20"/>
              </w:rPr>
            </w:pPr>
            <w:r w:rsidRPr="0061343E">
              <w:rPr>
                <w:rFonts w:ascii="Arial Narrow" w:hAnsi="Arial Narrow"/>
                <w:sz w:val="20"/>
                <w:szCs w:val="20"/>
              </w:rPr>
              <w:t>TEAE leading to study drug withdrawal</w:t>
            </w:r>
          </w:p>
        </w:tc>
        <w:tc>
          <w:tcPr>
            <w:tcW w:w="0" w:type="auto"/>
            <w:shd w:val="clear" w:color="auto" w:fill="auto"/>
            <w:tcMar>
              <w:left w:w="20" w:type="dxa"/>
              <w:right w:w="20" w:type="dxa"/>
            </w:tcMar>
          </w:tcPr>
          <w:p w14:paraId="141C3ECB" w14:textId="77777777" w:rsidR="00D85532" w:rsidRPr="0061343E" w:rsidRDefault="00D85532" w:rsidP="002234AF">
            <w:pPr>
              <w:pStyle w:val="TableCentre"/>
              <w:keepNext/>
              <w:keepLines/>
              <w:widowControl w:val="0"/>
              <w:ind w:left="-57" w:right="-57"/>
              <w:rPr>
                <w:rFonts w:ascii="Arial Narrow" w:hAnsi="Arial Narrow"/>
                <w:sz w:val="20"/>
                <w:szCs w:val="20"/>
              </w:rPr>
            </w:pPr>
            <w:r w:rsidRPr="0061343E">
              <w:rPr>
                <w:rFonts w:ascii="Arial Narrow" w:hAnsi="Arial Narrow"/>
                <w:sz w:val="20"/>
                <w:szCs w:val="20"/>
              </w:rPr>
              <w:t>3 (3.3)</w:t>
            </w:r>
          </w:p>
        </w:tc>
        <w:tc>
          <w:tcPr>
            <w:tcW w:w="0" w:type="auto"/>
            <w:shd w:val="clear" w:color="auto" w:fill="auto"/>
            <w:tcMar>
              <w:left w:w="20" w:type="dxa"/>
              <w:right w:w="20" w:type="dxa"/>
            </w:tcMar>
          </w:tcPr>
          <w:p w14:paraId="1AA1A4C6" w14:textId="77777777" w:rsidR="00D85532" w:rsidRPr="0061343E" w:rsidRDefault="00D85532" w:rsidP="002234AF">
            <w:pPr>
              <w:pStyle w:val="TableCentre"/>
              <w:keepNext/>
              <w:keepLines/>
              <w:widowControl w:val="0"/>
              <w:ind w:left="-57" w:right="-57"/>
              <w:rPr>
                <w:rFonts w:ascii="Arial Narrow" w:hAnsi="Arial Narrow"/>
                <w:sz w:val="20"/>
                <w:szCs w:val="20"/>
              </w:rPr>
            </w:pPr>
            <w:r w:rsidRPr="0061343E">
              <w:rPr>
                <w:rFonts w:ascii="Arial Narrow" w:hAnsi="Arial Narrow"/>
                <w:sz w:val="20"/>
                <w:szCs w:val="20"/>
              </w:rPr>
              <w:t>1 (1.1)</w:t>
            </w:r>
          </w:p>
        </w:tc>
        <w:tc>
          <w:tcPr>
            <w:tcW w:w="463" w:type="pct"/>
            <w:shd w:val="clear" w:color="auto" w:fill="auto"/>
            <w:tcMar>
              <w:left w:w="20" w:type="dxa"/>
              <w:right w:w="20" w:type="dxa"/>
            </w:tcMar>
          </w:tcPr>
          <w:p w14:paraId="463B0E28" w14:textId="77777777" w:rsidR="00D85532" w:rsidRPr="0061343E" w:rsidRDefault="00D85532" w:rsidP="002234AF">
            <w:pPr>
              <w:pStyle w:val="TableCentre"/>
              <w:keepNext/>
              <w:keepLines/>
              <w:widowControl w:val="0"/>
              <w:ind w:left="-57" w:right="-57"/>
              <w:rPr>
                <w:rFonts w:ascii="Arial Narrow" w:hAnsi="Arial Narrow"/>
                <w:sz w:val="20"/>
                <w:szCs w:val="20"/>
              </w:rPr>
            </w:pPr>
            <w:r w:rsidRPr="0061343E">
              <w:rPr>
                <w:rFonts w:ascii="Arial Narrow" w:hAnsi="Arial Narrow"/>
                <w:sz w:val="20"/>
                <w:szCs w:val="20"/>
              </w:rPr>
              <w:t>2 (2.2)</w:t>
            </w:r>
          </w:p>
        </w:tc>
        <w:tc>
          <w:tcPr>
            <w:tcW w:w="0" w:type="auto"/>
            <w:shd w:val="clear" w:color="auto" w:fill="auto"/>
            <w:tcMar>
              <w:left w:w="20" w:type="dxa"/>
              <w:right w:w="20" w:type="dxa"/>
            </w:tcMar>
          </w:tcPr>
          <w:p w14:paraId="629AE048" w14:textId="77777777" w:rsidR="00D85532" w:rsidRPr="0061343E" w:rsidRDefault="00D85532" w:rsidP="002234AF">
            <w:pPr>
              <w:pStyle w:val="TableCentre"/>
              <w:keepNext/>
              <w:keepLines/>
              <w:widowControl w:val="0"/>
              <w:ind w:left="-57" w:right="-57"/>
              <w:rPr>
                <w:rFonts w:ascii="Arial Narrow" w:hAnsi="Arial Narrow"/>
                <w:sz w:val="20"/>
                <w:szCs w:val="20"/>
              </w:rPr>
            </w:pPr>
            <w:r w:rsidRPr="0061343E">
              <w:rPr>
                <w:rFonts w:ascii="Arial Narrow" w:hAnsi="Arial Narrow"/>
                <w:sz w:val="20"/>
                <w:szCs w:val="20"/>
              </w:rPr>
              <w:t>2 (2.0)</w:t>
            </w:r>
          </w:p>
        </w:tc>
        <w:tc>
          <w:tcPr>
            <w:tcW w:w="0" w:type="auto"/>
            <w:shd w:val="clear" w:color="auto" w:fill="auto"/>
            <w:tcMar>
              <w:left w:w="20" w:type="dxa"/>
              <w:right w:w="20" w:type="dxa"/>
            </w:tcMar>
          </w:tcPr>
          <w:p w14:paraId="6A9B1C7F" w14:textId="77777777" w:rsidR="00D85532" w:rsidRPr="0061343E" w:rsidRDefault="00D85532" w:rsidP="002234AF">
            <w:pPr>
              <w:pStyle w:val="TableCentre"/>
              <w:keepNext/>
              <w:keepLines/>
              <w:widowControl w:val="0"/>
              <w:ind w:left="-57" w:right="-57"/>
              <w:rPr>
                <w:rFonts w:ascii="Arial Narrow" w:hAnsi="Arial Narrow"/>
                <w:sz w:val="20"/>
                <w:szCs w:val="20"/>
              </w:rPr>
            </w:pPr>
            <w:r w:rsidRPr="0061343E">
              <w:rPr>
                <w:rFonts w:ascii="Arial Narrow" w:hAnsi="Arial Narrow"/>
                <w:sz w:val="20"/>
                <w:szCs w:val="20"/>
              </w:rPr>
              <w:t>2 (2.6)</w:t>
            </w:r>
          </w:p>
        </w:tc>
        <w:tc>
          <w:tcPr>
            <w:tcW w:w="0" w:type="auto"/>
            <w:shd w:val="clear" w:color="auto" w:fill="auto"/>
            <w:tcMar>
              <w:left w:w="20" w:type="dxa"/>
              <w:right w:w="20" w:type="dxa"/>
            </w:tcMar>
          </w:tcPr>
          <w:p w14:paraId="5BA11505" w14:textId="77777777" w:rsidR="00D85532" w:rsidRPr="0061343E" w:rsidRDefault="00D85532" w:rsidP="002234AF">
            <w:pPr>
              <w:pStyle w:val="TableCentre"/>
              <w:keepNext/>
              <w:keepLines/>
              <w:widowControl w:val="0"/>
              <w:ind w:left="-57" w:right="-57"/>
              <w:rPr>
                <w:rFonts w:ascii="Arial Narrow" w:hAnsi="Arial Narrow"/>
                <w:sz w:val="20"/>
                <w:szCs w:val="20"/>
              </w:rPr>
            </w:pPr>
            <w:r w:rsidRPr="0061343E">
              <w:rPr>
                <w:rFonts w:ascii="Arial Narrow" w:hAnsi="Arial Narrow"/>
                <w:sz w:val="20"/>
                <w:szCs w:val="20"/>
              </w:rPr>
              <w:t>3 (3.8)</w:t>
            </w:r>
          </w:p>
        </w:tc>
        <w:tc>
          <w:tcPr>
            <w:tcW w:w="463" w:type="pct"/>
            <w:shd w:val="clear" w:color="auto" w:fill="auto"/>
            <w:tcMar>
              <w:left w:w="20" w:type="dxa"/>
              <w:right w:w="20" w:type="dxa"/>
            </w:tcMar>
          </w:tcPr>
          <w:p w14:paraId="4DB03556" w14:textId="77777777" w:rsidR="00D85532" w:rsidRPr="0061343E" w:rsidRDefault="00D85532" w:rsidP="002234AF">
            <w:pPr>
              <w:pStyle w:val="TableCentre"/>
              <w:keepNext/>
              <w:keepLines/>
              <w:widowControl w:val="0"/>
              <w:ind w:left="-57" w:right="-57"/>
              <w:rPr>
                <w:rFonts w:ascii="Arial Narrow" w:hAnsi="Arial Narrow"/>
                <w:sz w:val="20"/>
                <w:szCs w:val="20"/>
              </w:rPr>
            </w:pPr>
            <w:r w:rsidRPr="0061343E">
              <w:rPr>
                <w:rFonts w:ascii="Arial Narrow" w:hAnsi="Arial Narrow"/>
                <w:sz w:val="20"/>
                <w:szCs w:val="20"/>
              </w:rPr>
              <w:t>3 (3.9)</w:t>
            </w:r>
          </w:p>
        </w:tc>
        <w:tc>
          <w:tcPr>
            <w:tcW w:w="0" w:type="auto"/>
            <w:shd w:val="clear" w:color="auto" w:fill="auto"/>
            <w:tcMar>
              <w:left w:w="20" w:type="dxa"/>
              <w:right w:w="20" w:type="dxa"/>
            </w:tcMar>
          </w:tcPr>
          <w:p w14:paraId="7BFAF9E2" w14:textId="77777777" w:rsidR="00D85532" w:rsidRPr="0061343E" w:rsidRDefault="00D85532" w:rsidP="002234AF">
            <w:pPr>
              <w:pStyle w:val="TableCentre"/>
              <w:keepNext/>
              <w:keepLines/>
              <w:widowControl w:val="0"/>
              <w:ind w:left="-57" w:right="-57"/>
              <w:rPr>
                <w:rFonts w:ascii="Arial Narrow" w:hAnsi="Arial Narrow"/>
                <w:sz w:val="20"/>
                <w:szCs w:val="20"/>
              </w:rPr>
            </w:pPr>
            <w:r w:rsidRPr="0061343E">
              <w:rPr>
                <w:rFonts w:ascii="Arial Narrow" w:hAnsi="Arial Narrow"/>
                <w:sz w:val="20"/>
                <w:szCs w:val="20"/>
              </w:rPr>
              <w:t>2 (2.4)</w:t>
            </w:r>
          </w:p>
        </w:tc>
      </w:tr>
      <w:tr w:rsidR="00D85532" w:rsidRPr="0061343E" w14:paraId="4E77E0DA" w14:textId="77777777" w:rsidTr="002C04CE">
        <w:tc>
          <w:tcPr>
            <w:tcW w:w="718" w:type="pct"/>
            <w:shd w:val="clear" w:color="auto" w:fill="auto"/>
            <w:tcMar>
              <w:left w:w="20" w:type="dxa"/>
              <w:right w:w="20" w:type="dxa"/>
            </w:tcMar>
          </w:tcPr>
          <w:p w14:paraId="56BF62A2" w14:textId="77777777" w:rsidR="00D85532" w:rsidRPr="0061343E" w:rsidRDefault="00D85532" w:rsidP="002234AF">
            <w:pPr>
              <w:pStyle w:val="TableLeft"/>
              <w:keepNext/>
              <w:keepLines/>
              <w:widowControl w:val="0"/>
              <w:jc w:val="left"/>
              <w:rPr>
                <w:rFonts w:ascii="Arial Narrow" w:hAnsi="Arial Narrow"/>
                <w:sz w:val="20"/>
                <w:szCs w:val="20"/>
              </w:rPr>
            </w:pPr>
            <w:r w:rsidRPr="0061343E">
              <w:rPr>
                <w:rFonts w:ascii="Arial Narrow" w:hAnsi="Arial Narrow"/>
                <w:sz w:val="20"/>
                <w:szCs w:val="20"/>
              </w:rPr>
              <w:t>TEAE leading to study discontinuation</w:t>
            </w:r>
          </w:p>
        </w:tc>
        <w:tc>
          <w:tcPr>
            <w:tcW w:w="0" w:type="auto"/>
            <w:shd w:val="clear" w:color="auto" w:fill="auto"/>
            <w:tcMar>
              <w:left w:w="20" w:type="dxa"/>
              <w:right w:w="20" w:type="dxa"/>
            </w:tcMar>
          </w:tcPr>
          <w:p w14:paraId="0737CE67" w14:textId="77777777" w:rsidR="00D85532" w:rsidRPr="0061343E" w:rsidRDefault="00D85532" w:rsidP="002234AF">
            <w:pPr>
              <w:pStyle w:val="TableCentre"/>
              <w:keepNext/>
              <w:keepLines/>
              <w:widowControl w:val="0"/>
              <w:ind w:left="-57" w:right="-57"/>
              <w:rPr>
                <w:rFonts w:ascii="Arial Narrow" w:hAnsi="Arial Narrow"/>
                <w:sz w:val="20"/>
                <w:szCs w:val="20"/>
              </w:rPr>
            </w:pPr>
            <w:r w:rsidRPr="0061343E">
              <w:rPr>
                <w:rFonts w:ascii="Arial Narrow" w:hAnsi="Arial Narrow"/>
                <w:sz w:val="20"/>
                <w:szCs w:val="20"/>
              </w:rPr>
              <w:t>3 (3.3)</w:t>
            </w:r>
          </w:p>
        </w:tc>
        <w:tc>
          <w:tcPr>
            <w:tcW w:w="0" w:type="auto"/>
            <w:shd w:val="clear" w:color="auto" w:fill="auto"/>
            <w:tcMar>
              <w:left w:w="20" w:type="dxa"/>
              <w:right w:w="20" w:type="dxa"/>
            </w:tcMar>
          </w:tcPr>
          <w:p w14:paraId="02F5E7F7" w14:textId="77777777" w:rsidR="00D85532" w:rsidRPr="0061343E" w:rsidRDefault="00D85532" w:rsidP="002234AF">
            <w:pPr>
              <w:pStyle w:val="TableCentre"/>
              <w:keepNext/>
              <w:keepLines/>
              <w:widowControl w:val="0"/>
              <w:ind w:left="-57" w:right="-57"/>
              <w:rPr>
                <w:rFonts w:ascii="Arial Narrow" w:hAnsi="Arial Narrow"/>
                <w:sz w:val="20"/>
                <w:szCs w:val="20"/>
              </w:rPr>
            </w:pPr>
            <w:r w:rsidRPr="0061343E">
              <w:rPr>
                <w:rFonts w:ascii="Arial Narrow" w:hAnsi="Arial Narrow"/>
                <w:sz w:val="20"/>
                <w:szCs w:val="20"/>
              </w:rPr>
              <w:t>0</w:t>
            </w:r>
          </w:p>
        </w:tc>
        <w:tc>
          <w:tcPr>
            <w:tcW w:w="463" w:type="pct"/>
            <w:shd w:val="clear" w:color="auto" w:fill="auto"/>
            <w:tcMar>
              <w:left w:w="20" w:type="dxa"/>
              <w:right w:w="20" w:type="dxa"/>
            </w:tcMar>
          </w:tcPr>
          <w:p w14:paraId="2ED09818" w14:textId="77777777" w:rsidR="00D85532" w:rsidRPr="0061343E" w:rsidRDefault="00D85532" w:rsidP="002234AF">
            <w:pPr>
              <w:pStyle w:val="TableCentre"/>
              <w:keepNext/>
              <w:keepLines/>
              <w:widowControl w:val="0"/>
              <w:ind w:left="-57" w:right="-57"/>
              <w:rPr>
                <w:rFonts w:ascii="Arial Narrow" w:hAnsi="Arial Narrow"/>
                <w:sz w:val="20"/>
                <w:szCs w:val="20"/>
              </w:rPr>
            </w:pPr>
            <w:r w:rsidRPr="0061343E">
              <w:rPr>
                <w:rFonts w:ascii="Arial Narrow" w:hAnsi="Arial Narrow"/>
                <w:sz w:val="20"/>
                <w:szCs w:val="20"/>
              </w:rPr>
              <w:t>1 (1.1)</w:t>
            </w:r>
          </w:p>
        </w:tc>
        <w:tc>
          <w:tcPr>
            <w:tcW w:w="0" w:type="auto"/>
            <w:shd w:val="clear" w:color="auto" w:fill="auto"/>
            <w:tcMar>
              <w:left w:w="20" w:type="dxa"/>
              <w:right w:w="20" w:type="dxa"/>
            </w:tcMar>
          </w:tcPr>
          <w:p w14:paraId="13678E64" w14:textId="77777777" w:rsidR="00D85532" w:rsidRPr="0061343E" w:rsidRDefault="00D85532" w:rsidP="002234AF">
            <w:pPr>
              <w:pStyle w:val="TableCentre"/>
              <w:keepNext/>
              <w:keepLines/>
              <w:widowControl w:val="0"/>
              <w:ind w:left="-57" w:right="-57"/>
              <w:rPr>
                <w:rFonts w:ascii="Arial Narrow" w:hAnsi="Arial Narrow"/>
                <w:sz w:val="20"/>
                <w:szCs w:val="20"/>
              </w:rPr>
            </w:pPr>
            <w:r w:rsidRPr="0061343E">
              <w:rPr>
                <w:rFonts w:ascii="Arial Narrow" w:hAnsi="Arial Narrow"/>
                <w:sz w:val="20"/>
                <w:szCs w:val="20"/>
              </w:rPr>
              <w:t>1 (1.0)</w:t>
            </w:r>
          </w:p>
        </w:tc>
        <w:tc>
          <w:tcPr>
            <w:tcW w:w="0" w:type="auto"/>
            <w:shd w:val="clear" w:color="auto" w:fill="auto"/>
            <w:tcMar>
              <w:left w:w="20" w:type="dxa"/>
              <w:right w:w="20" w:type="dxa"/>
            </w:tcMar>
          </w:tcPr>
          <w:p w14:paraId="06CE4941" w14:textId="77777777" w:rsidR="00D85532" w:rsidRPr="0061343E" w:rsidRDefault="00D85532" w:rsidP="002234AF">
            <w:pPr>
              <w:pStyle w:val="TableCentre"/>
              <w:keepNext/>
              <w:keepLines/>
              <w:widowControl w:val="0"/>
              <w:ind w:left="-57" w:right="-57"/>
              <w:rPr>
                <w:rFonts w:ascii="Arial Narrow" w:hAnsi="Arial Narrow"/>
                <w:sz w:val="20"/>
                <w:szCs w:val="20"/>
              </w:rPr>
            </w:pPr>
            <w:r w:rsidRPr="0061343E">
              <w:rPr>
                <w:rFonts w:ascii="Arial Narrow" w:hAnsi="Arial Narrow"/>
                <w:sz w:val="20"/>
                <w:szCs w:val="20"/>
              </w:rPr>
              <w:t>2 (2.6)</w:t>
            </w:r>
          </w:p>
        </w:tc>
        <w:tc>
          <w:tcPr>
            <w:tcW w:w="0" w:type="auto"/>
            <w:shd w:val="clear" w:color="auto" w:fill="auto"/>
            <w:tcMar>
              <w:left w:w="20" w:type="dxa"/>
              <w:right w:w="20" w:type="dxa"/>
            </w:tcMar>
          </w:tcPr>
          <w:p w14:paraId="32DCFB8F" w14:textId="77777777" w:rsidR="00D85532" w:rsidRPr="0061343E" w:rsidRDefault="00D85532" w:rsidP="002234AF">
            <w:pPr>
              <w:pStyle w:val="TableCentre"/>
              <w:keepNext/>
              <w:keepLines/>
              <w:widowControl w:val="0"/>
              <w:ind w:left="-57" w:right="-57"/>
              <w:rPr>
                <w:rFonts w:ascii="Arial Narrow" w:hAnsi="Arial Narrow"/>
                <w:sz w:val="20"/>
                <w:szCs w:val="20"/>
              </w:rPr>
            </w:pPr>
            <w:r w:rsidRPr="0061343E">
              <w:rPr>
                <w:rFonts w:ascii="Arial Narrow" w:hAnsi="Arial Narrow"/>
                <w:sz w:val="20"/>
                <w:szCs w:val="20"/>
              </w:rPr>
              <w:t>3 (3.8)</w:t>
            </w:r>
          </w:p>
        </w:tc>
        <w:tc>
          <w:tcPr>
            <w:tcW w:w="463" w:type="pct"/>
            <w:shd w:val="clear" w:color="auto" w:fill="auto"/>
            <w:tcMar>
              <w:left w:w="20" w:type="dxa"/>
              <w:right w:w="20" w:type="dxa"/>
            </w:tcMar>
          </w:tcPr>
          <w:p w14:paraId="62AB7896" w14:textId="77777777" w:rsidR="00D85532" w:rsidRPr="0061343E" w:rsidRDefault="00D85532" w:rsidP="002234AF">
            <w:pPr>
              <w:pStyle w:val="TableCentre"/>
              <w:keepNext/>
              <w:keepLines/>
              <w:widowControl w:val="0"/>
              <w:ind w:left="-57" w:right="-57"/>
              <w:rPr>
                <w:rFonts w:ascii="Arial Narrow" w:hAnsi="Arial Narrow"/>
                <w:sz w:val="20"/>
                <w:szCs w:val="20"/>
              </w:rPr>
            </w:pPr>
            <w:r w:rsidRPr="0061343E">
              <w:rPr>
                <w:rFonts w:ascii="Arial Narrow" w:hAnsi="Arial Narrow"/>
                <w:sz w:val="20"/>
                <w:szCs w:val="20"/>
              </w:rPr>
              <w:t>3 (3.9)</w:t>
            </w:r>
          </w:p>
        </w:tc>
        <w:tc>
          <w:tcPr>
            <w:tcW w:w="0" w:type="auto"/>
            <w:shd w:val="clear" w:color="auto" w:fill="auto"/>
            <w:tcMar>
              <w:left w:w="20" w:type="dxa"/>
              <w:right w:w="20" w:type="dxa"/>
            </w:tcMar>
          </w:tcPr>
          <w:p w14:paraId="673DF1F3" w14:textId="77777777" w:rsidR="00D85532" w:rsidRPr="0061343E" w:rsidRDefault="00D85532" w:rsidP="002234AF">
            <w:pPr>
              <w:pStyle w:val="TableCentre"/>
              <w:keepNext/>
              <w:keepLines/>
              <w:widowControl w:val="0"/>
              <w:ind w:left="-57" w:right="-57"/>
              <w:rPr>
                <w:rFonts w:ascii="Arial Narrow" w:hAnsi="Arial Narrow"/>
                <w:sz w:val="20"/>
                <w:szCs w:val="20"/>
              </w:rPr>
            </w:pPr>
            <w:r w:rsidRPr="0061343E">
              <w:rPr>
                <w:rFonts w:ascii="Arial Narrow" w:hAnsi="Arial Narrow"/>
                <w:sz w:val="20"/>
                <w:szCs w:val="20"/>
              </w:rPr>
              <w:t>1 (1.2)</w:t>
            </w:r>
          </w:p>
        </w:tc>
      </w:tr>
      <w:tr w:rsidR="00D85532" w:rsidRPr="0061343E" w14:paraId="49C650A5" w14:textId="77777777" w:rsidTr="002C04CE">
        <w:tc>
          <w:tcPr>
            <w:tcW w:w="718" w:type="pct"/>
            <w:shd w:val="clear" w:color="auto" w:fill="auto"/>
            <w:tcMar>
              <w:left w:w="20" w:type="dxa"/>
              <w:right w:w="20" w:type="dxa"/>
            </w:tcMar>
          </w:tcPr>
          <w:p w14:paraId="67F9E269" w14:textId="77777777" w:rsidR="00D85532" w:rsidRPr="0061343E" w:rsidRDefault="00D85532" w:rsidP="002234AF">
            <w:pPr>
              <w:pStyle w:val="TableLeft"/>
              <w:keepNext/>
              <w:keepLines/>
              <w:widowControl w:val="0"/>
              <w:jc w:val="left"/>
              <w:rPr>
                <w:rFonts w:ascii="Arial Narrow" w:hAnsi="Arial Narrow"/>
                <w:sz w:val="20"/>
                <w:szCs w:val="20"/>
              </w:rPr>
            </w:pPr>
            <w:r w:rsidRPr="0061343E">
              <w:rPr>
                <w:rFonts w:ascii="Arial Narrow" w:hAnsi="Arial Narrow"/>
                <w:sz w:val="20"/>
                <w:szCs w:val="20"/>
              </w:rPr>
              <w:t>Treatment-emergent AESIs</w:t>
            </w:r>
          </w:p>
        </w:tc>
        <w:tc>
          <w:tcPr>
            <w:tcW w:w="0" w:type="auto"/>
            <w:shd w:val="clear" w:color="auto" w:fill="auto"/>
            <w:tcMar>
              <w:left w:w="20" w:type="dxa"/>
              <w:right w:w="20" w:type="dxa"/>
            </w:tcMar>
          </w:tcPr>
          <w:p w14:paraId="786FC077" w14:textId="77777777" w:rsidR="00D85532" w:rsidRPr="0061343E" w:rsidRDefault="00D85532" w:rsidP="002234AF">
            <w:pPr>
              <w:pStyle w:val="TableCentre"/>
              <w:keepNext/>
              <w:keepLines/>
              <w:widowControl w:val="0"/>
              <w:ind w:left="-57" w:right="-57"/>
              <w:rPr>
                <w:rFonts w:ascii="Arial Narrow" w:hAnsi="Arial Narrow"/>
                <w:sz w:val="20"/>
                <w:szCs w:val="20"/>
              </w:rPr>
            </w:pPr>
            <w:r w:rsidRPr="0061343E">
              <w:rPr>
                <w:rFonts w:ascii="Arial Narrow" w:hAnsi="Arial Narrow"/>
                <w:sz w:val="20"/>
                <w:szCs w:val="20"/>
              </w:rPr>
              <w:t>18 (20.0)</w:t>
            </w:r>
          </w:p>
        </w:tc>
        <w:tc>
          <w:tcPr>
            <w:tcW w:w="0" w:type="auto"/>
            <w:shd w:val="clear" w:color="auto" w:fill="auto"/>
            <w:tcMar>
              <w:left w:w="20" w:type="dxa"/>
              <w:right w:w="20" w:type="dxa"/>
            </w:tcMar>
          </w:tcPr>
          <w:p w14:paraId="72378BC4" w14:textId="77777777" w:rsidR="00D85532" w:rsidRPr="0061343E" w:rsidRDefault="00D85532" w:rsidP="002234AF">
            <w:pPr>
              <w:pStyle w:val="TableCentre"/>
              <w:keepNext/>
              <w:keepLines/>
              <w:widowControl w:val="0"/>
              <w:ind w:left="-57" w:right="-57"/>
              <w:rPr>
                <w:rFonts w:ascii="Arial Narrow" w:hAnsi="Arial Narrow"/>
                <w:sz w:val="20"/>
                <w:szCs w:val="20"/>
              </w:rPr>
            </w:pPr>
            <w:r w:rsidRPr="0061343E">
              <w:rPr>
                <w:rFonts w:ascii="Arial Narrow" w:hAnsi="Arial Narrow"/>
                <w:sz w:val="20"/>
                <w:szCs w:val="20"/>
              </w:rPr>
              <w:t>16 (17.6)</w:t>
            </w:r>
          </w:p>
        </w:tc>
        <w:tc>
          <w:tcPr>
            <w:tcW w:w="463" w:type="pct"/>
            <w:shd w:val="clear" w:color="auto" w:fill="auto"/>
            <w:tcMar>
              <w:left w:w="20" w:type="dxa"/>
              <w:right w:w="20" w:type="dxa"/>
            </w:tcMar>
          </w:tcPr>
          <w:p w14:paraId="57F9C5D4" w14:textId="77777777" w:rsidR="00D85532" w:rsidRPr="0061343E" w:rsidRDefault="00D85532" w:rsidP="002234AF">
            <w:pPr>
              <w:pStyle w:val="TableCentre"/>
              <w:keepNext/>
              <w:keepLines/>
              <w:widowControl w:val="0"/>
              <w:ind w:left="-57" w:right="-57"/>
              <w:rPr>
                <w:rFonts w:ascii="Arial Narrow" w:hAnsi="Arial Narrow"/>
                <w:sz w:val="20"/>
                <w:szCs w:val="20"/>
              </w:rPr>
            </w:pPr>
            <w:r w:rsidRPr="0061343E">
              <w:rPr>
                <w:rFonts w:ascii="Arial Narrow" w:hAnsi="Arial Narrow"/>
                <w:sz w:val="20"/>
                <w:szCs w:val="20"/>
              </w:rPr>
              <w:t>14 (15.4)</w:t>
            </w:r>
          </w:p>
        </w:tc>
        <w:tc>
          <w:tcPr>
            <w:tcW w:w="0" w:type="auto"/>
            <w:shd w:val="clear" w:color="auto" w:fill="auto"/>
            <w:tcMar>
              <w:left w:w="20" w:type="dxa"/>
              <w:right w:w="20" w:type="dxa"/>
            </w:tcMar>
          </w:tcPr>
          <w:p w14:paraId="242737F3" w14:textId="77777777" w:rsidR="00D85532" w:rsidRPr="0061343E" w:rsidRDefault="00D85532" w:rsidP="002234AF">
            <w:pPr>
              <w:pStyle w:val="TableCentre"/>
              <w:keepNext/>
              <w:keepLines/>
              <w:widowControl w:val="0"/>
              <w:ind w:left="-57" w:right="-57"/>
              <w:rPr>
                <w:rFonts w:ascii="Arial Narrow" w:hAnsi="Arial Narrow"/>
                <w:sz w:val="20"/>
                <w:szCs w:val="20"/>
              </w:rPr>
            </w:pPr>
            <w:r w:rsidRPr="0061343E">
              <w:rPr>
                <w:rFonts w:ascii="Arial Narrow" w:hAnsi="Arial Narrow"/>
                <w:sz w:val="20"/>
                <w:szCs w:val="20"/>
              </w:rPr>
              <w:t>15 (15.0)</w:t>
            </w:r>
          </w:p>
        </w:tc>
        <w:tc>
          <w:tcPr>
            <w:tcW w:w="0" w:type="auto"/>
            <w:shd w:val="clear" w:color="auto" w:fill="auto"/>
            <w:tcMar>
              <w:left w:w="20" w:type="dxa"/>
              <w:right w:w="20" w:type="dxa"/>
            </w:tcMar>
          </w:tcPr>
          <w:p w14:paraId="0F9A2844" w14:textId="77777777" w:rsidR="00D85532" w:rsidRPr="0061343E" w:rsidRDefault="00D85532" w:rsidP="002234AF">
            <w:pPr>
              <w:pStyle w:val="TableCentre"/>
              <w:keepNext/>
              <w:keepLines/>
              <w:widowControl w:val="0"/>
              <w:ind w:left="-57" w:right="-57"/>
              <w:rPr>
                <w:rFonts w:ascii="Arial Narrow" w:hAnsi="Arial Narrow"/>
                <w:sz w:val="20"/>
                <w:szCs w:val="20"/>
              </w:rPr>
            </w:pPr>
            <w:r w:rsidRPr="0061343E">
              <w:rPr>
                <w:rFonts w:ascii="Arial Narrow" w:hAnsi="Arial Narrow"/>
                <w:sz w:val="20"/>
                <w:szCs w:val="20"/>
              </w:rPr>
              <w:t>7 (9.1)</w:t>
            </w:r>
          </w:p>
        </w:tc>
        <w:tc>
          <w:tcPr>
            <w:tcW w:w="0" w:type="auto"/>
            <w:shd w:val="clear" w:color="auto" w:fill="auto"/>
            <w:tcMar>
              <w:left w:w="20" w:type="dxa"/>
              <w:right w:w="20" w:type="dxa"/>
            </w:tcMar>
          </w:tcPr>
          <w:p w14:paraId="28077B04" w14:textId="77777777" w:rsidR="00D85532" w:rsidRPr="0061343E" w:rsidRDefault="00D85532" w:rsidP="002234AF">
            <w:pPr>
              <w:pStyle w:val="TableCentre"/>
              <w:keepNext/>
              <w:keepLines/>
              <w:widowControl w:val="0"/>
              <w:ind w:left="-57" w:right="-57"/>
              <w:rPr>
                <w:rFonts w:ascii="Arial Narrow" w:hAnsi="Arial Narrow"/>
                <w:sz w:val="20"/>
                <w:szCs w:val="20"/>
              </w:rPr>
            </w:pPr>
            <w:r w:rsidRPr="0061343E">
              <w:rPr>
                <w:rFonts w:ascii="Arial Narrow" w:hAnsi="Arial Narrow"/>
                <w:sz w:val="20"/>
                <w:szCs w:val="20"/>
              </w:rPr>
              <w:t>8 (10.1)</w:t>
            </w:r>
          </w:p>
        </w:tc>
        <w:tc>
          <w:tcPr>
            <w:tcW w:w="463" w:type="pct"/>
            <w:shd w:val="clear" w:color="auto" w:fill="auto"/>
            <w:tcMar>
              <w:left w:w="20" w:type="dxa"/>
              <w:right w:w="20" w:type="dxa"/>
            </w:tcMar>
          </w:tcPr>
          <w:p w14:paraId="420718C7" w14:textId="77777777" w:rsidR="00D85532" w:rsidRPr="0061343E" w:rsidRDefault="00D85532" w:rsidP="002234AF">
            <w:pPr>
              <w:pStyle w:val="TableCentre"/>
              <w:keepNext/>
              <w:keepLines/>
              <w:widowControl w:val="0"/>
              <w:ind w:left="-57" w:right="-57"/>
              <w:rPr>
                <w:rFonts w:ascii="Arial Narrow" w:hAnsi="Arial Narrow"/>
                <w:sz w:val="20"/>
                <w:szCs w:val="20"/>
              </w:rPr>
            </w:pPr>
            <w:r w:rsidRPr="0061343E">
              <w:rPr>
                <w:rFonts w:ascii="Arial Narrow" w:hAnsi="Arial Narrow"/>
                <w:sz w:val="20"/>
                <w:szCs w:val="20"/>
              </w:rPr>
              <w:t>17 (22.1)</w:t>
            </w:r>
          </w:p>
        </w:tc>
        <w:tc>
          <w:tcPr>
            <w:tcW w:w="0" w:type="auto"/>
            <w:shd w:val="clear" w:color="auto" w:fill="auto"/>
            <w:tcMar>
              <w:left w:w="20" w:type="dxa"/>
              <w:right w:w="20" w:type="dxa"/>
            </w:tcMar>
          </w:tcPr>
          <w:p w14:paraId="254E5958" w14:textId="77777777" w:rsidR="00D85532" w:rsidRPr="0061343E" w:rsidRDefault="00D85532" w:rsidP="002234AF">
            <w:pPr>
              <w:pStyle w:val="TableCentre"/>
              <w:keepNext/>
              <w:keepLines/>
              <w:widowControl w:val="0"/>
              <w:ind w:left="-57" w:right="-57"/>
              <w:rPr>
                <w:rFonts w:ascii="Arial Narrow" w:hAnsi="Arial Narrow"/>
                <w:sz w:val="20"/>
                <w:szCs w:val="20"/>
              </w:rPr>
            </w:pPr>
            <w:r w:rsidRPr="0061343E">
              <w:rPr>
                <w:rFonts w:ascii="Arial Narrow" w:hAnsi="Arial Narrow"/>
                <w:sz w:val="20"/>
                <w:szCs w:val="20"/>
              </w:rPr>
              <w:t>9 (10.7)</w:t>
            </w:r>
          </w:p>
        </w:tc>
      </w:tr>
      <w:tr w:rsidR="00D85532" w:rsidRPr="0061343E" w14:paraId="449ECBF2" w14:textId="77777777" w:rsidTr="002C04CE">
        <w:tc>
          <w:tcPr>
            <w:tcW w:w="718" w:type="pct"/>
            <w:shd w:val="clear" w:color="auto" w:fill="auto"/>
            <w:tcMar>
              <w:left w:w="20" w:type="dxa"/>
              <w:right w:w="20" w:type="dxa"/>
            </w:tcMar>
          </w:tcPr>
          <w:p w14:paraId="5810B550" w14:textId="77777777" w:rsidR="00D85532" w:rsidRPr="0061343E" w:rsidRDefault="00D85532" w:rsidP="002234AF">
            <w:pPr>
              <w:pStyle w:val="TableLeft"/>
              <w:keepNext/>
              <w:keepLines/>
              <w:widowControl w:val="0"/>
              <w:jc w:val="left"/>
              <w:rPr>
                <w:rFonts w:ascii="Arial Narrow" w:hAnsi="Arial Narrow"/>
                <w:sz w:val="20"/>
                <w:szCs w:val="20"/>
              </w:rPr>
            </w:pPr>
            <w:r w:rsidRPr="0061343E">
              <w:rPr>
                <w:rFonts w:ascii="Arial Narrow" w:hAnsi="Arial Narrow"/>
                <w:sz w:val="20"/>
                <w:szCs w:val="20"/>
              </w:rPr>
              <w:t>TEAE leading to death</w:t>
            </w:r>
          </w:p>
        </w:tc>
        <w:tc>
          <w:tcPr>
            <w:tcW w:w="0" w:type="auto"/>
            <w:shd w:val="clear" w:color="auto" w:fill="auto"/>
            <w:tcMar>
              <w:left w:w="20" w:type="dxa"/>
              <w:right w:w="20" w:type="dxa"/>
            </w:tcMar>
          </w:tcPr>
          <w:p w14:paraId="1408A312" w14:textId="77777777" w:rsidR="00D85532" w:rsidRPr="0061343E" w:rsidRDefault="00D85532" w:rsidP="002234AF">
            <w:pPr>
              <w:pStyle w:val="TableCentre"/>
              <w:keepNext/>
              <w:keepLines/>
              <w:widowControl w:val="0"/>
              <w:rPr>
                <w:rFonts w:ascii="Arial Narrow" w:hAnsi="Arial Narrow"/>
                <w:sz w:val="20"/>
                <w:szCs w:val="20"/>
              </w:rPr>
            </w:pPr>
            <w:r w:rsidRPr="0061343E">
              <w:rPr>
                <w:rFonts w:ascii="Arial Narrow" w:hAnsi="Arial Narrow"/>
                <w:sz w:val="20"/>
                <w:szCs w:val="20"/>
              </w:rPr>
              <w:t>0</w:t>
            </w:r>
          </w:p>
        </w:tc>
        <w:tc>
          <w:tcPr>
            <w:tcW w:w="0" w:type="auto"/>
            <w:shd w:val="clear" w:color="auto" w:fill="auto"/>
            <w:tcMar>
              <w:left w:w="20" w:type="dxa"/>
              <w:right w:w="20" w:type="dxa"/>
            </w:tcMar>
          </w:tcPr>
          <w:p w14:paraId="2A649752" w14:textId="77777777" w:rsidR="00D85532" w:rsidRPr="0061343E" w:rsidRDefault="00D85532" w:rsidP="002234AF">
            <w:pPr>
              <w:pStyle w:val="TableCentre"/>
              <w:keepNext/>
              <w:keepLines/>
              <w:widowControl w:val="0"/>
              <w:rPr>
                <w:rFonts w:ascii="Arial Narrow" w:hAnsi="Arial Narrow"/>
                <w:sz w:val="20"/>
                <w:szCs w:val="20"/>
              </w:rPr>
            </w:pPr>
            <w:r w:rsidRPr="0061343E">
              <w:rPr>
                <w:rFonts w:ascii="Arial Narrow" w:hAnsi="Arial Narrow"/>
                <w:sz w:val="20"/>
                <w:szCs w:val="20"/>
              </w:rPr>
              <w:t>0</w:t>
            </w:r>
          </w:p>
        </w:tc>
        <w:tc>
          <w:tcPr>
            <w:tcW w:w="463" w:type="pct"/>
            <w:shd w:val="clear" w:color="auto" w:fill="auto"/>
            <w:tcMar>
              <w:left w:w="20" w:type="dxa"/>
              <w:right w:w="20" w:type="dxa"/>
            </w:tcMar>
          </w:tcPr>
          <w:p w14:paraId="700DFDF3" w14:textId="77777777" w:rsidR="00D85532" w:rsidRPr="0061343E" w:rsidRDefault="00D85532" w:rsidP="002234AF">
            <w:pPr>
              <w:pStyle w:val="TableCentre"/>
              <w:keepNext/>
              <w:keepLines/>
              <w:widowControl w:val="0"/>
              <w:rPr>
                <w:rFonts w:ascii="Arial Narrow" w:hAnsi="Arial Narrow"/>
                <w:sz w:val="20"/>
                <w:szCs w:val="20"/>
              </w:rPr>
            </w:pPr>
            <w:r w:rsidRPr="0061343E">
              <w:rPr>
                <w:rFonts w:ascii="Arial Narrow" w:hAnsi="Arial Narrow"/>
                <w:sz w:val="20"/>
                <w:szCs w:val="20"/>
              </w:rPr>
              <w:t>0</w:t>
            </w:r>
          </w:p>
        </w:tc>
        <w:tc>
          <w:tcPr>
            <w:tcW w:w="0" w:type="auto"/>
            <w:shd w:val="clear" w:color="auto" w:fill="auto"/>
            <w:tcMar>
              <w:left w:w="20" w:type="dxa"/>
              <w:right w:w="20" w:type="dxa"/>
            </w:tcMar>
          </w:tcPr>
          <w:p w14:paraId="63D45952" w14:textId="77777777" w:rsidR="00D85532" w:rsidRPr="0061343E" w:rsidRDefault="00D85532" w:rsidP="002234AF">
            <w:pPr>
              <w:pStyle w:val="TableCentre"/>
              <w:keepNext/>
              <w:keepLines/>
              <w:widowControl w:val="0"/>
              <w:rPr>
                <w:rFonts w:ascii="Arial Narrow" w:hAnsi="Arial Narrow"/>
                <w:sz w:val="20"/>
                <w:szCs w:val="20"/>
              </w:rPr>
            </w:pPr>
            <w:r w:rsidRPr="0061343E">
              <w:rPr>
                <w:rFonts w:ascii="Arial Narrow" w:hAnsi="Arial Narrow"/>
                <w:sz w:val="20"/>
                <w:szCs w:val="20"/>
              </w:rPr>
              <w:t>0</w:t>
            </w:r>
          </w:p>
        </w:tc>
        <w:tc>
          <w:tcPr>
            <w:tcW w:w="0" w:type="auto"/>
            <w:shd w:val="clear" w:color="auto" w:fill="auto"/>
            <w:tcMar>
              <w:left w:w="20" w:type="dxa"/>
              <w:right w:w="20" w:type="dxa"/>
            </w:tcMar>
          </w:tcPr>
          <w:p w14:paraId="64739D57" w14:textId="77777777" w:rsidR="00D85532" w:rsidRPr="0061343E" w:rsidRDefault="00D85532" w:rsidP="002234AF">
            <w:pPr>
              <w:pStyle w:val="TableCentre"/>
              <w:keepNext/>
              <w:keepLines/>
              <w:widowControl w:val="0"/>
              <w:rPr>
                <w:rFonts w:ascii="Arial Narrow" w:hAnsi="Arial Narrow"/>
                <w:sz w:val="20"/>
                <w:szCs w:val="20"/>
              </w:rPr>
            </w:pPr>
            <w:r w:rsidRPr="0061343E">
              <w:rPr>
                <w:rFonts w:ascii="Arial Narrow" w:hAnsi="Arial Narrow"/>
                <w:sz w:val="20"/>
                <w:szCs w:val="20"/>
              </w:rPr>
              <w:t>0</w:t>
            </w:r>
          </w:p>
        </w:tc>
        <w:tc>
          <w:tcPr>
            <w:tcW w:w="0" w:type="auto"/>
            <w:shd w:val="clear" w:color="auto" w:fill="auto"/>
            <w:tcMar>
              <w:left w:w="20" w:type="dxa"/>
              <w:right w:w="20" w:type="dxa"/>
            </w:tcMar>
          </w:tcPr>
          <w:p w14:paraId="42680ACA" w14:textId="77777777" w:rsidR="00D85532" w:rsidRPr="0061343E" w:rsidRDefault="00D85532" w:rsidP="002234AF">
            <w:pPr>
              <w:pStyle w:val="TableCentre"/>
              <w:keepNext/>
              <w:keepLines/>
              <w:widowControl w:val="0"/>
              <w:rPr>
                <w:rFonts w:ascii="Arial Narrow" w:hAnsi="Arial Narrow"/>
                <w:sz w:val="20"/>
                <w:szCs w:val="20"/>
              </w:rPr>
            </w:pPr>
            <w:r w:rsidRPr="0061343E">
              <w:rPr>
                <w:rFonts w:ascii="Arial Narrow" w:hAnsi="Arial Narrow"/>
                <w:sz w:val="20"/>
                <w:szCs w:val="20"/>
              </w:rPr>
              <w:t>0</w:t>
            </w:r>
          </w:p>
        </w:tc>
        <w:tc>
          <w:tcPr>
            <w:tcW w:w="463" w:type="pct"/>
            <w:shd w:val="clear" w:color="auto" w:fill="auto"/>
            <w:tcMar>
              <w:left w:w="20" w:type="dxa"/>
              <w:right w:w="20" w:type="dxa"/>
            </w:tcMar>
          </w:tcPr>
          <w:p w14:paraId="2C72CEB6" w14:textId="77777777" w:rsidR="00D85532" w:rsidRPr="0061343E" w:rsidRDefault="00D85532" w:rsidP="002234AF">
            <w:pPr>
              <w:pStyle w:val="TableCentre"/>
              <w:keepNext/>
              <w:keepLines/>
              <w:widowControl w:val="0"/>
              <w:rPr>
                <w:rFonts w:ascii="Arial Narrow" w:hAnsi="Arial Narrow"/>
                <w:sz w:val="20"/>
                <w:szCs w:val="20"/>
              </w:rPr>
            </w:pPr>
            <w:r w:rsidRPr="0061343E">
              <w:rPr>
                <w:rFonts w:ascii="Arial Narrow" w:hAnsi="Arial Narrow"/>
                <w:sz w:val="20"/>
                <w:szCs w:val="20"/>
              </w:rPr>
              <w:t>0</w:t>
            </w:r>
          </w:p>
        </w:tc>
        <w:tc>
          <w:tcPr>
            <w:tcW w:w="0" w:type="auto"/>
            <w:shd w:val="clear" w:color="auto" w:fill="auto"/>
            <w:tcMar>
              <w:left w:w="20" w:type="dxa"/>
              <w:right w:w="20" w:type="dxa"/>
            </w:tcMar>
          </w:tcPr>
          <w:p w14:paraId="4B70E21A" w14:textId="77777777" w:rsidR="00D85532" w:rsidRPr="0061343E" w:rsidRDefault="00D85532" w:rsidP="002234AF">
            <w:pPr>
              <w:pStyle w:val="TableCentre"/>
              <w:keepNext/>
              <w:keepLines/>
              <w:widowControl w:val="0"/>
              <w:rPr>
                <w:rFonts w:ascii="Arial Narrow" w:hAnsi="Arial Narrow"/>
                <w:sz w:val="20"/>
                <w:szCs w:val="20"/>
              </w:rPr>
            </w:pPr>
            <w:r w:rsidRPr="0061343E">
              <w:rPr>
                <w:rFonts w:ascii="Arial Narrow" w:hAnsi="Arial Narrow"/>
                <w:sz w:val="20"/>
                <w:szCs w:val="20"/>
              </w:rPr>
              <w:t>0</w:t>
            </w:r>
          </w:p>
        </w:tc>
      </w:tr>
    </w:tbl>
    <w:p w14:paraId="1B02EE37" w14:textId="77777777" w:rsidR="00D85532" w:rsidRPr="0061343E" w:rsidRDefault="00D85532" w:rsidP="002234AF">
      <w:pPr>
        <w:pStyle w:val="3-BodyText"/>
        <w:keepNext/>
        <w:keepLines/>
        <w:numPr>
          <w:ilvl w:val="0"/>
          <w:numId w:val="0"/>
        </w:numPr>
        <w:spacing w:before="0" w:after="0"/>
        <w:rPr>
          <w:rFonts w:ascii="Arial Narrow" w:hAnsi="Arial Narrow"/>
          <w:sz w:val="18"/>
          <w:szCs w:val="18"/>
        </w:rPr>
      </w:pPr>
      <w:r w:rsidRPr="0061343E">
        <w:rPr>
          <w:rFonts w:ascii="Arial Narrow" w:hAnsi="Arial Narrow"/>
          <w:sz w:val="18"/>
          <w:szCs w:val="18"/>
        </w:rPr>
        <w:t>Source: Table 2-52, pp171-172</w:t>
      </w:r>
    </w:p>
    <w:p w14:paraId="5A796BA7" w14:textId="77777777" w:rsidR="00D85532" w:rsidRPr="0061343E" w:rsidRDefault="00D85532" w:rsidP="002234AF">
      <w:pPr>
        <w:pStyle w:val="CaptionFootnote"/>
        <w:keepNext/>
        <w:keepLines/>
        <w:rPr>
          <w:rFonts w:ascii="Arial Narrow" w:hAnsi="Arial Narrow"/>
          <w:sz w:val="18"/>
          <w:szCs w:val="18"/>
        </w:rPr>
      </w:pPr>
      <w:r w:rsidRPr="0061343E">
        <w:rPr>
          <w:rFonts w:ascii="Arial Narrow" w:hAnsi="Arial Narrow"/>
          <w:sz w:val="18"/>
          <w:szCs w:val="18"/>
        </w:rPr>
        <w:t>AEs = adverse events; AESIs = adverse events of special interest; ITP = initial treatment period; MTP = maintenance treatment period; NEMO = nemolizumab; Q4W = every 4 weeks; Q8W = every 8 weeks; SAEs = serious adverse events; TEAEs = treatment-emergent adverse events</w:t>
      </w:r>
    </w:p>
    <w:p w14:paraId="7F23BDEE" w14:textId="77777777" w:rsidR="00D85532" w:rsidRPr="0061343E" w:rsidRDefault="00D85532" w:rsidP="002234AF">
      <w:pPr>
        <w:pStyle w:val="CaptionFootnote"/>
        <w:keepNext/>
        <w:keepLines/>
        <w:rPr>
          <w:rFonts w:ascii="Arial Narrow" w:hAnsi="Arial Narrow"/>
          <w:sz w:val="18"/>
          <w:szCs w:val="18"/>
        </w:rPr>
      </w:pPr>
      <w:r w:rsidRPr="0061343E">
        <w:rPr>
          <w:rFonts w:ascii="Arial Narrow" w:hAnsi="Arial Narrow"/>
          <w:sz w:val="18"/>
          <w:szCs w:val="18"/>
          <w:vertAlign w:val="superscript"/>
        </w:rPr>
        <w:t>a</w:t>
      </w:r>
      <w:r w:rsidRPr="0061343E">
        <w:rPr>
          <w:rFonts w:ascii="Arial Narrow" w:hAnsi="Arial Narrow"/>
          <w:sz w:val="18"/>
          <w:szCs w:val="18"/>
        </w:rPr>
        <w:t>. Study drug-related TEAEs were those for which a reasonable possibility of relationship was reported (or with a missing relationship).</w:t>
      </w:r>
    </w:p>
    <w:p w14:paraId="193A529E" w14:textId="77777777" w:rsidR="00D85532" w:rsidRPr="0061343E" w:rsidRDefault="00D85532" w:rsidP="002234AF">
      <w:pPr>
        <w:pStyle w:val="CaptionFootnote"/>
        <w:keepNext/>
        <w:keepLines/>
        <w:rPr>
          <w:rFonts w:ascii="Arial Narrow" w:hAnsi="Arial Narrow"/>
          <w:sz w:val="18"/>
          <w:szCs w:val="18"/>
        </w:rPr>
      </w:pPr>
      <w:r w:rsidRPr="0061343E">
        <w:rPr>
          <w:rFonts w:ascii="Arial Narrow" w:hAnsi="Arial Narrow"/>
          <w:sz w:val="18"/>
          <w:szCs w:val="18"/>
          <w:vertAlign w:val="superscript"/>
        </w:rPr>
        <w:t>b.</w:t>
      </w:r>
      <w:r w:rsidRPr="0061343E">
        <w:rPr>
          <w:rFonts w:ascii="Arial Narrow" w:hAnsi="Arial Narrow"/>
          <w:sz w:val="18"/>
          <w:szCs w:val="18"/>
        </w:rPr>
        <w:t xml:space="preserve"> If subjects experienced multiple events, the subjects were counted once at the event with maximum severity.</w:t>
      </w:r>
    </w:p>
    <w:p w14:paraId="6D803450" w14:textId="77777777" w:rsidR="00D85532" w:rsidRPr="0061343E" w:rsidRDefault="00D85532" w:rsidP="002234AF">
      <w:pPr>
        <w:pStyle w:val="CaptionFootnote"/>
        <w:keepNext/>
        <w:keepLines/>
        <w:rPr>
          <w:rFonts w:ascii="Arial Narrow" w:hAnsi="Arial Narrow"/>
          <w:sz w:val="18"/>
          <w:szCs w:val="18"/>
        </w:rPr>
      </w:pPr>
      <w:r w:rsidRPr="0061343E">
        <w:rPr>
          <w:rFonts w:ascii="Arial Narrow" w:hAnsi="Arial Narrow"/>
          <w:sz w:val="18"/>
          <w:szCs w:val="18"/>
          <w:vertAlign w:val="superscript"/>
        </w:rPr>
        <w:t xml:space="preserve">c </w:t>
      </w:r>
      <w:r w:rsidRPr="0061343E">
        <w:rPr>
          <w:rFonts w:ascii="Arial Narrow" w:hAnsi="Arial Narrow"/>
          <w:sz w:val="18"/>
          <w:szCs w:val="18"/>
        </w:rPr>
        <w:t>Including topical background therapy.</w:t>
      </w:r>
    </w:p>
    <w:p w14:paraId="6A63D4C0" w14:textId="77777777" w:rsidR="00D85532" w:rsidRPr="0061343E" w:rsidRDefault="00D85532" w:rsidP="00A75874">
      <w:pPr>
        <w:pStyle w:val="3-BodyText"/>
        <w:keepNext/>
        <w:keepLines/>
        <w:numPr>
          <w:ilvl w:val="0"/>
          <w:numId w:val="0"/>
        </w:numPr>
        <w:spacing w:before="0" w:after="120"/>
        <w:rPr>
          <w:rFonts w:ascii="Arial Narrow" w:hAnsi="Arial Narrow"/>
          <w:sz w:val="18"/>
          <w:szCs w:val="18"/>
        </w:rPr>
      </w:pPr>
      <w:r w:rsidRPr="0061343E">
        <w:rPr>
          <w:rFonts w:ascii="Arial Narrow" w:hAnsi="Arial Narrow"/>
          <w:sz w:val="18"/>
          <w:szCs w:val="18"/>
        </w:rPr>
        <w:t>Note: Percentages were based on the number of subjects in each treatment group. Adverse events were coded using the Medical Dictionary for Regulatory Activities Version 25.0. The Initial Treatment Period was defined as the period from start of treatment up to and including Week 16. For each row category, a subject with 2 or more AEs in that category was counted only once.</w:t>
      </w:r>
    </w:p>
    <w:p w14:paraId="265D578B" w14:textId="44D26B19" w:rsidR="00C05E17" w:rsidRPr="0061343E" w:rsidRDefault="00C05E17" w:rsidP="00C05E17">
      <w:pPr>
        <w:pStyle w:val="3-BodyText"/>
        <w:rPr>
          <w:rFonts w:ascii="Arial Narrow" w:hAnsi="Arial Narrow"/>
          <w:sz w:val="18"/>
          <w:szCs w:val="18"/>
        </w:rPr>
      </w:pPr>
      <w:r w:rsidRPr="0061343E">
        <w:t>In the ARCADIA 1 maintenance period, patients treated with NEMO 30</w:t>
      </w:r>
      <w:r w:rsidR="002C04CE" w:rsidRPr="0061343E">
        <w:t xml:space="preserve"> </w:t>
      </w:r>
      <w:r w:rsidRPr="0061343E">
        <w:t xml:space="preserve">mg Q8W, in comparison to placebo, reported a higher incidence of study drug-related TEAEs (16.7% vs. 11.0%), severe TEAEs (4.4% vs. 1.0%), SAEs (3.3% vs. 1.0%), TEAEs leading to study discontinuation (3.3% vs. 1.0%), and treatment-emergent AESIs (20.0% vs. 15.0%). In ARCADIA 2, a higher proportion of patients treated with NEMO 30mg Q8W, in comparison to placebo, reported any TEAEs (51.9% vs. 44.0%) and study drug-related TEAEs (6.5% vs. 3.6%), and TEAEs leading to study discontinuation (2.6% vs. 1.2%). Again, dermatitis atopic was the most common TEAE by preferred term during </w:t>
      </w:r>
      <w:r w:rsidRPr="0061343E">
        <w:lastRenderedPageBreak/>
        <w:t>the maintenance treatment period for both NEMO and placebo (12.2% vs. 10.6% in ARCADIA 1; 7.1% vs. 5.7% in ARCADIA 2), followed by headache (4.5% vs. 3.4% in ARCADIA 1; 3.5% vs. 3.8% in ARCADIA 2) and asthma (5.4% vs. 4.1% in ARCADIA 1; 2.1% vs. 2.7% in ARCADIA 2). No notable differences were observed between treatment arms for these common TEAEs.</w:t>
      </w:r>
    </w:p>
    <w:p w14:paraId="115C8B87" w14:textId="77777777" w:rsidR="00D85532" w:rsidRPr="0061343E" w:rsidRDefault="00D85532" w:rsidP="00D85532">
      <w:pPr>
        <w:pStyle w:val="5-SubsectionSubheading"/>
        <w:rPr>
          <w:b w:val="0"/>
          <w:bCs/>
          <w:u w:val="single"/>
        </w:rPr>
      </w:pPr>
      <w:r w:rsidRPr="0061343E">
        <w:rPr>
          <w:b w:val="0"/>
          <w:bCs/>
          <w:u w:val="single"/>
        </w:rPr>
        <w:t xml:space="preserve">ITCs of NEMO versus DUPI </w:t>
      </w:r>
    </w:p>
    <w:p w14:paraId="5AC3CB95" w14:textId="338CF595" w:rsidR="00D85532" w:rsidRPr="0061343E" w:rsidRDefault="00D85532" w:rsidP="003419BD">
      <w:pPr>
        <w:pStyle w:val="3-BodyText"/>
      </w:pPr>
      <w:r w:rsidRPr="0061343E">
        <w:fldChar w:fldCharType="begin"/>
      </w:r>
      <w:r w:rsidRPr="0061343E">
        <w:instrText xml:space="preserve"> REF _Ref197333026 \h </w:instrText>
      </w:r>
      <w:r w:rsidR="0061343E" w:rsidRPr="0061343E">
        <w:instrText xml:space="preserve"> \* MERGEFORMAT </w:instrText>
      </w:r>
      <w:r w:rsidRPr="0061343E">
        <w:fldChar w:fldCharType="separate"/>
      </w:r>
      <w:r w:rsidR="00E5780E" w:rsidRPr="0061343E">
        <w:t xml:space="preserve">Table </w:t>
      </w:r>
      <w:r w:rsidR="00E5780E">
        <w:rPr>
          <w:noProof/>
        </w:rPr>
        <w:t>17</w:t>
      </w:r>
      <w:r w:rsidRPr="0061343E">
        <w:fldChar w:fldCharType="end"/>
      </w:r>
      <w:r w:rsidRPr="0061343E">
        <w:t xml:space="preserve"> presents a summary of the key safety outcomes used to inform the ITCs of NEMO versus DUPI. </w:t>
      </w:r>
    </w:p>
    <w:p w14:paraId="2465EE19" w14:textId="233A3651" w:rsidR="00D85532" w:rsidRPr="0061343E" w:rsidRDefault="00D85532" w:rsidP="00A40866">
      <w:pPr>
        <w:pStyle w:val="TableFigureHeading"/>
        <w:keepLines/>
        <w:jc w:val="both"/>
        <w:rPr>
          <w:rStyle w:val="CommentReference"/>
          <w:rFonts w:cs="Calibri"/>
          <w:b/>
          <w:szCs w:val="24"/>
        </w:rPr>
      </w:pPr>
      <w:bookmarkStart w:id="55" w:name="_Ref197333026"/>
      <w:r w:rsidRPr="0061343E">
        <w:lastRenderedPageBreak/>
        <w:t xml:space="preserve">Table </w:t>
      </w:r>
      <w:r w:rsidR="00167892">
        <w:fldChar w:fldCharType="begin"/>
      </w:r>
      <w:r w:rsidR="00167892">
        <w:instrText xml:space="preserve"> SEQ Table \* ARABIC </w:instrText>
      </w:r>
      <w:r w:rsidR="00167892">
        <w:fldChar w:fldCharType="separate"/>
      </w:r>
      <w:r w:rsidR="00E5780E">
        <w:rPr>
          <w:noProof/>
        </w:rPr>
        <w:t>17</w:t>
      </w:r>
      <w:r w:rsidR="00167892">
        <w:rPr>
          <w:noProof/>
        </w:rPr>
        <w:fldChar w:fldCharType="end"/>
      </w:r>
      <w:bookmarkEnd w:id="55"/>
      <w:r w:rsidRPr="0061343E">
        <w:t xml:space="preserve">: ITCs of NEMO 30 mg Q4W vs DUPI 300 mg Q2W: </w:t>
      </w:r>
      <w:r w:rsidRPr="0061343E">
        <w:rPr>
          <w:rFonts w:cs="Calibri"/>
        </w:rPr>
        <w:t>TEAEs, serious TEAEs and TEAEs leading to discontinuation (Safety population)</w:t>
      </w:r>
      <w:r w:rsidRPr="0061343E">
        <w:rPr>
          <w:rFonts w:cs="Calibri"/>
          <w:vertAlign w:val="superscript"/>
        </w:rPr>
        <w:t>a</w:t>
      </w:r>
    </w:p>
    <w:tbl>
      <w:tblPr>
        <w:tblStyle w:val="Submissionstandard"/>
        <w:tblW w:w="5000" w:type="pct"/>
        <w:tblLook w:val="04A0" w:firstRow="1" w:lastRow="0" w:firstColumn="1" w:lastColumn="0" w:noHBand="0" w:noVBand="1"/>
        <w:tblCaption w:val="Table 17: ITCs of NEMO 30 mg Q4W vs DUPI 300 mg Q2W: TEAEs, serious TEAEs and TEAEs leading to discontinuation (Safety population)"/>
      </w:tblPr>
      <w:tblGrid>
        <w:gridCol w:w="2009"/>
        <w:gridCol w:w="1655"/>
        <w:gridCol w:w="1655"/>
        <w:gridCol w:w="1860"/>
        <w:gridCol w:w="1838"/>
      </w:tblGrid>
      <w:tr w:rsidR="00D85532" w:rsidRPr="0061343E" w14:paraId="75F225A8" w14:textId="77777777" w:rsidTr="00E7466A">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auto"/>
          </w:tcPr>
          <w:p w14:paraId="756BECD3" w14:textId="77777777" w:rsidR="00D85532" w:rsidRPr="0061343E" w:rsidRDefault="00D85532" w:rsidP="00A40866">
            <w:pPr>
              <w:pStyle w:val="TableLeft"/>
              <w:keepNext/>
              <w:keepLines/>
              <w:rPr>
                <w:rFonts w:ascii="Arial Narrow" w:hAnsi="Arial Narrow"/>
                <w:sz w:val="20"/>
                <w:szCs w:val="20"/>
              </w:rPr>
            </w:pPr>
          </w:p>
        </w:tc>
        <w:tc>
          <w:tcPr>
            <w:tcW w:w="0" w:type="auto"/>
            <w:shd w:val="clear" w:color="auto" w:fill="auto"/>
          </w:tcPr>
          <w:p w14:paraId="48696040" w14:textId="77777777" w:rsidR="00D85532" w:rsidRPr="0061343E" w:rsidRDefault="00D85532" w:rsidP="00A40866">
            <w:pPr>
              <w:pStyle w:val="TableCentre"/>
              <w:keepNext/>
              <w:keepLines/>
              <w:rPr>
                <w:rFonts w:ascii="Arial Narrow" w:hAnsi="Arial Narrow"/>
                <w:b w:val="0"/>
                <w:sz w:val="20"/>
                <w:szCs w:val="20"/>
              </w:rPr>
            </w:pPr>
            <w:r w:rsidRPr="0061343E">
              <w:rPr>
                <w:rFonts w:ascii="Arial Narrow" w:hAnsi="Arial Narrow"/>
                <w:sz w:val="20"/>
                <w:szCs w:val="20"/>
              </w:rPr>
              <w:t>Intervention</w:t>
            </w:r>
          </w:p>
          <w:p w14:paraId="0D9E4BFF" w14:textId="77777777" w:rsidR="00D85532" w:rsidRPr="0061343E" w:rsidRDefault="00D85532" w:rsidP="00A40866">
            <w:pPr>
              <w:pStyle w:val="TableCentre"/>
              <w:keepNext/>
              <w:keepLines/>
              <w:rPr>
                <w:rFonts w:ascii="Arial Narrow" w:hAnsi="Arial Narrow"/>
                <w:sz w:val="20"/>
                <w:szCs w:val="20"/>
              </w:rPr>
            </w:pPr>
            <w:r w:rsidRPr="0061343E">
              <w:rPr>
                <w:rFonts w:ascii="Arial Narrow" w:hAnsi="Arial Narrow"/>
                <w:sz w:val="20"/>
                <w:szCs w:val="20"/>
              </w:rPr>
              <w:t>n/N (%)</w:t>
            </w:r>
          </w:p>
        </w:tc>
        <w:tc>
          <w:tcPr>
            <w:tcW w:w="0" w:type="auto"/>
            <w:shd w:val="clear" w:color="auto" w:fill="auto"/>
          </w:tcPr>
          <w:p w14:paraId="0CD639D3" w14:textId="77777777" w:rsidR="00D85532" w:rsidRPr="0061343E" w:rsidRDefault="00D85532" w:rsidP="00A40866">
            <w:pPr>
              <w:pStyle w:val="TableCentre"/>
              <w:keepNext/>
              <w:keepLines/>
              <w:rPr>
                <w:rFonts w:ascii="Arial Narrow" w:hAnsi="Arial Narrow"/>
                <w:b w:val="0"/>
                <w:sz w:val="20"/>
                <w:szCs w:val="20"/>
              </w:rPr>
            </w:pPr>
            <w:r w:rsidRPr="0061343E">
              <w:rPr>
                <w:rFonts w:ascii="Arial Narrow" w:hAnsi="Arial Narrow"/>
                <w:sz w:val="20"/>
                <w:szCs w:val="20"/>
              </w:rPr>
              <w:t>Comparator</w:t>
            </w:r>
          </w:p>
          <w:p w14:paraId="1175125F" w14:textId="77777777" w:rsidR="00D85532" w:rsidRPr="0061343E" w:rsidRDefault="00D85532" w:rsidP="00A40866">
            <w:pPr>
              <w:pStyle w:val="TableCentre"/>
              <w:keepNext/>
              <w:keepLines/>
              <w:rPr>
                <w:rFonts w:ascii="Arial Narrow" w:hAnsi="Arial Narrow"/>
                <w:sz w:val="20"/>
                <w:szCs w:val="20"/>
              </w:rPr>
            </w:pPr>
            <w:r w:rsidRPr="0061343E">
              <w:rPr>
                <w:rFonts w:ascii="Arial Narrow" w:hAnsi="Arial Narrow"/>
                <w:sz w:val="20"/>
                <w:szCs w:val="20"/>
              </w:rPr>
              <w:t>n/N (%)</w:t>
            </w:r>
          </w:p>
        </w:tc>
        <w:tc>
          <w:tcPr>
            <w:tcW w:w="0" w:type="auto"/>
            <w:shd w:val="clear" w:color="auto" w:fill="auto"/>
          </w:tcPr>
          <w:p w14:paraId="534E7B43" w14:textId="77777777" w:rsidR="00D85532" w:rsidRPr="0061343E" w:rsidRDefault="00D85532" w:rsidP="00A40866">
            <w:pPr>
              <w:pStyle w:val="TableCentre"/>
              <w:keepNext/>
              <w:keepLines/>
              <w:rPr>
                <w:rFonts w:ascii="Arial Narrow" w:hAnsi="Arial Narrow"/>
                <w:sz w:val="20"/>
                <w:szCs w:val="20"/>
              </w:rPr>
            </w:pPr>
            <w:r w:rsidRPr="0061343E">
              <w:rPr>
                <w:rFonts w:ascii="Arial Narrow" w:hAnsi="Arial Narrow"/>
                <w:sz w:val="20"/>
                <w:szCs w:val="20"/>
              </w:rPr>
              <w:t>RR (95% CI)</w:t>
            </w:r>
          </w:p>
        </w:tc>
        <w:tc>
          <w:tcPr>
            <w:tcW w:w="0" w:type="auto"/>
            <w:shd w:val="clear" w:color="auto" w:fill="auto"/>
          </w:tcPr>
          <w:p w14:paraId="04DB8E63" w14:textId="77777777" w:rsidR="00D85532" w:rsidRPr="0061343E" w:rsidRDefault="00D85532" w:rsidP="00A40866">
            <w:pPr>
              <w:pStyle w:val="TableCentre"/>
              <w:keepNext/>
              <w:keepLines/>
              <w:rPr>
                <w:rFonts w:ascii="Arial Narrow" w:hAnsi="Arial Narrow"/>
                <w:sz w:val="20"/>
                <w:szCs w:val="20"/>
              </w:rPr>
            </w:pPr>
            <w:r w:rsidRPr="0061343E">
              <w:rPr>
                <w:rFonts w:ascii="Arial Narrow" w:hAnsi="Arial Narrow"/>
                <w:sz w:val="20"/>
                <w:szCs w:val="20"/>
              </w:rPr>
              <w:t>RD (95% CI)</w:t>
            </w:r>
          </w:p>
        </w:tc>
      </w:tr>
      <w:tr w:rsidR="00D85532" w:rsidRPr="0061343E" w14:paraId="1D48FE99" w14:textId="77777777" w:rsidTr="00E7466A">
        <w:tc>
          <w:tcPr>
            <w:tcW w:w="0" w:type="auto"/>
            <w:gridSpan w:val="5"/>
            <w:shd w:val="clear" w:color="auto" w:fill="auto"/>
          </w:tcPr>
          <w:p w14:paraId="659B98FD" w14:textId="77777777" w:rsidR="00D85532" w:rsidRPr="0061343E" w:rsidRDefault="00D85532" w:rsidP="00A40866">
            <w:pPr>
              <w:pStyle w:val="TableCentre"/>
              <w:keepNext/>
              <w:keepLines/>
              <w:jc w:val="left"/>
              <w:rPr>
                <w:rFonts w:ascii="Arial Narrow" w:hAnsi="Arial Narrow"/>
                <w:b/>
                <w:bCs/>
                <w:sz w:val="20"/>
                <w:szCs w:val="20"/>
              </w:rPr>
            </w:pPr>
            <w:r w:rsidRPr="0061343E">
              <w:rPr>
                <w:rFonts w:ascii="Arial Narrow" w:hAnsi="Arial Narrow"/>
                <w:b/>
                <w:bCs/>
                <w:sz w:val="20"/>
                <w:szCs w:val="20"/>
              </w:rPr>
              <w:t>Any TEAEs</w:t>
            </w:r>
          </w:p>
        </w:tc>
      </w:tr>
      <w:tr w:rsidR="00D85532" w:rsidRPr="0061343E" w14:paraId="28B2AE79" w14:textId="77777777" w:rsidTr="00E7466A">
        <w:tc>
          <w:tcPr>
            <w:tcW w:w="0" w:type="auto"/>
            <w:gridSpan w:val="5"/>
            <w:shd w:val="clear" w:color="auto" w:fill="auto"/>
          </w:tcPr>
          <w:p w14:paraId="145C0183" w14:textId="77777777" w:rsidR="00D85532" w:rsidRPr="0061343E" w:rsidRDefault="00D85532" w:rsidP="00A40866">
            <w:pPr>
              <w:pStyle w:val="TableCentre"/>
              <w:keepNext/>
              <w:keepLines/>
              <w:jc w:val="left"/>
              <w:rPr>
                <w:rFonts w:ascii="Arial Narrow" w:hAnsi="Arial Narrow"/>
                <w:b/>
                <w:bCs/>
                <w:sz w:val="20"/>
                <w:szCs w:val="20"/>
              </w:rPr>
            </w:pPr>
            <w:r w:rsidRPr="0061343E">
              <w:rPr>
                <w:rFonts w:ascii="Arial Narrow" w:hAnsi="Arial Narrow"/>
                <w:b/>
                <w:bCs/>
                <w:sz w:val="20"/>
                <w:szCs w:val="20"/>
              </w:rPr>
              <w:t>NEMO 30 mg Q4W vs placebo</w:t>
            </w:r>
          </w:p>
        </w:tc>
      </w:tr>
      <w:tr w:rsidR="00D85532" w:rsidRPr="0061343E" w14:paraId="50E5347E" w14:textId="77777777" w:rsidTr="00E7466A">
        <w:tc>
          <w:tcPr>
            <w:tcW w:w="0" w:type="auto"/>
            <w:shd w:val="clear" w:color="auto" w:fill="auto"/>
          </w:tcPr>
          <w:p w14:paraId="69DC0E0E" w14:textId="77777777" w:rsidR="00D85532" w:rsidRPr="0061343E" w:rsidRDefault="00D85532" w:rsidP="00A40866">
            <w:pPr>
              <w:pStyle w:val="TableLeft"/>
              <w:keepNext/>
              <w:keepLines/>
              <w:rPr>
                <w:rFonts w:ascii="Arial Narrow" w:hAnsi="Arial Narrow"/>
                <w:sz w:val="20"/>
                <w:szCs w:val="20"/>
              </w:rPr>
            </w:pPr>
            <w:r w:rsidRPr="0061343E">
              <w:rPr>
                <w:rFonts w:ascii="Arial Narrow" w:hAnsi="Arial Narrow"/>
                <w:sz w:val="20"/>
                <w:szCs w:val="20"/>
              </w:rPr>
              <w:t>ARCADIA 1</w:t>
            </w:r>
          </w:p>
        </w:tc>
        <w:tc>
          <w:tcPr>
            <w:tcW w:w="0" w:type="auto"/>
            <w:shd w:val="clear" w:color="auto" w:fill="auto"/>
          </w:tcPr>
          <w:p w14:paraId="3A140E78" w14:textId="77777777" w:rsidR="00D85532" w:rsidRPr="0061343E" w:rsidRDefault="00D85532" w:rsidP="00A40866">
            <w:pPr>
              <w:pStyle w:val="TableCentre"/>
              <w:keepNext/>
              <w:keepLines/>
              <w:rPr>
                <w:rFonts w:ascii="Arial Narrow" w:hAnsi="Arial Narrow"/>
                <w:sz w:val="20"/>
                <w:szCs w:val="20"/>
              </w:rPr>
            </w:pPr>
            <w:r w:rsidRPr="0061343E">
              <w:rPr>
                <w:rFonts w:ascii="Arial Narrow" w:hAnsi="Arial Narrow"/>
                <w:sz w:val="20"/>
                <w:szCs w:val="20"/>
              </w:rPr>
              <w:t xml:space="preserve">306/616 (49.7) </w:t>
            </w:r>
          </w:p>
        </w:tc>
        <w:tc>
          <w:tcPr>
            <w:tcW w:w="0" w:type="auto"/>
            <w:shd w:val="clear" w:color="auto" w:fill="auto"/>
          </w:tcPr>
          <w:p w14:paraId="2E7BF433" w14:textId="77777777" w:rsidR="00D85532" w:rsidRPr="0061343E" w:rsidRDefault="00D85532" w:rsidP="00A40866">
            <w:pPr>
              <w:pStyle w:val="TableCentre"/>
              <w:keepNext/>
              <w:keepLines/>
              <w:rPr>
                <w:rFonts w:ascii="Arial Narrow" w:hAnsi="Arial Narrow"/>
                <w:sz w:val="20"/>
                <w:szCs w:val="20"/>
              </w:rPr>
            </w:pPr>
            <w:r w:rsidRPr="0061343E">
              <w:rPr>
                <w:rFonts w:ascii="Arial Narrow" w:hAnsi="Arial Narrow"/>
                <w:sz w:val="20"/>
                <w:szCs w:val="20"/>
              </w:rPr>
              <w:t>146/321 (45.5)</w:t>
            </w:r>
          </w:p>
        </w:tc>
        <w:tc>
          <w:tcPr>
            <w:tcW w:w="0" w:type="auto"/>
            <w:shd w:val="clear" w:color="auto" w:fill="auto"/>
          </w:tcPr>
          <w:p w14:paraId="645423DD" w14:textId="77777777" w:rsidR="00D85532" w:rsidRPr="0061343E" w:rsidRDefault="00D85532" w:rsidP="00A40866">
            <w:pPr>
              <w:keepNext/>
              <w:keepLines/>
              <w:jc w:val="center"/>
              <w:rPr>
                <w:rFonts w:ascii="Arial Narrow" w:hAnsi="Arial Narrow"/>
                <w:sz w:val="20"/>
                <w:szCs w:val="20"/>
              </w:rPr>
            </w:pPr>
            <w:r w:rsidRPr="0061343E">
              <w:rPr>
                <w:rFonts w:ascii="Arial Narrow" w:hAnsi="Arial Narrow"/>
                <w:sz w:val="20"/>
                <w:szCs w:val="20"/>
              </w:rPr>
              <w:t>1.09 (0.95, 1.26)</w:t>
            </w:r>
          </w:p>
        </w:tc>
        <w:tc>
          <w:tcPr>
            <w:tcW w:w="0" w:type="auto"/>
            <w:shd w:val="clear" w:color="auto" w:fill="auto"/>
          </w:tcPr>
          <w:p w14:paraId="0AF0BF3D" w14:textId="77777777" w:rsidR="00D85532" w:rsidRPr="0061343E" w:rsidRDefault="00D85532" w:rsidP="00A40866">
            <w:pPr>
              <w:keepNext/>
              <w:keepLines/>
              <w:jc w:val="center"/>
              <w:rPr>
                <w:rFonts w:ascii="Arial Narrow" w:hAnsi="Arial Narrow"/>
                <w:sz w:val="20"/>
                <w:szCs w:val="20"/>
              </w:rPr>
            </w:pPr>
            <w:r w:rsidRPr="0061343E">
              <w:rPr>
                <w:rFonts w:ascii="Arial Narrow" w:hAnsi="Arial Narrow"/>
                <w:sz w:val="20"/>
                <w:szCs w:val="20"/>
              </w:rPr>
              <w:t>0.04 (-0.03, 0.11)</w:t>
            </w:r>
          </w:p>
        </w:tc>
      </w:tr>
      <w:tr w:rsidR="00D85532" w:rsidRPr="0061343E" w14:paraId="3FE3A580" w14:textId="77777777" w:rsidTr="00E7466A">
        <w:tc>
          <w:tcPr>
            <w:tcW w:w="0" w:type="auto"/>
            <w:shd w:val="clear" w:color="auto" w:fill="auto"/>
          </w:tcPr>
          <w:p w14:paraId="041B9B7F" w14:textId="77777777" w:rsidR="00D85532" w:rsidRPr="0061343E" w:rsidRDefault="00D85532" w:rsidP="00A40866">
            <w:pPr>
              <w:pStyle w:val="TableLeft"/>
              <w:keepNext/>
              <w:keepLines/>
              <w:rPr>
                <w:rFonts w:ascii="Arial Narrow" w:hAnsi="Arial Narrow"/>
                <w:sz w:val="20"/>
                <w:szCs w:val="20"/>
              </w:rPr>
            </w:pPr>
            <w:r w:rsidRPr="0061343E">
              <w:rPr>
                <w:rFonts w:ascii="Arial Narrow" w:hAnsi="Arial Narrow"/>
                <w:sz w:val="20"/>
                <w:szCs w:val="20"/>
              </w:rPr>
              <w:t>ARCADIA 2</w:t>
            </w:r>
          </w:p>
        </w:tc>
        <w:tc>
          <w:tcPr>
            <w:tcW w:w="0" w:type="auto"/>
            <w:shd w:val="clear" w:color="auto" w:fill="auto"/>
          </w:tcPr>
          <w:p w14:paraId="322902D2" w14:textId="77777777" w:rsidR="00D85532" w:rsidRPr="0061343E" w:rsidRDefault="00D85532" w:rsidP="00A40866">
            <w:pPr>
              <w:pStyle w:val="TableCentre"/>
              <w:keepNext/>
              <w:keepLines/>
              <w:rPr>
                <w:rFonts w:ascii="Arial Narrow" w:hAnsi="Arial Narrow"/>
                <w:sz w:val="20"/>
                <w:szCs w:val="20"/>
              </w:rPr>
            </w:pPr>
            <w:r w:rsidRPr="0061343E">
              <w:rPr>
                <w:rFonts w:ascii="Arial Narrow" w:hAnsi="Arial Narrow"/>
                <w:sz w:val="20"/>
                <w:szCs w:val="20"/>
              </w:rPr>
              <w:t xml:space="preserve">215/519 (41.4) </w:t>
            </w:r>
          </w:p>
        </w:tc>
        <w:tc>
          <w:tcPr>
            <w:tcW w:w="0" w:type="auto"/>
            <w:shd w:val="clear" w:color="auto" w:fill="auto"/>
          </w:tcPr>
          <w:p w14:paraId="6A5E0828" w14:textId="77777777" w:rsidR="00D85532" w:rsidRPr="0061343E" w:rsidRDefault="00D85532" w:rsidP="00A40866">
            <w:pPr>
              <w:pStyle w:val="TableCentre"/>
              <w:keepNext/>
              <w:keepLines/>
              <w:rPr>
                <w:rFonts w:ascii="Arial Narrow" w:hAnsi="Arial Narrow"/>
                <w:sz w:val="20"/>
                <w:szCs w:val="20"/>
              </w:rPr>
            </w:pPr>
            <w:r w:rsidRPr="0061343E">
              <w:rPr>
                <w:rFonts w:ascii="Arial Narrow" w:hAnsi="Arial Narrow"/>
                <w:sz w:val="20"/>
                <w:szCs w:val="20"/>
              </w:rPr>
              <w:t>117/263 (44.5)</w:t>
            </w:r>
          </w:p>
        </w:tc>
        <w:tc>
          <w:tcPr>
            <w:tcW w:w="0" w:type="auto"/>
            <w:shd w:val="clear" w:color="auto" w:fill="auto"/>
          </w:tcPr>
          <w:p w14:paraId="346BC684" w14:textId="77777777" w:rsidR="00D85532" w:rsidRPr="0061343E" w:rsidRDefault="00D85532" w:rsidP="00A40866">
            <w:pPr>
              <w:keepNext/>
              <w:keepLines/>
              <w:jc w:val="center"/>
              <w:rPr>
                <w:rFonts w:ascii="Arial Narrow" w:hAnsi="Arial Narrow"/>
                <w:sz w:val="20"/>
                <w:szCs w:val="20"/>
              </w:rPr>
            </w:pPr>
            <w:r w:rsidRPr="0061343E">
              <w:rPr>
                <w:rFonts w:ascii="Arial Narrow" w:hAnsi="Arial Narrow"/>
                <w:sz w:val="20"/>
                <w:szCs w:val="20"/>
              </w:rPr>
              <w:t>0.93 (0.79, 1.10)</w:t>
            </w:r>
          </w:p>
        </w:tc>
        <w:tc>
          <w:tcPr>
            <w:tcW w:w="0" w:type="auto"/>
            <w:shd w:val="clear" w:color="auto" w:fill="auto"/>
          </w:tcPr>
          <w:p w14:paraId="25AB8395" w14:textId="77777777" w:rsidR="00D85532" w:rsidRPr="0061343E" w:rsidRDefault="00D85532" w:rsidP="00A40866">
            <w:pPr>
              <w:keepNext/>
              <w:keepLines/>
              <w:jc w:val="center"/>
              <w:rPr>
                <w:rFonts w:ascii="Arial Narrow" w:hAnsi="Arial Narrow"/>
                <w:sz w:val="20"/>
                <w:szCs w:val="20"/>
              </w:rPr>
            </w:pPr>
            <w:r w:rsidRPr="0061343E">
              <w:rPr>
                <w:rFonts w:ascii="Arial Narrow" w:hAnsi="Arial Narrow"/>
                <w:sz w:val="20"/>
                <w:szCs w:val="20"/>
              </w:rPr>
              <w:t>-0.03 (-0.10, 0.04)</w:t>
            </w:r>
          </w:p>
        </w:tc>
      </w:tr>
      <w:tr w:rsidR="00D85532" w:rsidRPr="0061343E" w14:paraId="7FE78397" w14:textId="77777777" w:rsidTr="00E7466A">
        <w:tc>
          <w:tcPr>
            <w:tcW w:w="0" w:type="auto"/>
            <w:shd w:val="clear" w:color="auto" w:fill="auto"/>
          </w:tcPr>
          <w:p w14:paraId="1B50E616" w14:textId="77777777" w:rsidR="00D85532" w:rsidRPr="0061343E" w:rsidRDefault="00D85532" w:rsidP="00A40866">
            <w:pPr>
              <w:pStyle w:val="TableLeft"/>
              <w:keepNext/>
              <w:keepLines/>
              <w:rPr>
                <w:rFonts w:ascii="Arial Narrow" w:hAnsi="Arial Narrow"/>
                <w:sz w:val="20"/>
                <w:szCs w:val="20"/>
              </w:rPr>
            </w:pPr>
            <w:r w:rsidRPr="0061343E">
              <w:rPr>
                <w:rFonts w:ascii="Arial Narrow" w:hAnsi="Arial Narrow"/>
                <w:sz w:val="20"/>
                <w:szCs w:val="20"/>
              </w:rPr>
              <w:t>Study 114322</w:t>
            </w:r>
          </w:p>
        </w:tc>
        <w:tc>
          <w:tcPr>
            <w:tcW w:w="0" w:type="auto"/>
            <w:shd w:val="clear" w:color="auto" w:fill="auto"/>
          </w:tcPr>
          <w:p w14:paraId="09979185" w14:textId="77777777" w:rsidR="00D85532" w:rsidRPr="0061343E" w:rsidRDefault="00D85532" w:rsidP="00A40866">
            <w:pPr>
              <w:pStyle w:val="TableCentre"/>
              <w:keepNext/>
              <w:keepLines/>
              <w:rPr>
                <w:rFonts w:ascii="Arial Narrow" w:hAnsi="Arial Narrow"/>
                <w:sz w:val="20"/>
                <w:szCs w:val="20"/>
              </w:rPr>
            </w:pPr>
            <w:r w:rsidRPr="0061343E">
              <w:rPr>
                <w:rFonts w:ascii="Arial Narrow" w:hAnsi="Arial Narrow"/>
                <w:sz w:val="20"/>
                <w:szCs w:val="20"/>
              </w:rPr>
              <w:t>47/57 (82.5)</w:t>
            </w:r>
          </w:p>
        </w:tc>
        <w:tc>
          <w:tcPr>
            <w:tcW w:w="0" w:type="auto"/>
            <w:shd w:val="clear" w:color="auto" w:fill="auto"/>
          </w:tcPr>
          <w:p w14:paraId="16B63F49" w14:textId="77777777" w:rsidR="00D85532" w:rsidRPr="0061343E" w:rsidRDefault="00D85532" w:rsidP="00A40866">
            <w:pPr>
              <w:pStyle w:val="TableCentre"/>
              <w:keepNext/>
              <w:keepLines/>
              <w:rPr>
                <w:rFonts w:ascii="Arial Narrow" w:hAnsi="Arial Narrow"/>
                <w:sz w:val="20"/>
                <w:szCs w:val="20"/>
              </w:rPr>
            </w:pPr>
            <w:r w:rsidRPr="0061343E">
              <w:rPr>
                <w:rFonts w:ascii="Arial Narrow" w:hAnsi="Arial Narrow"/>
                <w:sz w:val="20"/>
                <w:szCs w:val="20"/>
              </w:rPr>
              <w:t>43/57 (76.8)</w:t>
            </w:r>
          </w:p>
        </w:tc>
        <w:tc>
          <w:tcPr>
            <w:tcW w:w="0" w:type="auto"/>
            <w:shd w:val="clear" w:color="auto" w:fill="auto"/>
          </w:tcPr>
          <w:p w14:paraId="68A68E30" w14:textId="77777777" w:rsidR="00D85532" w:rsidRPr="0061343E" w:rsidRDefault="00D85532" w:rsidP="00A40866">
            <w:pPr>
              <w:keepNext/>
              <w:keepLines/>
              <w:jc w:val="center"/>
              <w:rPr>
                <w:rFonts w:ascii="Arial Narrow" w:hAnsi="Arial Narrow"/>
                <w:sz w:val="20"/>
                <w:szCs w:val="20"/>
              </w:rPr>
            </w:pPr>
            <w:r w:rsidRPr="0061343E">
              <w:rPr>
                <w:rFonts w:ascii="Arial Narrow" w:hAnsi="Arial Narrow"/>
                <w:sz w:val="20"/>
                <w:szCs w:val="20"/>
              </w:rPr>
              <w:t>1.09 (0.90, 1.32)</w:t>
            </w:r>
          </w:p>
        </w:tc>
        <w:tc>
          <w:tcPr>
            <w:tcW w:w="0" w:type="auto"/>
            <w:shd w:val="clear" w:color="auto" w:fill="auto"/>
          </w:tcPr>
          <w:p w14:paraId="58A9A9E4" w14:textId="77777777" w:rsidR="00D85532" w:rsidRPr="0061343E" w:rsidRDefault="00D85532" w:rsidP="00A40866">
            <w:pPr>
              <w:keepNext/>
              <w:keepLines/>
              <w:jc w:val="center"/>
              <w:rPr>
                <w:rFonts w:ascii="Arial Narrow" w:hAnsi="Arial Narrow"/>
                <w:sz w:val="20"/>
                <w:szCs w:val="20"/>
              </w:rPr>
            </w:pPr>
            <w:r w:rsidRPr="0061343E">
              <w:rPr>
                <w:rFonts w:ascii="Arial Narrow" w:hAnsi="Arial Narrow"/>
                <w:sz w:val="20"/>
                <w:szCs w:val="20"/>
              </w:rPr>
              <w:t>0.07 (-0.08, 0.22)</w:t>
            </w:r>
          </w:p>
        </w:tc>
      </w:tr>
      <w:tr w:rsidR="00D85532" w:rsidRPr="0061343E" w14:paraId="36764F97" w14:textId="77777777" w:rsidTr="00E7466A">
        <w:tc>
          <w:tcPr>
            <w:tcW w:w="0" w:type="auto"/>
            <w:shd w:val="clear" w:color="auto" w:fill="auto"/>
          </w:tcPr>
          <w:p w14:paraId="6FB02A0B" w14:textId="77777777" w:rsidR="00D85532" w:rsidRPr="0061343E" w:rsidRDefault="00D85532" w:rsidP="00A40866">
            <w:pPr>
              <w:pStyle w:val="TableLeft"/>
              <w:keepNext/>
              <w:keepLines/>
              <w:rPr>
                <w:rFonts w:ascii="Arial Narrow" w:hAnsi="Arial Narrow"/>
                <w:sz w:val="20"/>
                <w:szCs w:val="20"/>
              </w:rPr>
            </w:pPr>
            <w:r w:rsidRPr="0061343E">
              <w:rPr>
                <w:rFonts w:ascii="Arial Narrow" w:hAnsi="Arial Narrow"/>
                <w:sz w:val="20"/>
                <w:szCs w:val="20"/>
              </w:rPr>
              <w:t>ARCADIA CYCLO</w:t>
            </w:r>
          </w:p>
        </w:tc>
        <w:tc>
          <w:tcPr>
            <w:tcW w:w="0" w:type="auto"/>
            <w:shd w:val="clear" w:color="auto" w:fill="auto"/>
          </w:tcPr>
          <w:p w14:paraId="5449E14E" w14:textId="77777777" w:rsidR="00D85532" w:rsidRPr="0061343E" w:rsidRDefault="00D85532" w:rsidP="00A40866">
            <w:pPr>
              <w:pStyle w:val="TableCentre"/>
              <w:keepNext/>
              <w:keepLines/>
              <w:rPr>
                <w:rFonts w:ascii="Arial Narrow" w:hAnsi="Arial Narrow"/>
                <w:sz w:val="20"/>
                <w:szCs w:val="20"/>
              </w:rPr>
            </w:pPr>
            <w:r w:rsidRPr="0061343E">
              <w:rPr>
                <w:rFonts w:ascii="Arial Narrow" w:hAnsi="Arial Narrow"/>
                <w:sz w:val="20"/>
                <w:szCs w:val="20"/>
              </w:rPr>
              <w:t>71/137 (51.8)</w:t>
            </w:r>
          </w:p>
        </w:tc>
        <w:tc>
          <w:tcPr>
            <w:tcW w:w="0" w:type="auto"/>
            <w:shd w:val="clear" w:color="auto" w:fill="auto"/>
          </w:tcPr>
          <w:p w14:paraId="31554A2C" w14:textId="77777777" w:rsidR="00D85532" w:rsidRPr="0061343E" w:rsidRDefault="00D85532" w:rsidP="00A40866">
            <w:pPr>
              <w:pStyle w:val="TableCentre"/>
              <w:keepNext/>
              <w:keepLines/>
              <w:rPr>
                <w:rFonts w:ascii="Arial Narrow" w:hAnsi="Arial Narrow"/>
                <w:sz w:val="20"/>
                <w:szCs w:val="20"/>
              </w:rPr>
            </w:pPr>
            <w:r w:rsidRPr="0061343E">
              <w:rPr>
                <w:rFonts w:ascii="Arial Narrow" w:hAnsi="Arial Narrow"/>
                <w:sz w:val="20"/>
                <w:szCs w:val="20"/>
              </w:rPr>
              <w:t>70/137 (51.1)</w:t>
            </w:r>
          </w:p>
        </w:tc>
        <w:tc>
          <w:tcPr>
            <w:tcW w:w="0" w:type="auto"/>
            <w:shd w:val="clear" w:color="auto" w:fill="auto"/>
          </w:tcPr>
          <w:p w14:paraId="300B55D9" w14:textId="77777777" w:rsidR="00D85532" w:rsidRPr="0061343E" w:rsidRDefault="00D85532" w:rsidP="00A40866">
            <w:pPr>
              <w:keepNext/>
              <w:keepLines/>
              <w:jc w:val="center"/>
              <w:rPr>
                <w:rFonts w:ascii="Arial Narrow" w:hAnsi="Arial Narrow"/>
                <w:sz w:val="20"/>
                <w:szCs w:val="20"/>
              </w:rPr>
            </w:pPr>
            <w:r w:rsidRPr="0061343E">
              <w:rPr>
                <w:rFonts w:ascii="Arial Narrow" w:hAnsi="Arial Narrow"/>
                <w:sz w:val="20"/>
                <w:szCs w:val="20"/>
              </w:rPr>
              <w:t>1.01 (0.81, 1.28)</w:t>
            </w:r>
          </w:p>
        </w:tc>
        <w:tc>
          <w:tcPr>
            <w:tcW w:w="0" w:type="auto"/>
            <w:shd w:val="clear" w:color="auto" w:fill="auto"/>
          </w:tcPr>
          <w:p w14:paraId="3DE933D5" w14:textId="77777777" w:rsidR="00D85532" w:rsidRPr="0061343E" w:rsidRDefault="00D85532" w:rsidP="00A40866">
            <w:pPr>
              <w:keepNext/>
              <w:keepLines/>
              <w:jc w:val="center"/>
              <w:rPr>
                <w:rFonts w:ascii="Arial Narrow" w:hAnsi="Arial Narrow"/>
                <w:sz w:val="20"/>
                <w:szCs w:val="20"/>
              </w:rPr>
            </w:pPr>
            <w:r w:rsidRPr="0061343E">
              <w:rPr>
                <w:rFonts w:ascii="Arial Narrow" w:hAnsi="Arial Narrow"/>
                <w:sz w:val="20"/>
                <w:szCs w:val="20"/>
              </w:rPr>
              <w:t>0.01 (-0.11, 0.13)</w:t>
            </w:r>
          </w:p>
        </w:tc>
      </w:tr>
      <w:tr w:rsidR="00D85532" w:rsidRPr="0061343E" w14:paraId="7DA46111" w14:textId="77777777" w:rsidTr="00E7466A">
        <w:tc>
          <w:tcPr>
            <w:tcW w:w="0" w:type="auto"/>
            <w:shd w:val="clear" w:color="auto" w:fill="auto"/>
          </w:tcPr>
          <w:p w14:paraId="73D82C31" w14:textId="77777777" w:rsidR="00D85532" w:rsidRPr="0061343E" w:rsidRDefault="00D85532" w:rsidP="00A40866">
            <w:pPr>
              <w:pStyle w:val="TableLeft"/>
              <w:keepNext/>
              <w:keepLines/>
              <w:rPr>
                <w:rFonts w:ascii="Arial Narrow" w:hAnsi="Arial Narrow"/>
                <w:sz w:val="20"/>
                <w:szCs w:val="20"/>
              </w:rPr>
            </w:pPr>
            <w:r w:rsidRPr="0061343E">
              <w:rPr>
                <w:rFonts w:ascii="Arial Narrow" w:hAnsi="Arial Narrow"/>
                <w:sz w:val="20"/>
                <w:szCs w:val="20"/>
              </w:rPr>
              <w:t>Pooled (REM)</w:t>
            </w:r>
          </w:p>
        </w:tc>
        <w:tc>
          <w:tcPr>
            <w:tcW w:w="0" w:type="auto"/>
            <w:shd w:val="clear" w:color="auto" w:fill="auto"/>
          </w:tcPr>
          <w:p w14:paraId="472459EC" w14:textId="77777777" w:rsidR="00D85532" w:rsidRPr="0061343E" w:rsidRDefault="00D85532" w:rsidP="00A40866">
            <w:pPr>
              <w:pStyle w:val="TableCentre"/>
              <w:keepNext/>
              <w:keepLines/>
              <w:rPr>
                <w:rFonts w:ascii="Arial Narrow" w:hAnsi="Arial Narrow"/>
                <w:sz w:val="20"/>
                <w:szCs w:val="20"/>
              </w:rPr>
            </w:pPr>
          </w:p>
        </w:tc>
        <w:tc>
          <w:tcPr>
            <w:tcW w:w="0" w:type="auto"/>
            <w:shd w:val="clear" w:color="auto" w:fill="auto"/>
          </w:tcPr>
          <w:p w14:paraId="589A91F8" w14:textId="77777777" w:rsidR="00D85532" w:rsidRPr="0061343E" w:rsidRDefault="00D85532" w:rsidP="00A40866">
            <w:pPr>
              <w:pStyle w:val="TableCentre"/>
              <w:keepNext/>
              <w:keepLines/>
              <w:rPr>
                <w:rFonts w:ascii="Arial Narrow" w:hAnsi="Arial Narrow"/>
                <w:sz w:val="20"/>
                <w:szCs w:val="20"/>
              </w:rPr>
            </w:pPr>
          </w:p>
        </w:tc>
        <w:tc>
          <w:tcPr>
            <w:tcW w:w="0" w:type="auto"/>
            <w:shd w:val="clear" w:color="auto" w:fill="auto"/>
          </w:tcPr>
          <w:p w14:paraId="3CDEABC3" w14:textId="77777777" w:rsidR="00D85532" w:rsidRPr="0061343E" w:rsidRDefault="00D85532" w:rsidP="00A40866">
            <w:pPr>
              <w:keepNext/>
              <w:keepLines/>
              <w:jc w:val="center"/>
              <w:rPr>
                <w:rFonts w:ascii="Arial Narrow" w:hAnsi="Arial Narrow"/>
                <w:sz w:val="20"/>
                <w:szCs w:val="20"/>
              </w:rPr>
            </w:pPr>
            <w:r w:rsidRPr="0061343E">
              <w:rPr>
                <w:rFonts w:ascii="Arial Narrow" w:hAnsi="Arial Narrow"/>
                <w:sz w:val="20"/>
                <w:szCs w:val="20"/>
              </w:rPr>
              <w:t>1.04 (0.94, 1.15)</w:t>
            </w:r>
          </w:p>
        </w:tc>
        <w:tc>
          <w:tcPr>
            <w:tcW w:w="0" w:type="auto"/>
            <w:shd w:val="clear" w:color="auto" w:fill="auto"/>
          </w:tcPr>
          <w:p w14:paraId="45703B6B" w14:textId="77777777" w:rsidR="00D85532" w:rsidRPr="0061343E" w:rsidRDefault="00D85532" w:rsidP="00A40866">
            <w:pPr>
              <w:keepNext/>
              <w:keepLines/>
              <w:jc w:val="center"/>
              <w:rPr>
                <w:rFonts w:ascii="Arial Narrow" w:hAnsi="Arial Narrow"/>
                <w:sz w:val="20"/>
                <w:szCs w:val="20"/>
              </w:rPr>
            </w:pPr>
            <w:r w:rsidRPr="0061343E">
              <w:rPr>
                <w:rFonts w:ascii="Arial Narrow" w:hAnsi="Arial Narrow"/>
                <w:sz w:val="20"/>
                <w:szCs w:val="20"/>
              </w:rPr>
              <w:t>0.02 (-0.04, 0.07)</w:t>
            </w:r>
          </w:p>
        </w:tc>
      </w:tr>
      <w:tr w:rsidR="00D85532" w:rsidRPr="0061343E" w14:paraId="1F58DE6F" w14:textId="77777777" w:rsidTr="00E7466A">
        <w:tc>
          <w:tcPr>
            <w:tcW w:w="0" w:type="auto"/>
            <w:gridSpan w:val="5"/>
            <w:shd w:val="clear" w:color="auto" w:fill="auto"/>
          </w:tcPr>
          <w:p w14:paraId="262CCA47" w14:textId="77777777" w:rsidR="00D85532" w:rsidRPr="0061343E" w:rsidRDefault="00D85532" w:rsidP="00A40866">
            <w:pPr>
              <w:pStyle w:val="TableCentre"/>
              <w:keepNext/>
              <w:keepLines/>
              <w:jc w:val="left"/>
              <w:rPr>
                <w:rFonts w:ascii="Arial Narrow" w:hAnsi="Arial Narrow"/>
                <w:b/>
                <w:bCs/>
                <w:sz w:val="20"/>
                <w:szCs w:val="20"/>
              </w:rPr>
            </w:pPr>
            <w:r w:rsidRPr="0061343E">
              <w:rPr>
                <w:rFonts w:ascii="Arial Narrow" w:hAnsi="Arial Narrow"/>
                <w:b/>
                <w:bCs/>
                <w:sz w:val="20"/>
                <w:szCs w:val="20"/>
              </w:rPr>
              <w:t>DUPI 300 mg Q2W vs placebo</w:t>
            </w:r>
          </w:p>
        </w:tc>
      </w:tr>
      <w:tr w:rsidR="00D85532" w:rsidRPr="0061343E" w14:paraId="07127C99" w14:textId="77777777" w:rsidTr="00E7466A">
        <w:tc>
          <w:tcPr>
            <w:tcW w:w="0" w:type="auto"/>
            <w:shd w:val="clear" w:color="auto" w:fill="B8CCE4"/>
          </w:tcPr>
          <w:p w14:paraId="2F5A1D98" w14:textId="77777777" w:rsidR="00D85532" w:rsidRPr="0061343E" w:rsidRDefault="00D85532" w:rsidP="00A40866">
            <w:pPr>
              <w:pStyle w:val="TableLeft"/>
              <w:keepNext/>
              <w:keepLines/>
              <w:rPr>
                <w:rFonts w:ascii="Arial Narrow" w:hAnsi="Arial Narrow"/>
                <w:sz w:val="20"/>
                <w:szCs w:val="20"/>
              </w:rPr>
            </w:pPr>
            <w:r w:rsidRPr="0061343E">
              <w:rPr>
                <w:rFonts w:ascii="Arial Narrow" w:hAnsi="Arial Narrow"/>
                <w:sz w:val="20"/>
                <w:szCs w:val="20"/>
              </w:rPr>
              <w:t>CAFÉ</w:t>
            </w:r>
          </w:p>
        </w:tc>
        <w:tc>
          <w:tcPr>
            <w:tcW w:w="0" w:type="auto"/>
            <w:shd w:val="clear" w:color="auto" w:fill="B8CCE4"/>
          </w:tcPr>
          <w:p w14:paraId="2F2E1ED2" w14:textId="77777777" w:rsidR="00D85532" w:rsidRPr="0061343E" w:rsidRDefault="00D85532" w:rsidP="00A40866">
            <w:pPr>
              <w:pStyle w:val="TableCentre"/>
              <w:keepNext/>
              <w:keepLines/>
              <w:rPr>
                <w:rFonts w:ascii="Arial Narrow" w:hAnsi="Arial Narrow"/>
                <w:sz w:val="20"/>
                <w:szCs w:val="20"/>
              </w:rPr>
            </w:pPr>
            <w:r w:rsidRPr="0061343E">
              <w:rPr>
                <w:rFonts w:ascii="Arial Narrow" w:hAnsi="Arial Narrow"/>
                <w:sz w:val="20"/>
                <w:szCs w:val="20"/>
              </w:rPr>
              <w:t>77/107 (72.0)</w:t>
            </w:r>
          </w:p>
        </w:tc>
        <w:tc>
          <w:tcPr>
            <w:tcW w:w="0" w:type="auto"/>
            <w:shd w:val="clear" w:color="auto" w:fill="B8CCE4"/>
          </w:tcPr>
          <w:p w14:paraId="17612686" w14:textId="77777777" w:rsidR="00D85532" w:rsidRPr="0061343E" w:rsidRDefault="00D85532" w:rsidP="00A40866">
            <w:pPr>
              <w:pStyle w:val="TableCentre"/>
              <w:keepNext/>
              <w:keepLines/>
              <w:rPr>
                <w:rFonts w:ascii="Arial Narrow" w:hAnsi="Arial Narrow"/>
                <w:sz w:val="20"/>
                <w:szCs w:val="20"/>
              </w:rPr>
            </w:pPr>
            <w:r w:rsidRPr="0061343E">
              <w:rPr>
                <w:rFonts w:ascii="Arial Narrow" w:hAnsi="Arial Narrow"/>
                <w:sz w:val="20"/>
                <w:szCs w:val="20"/>
              </w:rPr>
              <w:t>75/108 (69.4)</w:t>
            </w:r>
          </w:p>
        </w:tc>
        <w:tc>
          <w:tcPr>
            <w:tcW w:w="0" w:type="auto"/>
            <w:shd w:val="clear" w:color="auto" w:fill="B8CCE4"/>
          </w:tcPr>
          <w:p w14:paraId="050F9A0E" w14:textId="77777777" w:rsidR="00D85532" w:rsidRPr="0061343E" w:rsidRDefault="00D85532" w:rsidP="00A40866">
            <w:pPr>
              <w:keepNext/>
              <w:keepLines/>
              <w:jc w:val="center"/>
              <w:rPr>
                <w:rFonts w:ascii="Arial Narrow" w:hAnsi="Arial Narrow"/>
                <w:sz w:val="20"/>
                <w:szCs w:val="20"/>
              </w:rPr>
            </w:pPr>
            <w:r w:rsidRPr="0061343E">
              <w:rPr>
                <w:rFonts w:ascii="Arial Narrow" w:hAnsi="Arial Narrow"/>
                <w:sz w:val="20"/>
                <w:szCs w:val="20"/>
              </w:rPr>
              <w:t>1.04 (0.87, 1.23)</w:t>
            </w:r>
          </w:p>
        </w:tc>
        <w:tc>
          <w:tcPr>
            <w:tcW w:w="0" w:type="auto"/>
            <w:shd w:val="clear" w:color="auto" w:fill="B8CCE4"/>
          </w:tcPr>
          <w:p w14:paraId="4295C77A" w14:textId="77777777" w:rsidR="00D85532" w:rsidRPr="0061343E" w:rsidRDefault="00D85532" w:rsidP="00A40866">
            <w:pPr>
              <w:keepNext/>
              <w:keepLines/>
              <w:jc w:val="center"/>
              <w:rPr>
                <w:rFonts w:ascii="Arial Narrow" w:hAnsi="Arial Narrow"/>
                <w:sz w:val="20"/>
                <w:szCs w:val="20"/>
              </w:rPr>
            </w:pPr>
            <w:r w:rsidRPr="0061343E">
              <w:rPr>
                <w:rFonts w:ascii="Arial Narrow" w:hAnsi="Arial Narrow"/>
                <w:sz w:val="20"/>
                <w:szCs w:val="20"/>
              </w:rPr>
              <w:t>0.03 (-0.10, 0.15)</w:t>
            </w:r>
          </w:p>
        </w:tc>
      </w:tr>
      <w:tr w:rsidR="00D85532" w:rsidRPr="0061343E" w14:paraId="33E63B08" w14:textId="77777777" w:rsidTr="00E7466A">
        <w:tc>
          <w:tcPr>
            <w:tcW w:w="0" w:type="auto"/>
            <w:shd w:val="clear" w:color="auto" w:fill="B8CCE4"/>
          </w:tcPr>
          <w:p w14:paraId="6B42B4EC" w14:textId="77777777" w:rsidR="00D85532" w:rsidRPr="0061343E" w:rsidRDefault="00D85532" w:rsidP="00A40866">
            <w:pPr>
              <w:pStyle w:val="TableLeft"/>
              <w:keepNext/>
              <w:keepLines/>
              <w:rPr>
                <w:rFonts w:ascii="Arial Narrow" w:hAnsi="Arial Narrow"/>
                <w:sz w:val="20"/>
                <w:szCs w:val="20"/>
              </w:rPr>
            </w:pPr>
            <w:r w:rsidRPr="0061343E">
              <w:rPr>
                <w:rFonts w:ascii="Arial Narrow" w:hAnsi="Arial Narrow"/>
                <w:sz w:val="20"/>
                <w:szCs w:val="20"/>
              </w:rPr>
              <w:t>CHRONOS</w:t>
            </w:r>
          </w:p>
        </w:tc>
        <w:tc>
          <w:tcPr>
            <w:tcW w:w="0" w:type="auto"/>
            <w:shd w:val="clear" w:color="auto" w:fill="B8CCE4"/>
          </w:tcPr>
          <w:p w14:paraId="7923BC8A" w14:textId="77777777" w:rsidR="00D85532" w:rsidRPr="0061343E" w:rsidRDefault="00D85532" w:rsidP="00A40866">
            <w:pPr>
              <w:pStyle w:val="TableCentre"/>
              <w:keepNext/>
              <w:keepLines/>
              <w:rPr>
                <w:rFonts w:ascii="Arial Narrow" w:hAnsi="Arial Narrow"/>
                <w:sz w:val="20"/>
                <w:szCs w:val="20"/>
              </w:rPr>
            </w:pPr>
            <w:r w:rsidRPr="0061343E">
              <w:rPr>
                <w:rFonts w:ascii="Arial Narrow" w:hAnsi="Arial Narrow"/>
                <w:sz w:val="20"/>
                <w:szCs w:val="20"/>
              </w:rPr>
              <w:t>97/110 (88.2)</w:t>
            </w:r>
          </w:p>
        </w:tc>
        <w:tc>
          <w:tcPr>
            <w:tcW w:w="0" w:type="auto"/>
            <w:shd w:val="clear" w:color="auto" w:fill="B8CCE4"/>
          </w:tcPr>
          <w:p w14:paraId="6B04EF3E" w14:textId="77777777" w:rsidR="00D85532" w:rsidRPr="0061343E" w:rsidRDefault="00D85532" w:rsidP="00A40866">
            <w:pPr>
              <w:pStyle w:val="TableCentre"/>
              <w:keepNext/>
              <w:keepLines/>
              <w:rPr>
                <w:rFonts w:ascii="Arial Narrow" w:hAnsi="Arial Narrow"/>
                <w:sz w:val="20"/>
                <w:szCs w:val="20"/>
              </w:rPr>
            </w:pPr>
            <w:r w:rsidRPr="0061343E">
              <w:rPr>
                <w:rFonts w:ascii="Arial Narrow" w:hAnsi="Arial Narrow"/>
                <w:sz w:val="20"/>
                <w:szCs w:val="20"/>
              </w:rPr>
              <w:t>266/315 (84.4)</w:t>
            </w:r>
          </w:p>
        </w:tc>
        <w:tc>
          <w:tcPr>
            <w:tcW w:w="0" w:type="auto"/>
            <w:shd w:val="clear" w:color="auto" w:fill="B8CCE4"/>
          </w:tcPr>
          <w:p w14:paraId="375B1A21" w14:textId="77777777" w:rsidR="00D85532" w:rsidRPr="0061343E" w:rsidRDefault="00D85532" w:rsidP="00A40866">
            <w:pPr>
              <w:keepNext/>
              <w:keepLines/>
              <w:jc w:val="center"/>
              <w:rPr>
                <w:rFonts w:ascii="Arial Narrow" w:hAnsi="Arial Narrow"/>
                <w:sz w:val="20"/>
                <w:szCs w:val="20"/>
              </w:rPr>
            </w:pPr>
            <w:r w:rsidRPr="0061343E">
              <w:rPr>
                <w:rFonts w:ascii="Arial Narrow" w:hAnsi="Arial Narrow"/>
                <w:sz w:val="20"/>
                <w:szCs w:val="20"/>
              </w:rPr>
              <w:t>1.04 (0.96, 1.14)</w:t>
            </w:r>
          </w:p>
        </w:tc>
        <w:tc>
          <w:tcPr>
            <w:tcW w:w="0" w:type="auto"/>
            <w:shd w:val="clear" w:color="auto" w:fill="B8CCE4"/>
          </w:tcPr>
          <w:p w14:paraId="3D064086" w14:textId="77777777" w:rsidR="00D85532" w:rsidRPr="0061343E" w:rsidRDefault="00D85532" w:rsidP="00A40866">
            <w:pPr>
              <w:keepNext/>
              <w:keepLines/>
              <w:jc w:val="center"/>
              <w:rPr>
                <w:rFonts w:ascii="Arial Narrow" w:hAnsi="Arial Narrow"/>
                <w:sz w:val="20"/>
                <w:szCs w:val="20"/>
              </w:rPr>
            </w:pPr>
            <w:r w:rsidRPr="0061343E">
              <w:rPr>
                <w:rFonts w:ascii="Arial Narrow" w:hAnsi="Arial Narrow"/>
                <w:sz w:val="20"/>
                <w:szCs w:val="20"/>
              </w:rPr>
              <w:t>0.04 (-0.04, 0.11)</w:t>
            </w:r>
          </w:p>
        </w:tc>
      </w:tr>
      <w:tr w:rsidR="00D85532" w:rsidRPr="0061343E" w14:paraId="34BBFD1B" w14:textId="77777777" w:rsidTr="00E7466A">
        <w:tc>
          <w:tcPr>
            <w:tcW w:w="0" w:type="auto"/>
            <w:shd w:val="clear" w:color="auto" w:fill="B8CCE4"/>
          </w:tcPr>
          <w:p w14:paraId="22738065" w14:textId="77777777" w:rsidR="00D85532" w:rsidRPr="0061343E" w:rsidRDefault="00D85532" w:rsidP="00A40866">
            <w:pPr>
              <w:pStyle w:val="TableLeft"/>
              <w:keepNext/>
              <w:keepLines/>
              <w:rPr>
                <w:rFonts w:ascii="Arial Narrow" w:hAnsi="Arial Narrow"/>
                <w:sz w:val="20"/>
                <w:szCs w:val="20"/>
              </w:rPr>
            </w:pPr>
            <w:r w:rsidRPr="0061343E">
              <w:rPr>
                <w:rFonts w:ascii="Arial Narrow" w:hAnsi="Arial Narrow"/>
                <w:sz w:val="20"/>
                <w:szCs w:val="20"/>
              </w:rPr>
              <w:t>JADE COMPARE</w:t>
            </w:r>
          </w:p>
        </w:tc>
        <w:tc>
          <w:tcPr>
            <w:tcW w:w="0" w:type="auto"/>
            <w:shd w:val="clear" w:color="auto" w:fill="B8CCE4"/>
          </w:tcPr>
          <w:p w14:paraId="4411580A" w14:textId="77777777" w:rsidR="00D85532" w:rsidRPr="0061343E" w:rsidRDefault="00D85532" w:rsidP="00A40866">
            <w:pPr>
              <w:pStyle w:val="TableCentre"/>
              <w:keepNext/>
              <w:keepLines/>
              <w:rPr>
                <w:rFonts w:ascii="Arial Narrow" w:hAnsi="Arial Narrow"/>
                <w:sz w:val="20"/>
                <w:szCs w:val="20"/>
              </w:rPr>
            </w:pPr>
            <w:r w:rsidRPr="0061343E">
              <w:rPr>
                <w:rFonts w:ascii="Arial Narrow" w:hAnsi="Arial Narrow"/>
                <w:sz w:val="20"/>
                <w:szCs w:val="20"/>
              </w:rPr>
              <w:t>121/242 (50.0)</w:t>
            </w:r>
          </w:p>
        </w:tc>
        <w:tc>
          <w:tcPr>
            <w:tcW w:w="0" w:type="auto"/>
            <w:shd w:val="clear" w:color="auto" w:fill="B8CCE4"/>
          </w:tcPr>
          <w:p w14:paraId="686B5E0F" w14:textId="77777777" w:rsidR="00D85532" w:rsidRPr="0061343E" w:rsidRDefault="00D85532" w:rsidP="00A40866">
            <w:pPr>
              <w:pStyle w:val="TableCentre"/>
              <w:keepNext/>
              <w:keepLines/>
              <w:rPr>
                <w:rFonts w:ascii="Arial Narrow" w:hAnsi="Arial Narrow"/>
                <w:sz w:val="20"/>
                <w:szCs w:val="20"/>
              </w:rPr>
            </w:pPr>
            <w:r w:rsidRPr="0061343E">
              <w:rPr>
                <w:rFonts w:ascii="Arial Narrow" w:hAnsi="Arial Narrow"/>
                <w:sz w:val="20"/>
                <w:szCs w:val="20"/>
              </w:rPr>
              <w:t>70/131 (53.4)</w:t>
            </w:r>
          </w:p>
        </w:tc>
        <w:tc>
          <w:tcPr>
            <w:tcW w:w="0" w:type="auto"/>
            <w:shd w:val="clear" w:color="auto" w:fill="B8CCE4"/>
          </w:tcPr>
          <w:p w14:paraId="7A044AE6" w14:textId="77777777" w:rsidR="00D85532" w:rsidRPr="0061343E" w:rsidRDefault="00D85532" w:rsidP="00A40866">
            <w:pPr>
              <w:keepNext/>
              <w:keepLines/>
              <w:jc w:val="center"/>
              <w:rPr>
                <w:rFonts w:ascii="Arial Narrow" w:hAnsi="Arial Narrow"/>
                <w:sz w:val="20"/>
                <w:szCs w:val="20"/>
              </w:rPr>
            </w:pPr>
            <w:r w:rsidRPr="0061343E">
              <w:rPr>
                <w:rFonts w:ascii="Arial Narrow" w:hAnsi="Arial Narrow"/>
                <w:sz w:val="20"/>
                <w:szCs w:val="20"/>
              </w:rPr>
              <w:t>0.94 (0.76, 1.15)</w:t>
            </w:r>
          </w:p>
        </w:tc>
        <w:tc>
          <w:tcPr>
            <w:tcW w:w="0" w:type="auto"/>
            <w:shd w:val="clear" w:color="auto" w:fill="B8CCE4"/>
          </w:tcPr>
          <w:p w14:paraId="11BA5783" w14:textId="77777777" w:rsidR="00D85532" w:rsidRPr="0061343E" w:rsidRDefault="00D85532" w:rsidP="00A40866">
            <w:pPr>
              <w:keepNext/>
              <w:keepLines/>
              <w:jc w:val="center"/>
              <w:rPr>
                <w:rFonts w:ascii="Arial Narrow" w:hAnsi="Arial Narrow"/>
                <w:sz w:val="20"/>
                <w:szCs w:val="20"/>
              </w:rPr>
            </w:pPr>
            <w:r w:rsidRPr="0061343E">
              <w:rPr>
                <w:rFonts w:ascii="Arial Narrow" w:hAnsi="Arial Narrow"/>
                <w:sz w:val="20"/>
                <w:szCs w:val="20"/>
              </w:rPr>
              <w:t>-0.03 (-0.14, 0.07)</w:t>
            </w:r>
          </w:p>
        </w:tc>
      </w:tr>
      <w:tr w:rsidR="00D85532" w:rsidRPr="0061343E" w14:paraId="722AE4C7" w14:textId="77777777" w:rsidTr="00E7466A">
        <w:tc>
          <w:tcPr>
            <w:tcW w:w="0" w:type="auto"/>
            <w:shd w:val="clear" w:color="auto" w:fill="auto"/>
          </w:tcPr>
          <w:p w14:paraId="2AE9B759" w14:textId="77777777" w:rsidR="00D85532" w:rsidRPr="0061343E" w:rsidRDefault="00D85532" w:rsidP="00A40866">
            <w:pPr>
              <w:pStyle w:val="TableLeft"/>
              <w:keepNext/>
              <w:keepLines/>
              <w:rPr>
                <w:rFonts w:ascii="Arial Narrow" w:hAnsi="Arial Narrow"/>
                <w:sz w:val="20"/>
                <w:szCs w:val="20"/>
              </w:rPr>
            </w:pPr>
            <w:r w:rsidRPr="0061343E">
              <w:rPr>
                <w:rFonts w:ascii="Arial Narrow" w:hAnsi="Arial Narrow"/>
                <w:sz w:val="20"/>
                <w:szCs w:val="20"/>
              </w:rPr>
              <w:t>Pooled (REM)</w:t>
            </w:r>
          </w:p>
        </w:tc>
        <w:tc>
          <w:tcPr>
            <w:tcW w:w="0" w:type="auto"/>
            <w:shd w:val="clear" w:color="auto" w:fill="auto"/>
          </w:tcPr>
          <w:p w14:paraId="632B9032" w14:textId="77777777" w:rsidR="00D85532" w:rsidRPr="0061343E" w:rsidRDefault="00D85532" w:rsidP="00A40866">
            <w:pPr>
              <w:pStyle w:val="TableCentre"/>
              <w:keepNext/>
              <w:keepLines/>
              <w:rPr>
                <w:rFonts w:ascii="Arial Narrow" w:hAnsi="Arial Narrow"/>
                <w:sz w:val="20"/>
                <w:szCs w:val="20"/>
              </w:rPr>
            </w:pPr>
          </w:p>
        </w:tc>
        <w:tc>
          <w:tcPr>
            <w:tcW w:w="0" w:type="auto"/>
            <w:shd w:val="clear" w:color="auto" w:fill="auto"/>
          </w:tcPr>
          <w:p w14:paraId="1947B737" w14:textId="77777777" w:rsidR="00D85532" w:rsidRPr="0061343E" w:rsidRDefault="00D85532" w:rsidP="00A40866">
            <w:pPr>
              <w:pStyle w:val="TableCentre"/>
              <w:keepNext/>
              <w:keepLines/>
              <w:rPr>
                <w:rFonts w:ascii="Arial Narrow" w:hAnsi="Arial Narrow"/>
                <w:sz w:val="20"/>
                <w:szCs w:val="20"/>
              </w:rPr>
            </w:pPr>
          </w:p>
        </w:tc>
        <w:tc>
          <w:tcPr>
            <w:tcW w:w="0" w:type="auto"/>
            <w:shd w:val="clear" w:color="auto" w:fill="auto"/>
          </w:tcPr>
          <w:p w14:paraId="6F4C85C8" w14:textId="77777777" w:rsidR="00D85532" w:rsidRPr="0061343E" w:rsidRDefault="00D85532" w:rsidP="00A40866">
            <w:pPr>
              <w:keepNext/>
              <w:keepLines/>
              <w:jc w:val="center"/>
              <w:rPr>
                <w:rFonts w:ascii="Arial Narrow" w:hAnsi="Arial Narrow"/>
                <w:sz w:val="20"/>
                <w:szCs w:val="20"/>
              </w:rPr>
            </w:pPr>
            <w:r w:rsidRPr="0061343E">
              <w:rPr>
                <w:rFonts w:ascii="Arial Narrow" w:hAnsi="Arial Narrow"/>
                <w:sz w:val="20"/>
                <w:szCs w:val="20"/>
              </w:rPr>
              <w:t>1.03 (0.96, 1.10)</w:t>
            </w:r>
          </w:p>
        </w:tc>
        <w:tc>
          <w:tcPr>
            <w:tcW w:w="0" w:type="auto"/>
            <w:shd w:val="clear" w:color="auto" w:fill="auto"/>
          </w:tcPr>
          <w:p w14:paraId="65B52A76" w14:textId="77777777" w:rsidR="00D85532" w:rsidRPr="0061343E" w:rsidRDefault="00D85532" w:rsidP="00A40866">
            <w:pPr>
              <w:keepNext/>
              <w:keepLines/>
              <w:jc w:val="center"/>
              <w:rPr>
                <w:rFonts w:ascii="Arial Narrow" w:hAnsi="Arial Narrow"/>
                <w:sz w:val="20"/>
                <w:szCs w:val="20"/>
              </w:rPr>
            </w:pPr>
            <w:r w:rsidRPr="0061343E">
              <w:rPr>
                <w:rFonts w:ascii="Arial Narrow" w:hAnsi="Arial Narrow"/>
                <w:sz w:val="20"/>
                <w:szCs w:val="20"/>
              </w:rPr>
              <w:t>0.02 (-0.04, 0.07)</w:t>
            </w:r>
          </w:p>
        </w:tc>
      </w:tr>
      <w:tr w:rsidR="00D85532" w:rsidRPr="0061343E" w14:paraId="3ED84817" w14:textId="77777777" w:rsidTr="00E7466A">
        <w:tc>
          <w:tcPr>
            <w:tcW w:w="0" w:type="auto"/>
            <w:gridSpan w:val="5"/>
            <w:shd w:val="clear" w:color="auto" w:fill="auto"/>
          </w:tcPr>
          <w:p w14:paraId="7297A66B" w14:textId="77777777" w:rsidR="00D85532" w:rsidRPr="0061343E" w:rsidRDefault="00D85532" w:rsidP="00A40866">
            <w:pPr>
              <w:keepNext/>
              <w:keepLines/>
              <w:rPr>
                <w:rFonts w:ascii="Arial Narrow" w:hAnsi="Arial Narrow"/>
                <w:sz w:val="20"/>
                <w:szCs w:val="20"/>
              </w:rPr>
            </w:pPr>
            <w:r w:rsidRPr="0061343E">
              <w:rPr>
                <w:rFonts w:ascii="Arial Narrow" w:hAnsi="Arial Narrow"/>
                <w:sz w:val="20"/>
                <w:szCs w:val="20"/>
              </w:rPr>
              <w:t>Indirect comparison</w:t>
            </w:r>
          </w:p>
        </w:tc>
      </w:tr>
      <w:tr w:rsidR="00D85532" w:rsidRPr="0061343E" w14:paraId="0380189E" w14:textId="77777777" w:rsidTr="00E7466A">
        <w:tc>
          <w:tcPr>
            <w:tcW w:w="0" w:type="auto"/>
            <w:gridSpan w:val="3"/>
            <w:shd w:val="clear" w:color="auto" w:fill="auto"/>
          </w:tcPr>
          <w:p w14:paraId="0A525F85" w14:textId="77777777" w:rsidR="00D85532" w:rsidRPr="0061343E" w:rsidRDefault="00D85532" w:rsidP="00A40866">
            <w:pPr>
              <w:pStyle w:val="TableCentre"/>
              <w:keepNext/>
              <w:keepLines/>
              <w:jc w:val="both"/>
              <w:rPr>
                <w:rFonts w:ascii="Arial Narrow" w:hAnsi="Arial Narrow"/>
                <w:sz w:val="20"/>
                <w:szCs w:val="20"/>
              </w:rPr>
            </w:pPr>
            <w:r w:rsidRPr="0061343E">
              <w:rPr>
                <w:rFonts w:ascii="Arial Narrow" w:hAnsi="Arial Narrow"/>
                <w:sz w:val="20"/>
                <w:szCs w:val="20"/>
              </w:rPr>
              <w:t>NEMO 30 mg Q4W (pooled) vs DUPI 300 mg Q2W (pooled)</w:t>
            </w:r>
          </w:p>
        </w:tc>
        <w:tc>
          <w:tcPr>
            <w:tcW w:w="0" w:type="auto"/>
            <w:shd w:val="clear" w:color="auto" w:fill="auto"/>
          </w:tcPr>
          <w:p w14:paraId="15271788" w14:textId="77777777" w:rsidR="00D85532" w:rsidRPr="0061343E" w:rsidRDefault="00D85532" w:rsidP="00A40866">
            <w:pPr>
              <w:keepNext/>
              <w:keepLines/>
              <w:jc w:val="center"/>
              <w:rPr>
                <w:rFonts w:ascii="Arial Narrow" w:hAnsi="Arial Narrow"/>
                <w:sz w:val="20"/>
                <w:szCs w:val="20"/>
              </w:rPr>
            </w:pPr>
            <w:r w:rsidRPr="0061343E">
              <w:rPr>
                <w:rFonts w:ascii="Arial Narrow" w:hAnsi="Arial Narrow"/>
                <w:sz w:val="20"/>
                <w:szCs w:val="20"/>
              </w:rPr>
              <w:t>1.01 (0.90, 1.13)</w:t>
            </w:r>
          </w:p>
        </w:tc>
        <w:tc>
          <w:tcPr>
            <w:tcW w:w="0" w:type="auto"/>
            <w:shd w:val="clear" w:color="auto" w:fill="auto"/>
          </w:tcPr>
          <w:p w14:paraId="17BE8850" w14:textId="77777777" w:rsidR="00D85532" w:rsidRPr="0061343E" w:rsidRDefault="00D85532" w:rsidP="00A40866">
            <w:pPr>
              <w:keepNext/>
              <w:keepLines/>
              <w:jc w:val="center"/>
              <w:rPr>
                <w:rFonts w:ascii="Arial Narrow" w:hAnsi="Arial Narrow"/>
                <w:sz w:val="20"/>
                <w:szCs w:val="20"/>
              </w:rPr>
            </w:pPr>
            <w:r w:rsidRPr="0061343E">
              <w:rPr>
                <w:rFonts w:ascii="Arial Narrow" w:hAnsi="Arial Narrow"/>
                <w:sz w:val="20"/>
                <w:szCs w:val="20"/>
              </w:rPr>
              <w:t>-0.01 (-0.10, 0.08)</w:t>
            </w:r>
          </w:p>
        </w:tc>
      </w:tr>
      <w:tr w:rsidR="00D85532" w:rsidRPr="0061343E" w14:paraId="16C21D1E" w14:textId="77777777" w:rsidTr="00E7466A">
        <w:tc>
          <w:tcPr>
            <w:tcW w:w="0" w:type="auto"/>
            <w:gridSpan w:val="5"/>
            <w:shd w:val="clear" w:color="auto" w:fill="auto"/>
          </w:tcPr>
          <w:p w14:paraId="643D17AC" w14:textId="77777777" w:rsidR="00D85532" w:rsidRPr="0061343E" w:rsidRDefault="00D85532" w:rsidP="00A40866">
            <w:pPr>
              <w:pStyle w:val="TableCentre"/>
              <w:keepNext/>
              <w:keepLines/>
              <w:jc w:val="left"/>
              <w:rPr>
                <w:rFonts w:ascii="Arial Narrow" w:hAnsi="Arial Narrow"/>
                <w:b/>
                <w:bCs/>
                <w:sz w:val="20"/>
                <w:szCs w:val="20"/>
              </w:rPr>
            </w:pPr>
            <w:r w:rsidRPr="0061343E">
              <w:rPr>
                <w:rFonts w:ascii="Arial Narrow" w:hAnsi="Arial Narrow"/>
                <w:b/>
                <w:bCs/>
                <w:sz w:val="20"/>
                <w:szCs w:val="20"/>
              </w:rPr>
              <w:t>Serious TEAEs</w:t>
            </w:r>
          </w:p>
        </w:tc>
      </w:tr>
      <w:tr w:rsidR="00D85532" w:rsidRPr="0061343E" w14:paraId="52A8B4BB" w14:textId="77777777" w:rsidTr="00E7466A">
        <w:tc>
          <w:tcPr>
            <w:tcW w:w="0" w:type="auto"/>
            <w:gridSpan w:val="5"/>
            <w:shd w:val="clear" w:color="auto" w:fill="auto"/>
          </w:tcPr>
          <w:p w14:paraId="2FE3D680" w14:textId="77777777" w:rsidR="00D85532" w:rsidRPr="0061343E" w:rsidRDefault="00D85532" w:rsidP="00A40866">
            <w:pPr>
              <w:pStyle w:val="TableCentre"/>
              <w:keepNext/>
              <w:keepLines/>
              <w:jc w:val="left"/>
              <w:rPr>
                <w:rFonts w:ascii="Arial Narrow" w:hAnsi="Arial Narrow"/>
                <w:b/>
                <w:bCs/>
                <w:sz w:val="20"/>
                <w:szCs w:val="20"/>
              </w:rPr>
            </w:pPr>
            <w:r w:rsidRPr="0061343E">
              <w:rPr>
                <w:rFonts w:ascii="Arial Narrow" w:hAnsi="Arial Narrow"/>
                <w:b/>
                <w:bCs/>
                <w:sz w:val="20"/>
                <w:szCs w:val="20"/>
              </w:rPr>
              <w:t>NEMO 30 mg Q4W vs placebo</w:t>
            </w:r>
          </w:p>
        </w:tc>
      </w:tr>
      <w:tr w:rsidR="00D85532" w:rsidRPr="0061343E" w14:paraId="429BB272" w14:textId="77777777" w:rsidTr="00E7466A">
        <w:tc>
          <w:tcPr>
            <w:tcW w:w="0" w:type="auto"/>
            <w:shd w:val="clear" w:color="auto" w:fill="auto"/>
          </w:tcPr>
          <w:p w14:paraId="2D2A47AC" w14:textId="77777777" w:rsidR="00D85532" w:rsidRPr="0061343E" w:rsidRDefault="00D85532" w:rsidP="00A40866">
            <w:pPr>
              <w:pStyle w:val="TableLeft"/>
              <w:keepNext/>
              <w:keepLines/>
              <w:rPr>
                <w:rFonts w:ascii="Arial Narrow" w:hAnsi="Arial Narrow"/>
                <w:sz w:val="20"/>
                <w:szCs w:val="20"/>
              </w:rPr>
            </w:pPr>
            <w:r w:rsidRPr="0061343E">
              <w:rPr>
                <w:rFonts w:ascii="Arial Narrow" w:hAnsi="Arial Narrow"/>
                <w:sz w:val="20"/>
                <w:szCs w:val="20"/>
              </w:rPr>
              <w:t>ARCADIA 1</w:t>
            </w:r>
          </w:p>
        </w:tc>
        <w:tc>
          <w:tcPr>
            <w:tcW w:w="0" w:type="auto"/>
            <w:shd w:val="clear" w:color="auto" w:fill="auto"/>
          </w:tcPr>
          <w:p w14:paraId="4A0C4DE0" w14:textId="77777777" w:rsidR="00D85532" w:rsidRPr="0061343E" w:rsidRDefault="00D85532" w:rsidP="00A40866">
            <w:pPr>
              <w:pStyle w:val="TableCentre"/>
              <w:keepNext/>
              <w:keepLines/>
              <w:rPr>
                <w:rFonts w:ascii="Arial Narrow" w:hAnsi="Arial Narrow"/>
                <w:sz w:val="20"/>
                <w:szCs w:val="20"/>
              </w:rPr>
            </w:pPr>
            <w:r w:rsidRPr="0061343E">
              <w:rPr>
                <w:rFonts w:ascii="Arial Narrow" w:hAnsi="Arial Narrow"/>
                <w:sz w:val="20"/>
                <w:szCs w:val="20"/>
              </w:rPr>
              <w:t xml:space="preserve">6/616 (1.0) </w:t>
            </w:r>
          </w:p>
        </w:tc>
        <w:tc>
          <w:tcPr>
            <w:tcW w:w="0" w:type="auto"/>
            <w:shd w:val="clear" w:color="auto" w:fill="auto"/>
          </w:tcPr>
          <w:p w14:paraId="551473A6" w14:textId="77777777" w:rsidR="00D85532" w:rsidRPr="0061343E" w:rsidRDefault="00D85532" w:rsidP="00A40866">
            <w:pPr>
              <w:pStyle w:val="TableCentre"/>
              <w:keepNext/>
              <w:keepLines/>
              <w:rPr>
                <w:rFonts w:ascii="Arial Narrow" w:hAnsi="Arial Narrow"/>
                <w:sz w:val="20"/>
                <w:szCs w:val="20"/>
              </w:rPr>
            </w:pPr>
            <w:r w:rsidRPr="0061343E">
              <w:rPr>
                <w:rFonts w:ascii="Arial Narrow" w:hAnsi="Arial Narrow"/>
                <w:sz w:val="20"/>
                <w:szCs w:val="20"/>
              </w:rPr>
              <w:t>4/321 (1.2)</w:t>
            </w:r>
          </w:p>
        </w:tc>
        <w:tc>
          <w:tcPr>
            <w:tcW w:w="0" w:type="auto"/>
            <w:shd w:val="clear" w:color="auto" w:fill="auto"/>
          </w:tcPr>
          <w:p w14:paraId="0CA58904" w14:textId="77777777" w:rsidR="00D85532" w:rsidRPr="0061343E" w:rsidRDefault="00D85532" w:rsidP="00A40866">
            <w:pPr>
              <w:keepNext/>
              <w:keepLines/>
              <w:jc w:val="center"/>
              <w:rPr>
                <w:rFonts w:ascii="Arial Narrow" w:hAnsi="Arial Narrow"/>
                <w:sz w:val="20"/>
                <w:szCs w:val="20"/>
              </w:rPr>
            </w:pPr>
            <w:r w:rsidRPr="0061343E">
              <w:rPr>
                <w:rFonts w:ascii="Arial Narrow" w:hAnsi="Arial Narrow"/>
                <w:sz w:val="20"/>
                <w:szCs w:val="20"/>
              </w:rPr>
              <w:t>0.78 (0.22, 2.75)</w:t>
            </w:r>
          </w:p>
        </w:tc>
        <w:tc>
          <w:tcPr>
            <w:tcW w:w="0" w:type="auto"/>
            <w:shd w:val="clear" w:color="auto" w:fill="auto"/>
          </w:tcPr>
          <w:p w14:paraId="45860C89" w14:textId="77777777" w:rsidR="00D85532" w:rsidRPr="0061343E" w:rsidRDefault="00D85532" w:rsidP="00A40866">
            <w:pPr>
              <w:keepNext/>
              <w:keepLines/>
              <w:jc w:val="center"/>
              <w:rPr>
                <w:rFonts w:ascii="Arial Narrow" w:hAnsi="Arial Narrow"/>
                <w:sz w:val="20"/>
                <w:szCs w:val="20"/>
              </w:rPr>
            </w:pPr>
            <w:r w:rsidRPr="0061343E">
              <w:rPr>
                <w:rFonts w:ascii="Arial Narrow" w:hAnsi="Arial Narrow"/>
                <w:sz w:val="20"/>
                <w:szCs w:val="20"/>
              </w:rPr>
              <w:t>-0.00 (-0.02, 0.01)</w:t>
            </w:r>
          </w:p>
        </w:tc>
      </w:tr>
      <w:tr w:rsidR="00D85532" w:rsidRPr="0061343E" w14:paraId="5458BF4D" w14:textId="77777777" w:rsidTr="00E7466A">
        <w:tc>
          <w:tcPr>
            <w:tcW w:w="0" w:type="auto"/>
            <w:shd w:val="clear" w:color="auto" w:fill="auto"/>
          </w:tcPr>
          <w:p w14:paraId="6A198E9C" w14:textId="77777777" w:rsidR="00D85532" w:rsidRPr="0061343E" w:rsidRDefault="00D85532" w:rsidP="00A40866">
            <w:pPr>
              <w:pStyle w:val="TableLeft"/>
              <w:keepNext/>
              <w:keepLines/>
              <w:rPr>
                <w:rFonts w:ascii="Arial Narrow" w:hAnsi="Arial Narrow"/>
                <w:sz w:val="20"/>
                <w:szCs w:val="20"/>
              </w:rPr>
            </w:pPr>
            <w:r w:rsidRPr="0061343E">
              <w:rPr>
                <w:rFonts w:ascii="Arial Narrow" w:hAnsi="Arial Narrow"/>
                <w:sz w:val="20"/>
                <w:szCs w:val="20"/>
              </w:rPr>
              <w:t>ARCADIA 2</w:t>
            </w:r>
          </w:p>
        </w:tc>
        <w:tc>
          <w:tcPr>
            <w:tcW w:w="0" w:type="auto"/>
            <w:shd w:val="clear" w:color="auto" w:fill="auto"/>
          </w:tcPr>
          <w:p w14:paraId="7180F6A6" w14:textId="77777777" w:rsidR="00D85532" w:rsidRPr="0061343E" w:rsidRDefault="00D85532" w:rsidP="00A40866">
            <w:pPr>
              <w:pStyle w:val="TableCentre"/>
              <w:keepNext/>
              <w:keepLines/>
              <w:rPr>
                <w:rFonts w:ascii="Arial Narrow" w:hAnsi="Arial Narrow"/>
                <w:sz w:val="20"/>
                <w:szCs w:val="20"/>
              </w:rPr>
            </w:pPr>
            <w:r w:rsidRPr="0061343E">
              <w:rPr>
                <w:rFonts w:ascii="Arial Narrow" w:hAnsi="Arial Narrow"/>
                <w:sz w:val="20"/>
                <w:szCs w:val="20"/>
              </w:rPr>
              <w:t>13/519 (2.5)</w:t>
            </w:r>
          </w:p>
        </w:tc>
        <w:tc>
          <w:tcPr>
            <w:tcW w:w="0" w:type="auto"/>
            <w:shd w:val="clear" w:color="auto" w:fill="auto"/>
          </w:tcPr>
          <w:p w14:paraId="7B83216E" w14:textId="77777777" w:rsidR="00D85532" w:rsidRPr="0061343E" w:rsidRDefault="00D85532" w:rsidP="00A40866">
            <w:pPr>
              <w:pStyle w:val="TableCentre"/>
              <w:keepNext/>
              <w:keepLines/>
              <w:rPr>
                <w:rFonts w:ascii="Arial Narrow" w:hAnsi="Arial Narrow"/>
                <w:sz w:val="20"/>
                <w:szCs w:val="20"/>
              </w:rPr>
            </w:pPr>
            <w:r w:rsidRPr="0061343E">
              <w:rPr>
                <w:rFonts w:ascii="Arial Narrow" w:hAnsi="Arial Narrow"/>
                <w:sz w:val="20"/>
                <w:szCs w:val="20"/>
              </w:rPr>
              <w:t>3/263 (1.1)</w:t>
            </w:r>
          </w:p>
        </w:tc>
        <w:tc>
          <w:tcPr>
            <w:tcW w:w="0" w:type="auto"/>
            <w:shd w:val="clear" w:color="auto" w:fill="auto"/>
          </w:tcPr>
          <w:p w14:paraId="70A68526" w14:textId="77777777" w:rsidR="00D85532" w:rsidRPr="0061343E" w:rsidRDefault="00D85532" w:rsidP="00A40866">
            <w:pPr>
              <w:keepNext/>
              <w:keepLines/>
              <w:jc w:val="center"/>
              <w:rPr>
                <w:rFonts w:ascii="Arial Narrow" w:hAnsi="Arial Narrow"/>
                <w:sz w:val="20"/>
                <w:szCs w:val="20"/>
              </w:rPr>
            </w:pPr>
            <w:r w:rsidRPr="0061343E">
              <w:rPr>
                <w:rFonts w:ascii="Arial Narrow" w:hAnsi="Arial Narrow"/>
                <w:sz w:val="20"/>
                <w:szCs w:val="20"/>
              </w:rPr>
              <w:t>2.20 (0.63, 7.64)</w:t>
            </w:r>
          </w:p>
        </w:tc>
        <w:tc>
          <w:tcPr>
            <w:tcW w:w="0" w:type="auto"/>
            <w:shd w:val="clear" w:color="auto" w:fill="auto"/>
          </w:tcPr>
          <w:p w14:paraId="3F4EFD50" w14:textId="77777777" w:rsidR="00D85532" w:rsidRPr="0061343E" w:rsidRDefault="00D85532" w:rsidP="00A40866">
            <w:pPr>
              <w:keepNext/>
              <w:keepLines/>
              <w:jc w:val="center"/>
              <w:rPr>
                <w:rFonts w:ascii="Arial Narrow" w:hAnsi="Arial Narrow"/>
                <w:sz w:val="20"/>
                <w:szCs w:val="20"/>
              </w:rPr>
            </w:pPr>
            <w:r w:rsidRPr="0061343E">
              <w:rPr>
                <w:rFonts w:ascii="Arial Narrow" w:hAnsi="Arial Narrow"/>
                <w:sz w:val="20"/>
                <w:szCs w:val="20"/>
              </w:rPr>
              <w:t>0.01 (-0.01, 0.03)</w:t>
            </w:r>
          </w:p>
        </w:tc>
      </w:tr>
      <w:tr w:rsidR="00D85532" w:rsidRPr="0061343E" w14:paraId="7612C4C5" w14:textId="77777777" w:rsidTr="00E7466A">
        <w:tc>
          <w:tcPr>
            <w:tcW w:w="0" w:type="auto"/>
            <w:shd w:val="clear" w:color="auto" w:fill="auto"/>
          </w:tcPr>
          <w:p w14:paraId="6BAFD39F" w14:textId="77777777" w:rsidR="00D85532" w:rsidRPr="0061343E" w:rsidRDefault="00D85532" w:rsidP="00A40866">
            <w:pPr>
              <w:pStyle w:val="TableLeft"/>
              <w:keepNext/>
              <w:keepLines/>
              <w:rPr>
                <w:rFonts w:ascii="Arial Narrow" w:hAnsi="Arial Narrow"/>
                <w:sz w:val="20"/>
                <w:szCs w:val="20"/>
              </w:rPr>
            </w:pPr>
            <w:r w:rsidRPr="0061343E">
              <w:rPr>
                <w:rFonts w:ascii="Arial Narrow" w:hAnsi="Arial Narrow"/>
                <w:sz w:val="20"/>
                <w:szCs w:val="20"/>
              </w:rPr>
              <w:t>Study 114322</w:t>
            </w:r>
          </w:p>
        </w:tc>
        <w:tc>
          <w:tcPr>
            <w:tcW w:w="0" w:type="auto"/>
            <w:shd w:val="clear" w:color="auto" w:fill="auto"/>
          </w:tcPr>
          <w:p w14:paraId="5356751E" w14:textId="77777777" w:rsidR="00D85532" w:rsidRPr="0061343E" w:rsidRDefault="00D85532" w:rsidP="00A40866">
            <w:pPr>
              <w:pStyle w:val="TableCentre"/>
              <w:keepNext/>
              <w:keepLines/>
              <w:rPr>
                <w:rFonts w:ascii="Arial Narrow" w:hAnsi="Arial Narrow"/>
                <w:sz w:val="20"/>
                <w:szCs w:val="20"/>
              </w:rPr>
            </w:pPr>
            <w:r w:rsidRPr="0061343E">
              <w:rPr>
                <w:rFonts w:ascii="Arial Narrow" w:hAnsi="Arial Narrow"/>
                <w:sz w:val="20"/>
                <w:szCs w:val="20"/>
              </w:rPr>
              <w:t>2/57 (3.5)</w:t>
            </w:r>
          </w:p>
        </w:tc>
        <w:tc>
          <w:tcPr>
            <w:tcW w:w="0" w:type="auto"/>
            <w:shd w:val="clear" w:color="auto" w:fill="auto"/>
          </w:tcPr>
          <w:p w14:paraId="36D7F191" w14:textId="77777777" w:rsidR="00D85532" w:rsidRPr="0061343E" w:rsidRDefault="00D85532" w:rsidP="00A40866">
            <w:pPr>
              <w:pStyle w:val="TableCentre"/>
              <w:keepNext/>
              <w:keepLines/>
              <w:rPr>
                <w:rFonts w:ascii="Arial Narrow" w:hAnsi="Arial Narrow"/>
                <w:sz w:val="20"/>
                <w:szCs w:val="20"/>
              </w:rPr>
            </w:pPr>
            <w:r w:rsidRPr="0061343E">
              <w:rPr>
                <w:rFonts w:ascii="Arial Narrow" w:hAnsi="Arial Narrow"/>
                <w:sz w:val="20"/>
                <w:szCs w:val="20"/>
              </w:rPr>
              <w:t>1/57 (1.8)</w:t>
            </w:r>
          </w:p>
        </w:tc>
        <w:tc>
          <w:tcPr>
            <w:tcW w:w="0" w:type="auto"/>
            <w:shd w:val="clear" w:color="auto" w:fill="auto"/>
          </w:tcPr>
          <w:p w14:paraId="155B1036" w14:textId="77777777" w:rsidR="00D85532" w:rsidRPr="0061343E" w:rsidRDefault="00D85532" w:rsidP="00A40866">
            <w:pPr>
              <w:keepNext/>
              <w:keepLines/>
              <w:jc w:val="center"/>
              <w:rPr>
                <w:rFonts w:ascii="Arial Narrow" w:hAnsi="Arial Narrow"/>
                <w:sz w:val="20"/>
                <w:szCs w:val="20"/>
              </w:rPr>
            </w:pPr>
            <w:r w:rsidRPr="0061343E">
              <w:rPr>
                <w:rFonts w:ascii="Arial Narrow" w:hAnsi="Arial Narrow"/>
                <w:sz w:val="20"/>
                <w:szCs w:val="20"/>
              </w:rPr>
              <w:t>2.00 (0.187, 21.44)</w:t>
            </w:r>
          </w:p>
        </w:tc>
        <w:tc>
          <w:tcPr>
            <w:tcW w:w="0" w:type="auto"/>
            <w:shd w:val="clear" w:color="auto" w:fill="auto"/>
          </w:tcPr>
          <w:p w14:paraId="6189947F" w14:textId="77777777" w:rsidR="00D85532" w:rsidRPr="0061343E" w:rsidRDefault="00D85532" w:rsidP="00A40866">
            <w:pPr>
              <w:keepNext/>
              <w:keepLines/>
              <w:jc w:val="center"/>
              <w:rPr>
                <w:rFonts w:ascii="Arial Narrow" w:hAnsi="Arial Narrow"/>
                <w:sz w:val="20"/>
                <w:szCs w:val="20"/>
              </w:rPr>
            </w:pPr>
            <w:r w:rsidRPr="0061343E">
              <w:rPr>
                <w:rFonts w:ascii="Arial Narrow" w:hAnsi="Arial Narrow"/>
                <w:sz w:val="20"/>
                <w:szCs w:val="20"/>
              </w:rPr>
              <w:t>0.02 (-0.04, 0.08)</w:t>
            </w:r>
          </w:p>
        </w:tc>
      </w:tr>
      <w:tr w:rsidR="00D85532" w:rsidRPr="0061343E" w14:paraId="6E53B482" w14:textId="77777777" w:rsidTr="00E7466A">
        <w:tc>
          <w:tcPr>
            <w:tcW w:w="0" w:type="auto"/>
            <w:shd w:val="clear" w:color="auto" w:fill="auto"/>
          </w:tcPr>
          <w:p w14:paraId="4913A457" w14:textId="77777777" w:rsidR="00D85532" w:rsidRPr="0061343E" w:rsidRDefault="00D85532" w:rsidP="00A40866">
            <w:pPr>
              <w:pStyle w:val="TableLeft"/>
              <w:keepNext/>
              <w:keepLines/>
              <w:rPr>
                <w:rFonts w:ascii="Arial Narrow" w:hAnsi="Arial Narrow"/>
                <w:sz w:val="20"/>
                <w:szCs w:val="20"/>
              </w:rPr>
            </w:pPr>
            <w:r w:rsidRPr="0061343E">
              <w:rPr>
                <w:rFonts w:ascii="Arial Narrow" w:hAnsi="Arial Narrow"/>
                <w:sz w:val="20"/>
                <w:szCs w:val="20"/>
              </w:rPr>
              <w:t>ARCADIA CYCLO</w:t>
            </w:r>
          </w:p>
        </w:tc>
        <w:tc>
          <w:tcPr>
            <w:tcW w:w="0" w:type="auto"/>
            <w:shd w:val="clear" w:color="auto" w:fill="auto"/>
          </w:tcPr>
          <w:p w14:paraId="1194714E" w14:textId="77777777" w:rsidR="00D85532" w:rsidRPr="0061343E" w:rsidRDefault="00D85532" w:rsidP="00A40866">
            <w:pPr>
              <w:pStyle w:val="TableCentre"/>
              <w:keepNext/>
              <w:keepLines/>
              <w:rPr>
                <w:rFonts w:ascii="Arial Narrow" w:hAnsi="Arial Narrow"/>
                <w:sz w:val="20"/>
                <w:szCs w:val="20"/>
              </w:rPr>
            </w:pPr>
            <w:r w:rsidRPr="0061343E">
              <w:rPr>
                <w:rFonts w:ascii="Arial Narrow" w:hAnsi="Arial Narrow"/>
                <w:sz w:val="20"/>
                <w:szCs w:val="20"/>
              </w:rPr>
              <w:t>2/137 (1.5)</w:t>
            </w:r>
          </w:p>
        </w:tc>
        <w:tc>
          <w:tcPr>
            <w:tcW w:w="0" w:type="auto"/>
            <w:shd w:val="clear" w:color="auto" w:fill="auto"/>
          </w:tcPr>
          <w:p w14:paraId="06CB6CB2" w14:textId="77777777" w:rsidR="00D85532" w:rsidRPr="0061343E" w:rsidRDefault="00D85532" w:rsidP="00A40866">
            <w:pPr>
              <w:pStyle w:val="TableCentre"/>
              <w:keepNext/>
              <w:keepLines/>
              <w:rPr>
                <w:rFonts w:ascii="Arial Narrow" w:hAnsi="Arial Narrow"/>
                <w:sz w:val="20"/>
                <w:szCs w:val="20"/>
              </w:rPr>
            </w:pPr>
            <w:r w:rsidRPr="0061343E">
              <w:rPr>
                <w:rFonts w:ascii="Arial Narrow" w:hAnsi="Arial Narrow"/>
                <w:sz w:val="20"/>
                <w:szCs w:val="20"/>
              </w:rPr>
              <w:t>2/137 (1.5)</w:t>
            </w:r>
          </w:p>
        </w:tc>
        <w:tc>
          <w:tcPr>
            <w:tcW w:w="0" w:type="auto"/>
            <w:shd w:val="clear" w:color="auto" w:fill="auto"/>
          </w:tcPr>
          <w:p w14:paraId="45159459" w14:textId="77777777" w:rsidR="00D85532" w:rsidRPr="0061343E" w:rsidRDefault="00D85532" w:rsidP="00A40866">
            <w:pPr>
              <w:keepNext/>
              <w:keepLines/>
              <w:jc w:val="center"/>
              <w:rPr>
                <w:rFonts w:ascii="Arial Narrow" w:hAnsi="Arial Narrow"/>
                <w:sz w:val="20"/>
                <w:szCs w:val="20"/>
              </w:rPr>
            </w:pPr>
            <w:r w:rsidRPr="0061343E">
              <w:rPr>
                <w:rFonts w:ascii="Arial Narrow" w:hAnsi="Arial Narrow"/>
                <w:sz w:val="20"/>
                <w:szCs w:val="20"/>
              </w:rPr>
              <w:t>1.00 (0.14, 7.00)</w:t>
            </w:r>
          </w:p>
        </w:tc>
        <w:tc>
          <w:tcPr>
            <w:tcW w:w="0" w:type="auto"/>
            <w:shd w:val="clear" w:color="auto" w:fill="auto"/>
          </w:tcPr>
          <w:p w14:paraId="67E8F033" w14:textId="77777777" w:rsidR="00D85532" w:rsidRPr="0061343E" w:rsidRDefault="00D85532" w:rsidP="00A40866">
            <w:pPr>
              <w:keepNext/>
              <w:keepLines/>
              <w:jc w:val="center"/>
              <w:rPr>
                <w:rFonts w:ascii="Arial Narrow" w:hAnsi="Arial Narrow"/>
                <w:sz w:val="20"/>
                <w:szCs w:val="20"/>
              </w:rPr>
            </w:pPr>
            <w:r w:rsidRPr="0061343E">
              <w:rPr>
                <w:rFonts w:ascii="Arial Narrow" w:hAnsi="Arial Narrow"/>
                <w:sz w:val="20"/>
                <w:szCs w:val="20"/>
              </w:rPr>
              <w:t>0.00 (-0.03, 0.03)</w:t>
            </w:r>
          </w:p>
        </w:tc>
      </w:tr>
      <w:tr w:rsidR="00D85532" w:rsidRPr="0061343E" w14:paraId="37B3CFDF" w14:textId="77777777" w:rsidTr="00E7466A">
        <w:tc>
          <w:tcPr>
            <w:tcW w:w="0" w:type="auto"/>
            <w:shd w:val="clear" w:color="auto" w:fill="auto"/>
          </w:tcPr>
          <w:p w14:paraId="1C40D338" w14:textId="77777777" w:rsidR="00D85532" w:rsidRPr="0061343E" w:rsidRDefault="00D85532" w:rsidP="00A40866">
            <w:pPr>
              <w:pStyle w:val="TableLeft"/>
              <w:keepNext/>
              <w:keepLines/>
              <w:rPr>
                <w:rFonts w:ascii="Arial Narrow" w:hAnsi="Arial Narrow"/>
                <w:sz w:val="20"/>
                <w:szCs w:val="20"/>
              </w:rPr>
            </w:pPr>
            <w:r w:rsidRPr="0061343E">
              <w:rPr>
                <w:rFonts w:ascii="Arial Narrow" w:hAnsi="Arial Narrow"/>
                <w:sz w:val="20"/>
                <w:szCs w:val="20"/>
              </w:rPr>
              <w:t>Pooled (REM)</w:t>
            </w:r>
          </w:p>
        </w:tc>
        <w:tc>
          <w:tcPr>
            <w:tcW w:w="0" w:type="auto"/>
            <w:shd w:val="clear" w:color="auto" w:fill="auto"/>
          </w:tcPr>
          <w:p w14:paraId="7DF3C5B6" w14:textId="77777777" w:rsidR="00D85532" w:rsidRPr="0061343E" w:rsidRDefault="00D85532" w:rsidP="00A40866">
            <w:pPr>
              <w:pStyle w:val="TableCentre"/>
              <w:keepNext/>
              <w:keepLines/>
              <w:rPr>
                <w:rFonts w:ascii="Arial Narrow" w:hAnsi="Arial Narrow"/>
                <w:sz w:val="20"/>
                <w:szCs w:val="20"/>
              </w:rPr>
            </w:pPr>
          </w:p>
        </w:tc>
        <w:tc>
          <w:tcPr>
            <w:tcW w:w="0" w:type="auto"/>
            <w:shd w:val="clear" w:color="auto" w:fill="auto"/>
          </w:tcPr>
          <w:p w14:paraId="0BF4C411" w14:textId="77777777" w:rsidR="00D85532" w:rsidRPr="0061343E" w:rsidRDefault="00D85532" w:rsidP="00A40866">
            <w:pPr>
              <w:pStyle w:val="TableCentre"/>
              <w:keepNext/>
              <w:keepLines/>
              <w:rPr>
                <w:rFonts w:ascii="Arial Narrow" w:hAnsi="Arial Narrow"/>
                <w:sz w:val="20"/>
                <w:szCs w:val="20"/>
              </w:rPr>
            </w:pPr>
          </w:p>
        </w:tc>
        <w:tc>
          <w:tcPr>
            <w:tcW w:w="0" w:type="auto"/>
            <w:shd w:val="clear" w:color="auto" w:fill="auto"/>
          </w:tcPr>
          <w:p w14:paraId="481277D9" w14:textId="77777777" w:rsidR="00D85532" w:rsidRPr="0061343E" w:rsidRDefault="00D85532" w:rsidP="00A40866">
            <w:pPr>
              <w:keepNext/>
              <w:keepLines/>
              <w:jc w:val="center"/>
              <w:rPr>
                <w:rFonts w:ascii="Arial Narrow" w:hAnsi="Arial Narrow"/>
                <w:sz w:val="20"/>
                <w:szCs w:val="20"/>
              </w:rPr>
            </w:pPr>
            <w:r w:rsidRPr="0061343E">
              <w:rPr>
                <w:rFonts w:ascii="Arial Narrow" w:hAnsi="Arial Narrow"/>
                <w:sz w:val="20"/>
                <w:szCs w:val="20"/>
              </w:rPr>
              <w:t>1.32 (0.61, 2.83)</w:t>
            </w:r>
          </w:p>
        </w:tc>
        <w:tc>
          <w:tcPr>
            <w:tcW w:w="0" w:type="auto"/>
            <w:shd w:val="clear" w:color="auto" w:fill="auto"/>
          </w:tcPr>
          <w:p w14:paraId="078C981A" w14:textId="77777777" w:rsidR="00D85532" w:rsidRPr="0061343E" w:rsidRDefault="00D85532" w:rsidP="00A40866">
            <w:pPr>
              <w:keepNext/>
              <w:keepLines/>
              <w:jc w:val="center"/>
              <w:rPr>
                <w:rFonts w:ascii="Arial Narrow" w:hAnsi="Arial Narrow"/>
                <w:sz w:val="20"/>
                <w:szCs w:val="20"/>
              </w:rPr>
            </w:pPr>
            <w:r w:rsidRPr="0061343E">
              <w:rPr>
                <w:rFonts w:ascii="Arial Narrow" w:hAnsi="Arial Narrow"/>
                <w:sz w:val="20"/>
                <w:szCs w:val="20"/>
              </w:rPr>
              <w:t>0.00 (-0.01, 0.01)</w:t>
            </w:r>
          </w:p>
        </w:tc>
      </w:tr>
      <w:tr w:rsidR="00D85532" w:rsidRPr="0061343E" w14:paraId="477C07B4" w14:textId="77777777" w:rsidTr="00E7466A">
        <w:tc>
          <w:tcPr>
            <w:tcW w:w="0" w:type="auto"/>
            <w:gridSpan w:val="5"/>
            <w:shd w:val="clear" w:color="auto" w:fill="auto"/>
          </w:tcPr>
          <w:p w14:paraId="083A8138" w14:textId="77777777" w:rsidR="00D85532" w:rsidRPr="0061343E" w:rsidRDefault="00D85532" w:rsidP="00A40866">
            <w:pPr>
              <w:pStyle w:val="TableCentre"/>
              <w:keepNext/>
              <w:keepLines/>
              <w:jc w:val="left"/>
              <w:rPr>
                <w:rFonts w:ascii="Arial Narrow" w:hAnsi="Arial Narrow"/>
                <w:b/>
                <w:bCs/>
                <w:sz w:val="20"/>
                <w:szCs w:val="20"/>
              </w:rPr>
            </w:pPr>
            <w:r w:rsidRPr="0061343E">
              <w:rPr>
                <w:rFonts w:ascii="Arial Narrow" w:hAnsi="Arial Narrow"/>
                <w:b/>
                <w:bCs/>
                <w:sz w:val="20"/>
                <w:szCs w:val="20"/>
              </w:rPr>
              <w:t>DUPI 300 mg Q2W vs placebo</w:t>
            </w:r>
          </w:p>
        </w:tc>
      </w:tr>
      <w:tr w:rsidR="00D85532" w:rsidRPr="0061343E" w14:paraId="12AC07E2" w14:textId="77777777" w:rsidTr="00E7466A">
        <w:tc>
          <w:tcPr>
            <w:tcW w:w="0" w:type="auto"/>
            <w:shd w:val="clear" w:color="auto" w:fill="B8CCE4"/>
          </w:tcPr>
          <w:p w14:paraId="7C404D5E" w14:textId="77777777" w:rsidR="00D85532" w:rsidRPr="0061343E" w:rsidRDefault="00D85532" w:rsidP="00A40866">
            <w:pPr>
              <w:pStyle w:val="TableLeft"/>
              <w:keepNext/>
              <w:keepLines/>
              <w:rPr>
                <w:rFonts w:ascii="Arial Narrow" w:hAnsi="Arial Narrow"/>
                <w:sz w:val="20"/>
                <w:szCs w:val="20"/>
              </w:rPr>
            </w:pPr>
            <w:r w:rsidRPr="0061343E">
              <w:rPr>
                <w:rFonts w:ascii="Arial Narrow" w:hAnsi="Arial Narrow"/>
                <w:sz w:val="20"/>
                <w:szCs w:val="20"/>
              </w:rPr>
              <w:t>CAFÉ</w:t>
            </w:r>
          </w:p>
        </w:tc>
        <w:tc>
          <w:tcPr>
            <w:tcW w:w="0" w:type="auto"/>
            <w:shd w:val="clear" w:color="auto" w:fill="B8CCE4"/>
          </w:tcPr>
          <w:p w14:paraId="49E50C34" w14:textId="77777777" w:rsidR="00D85532" w:rsidRPr="0061343E" w:rsidRDefault="00D85532" w:rsidP="00A40866">
            <w:pPr>
              <w:pStyle w:val="TableCentre"/>
              <w:keepNext/>
              <w:keepLines/>
              <w:rPr>
                <w:rFonts w:ascii="Arial Narrow" w:hAnsi="Arial Narrow"/>
                <w:sz w:val="20"/>
                <w:szCs w:val="20"/>
              </w:rPr>
            </w:pPr>
            <w:r w:rsidRPr="0061343E">
              <w:rPr>
                <w:rFonts w:ascii="Arial Narrow" w:hAnsi="Arial Narrow"/>
                <w:sz w:val="20"/>
                <w:szCs w:val="20"/>
              </w:rPr>
              <w:t>2/107 (1.9)</w:t>
            </w:r>
          </w:p>
        </w:tc>
        <w:tc>
          <w:tcPr>
            <w:tcW w:w="0" w:type="auto"/>
            <w:shd w:val="clear" w:color="auto" w:fill="B8CCE4"/>
          </w:tcPr>
          <w:p w14:paraId="731206DF" w14:textId="77777777" w:rsidR="00D85532" w:rsidRPr="0061343E" w:rsidRDefault="00D85532" w:rsidP="00A40866">
            <w:pPr>
              <w:pStyle w:val="TableCentre"/>
              <w:keepNext/>
              <w:keepLines/>
              <w:rPr>
                <w:rFonts w:ascii="Arial Narrow" w:hAnsi="Arial Narrow"/>
                <w:sz w:val="20"/>
                <w:szCs w:val="20"/>
              </w:rPr>
            </w:pPr>
            <w:r w:rsidRPr="0061343E">
              <w:rPr>
                <w:rFonts w:ascii="Arial Narrow" w:hAnsi="Arial Narrow"/>
                <w:sz w:val="20"/>
                <w:szCs w:val="20"/>
              </w:rPr>
              <w:t>2/108 (1.9)</w:t>
            </w:r>
          </w:p>
        </w:tc>
        <w:tc>
          <w:tcPr>
            <w:tcW w:w="0" w:type="auto"/>
            <w:shd w:val="clear" w:color="auto" w:fill="B8CCE4"/>
          </w:tcPr>
          <w:p w14:paraId="159E8D01" w14:textId="77777777" w:rsidR="00D85532" w:rsidRPr="0061343E" w:rsidRDefault="00D85532" w:rsidP="00A40866">
            <w:pPr>
              <w:keepNext/>
              <w:keepLines/>
              <w:jc w:val="center"/>
              <w:rPr>
                <w:rFonts w:ascii="Arial Narrow" w:hAnsi="Arial Narrow"/>
                <w:sz w:val="20"/>
                <w:szCs w:val="20"/>
              </w:rPr>
            </w:pPr>
            <w:r w:rsidRPr="0061343E">
              <w:rPr>
                <w:rFonts w:ascii="Arial Narrow" w:hAnsi="Arial Narrow"/>
                <w:sz w:val="20"/>
                <w:szCs w:val="20"/>
              </w:rPr>
              <w:t>1.01 (0.15, 7.04)</w:t>
            </w:r>
          </w:p>
        </w:tc>
        <w:tc>
          <w:tcPr>
            <w:tcW w:w="0" w:type="auto"/>
            <w:shd w:val="clear" w:color="auto" w:fill="B8CCE4"/>
          </w:tcPr>
          <w:p w14:paraId="7E9419BB" w14:textId="77777777" w:rsidR="00D85532" w:rsidRPr="0061343E" w:rsidRDefault="00D85532" w:rsidP="00A40866">
            <w:pPr>
              <w:keepNext/>
              <w:keepLines/>
              <w:jc w:val="center"/>
              <w:rPr>
                <w:rFonts w:ascii="Arial Narrow" w:hAnsi="Arial Narrow"/>
                <w:sz w:val="20"/>
                <w:szCs w:val="20"/>
              </w:rPr>
            </w:pPr>
            <w:r w:rsidRPr="0061343E">
              <w:rPr>
                <w:rFonts w:ascii="Arial Narrow" w:hAnsi="Arial Narrow"/>
                <w:sz w:val="20"/>
                <w:szCs w:val="20"/>
              </w:rPr>
              <w:t>0.0 (-0.04, 0.04)</w:t>
            </w:r>
          </w:p>
        </w:tc>
      </w:tr>
      <w:tr w:rsidR="00D85532" w:rsidRPr="0061343E" w14:paraId="596D5D2F" w14:textId="77777777" w:rsidTr="00E7466A">
        <w:tc>
          <w:tcPr>
            <w:tcW w:w="0" w:type="auto"/>
            <w:shd w:val="clear" w:color="auto" w:fill="B8CCE4"/>
          </w:tcPr>
          <w:p w14:paraId="6CB720C5" w14:textId="77777777" w:rsidR="00D85532" w:rsidRPr="0061343E" w:rsidRDefault="00D85532" w:rsidP="00A40866">
            <w:pPr>
              <w:pStyle w:val="TableLeft"/>
              <w:keepNext/>
              <w:keepLines/>
              <w:rPr>
                <w:rFonts w:ascii="Arial Narrow" w:hAnsi="Arial Narrow"/>
                <w:sz w:val="20"/>
                <w:szCs w:val="20"/>
              </w:rPr>
            </w:pPr>
            <w:r w:rsidRPr="0061343E">
              <w:rPr>
                <w:rFonts w:ascii="Arial Narrow" w:hAnsi="Arial Narrow"/>
                <w:sz w:val="20"/>
                <w:szCs w:val="20"/>
              </w:rPr>
              <w:t>CHRONOS</w:t>
            </w:r>
          </w:p>
        </w:tc>
        <w:tc>
          <w:tcPr>
            <w:tcW w:w="0" w:type="auto"/>
            <w:shd w:val="clear" w:color="auto" w:fill="B8CCE4"/>
          </w:tcPr>
          <w:p w14:paraId="48712432" w14:textId="77777777" w:rsidR="00D85532" w:rsidRPr="0061343E" w:rsidRDefault="00D85532" w:rsidP="00A40866">
            <w:pPr>
              <w:pStyle w:val="TableCentre"/>
              <w:keepNext/>
              <w:keepLines/>
              <w:rPr>
                <w:rFonts w:ascii="Arial Narrow" w:hAnsi="Arial Narrow"/>
                <w:sz w:val="20"/>
                <w:szCs w:val="20"/>
              </w:rPr>
            </w:pPr>
            <w:r w:rsidRPr="0061343E">
              <w:rPr>
                <w:rFonts w:ascii="Arial Narrow" w:hAnsi="Arial Narrow"/>
                <w:sz w:val="20"/>
                <w:szCs w:val="20"/>
              </w:rPr>
              <w:t>4/110 (3.6)</w:t>
            </w:r>
          </w:p>
        </w:tc>
        <w:tc>
          <w:tcPr>
            <w:tcW w:w="0" w:type="auto"/>
            <w:shd w:val="clear" w:color="auto" w:fill="B8CCE4"/>
          </w:tcPr>
          <w:p w14:paraId="37866B1B" w14:textId="77777777" w:rsidR="00D85532" w:rsidRPr="0061343E" w:rsidRDefault="00D85532" w:rsidP="00A40866">
            <w:pPr>
              <w:pStyle w:val="TableCentre"/>
              <w:keepNext/>
              <w:keepLines/>
              <w:rPr>
                <w:rFonts w:ascii="Arial Narrow" w:hAnsi="Arial Narrow"/>
                <w:sz w:val="20"/>
                <w:szCs w:val="20"/>
              </w:rPr>
            </w:pPr>
            <w:r w:rsidRPr="0061343E">
              <w:rPr>
                <w:rFonts w:ascii="Arial Narrow" w:hAnsi="Arial Narrow"/>
                <w:sz w:val="20"/>
                <w:szCs w:val="20"/>
              </w:rPr>
              <w:t>16/315 (5.1)</w:t>
            </w:r>
          </w:p>
        </w:tc>
        <w:tc>
          <w:tcPr>
            <w:tcW w:w="0" w:type="auto"/>
            <w:shd w:val="clear" w:color="auto" w:fill="B8CCE4"/>
          </w:tcPr>
          <w:p w14:paraId="3AC7B596" w14:textId="77777777" w:rsidR="00D85532" w:rsidRPr="0061343E" w:rsidRDefault="00D85532" w:rsidP="00A40866">
            <w:pPr>
              <w:keepNext/>
              <w:keepLines/>
              <w:jc w:val="center"/>
              <w:rPr>
                <w:rFonts w:ascii="Arial Narrow" w:hAnsi="Arial Narrow"/>
                <w:sz w:val="20"/>
                <w:szCs w:val="20"/>
              </w:rPr>
            </w:pPr>
            <w:r w:rsidRPr="0061343E">
              <w:rPr>
                <w:rFonts w:ascii="Arial Narrow" w:hAnsi="Arial Narrow"/>
                <w:sz w:val="20"/>
                <w:szCs w:val="20"/>
              </w:rPr>
              <w:t>0.72 (0.25, 2.10)</w:t>
            </w:r>
          </w:p>
        </w:tc>
        <w:tc>
          <w:tcPr>
            <w:tcW w:w="0" w:type="auto"/>
            <w:shd w:val="clear" w:color="auto" w:fill="B8CCE4"/>
          </w:tcPr>
          <w:p w14:paraId="1A8E1FF9" w14:textId="77777777" w:rsidR="00D85532" w:rsidRPr="0061343E" w:rsidRDefault="00D85532" w:rsidP="00A40866">
            <w:pPr>
              <w:keepNext/>
              <w:keepLines/>
              <w:jc w:val="center"/>
              <w:rPr>
                <w:rFonts w:ascii="Arial Narrow" w:hAnsi="Arial Narrow"/>
                <w:sz w:val="20"/>
                <w:szCs w:val="20"/>
              </w:rPr>
            </w:pPr>
            <w:r w:rsidRPr="0061343E">
              <w:rPr>
                <w:rFonts w:ascii="Arial Narrow" w:hAnsi="Arial Narrow"/>
                <w:sz w:val="20"/>
                <w:szCs w:val="20"/>
              </w:rPr>
              <w:t>-0.01 (-0.06, 0.03)</w:t>
            </w:r>
          </w:p>
        </w:tc>
      </w:tr>
      <w:tr w:rsidR="00D85532" w:rsidRPr="0061343E" w14:paraId="4A5F1375" w14:textId="77777777" w:rsidTr="00E7466A">
        <w:tc>
          <w:tcPr>
            <w:tcW w:w="0" w:type="auto"/>
            <w:shd w:val="clear" w:color="auto" w:fill="B8CCE4"/>
          </w:tcPr>
          <w:p w14:paraId="539CCA16" w14:textId="77777777" w:rsidR="00D85532" w:rsidRPr="0061343E" w:rsidRDefault="00D85532" w:rsidP="00A40866">
            <w:pPr>
              <w:pStyle w:val="TableLeft"/>
              <w:keepNext/>
              <w:keepLines/>
              <w:rPr>
                <w:rFonts w:ascii="Arial Narrow" w:hAnsi="Arial Narrow"/>
                <w:sz w:val="20"/>
                <w:szCs w:val="20"/>
              </w:rPr>
            </w:pPr>
            <w:r w:rsidRPr="0061343E">
              <w:rPr>
                <w:rFonts w:ascii="Arial Narrow" w:hAnsi="Arial Narrow"/>
                <w:sz w:val="20"/>
                <w:szCs w:val="20"/>
              </w:rPr>
              <w:t>JADE COMPARE</w:t>
            </w:r>
          </w:p>
        </w:tc>
        <w:tc>
          <w:tcPr>
            <w:tcW w:w="0" w:type="auto"/>
            <w:shd w:val="clear" w:color="auto" w:fill="B8CCE4"/>
          </w:tcPr>
          <w:p w14:paraId="41018B0E" w14:textId="77777777" w:rsidR="00D85532" w:rsidRPr="0061343E" w:rsidRDefault="00D85532" w:rsidP="00A40866">
            <w:pPr>
              <w:pStyle w:val="TableCentre"/>
              <w:keepNext/>
              <w:keepLines/>
              <w:rPr>
                <w:rFonts w:ascii="Arial Narrow" w:hAnsi="Arial Narrow"/>
                <w:sz w:val="20"/>
                <w:szCs w:val="20"/>
              </w:rPr>
            </w:pPr>
            <w:r w:rsidRPr="0061343E">
              <w:rPr>
                <w:rFonts w:ascii="Arial Narrow" w:hAnsi="Arial Narrow"/>
                <w:sz w:val="20"/>
                <w:szCs w:val="20"/>
              </w:rPr>
              <w:t xml:space="preserve">2/242 (0.8) </w:t>
            </w:r>
          </w:p>
        </w:tc>
        <w:tc>
          <w:tcPr>
            <w:tcW w:w="0" w:type="auto"/>
            <w:shd w:val="clear" w:color="auto" w:fill="B8CCE4"/>
          </w:tcPr>
          <w:p w14:paraId="7340627D" w14:textId="77777777" w:rsidR="00D85532" w:rsidRPr="0061343E" w:rsidRDefault="00D85532" w:rsidP="00A40866">
            <w:pPr>
              <w:pStyle w:val="TableCentre"/>
              <w:keepNext/>
              <w:keepLines/>
              <w:rPr>
                <w:rFonts w:ascii="Arial Narrow" w:hAnsi="Arial Narrow"/>
                <w:sz w:val="20"/>
                <w:szCs w:val="20"/>
              </w:rPr>
            </w:pPr>
            <w:r w:rsidRPr="0061343E">
              <w:rPr>
                <w:rFonts w:ascii="Arial Narrow" w:hAnsi="Arial Narrow"/>
                <w:sz w:val="20"/>
                <w:szCs w:val="20"/>
              </w:rPr>
              <w:t>5/131 (3.8)</w:t>
            </w:r>
          </w:p>
        </w:tc>
        <w:tc>
          <w:tcPr>
            <w:tcW w:w="0" w:type="auto"/>
            <w:shd w:val="clear" w:color="auto" w:fill="B8CCE4"/>
          </w:tcPr>
          <w:p w14:paraId="080F3D6A" w14:textId="77777777" w:rsidR="00D85532" w:rsidRPr="0061343E" w:rsidRDefault="00D85532" w:rsidP="00A40866">
            <w:pPr>
              <w:keepNext/>
              <w:keepLines/>
              <w:jc w:val="center"/>
              <w:rPr>
                <w:rFonts w:ascii="Arial Narrow" w:hAnsi="Arial Narrow"/>
                <w:sz w:val="20"/>
                <w:szCs w:val="20"/>
              </w:rPr>
            </w:pPr>
            <w:r w:rsidRPr="0061343E">
              <w:rPr>
                <w:rFonts w:ascii="Arial Narrow" w:hAnsi="Arial Narrow"/>
                <w:sz w:val="20"/>
                <w:szCs w:val="20"/>
              </w:rPr>
              <w:t>0.22 (0.04, 1.10)</w:t>
            </w:r>
          </w:p>
        </w:tc>
        <w:tc>
          <w:tcPr>
            <w:tcW w:w="0" w:type="auto"/>
            <w:shd w:val="clear" w:color="auto" w:fill="B8CCE4"/>
          </w:tcPr>
          <w:p w14:paraId="4BB3C37B" w14:textId="77777777" w:rsidR="00D85532" w:rsidRPr="0061343E" w:rsidRDefault="00D85532" w:rsidP="00A40866">
            <w:pPr>
              <w:keepNext/>
              <w:keepLines/>
              <w:jc w:val="center"/>
              <w:rPr>
                <w:rFonts w:ascii="Arial Narrow" w:hAnsi="Arial Narrow"/>
                <w:sz w:val="20"/>
                <w:szCs w:val="20"/>
              </w:rPr>
            </w:pPr>
            <w:r w:rsidRPr="0061343E">
              <w:rPr>
                <w:rFonts w:ascii="Arial Narrow" w:hAnsi="Arial Narrow"/>
                <w:sz w:val="20"/>
                <w:szCs w:val="20"/>
              </w:rPr>
              <w:t>-0.03 (-0.07, 0.01)</w:t>
            </w:r>
          </w:p>
        </w:tc>
      </w:tr>
      <w:tr w:rsidR="00D85532" w:rsidRPr="0061343E" w14:paraId="794B2376" w14:textId="77777777" w:rsidTr="00E7466A">
        <w:tc>
          <w:tcPr>
            <w:tcW w:w="0" w:type="auto"/>
            <w:shd w:val="clear" w:color="auto" w:fill="auto"/>
          </w:tcPr>
          <w:p w14:paraId="3C7A5E2C" w14:textId="77777777" w:rsidR="00D85532" w:rsidRPr="0061343E" w:rsidRDefault="00D85532" w:rsidP="00A40866">
            <w:pPr>
              <w:pStyle w:val="TableLeft"/>
              <w:keepNext/>
              <w:keepLines/>
              <w:rPr>
                <w:rFonts w:ascii="Arial Narrow" w:hAnsi="Arial Narrow"/>
                <w:sz w:val="20"/>
                <w:szCs w:val="20"/>
              </w:rPr>
            </w:pPr>
            <w:r w:rsidRPr="0061343E">
              <w:rPr>
                <w:rFonts w:ascii="Arial Narrow" w:hAnsi="Arial Narrow"/>
                <w:sz w:val="20"/>
                <w:szCs w:val="20"/>
              </w:rPr>
              <w:t>Pooled (REM)</w:t>
            </w:r>
          </w:p>
        </w:tc>
        <w:tc>
          <w:tcPr>
            <w:tcW w:w="0" w:type="auto"/>
            <w:shd w:val="clear" w:color="auto" w:fill="auto"/>
          </w:tcPr>
          <w:p w14:paraId="3D7BA2B0" w14:textId="77777777" w:rsidR="00D85532" w:rsidRPr="0061343E" w:rsidRDefault="00D85532" w:rsidP="00A40866">
            <w:pPr>
              <w:pStyle w:val="TableCentre"/>
              <w:keepNext/>
              <w:keepLines/>
              <w:rPr>
                <w:rFonts w:ascii="Arial Narrow" w:hAnsi="Arial Narrow"/>
                <w:sz w:val="20"/>
                <w:szCs w:val="20"/>
              </w:rPr>
            </w:pPr>
          </w:p>
        </w:tc>
        <w:tc>
          <w:tcPr>
            <w:tcW w:w="0" w:type="auto"/>
            <w:shd w:val="clear" w:color="auto" w:fill="auto"/>
          </w:tcPr>
          <w:p w14:paraId="4B1D1892" w14:textId="77777777" w:rsidR="00D85532" w:rsidRPr="0061343E" w:rsidRDefault="00D85532" w:rsidP="00A40866">
            <w:pPr>
              <w:pStyle w:val="TableCentre"/>
              <w:keepNext/>
              <w:keepLines/>
              <w:rPr>
                <w:rFonts w:ascii="Arial Narrow" w:hAnsi="Arial Narrow"/>
                <w:sz w:val="20"/>
                <w:szCs w:val="20"/>
              </w:rPr>
            </w:pPr>
          </w:p>
        </w:tc>
        <w:tc>
          <w:tcPr>
            <w:tcW w:w="0" w:type="auto"/>
            <w:shd w:val="clear" w:color="auto" w:fill="auto"/>
          </w:tcPr>
          <w:p w14:paraId="364482B0" w14:textId="77777777" w:rsidR="00D85532" w:rsidRPr="0061343E" w:rsidRDefault="00D85532" w:rsidP="00A40866">
            <w:pPr>
              <w:keepNext/>
              <w:keepLines/>
              <w:jc w:val="center"/>
              <w:rPr>
                <w:rFonts w:ascii="Arial Narrow" w:hAnsi="Arial Narrow"/>
                <w:sz w:val="20"/>
                <w:szCs w:val="20"/>
              </w:rPr>
            </w:pPr>
            <w:r w:rsidRPr="0061343E">
              <w:rPr>
                <w:rFonts w:ascii="Arial Narrow" w:hAnsi="Arial Narrow"/>
                <w:sz w:val="20"/>
                <w:szCs w:val="20"/>
              </w:rPr>
              <w:t>0.56 (0.25, 1.27)</w:t>
            </w:r>
          </w:p>
        </w:tc>
        <w:tc>
          <w:tcPr>
            <w:tcW w:w="0" w:type="auto"/>
            <w:shd w:val="clear" w:color="auto" w:fill="auto"/>
          </w:tcPr>
          <w:p w14:paraId="7D56781E" w14:textId="77777777" w:rsidR="00D85532" w:rsidRPr="0061343E" w:rsidRDefault="00D85532" w:rsidP="00A40866">
            <w:pPr>
              <w:keepNext/>
              <w:keepLines/>
              <w:jc w:val="center"/>
              <w:rPr>
                <w:rFonts w:ascii="Arial Narrow" w:hAnsi="Arial Narrow"/>
                <w:sz w:val="20"/>
                <w:szCs w:val="20"/>
              </w:rPr>
            </w:pPr>
            <w:r w:rsidRPr="0061343E">
              <w:rPr>
                <w:rFonts w:ascii="Arial Narrow" w:hAnsi="Arial Narrow"/>
                <w:sz w:val="20"/>
                <w:szCs w:val="20"/>
              </w:rPr>
              <w:t>-0.02 (-0.04, 0.01)</w:t>
            </w:r>
          </w:p>
        </w:tc>
      </w:tr>
      <w:tr w:rsidR="00D85532" w:rsidRPr="0061343E" w14:paraId="53A02252" w14:textId="77777777" w:rsidTr="00E7466A">
        <w:tc>
          <w:tcPr>
            <w:tcW w:w="0" w:type="auto"/>
            <w:gridSpan w:val="5"/>
            <w:shd w:val="clear" w:color="auto" w:fill="auto"/>
          </w:tcPr>
          <w:p w14:paraId="529C5CC7" w14:textId="77777777" w:rsidR="00D85532" w:rsidRPr="0061343E" w:rsidRDefault="00D85532" w:rsidP="00A40866">
            <w:pPr>
              <w:keepNext/>
              <w:keepLines/>
              <w:rPr>
                <w:rFonts w:ascii="Arial Narrow" w:hAnsi="Arial Narrow"/>
                <w:sz w:val="20"/>
                <w:szCs w:val="20"/>
              </w:rPr>
            </w:pPr>
            <w:r w:rsidRPr="0061343E">
              <w:rPr>
                <w:rFonts w:ascii="Arial Narrow" w:hAnsi="Arial Narrow"/>
                <w:sz w:val="20"/>
                <w:szCs w:val="20"/>
              </w:rPr>
              <w:t>Indirect comparison</w:t>
            </w:r>
          </w:p>
        </w:tc>
      </w:tr>
      <w:tr w:rsidR="00D85532" w:rsidRPr="0061343E" w14:paraId="1A701AA4" w14:textId="77777777" w:rsidTr="00E7466A">
        <w:tc>
          <w:tcPr>
            <w:tcW w:w="0" w:type="auto"/>
            <w:gridSpan w:val="3"/>
            <w:shd w:val="clear" w:color="auto" w:fill="auto"/>
          </w:tcPr>
          <w:p w14:paraId="4151906F" w14:textId="77777777" w:rsidR="00D85532" w:rsidRPr="0061343E" w:rsidRDefault="00D85532" w:rsidP="00A40866">
            <w:pPr>
              <w:pStyle w:val="TableCentre"/>
              <w:keepNext/>
              <w:keepLines/>
              <w:jc w:val="both"/>
              <w:rPr>
                <w:rFonts w:ascii="Arial Narrow" w:hAnsi="Arial Narrow"/>
                <w:sz w:val="20"/>
                <w:szCs w:val="20"/>
              </w:rPr>
            </w:pPr>
            <w:r w:rsidRPr="0061343E">
              <w:rPr>
                <w:rFonts w:ascii="Arial Narrow" w:hAnsi="Arial Narrow"/>
                <w:sz w:val="20"/>
                <w:szCs w:val="20"/>
              </w:rPr>
              <w:t>NEMO 30 mg Q4W (pooled) vs DUPI 300 mg Q2W (pooled)</w:t>
            </w:r>
          </w:p>
        </w:tc>
        <w:tc>
          <w:tcPr>
            <w:tcW w:w="0" w:type="auto"/>
            <w:shd w:val="clear" w:color="auto" w:fill="auto"/>
          </w:tcPr>
          <w:p w14:paraId="711EDAB2" w14:textId="77777777" w:rsidR="00D85532" w:rsidRPr="0061343E" w:rsidRDefault="00D85532" w:rsidP="00A40866">
            <w:pPr>
              <w:keepNext/>
              <w:keepLines/>
              <w:jc w:val="center"/>
              <w:rPr>
                <w:rFonts w:ascii="Arial Narrow" w:hAnsi="Arial Narrow"/>
                <w:sz w:val="20"/>
                <w:szCs w:val="20"/>
              </w:rPr>
            </w:pPr>
            <w:r w:rsidRPr="0061343E">
              <w:rPr>
                <w:rFonts w:ascii="Arial Narrow" w:hAnsi="Arial Narrow"/>
                <w:sz w:val="20"/>
                <w:szCs w:val="20"/>
              </w:rPr>
              <w:t>2.36 (0.77, 7.21)</w:t>
            </w:r>
          </w:p>
        </w:tc>
        <w:tc>
          <w:tcPr>
            <w:tcW w:w="0" w:type="auto"/>
            <w:shd w:val="clear" w:color="auto" w:fill="auto"/>
          </w:tcPr>
          <w:p w14:paraId="47B8DFD7" w14:textId="77777777" w:rsidR="00D85532" w:rsidRPr="0061343E" w:rsidRDefault="00D85532" w:rsidP="00A40866">
            <w:pPr>
              <w:keepNext/>
              <w:keepLines/>
              <w:jc w:val="center"/>
              <w:rPr>
                <w:rFonts w:ascii="Arial Narrow" w:hAnsi="Arial Narrow"/>
                <w:sz w:val="20"/>
                <w:szCs w:val="20"/>
              </w:rPr>
            </w:pPr>
            <w:r w:rsidRPr="0061343E">
              <w:rPr>
                <w:rFonts w:ascii="Arial Narrow" w:hAnsi="Arial Narrow"/>
                <w:sz w:val="20"/>
                <w:szCs w:val="20"/>
              </w:rPr>
              <w:t>0.02 (-0.01, 0.05)</w:t>
            </w:r>
          </w:p>
        </w:tc>
      </w:tr>
      <w:tr w:rsidR="00D85532" w:rsidRPr="0061343E" w14:paraId="6EC11892" w14:textId="77777777" w:rsidTr="00E7466A">
        <w:tc>
          <w:tcPr>
            <w:tcW w:w="0" w:type="auto"/>
            <w:gridSpan w:val="5"/>
            <w:shd w:val="clear" w:color="auto" w:fill="auto"/>
          </w:tcPr>
          <w:p w14:paraId="59BACFC2" w14:textId="77777777" w:rsidR="00D85532" w:rsidRPr="0061343E" w:rsidRDefault="00D85532" w:rsidP="00A40866">
            <w:pPr>
              <w:pStyle w:val="TableCentre"/>
              <w:keepNext/>
              <w:keepLines/>
              <w:jc w:val="left"/>
              <w:rPr>
                <w:rFonts w:ascii="Arial Narrow" w:hAnsi="Arial Narrow"/>
                <w:b/>
                <w:bCs/>
                <w:sz w:val="20"/>
                <w:szCs w:val="20"/>
              </w:rPr>
            </w:pPr>
            <w:r w:rsidRPr="0061343E">
              <w:rPr>
                <w:rFonts w:ascii="Arial Narrow" w:hAnsi="Arial Narrow"/>
                <w:b/>
                <w:bCs/>
                <w:sz w:val="20"/>
                <w:szCs w:val="20"/>
              </w:rPr>
              <w:t>TEAEs leading to discontinuation</w:t>
            </w:r>
          </w:p>
        </w:tc>
      </w:tr>
      <w:tr w:rsidR="00D85532" w:rsidRPr="0061343E" w14:paraId="0D42B651" w14:textId="77777777" w:rsidTr="00E7466A">
        <w:tc>
          <w:tcPr>
            <w:tcW w:w="0" w:type="auto"/>
            <w:gridSpan w:val="5"/>
            <w:shd w:val="clear" w:color="auto" w:fill="auto"/>
          </w:tcPr>
          <w:p w14:paraId="00D883BE" w14:textId="77777777" w:rsidR="00D85532" w:rsidRPr="0061343E" w:rsidRDefault="00D85532" w:rsidP="00A40866">
            <w:pPr>
              <w:pStyle w:val="TableCentre"/>
              <w:keepNext/>
              <w:keepLines/>
              <w:jc w:val="left"/>
              <w:rPr>
                <w:rFonts w:ascii="Arial Narrow" w:hAnsi="Arial Narrow"/>
                <w:b/>
                <w:bCs/>
                <w:sz w:val="20"/>
                <w:szCs w:val="20"/>
              </w:rPr>
            </w:pPr>
            <w:r w:rsidRPr="0061343E">
              <w:rPr>
                <w:rFonts w:ascii="Arial Narrow" w:hAnsi="Arial Narrow"/>
                <w:b/>
                <w:bCs/>
                <w:sz w:val="20"/>
                <w:szCs w:val="20"/>
              </w:rPr>
              <w:t>NEMO 30 mg Q4W vs placebo</w:t>
            </w:r>
          </w:p>
        </w:tc>
      </w:tr>
      <w:tr w:rsidR="00D85532" w:rsidRPr="0061343E" w14:paraId="64834FCD" w14:textId="77777777" w:rsidTr="00E7466A">
        <w:tc>
          <w:tcPr>
            <w:tcW w:w="0" w:type="auto"/>
            <w:shd w:val="clear" w:color="auto" w:fill="auto"/>
          </w:tcPr>
          <w:p w14:paraId="5358EDEF" w14:textId="77777777" w:rsidR="00D85532" w:rsidRPr="0061343E" w:rsidRDefault="00D85532" w:rsidP="00A40866">
            <w:pPr>
              <w:pStyle w:val="TableLeft"/>
              <w:keepNext/>
              <w:keepLines/>
              <w:rPr>
                <w:rFonts w:ascii="Arial Narrow" w:hAnsi="Arial Narrow"/>
                <w:sz w:val="20"/>
                <w:szCs w:val="20"/>
              </w:rPr>
            </w:pPr>
            <w:r w:rsidRPr="0061343E">
              <w:rPr>
                <w:rFonts w:ascii="Arial Narrow" w:hAnsi="Arial Narrow"/>
                <w:sz w:val="20"/>
                <w:szCs w:val="20"/>
              </w:rPr>
              <w:t>ARCADIA 1</w:t>
            </w:r>
          </w:p>
        </w:tc>
        <w:tc>
          <w:tcPr>
            <w:tcW w:w="0" w:type="auto"/>
            <w:shd w:val="clear" w:color="auto" w:fill="auto"/>
          </w:tcPr>
          <w:p w14:paraId="15ACCB1F" w14:textId="77777777" w:rsidR="00D85532" w:rsidRPr="0061343E" w:rsidRDefault="00D85532" w:rsidP="00A40866">
            <w:pPr>
              <w:pStyle w:val="TableCentre"/>
              <w:keepNext/>
              <w:keepLines/>
              <w:rPr>
                <w:rFonts w:ascii="Arial Narrow" w:hAnsi="Arial Narrow"/>
                <w:sz w:val="20"/>
                <w:szCs w:val="20"/>
              </w:rPr>
            </w:pPr>
            <w:r w:rsidRPr="0061343E">
              <w:rPr>
                <w:rFonts w:ascii="Arial Narrow" w:hAnsi="Arial Narrow"/>
                <w:sz w:val="20"/>
                <w:szCs w:val="20"/>
              </w:rPr>
              <w:t xml:space="preserve">9/616 (1.5) </w:t>
            </w:r>
          </w:p>
        </w:tc>
        <w:tc>
          <w:tcPr>
            <w:tcW w:w="0" w:type="auto"/>
            <w:shd w:val="clear" w:color="auto" w:fill="auto"/>
          </w:tcPr>
          <w:p w14:paraId="20F9259A" w14:textId="77777777" w:rsidR="00D85532" w:rsidRPr="0061343E" w:rsidRDefault="00D85532" w:rsidP="00A40866">
            <w:pPr>
              <w:pStyle w:val="TableCentre"/>
              <w:keepNext/>
              <w:keepLines/>
              <w:rPr>
                <w:rFonts w:ascii="Arial Narrow" w:hAnsi="Arial Narrow"/>
                <w:sz w:val="20"/>
                <w:szCs w:val="20"/>
              </w:rPr>
            </w:pPr>
            <w:r w:rsidRPr="0061343E">
              <w:rPr>
                <w:rFonts w:ascii="Arial Narrow" w:hAnsi="Arial Narrow"/>
                <w:sz w:val="20"/>
                <w:szCs w:val="20"/>
              </w:rPr>
              <w:t>3/321 (0.9)</w:t>
            </w:r>
          </w:p>
        </w:tc>
        <w:tc>
          <w:tcPr>
            <w:tcW w:w="0" w:type="auto"/>
            <w:shd w:val="clear" w:color="auto" w:fill="auto"/>
          </w:tcPr>
          <w:p w14:paraId="11244769" w14:textId="77777777" w:rsidR="00D85532" w:rsidRPr="0061343E" w:rsidRDefault="00D85532" w:rsidP="00A40866">
            <w:pPr>
              <w:keepNext/>
              <w:keepLines/>
              <w:jc w:val="center"/>
              <w:rPr>
                <w:rFonts w:ascii="Arial Narrow" w:hAnsi="Arial Narrow"/>
                <w:sz w:val="20"/>
                <w:szCs w:val="20"/>
              </w:rPr>
            </w:pPr>
            <w:r w:rsidRPr="0061343E">
              <w:rPr>
                <w:rFonts w:ascii="Arial Narrow" w:hAnsi="Arial Narrow"/>
                <w:sz w:val="20"/>
                <w:szCs w:val="20"/>
              </w:rPr>
              <w:t>1.56 (0.43, 5.73)</w:t>
            </w:r>
          </w:p>
        </w:tc>
        <w:tc>
          <w:tcPr>
            <w:tcW w:w="0" w:type="auto"/>
            <w:shd w:val="clear" w:color="auto" w:fill="auto"/>
          </w:tcPr>
          <w:p w14:paraId="37D43F0B" w14:textId="77777777" w:rsidR="00D85532" w:rsidRPr="0061343E" w:rsidRDefault="00D85532" w:rsidP="00A40866">
            <w:pPr>
              <w:keepNext/>
              <w:keepLines/>
              <w:jc w:val="center"/>
              <w:rPr>
                <w:rFonts w:ascii="Arial Narrow" w:hAnsi="Arial Narrow"/>
                <w:sz w:val="20"/>
                <w:szCs w:val="20"/>
              </w:rPr>
            </w:pPr>
            <w:r w:rsidRPr="0061343E">
              <w:rPr>
                <w:rFonts w:ascii="Arial Narrow" w:hAnsi="Arial Narrow"/>
                <w:sz w:val="20"/>
                <w:szCs w:val="20"/>
              </w:rPr>
              <w:t>0.01 (-0.01, 0.02)</w:t>
            </w:r>
          </w:p>
        </w:tc>
      </w:tr>
      <w:tr w:rsidR="00D85532" w:rsidRPr="0061343E" w14:paraId="7F8CE7E9" w14:textId="77777777" w:rsidTr="00E7466A">
        <w:tc>
          <w:tcPr>
            <w:tcW w:w="0" w:type="auto"/>
            <w:shd w:val="clear" w:color="auto" w:fill="auto"/>
          </w:tcPr>
          <w:p w14:paraId="1C995E44" w14:textId="77777777" w:rsidR="00D85532" w:rsidRPr="0061343E" w:rsidRDefault="00D85532" w:rsidP="00A40866">
            <w:pPr>
              <w:pStyle w:val="TableLeft"/>
              <w:keepNext/>
              <w:keepLines/>
              <w:rPr>
                <w:rFonts w:ascii="Arial Narrow" w:hAnsi="Arial Narrow"/>
                <w:sz w:val="20"/>
                <w:szCs w:val="20"/>
              </w:rPr>
            </w:pPr>
            <w:r w:rsidRPr="0061343E">
              <w:rPr>
                <w:rFonts w:ascii="Arial Narrow" w:hAnsi="Arial Narrow"/>
                <w:sz w:val="20"/>
                <w:szCs w:val="20"/>
              </w:rPr>
              <w:t>ARCADIA 2</w:t>
            </w:r>
          </w:p>
        </w:tc>
        <w:tc>
          <w:tcPr>
            <w:tcW w:w="0" w:type="auto"/>
            <w:shd w:val="clear" w:color="auto" w:fill="auto"/>
          </w:tcPr>
          <w:p w14:paraId="42C214AB" w14:textId="77777777" w:rsidR="00D85532" w:rsidRPr="0061343E" w:rsidRDefault="00D85532" w:rsidP="00A40866">
            <w:pPr>
              <w:pStyle w:val="TableCentre"/>
              <w:keepNext/>
              <w:keepLines/>
              <w:rPr>
                <w:rFonts w:ascii="Arial Narrow" w:hAnsi="Arial Narrow"/>
                <w:sz w:val="20"/>
                <w:szCs w:val="20"/>
              </w:rPr>
            </w:pPr>
            <w:r w:rsidRPr="0061343E">
              <w:rPr>
                <w:rFonts w:ascii="Arial Narrow" w:hAnsi="Arial Narrow"/>
                <w:sz w:val="20"/>
                <w:szCs w:val="20"/>
              </w:rPr>
              <w:t>15/519 (2.9)</w:t>
            </w:r>
          </w:p>
        </w:tc>
        <w:tc>
          <w:tcPr>
            <w:tcW w:w="0" w:type="auto"/>
            <w:shd w:val="clear" w:color="auto" w:fill="auto"/>
          </w:tcPr>
          <w:p w14:paraId="2A9FC647" w14:textId="77777777" w:rsidR="00D85532" w:rsidRPr="0061343E" w:rsidRDefault="00D85532" w:rsidP="00A40866">
            <w:pPr>
              <w:pStyle w:val="TableCentre"/>
              <w:keepNext/>
              <w:keepLines/>
              <w:rPr>
                <w:rFonts w:ascii="Arial Narrow" w:hAnsi="Arial Narrow"/>
                <w:sz w:val="20"/>
                <w:szCs w:val="20"/>
              </w:rPr>
            </w:pPr>
            <w:r w:rsidRPr="0061343E">
              <w:rPr>
                <w:rFonts w:ascii="Arial Narrow" w:hAnsi="Arial Narrow"/>
                <w:sz w:val="20"/>
                <w:szCs w:val="20"/>
              </w:rPr>
              <w:t>3/263 (1.1)</w:t>
            </w:r>
          </w:p>
        </w:tc>
        <w:tc>
          <w:tcPr>
            <w:tcW w:w="0" w:type="auto"/>
            <w:shd w:val="clear" w:color="auto" w:fill="auto"/>
          </w:tcPr>
          <w:p w14:paraId="4E8669AF" w14:textId="77777777" w:rsidR="00D85532" w:rsidRPr="0061343E" w:rsidRDefault="00D85532" w:rsidP="00A40866">
            <w:pPr>
              <w:keepNext/>
              <w:keepLines/>
              <w:jc w:val="center"/>
              <w:rPr>
                <w:rFonts w:ascii="Arial Narrow" w:hAnsi="Arial Narrow"/>
                <w:sz w:val="20"/>
                <w:szCs w:val="20"/>
              </w:rPr>
            </w:pPr>
            <w:r w:rsidRPr="0061343E">
              <w:rPr>
                <w:rFonts w:ascii="Arial Narrow" w:hAnsi="Arial Narrow"/>
                <w:sz w:val="20"/>
                <w:szCs w:val="20"/>
              </w:rPr>
              <w:t>2.53 (0.74, 8.68)</w:t>
            </w:r>
          </w:p>
        </w:tc>
        <w:tc>
          <w:tcPr>
            <w:tcW w:w="0" w:type="auto"/>
            <w:shd w:val="clear" w:color="auto" w:fill="auto"/>
          </w:tcPr>
          <w:p w14:paraId="15913AE4" w14:textId="77777777" w:rsidR="00D85532" w:rsidRPr="0061343E" w:rsidRDefault="00D85532" w:rsidP="00A40866">
            <w:pPr>
              <w:keepNext/>
              <w:keepLines/>
              <w:jc w:val="center"/>
              <w:rPr>
                <w:rFonts w:ascii="Arial Narrow" w:hAnsi="Arial Narrow"/>
                <w:sz w:val="20"/>
                <w:szCs w:val="20"/>
              </w:rPr>
            </w:pPr>
            <w:r w:rsidRPr="0061343E">
              <w:rPr>
                <w:rFonts w:ascii="Arial Narrow" w:hAnsi="Arial Narrow"/>
                <w:sz w:val="20"/>
                <w:szCs w:val="20"/>
              </w:rPr>
              <w:t>0.02 (-0.00, 0.04)</w:t>
            </w:r>
          </w:p>
        </w:tc>
      </w:tr>
      <w:tr w:rsidR="00D85532" w:rsidRPr="0061343E" w14:paraId="58897D4D" w14:textId="77777777" w:rsidTr="00E7466A">
        <w:tc>
          <w:tcPr>
            <w:tcW w:w="0" w:type="auto"/>
            <w:shd w:val="clear" w:color="auto" w:fill="auto"/>
          </w:tcPr>
          <w:p w14:paraId="5BA9C07E" w14:textId="77777777" w:rsidR="00D85532" w:rsidRPr="0061343E" w:rsidRDefault="00D85532" w:rsidP="00A40866">
            <w:pPr>
              <w:pStyle w:val="TableLeft"/>
              <w:keepNext/>
              <w:keepLines/>
              <w:rPr>
                <w:rFonts w:ascii="Arial Narrow" w:hAnsi="Arial Narrow"/>
                <w:sz w:val="20"/>
                <w:szCs w:val="20"/>
              </w:rPr>
            </w:pPr>
            <w:r w:rsidRPr="0061343E">
              <w:rPr>
                <w:rFonts w:ascii="Arial Narrow" w:hAnsi="Arial Narrow"/>
                <w:sz w:val="20"/>
                <w:szCs w:val="20"/>
              </w:rPr>
              <w:t>Study 114322</w:t>
            </w:r>
          </w:p>
        </w:tc>
        <w:tc>
          <w:tcPr>
            <w:tcW w:w="0" w:type="auto"/>
            <w:shd w:val="clear" w:color="auto" w:fill="auto"/>
          </w:tcPr>
          <w:p w14:paraId="1A4A7C84" w14:textId="77777777" w:rsidR="00D85532" w:rsidRPr="0061343E" w:rsidRDefault="00D85532" w:rsidP="00A40866">
            <w:pPr>
              <w:pStyle w:val="TableCentre"/>
              <w:keepNext/>
              <w:keepLines/>
              <w:rPr>
                <w:rFonts w:ascii="Arial Narrow" w:hAnsi="Arial Narrow"/>
                <w:sz w:val="20"/>
                <w:szCs w:val="20"/>
              </w:rPr>
            </w:pPr>
            <w:r w:rsidRPr="0061343E">
              <w:rPr>
                <w:rFonts w:ascii="Arial Narrow" w:hAnsi="Arial Narrow"/>
                <w:sz w:val="20"/>
                <w:szCs w:val="20"/>
              </w:rPr>
              <w:t>2/57 (3.5)</w:t>
            </w:r>
          </w:p>
        </w:tc>
        <w:tc>
          <w:tcPr>
            <w:tcW w:w="0" w:type="auto"/>
            <w:shd w:val="clear" w:color="auto" w:fill="auto"/>
          </w:tcPr>
          <w:p w14:paraId="36978628" w14:textId="77777777" w:rsidR="00D85532" w:rsidRPr="0061343E" w:rsidRDefault="00D85532" w:rsidP="00A40866">
            <w:pPr>
              <w:pStyle w:val="TableCentre"/>
              <w:keepNext/>
              <w:keepLines/>
              <w:rPr>
                <w:rFonts w:ascii="Arial Narrow" w:hAnsi="Arial Narrow"/>
                <w:sz w:val="20"/>
                <w:szCs w:val="20"/>
              </w:rPr>
            </w:pPr>
            <w:r w:rsidRPr="0061343E">
              <w:rPr>
                <w:rFonts w:ascii="Arial Narrow" w:hAnsi="Arial Narrow"/>
                <w:sz w:val="20"/>
                <w:szCs w:val="20"/>
              </w:rPr>
              <w:t>4/57 (7.0)</w:t>
            </w:r>
          </w:p>
        </w:tc>
        <w:tc>
          <w:tcPr>
            <w:tcW w:w="0" w:type="auto"/>
            <w:shd w:val="clear" w:color="auto" w:fill="auto"/>
          </w:tcPr>
          <w:p w14:paraId="6E027AD4" w14:textId="77777777" w:rsidR="00D85532" w:rsidRPr="0061343E" w:rsidRDefault="00D85532" w:rsidP="00A40866">
            <w:pPr>
              <w:keepNext/>
              <w:keepLines/>
              <w:jc w:val="center"/>
              <w:rPr>
                <w:rFonts w:ascii="Arial Narrow" w:hAnsi="Arial Narrow"/>
                <w:sz w:val="20"/>
                <w:szCs w:val="20"/>
              </w:rPr>
            </w:pPr>
            <w:r w:rsidRPr="0061343E">
              <w:rPr>
                <w:rFonts w:ascii="Arial Narrow" w:hAnsi="Arial Narrow"/>
                <w:sz w:val="20"/>
                <w:szCs w:val="20"/>
              </w:rPr>
              <w:t>0.50 (0.10, 2.62)</w:t>
            </w:r>
          </w:p>
        </w:tc>
        <w:tc>
          <w:tcPr>
            <w:tcW w:w="0" w:type="auto"/>
            <w:shd w:val="clear" w:color="auto" w:fill="auto"/>
          </w:tcPr>
          <w:p w14:paraId="702F1019" w14:textId="77777777" w:rsidR="00D85532" w:rsidRPr="0061343E" w:rsidRDefault="00D85532" w:rsidP="00A40866">
            <w:pPr>
              <w:keepNext/>
              <w:keepLines/>
              <w:jc w:val="center"/>
              <w:rPr>
                <w:rFonts w:ascii="Arial Narrow" w:hAnsi="Arial Narrow"/>
                <w:sz w:val="20"/>
                <w:szCs w:val="20"/>
              </w:rPr>
            </w:pPr>
            <w:r w:rsidRPr="0061343E">
              <w:rPr>
                <w:rFonts w:ascii="Arial Narrow" w:hAnsi="Arial Narrow"/>
                <w:sz w:val="20"/>
                <w:szCs w:val="20"/>
              </w:rPr>
              <w:t>-0.04 (-0.12, 0.05)</w:t>
            </w:r>
          </w:p>
        </w:tc>
      </w:tr>
      <w:tr w:rsidR="00D85532" w:rsidRPr="0061343E" w14:paraId="178C744A" w14:textId="77777777" w:rsidTr="00E7466A">
        <w:tc>
          <w:tcPr>
            <w:tcW w:w="0" w:type="auto"/>
            <w:shd w:val="clear" w:color="auto" w:fill="auto"/>
          </w:tcPr>
          <w:p w14:paraId="2D98D44E" w14:textId="77777777" w:rsidR="00D85532" w:rsidRPr="0061343E" w:rsidRDefault="00D85532" w:rsidP="00A40866">
            <w:pPr>
              <w:pStyle w:val="TableLeft"/>
              <w:keepNext/>
              <w:keepLines/>
              <w:rPr>
                <w:rFonts w:ascii="Arial Narrow" w:hAnsi="Arial Narrow"/>
                <w:sz w:val="20"/>
                <w:szCs w:val="20"/>
              </w:rPr>
            </w:pPr>
            <w:r w:rsidRPr="0061343E">
              <w:rPr>
                <w:rFonts w:ascii="Arial Narrow" w:hAnsi="Arial Narrow"/>
                <w:sz w:val="20"/>
                <w:szCs w:val="20"/>
              </w:rPr>
              <w:t>ARCADIA CYCLO</w:t>
            </w:r>
          </w:p>
        </w:tc>
        <w:tc>
          <w:tcPr>
            <w:tcW w:w="0" w:type="auto"/>
            <w:shd w:val="clear" w:color="auto" w:fill="auto"/>
          </w:tcPr>
          <w:p w14:paraId="5B158C4D" w14:textId="77777777" w:rsidR="00D85532" w:rsidRPr="0061343E" w:rsidRDefault="00D85532" w:rsidP="00A40866">
            <w:pPr>
              <w:pStyle w:val="TableCentre"/>
              <w:keepNext/>
              <w:keepLines/>
              <w:rPr>
                <w:rFonts w:ascii="Arial Narrow" w:hAnsi="Arial Narrow"/>
                <w:sz w:val="20"/>
                <w:szCs w:val="20"/>
              </w:rPr>
            </w:pPr>
            <w:r w:rsidRPr="0061343E">
              <w:rPr>
                <w:rFonts w:ascii="Arial Narrow" w:hAnsi="Arial Narrow"/>
                <w:sz w:val="20"/>
                <w:szCs w:val="20"/>
              </w:rPr>
              <w:t>2/137 (1.5)</w:t>
            </w:r>
          </w:p>
        </w:tc>
        <w:tc>
          <w:tcPr>
            <w:tcW w:w="0" w:type="auto"/>
            <w:shd w:val="clear" w:color="auto" w:fill="auto"/>
          </w:tcPr>
          <w:p w14:paraId="64B44940" w14:textId="77777777" w:rsidR="00D85532" w:rsidRPr="0061343E" w:rsidRDefault="00D85532" w:rsidP="00A40866">
            <w:pPr>
              <w:pStyle w:val="TableCentre"/>
              <w:keepNext/>
              <w:keepLines/>
              <w:rPr>
                <w:rFonts w:ascii="Arial Narrow" w:hAnsi="Arial Narrow"/>
                <w:sz w:val="20"/>
                <w:szCs w:val="20"/>
              </w:rPr>
            </w:pPr>
            <w:r w:rsidRPr="0061343E">
              <w:rPr>
                <w:rFonts w:ascii="Arial Narrow" w:hAnsi="Arial Narrow"/>
                <w:sz w:val="20"/>
                <w:szCs w:val="20"/>
              </w:rPr>
              <w:t>3/137 (2.2)</w:t>
            </w:r>
          </w:p>
        </w:tc>
        <w:tc>
          <w:tcPr>
            <w:tcW w:w="0" w:type="auto"/>
            <w:shd w:val="clear" w:color="auto" w:fill="auto"/>
          </w:tcPr>
          <w:p w14:paraId="736B0FF0" w14:textId="77777777" w:rsidR="00D85532" w:rsidRPr="0061343E" w:rsidRDefault="00D85532" w:rsidP="00A40866">
            <w:pPr>
              <w:keepNext/>
              <w:keepLines/>
              <w:jc w:val="center"/>
              <w:rPr>
                <w:rFonts w:ascii="Arial Narrow" w:hAnsi="Arial Narrow"/>
                <w:sz w:val="20"/>
                <w:szCs w:val="20"/>
              </w:rPr>
            </w:pPr>
            <w:r w:rsidRPr="0061343E">
              <w:rPr>
                <w:rFonts w:ascii="Arial Narrow" w:hAnsi="Arial Narrow"/>
                <w:sz w:val="20"/>
                <w:szCs w:val="20"/>
              </w:rPr>
              <w:t>0.67 (0.11, 3.93)</w:t>
            </w:r>
          </w:p>
        </w:tc>
        <w:tc>
          <w:tcPr>
            <w:tcW w:w="0" w:type="auto"/>
            <w:shd w:val="clear" w:color="auto" w:fill="auto"/>
          </w:tcPr>
          <w:p w14:paraId="6D4F5568" w14:textId="77777777" w:rsidR="00D85532" w:rsidRPr="0061343E" w:rsidRDefault="00D85532" w:rsidP="00A40866">
            <w:pPr>
              <w:keepNext/>
              <w:keepLines/>
              <w:jc w:val="center"/>
              <w:rPr>
                <w:rFonts w:ascii="Arial Narrow" w:hAnsi="Arial Narrow"/>
                <w:sz w:val="20"/>
                <w:szCs w:val="20"/>
              </w:rPr>
            </w:pPr>
            <w:r w:rsidRPr="0061343E">
              <w:rPr>
                <w:rFonts w:ascii="Arial Narrow" w:hAnsi="Arial Narrow"/>
                <w:sz w:val="20"/>
                <w:szCs w:val="20"/>
              </w:rPr>
              <w:t>-0.01 (-0.04 0.02)</w:t>
            </w:r>
          </w:p>
        </w:tc>
      </w:tr>
      <w:tr w:rsidR="00D85532" w:rsidRPr="0061343E" w14:paraId="720FA0C8" w14:textId="77777777" w:rsidTr="00E7466A">
        <w:tc>
          <w:tcPr>
            <w:tcW w:w="0" w:type="auto"/>
            <w:shd w:val="clear" w:color="auto" w:fill="auto"/>
          </w:tcPr>
          <w:p w14:paraId="0255F7F4" w14:textId="77777777" w:rsidR="00D85532" w:rsidRPr="0061343E" w:rsidRDefault="00D85532" w:rsidP="00A40866">
            <w:pPr>
              <w:pStyle w:val="TableLeft"/>
              <w:keepNext/>
              <w:keepLines/>
              <w:rPr>
                <w:rFonts w:ascii="Arial Narrow" w:hAnsi="Arial Narrow"/>
                <w:sz w:val="20"/>
                <w:szCs w:val="20"/>
              </w:rPr>
            </w:pPr>
            <w:r w:rsidRPr="0061343E">
              <w:rPr>
                <w:rFonts w:ascii="Arial Narrow" w:hAnsi="Arial Narrow"/>
                <w:sz w:val="20"/>
                <w:szCs w:val="20"/>
              </w:rPr>
              <w:t>Pooled (REM)</w:t>
            </w:r>
          </w:p>
        </w:tc>
        <w:tc>
          <w:tcPr>
            <w:tcW w:w="0" w:type="auto"/>
            <w:shd w:val="clear" w:color="auto" w:fill="auto"/>
          </w:tcPr>
          <w:p w14:paraId="3716008A" w14:textId="77777777" w:rsidR="00D85532" w:rsidRPr="0061343E" w:rsidRDefault="00D85532" w:rsidP="00A40866">
            <w:pPr>
              <w:pStyle w:val="TableCentre"/>
              <w:keepNext/>
              <w:keepLines/>
              <w:rPr>
                <w:rFonts w:ascii="Arial Narrow" w:hAnsi="Arial Narrow"/>
                <w:sz w:val="20"/>
                <w:szCs w:val="20"/>
              </w:rPr>
            </w:pPr>
          </w:p>
        </w:tc>
        <w:tc>
          <w:tcPr>
            <w:tcW w:w="0" w:type="auto"/>
            <w:shd w:val="clear" w:color="auto" w:fill="auto"/>
          </w:tcPr>
          <w:p w14:paraId="621F911D" w14:textId="77777777" w:rsidR="00D85532" w:rsidRPr="0061343E" w:rsidRDefault="00D85532" w:rsidP="00A40866">
            <w:pPr>
              <w:pStyle w:val="TableCentre"/>
              <w:keepNext/>
              <w:keepLines/>
              <w:rPr>
                <w:rFonts w:ascii="Arial Narrow" w:hAnsi="Arial Narrow"/>
                <w:sz w:val="20"/>
                <w:szCs w:val="20"/>
              </w:rPr>
            </w:pPr>
          </w:p>
        </w:tc>
        <w:tc>
          <w:tcPr>
            <w:tcW w:w="0" w:type="auto"/>
            <w:shd w:val="clear" w:color="auto" w:fill="auto"/>
          </w:tcPr>
          <w:p w14:paraId="700EF45A" w14:textId="77777777" w:rsidR="00D85532" w:rsidRPr="0061343E" w:rsidRDefault="00D85532" w:rsidP="00A40866">
            <w:pPr>
              <w:keepNext/>
              <w:keepLines/>
              <w:jc w:val="center"/>
              <w:rPr>
                <w:rFonts w:ascii="Arial Narrow" w:hAnsi="Arial Narrow"/>
                <w:sz w:val="20"/>
                <w:szCs w:val="20"/>
              </w:rPr>
            </w:pPr>
            <w:r w:rsidRPr="0061343E">
              <w:rPr>
                <w:rFonts w:ascii="Arial Narrow" w:hAnsi="Arial Narrow"/>
                <w:sz w:val="20"/>
                <w:szCs w:val="20"/>
              </w:rPr>
              <w:t>1.30 (0.62, 2.66)</w:t>
            </w:r>
          </w:p>
        </w:tc>
        <w:tc>
          <w:tcPr>
            <w:tcW w:w="0" w:type="auto"/>
            <w:shd w:val="clear" w:color="auto" w:fill="auto"/>
          </w:tcPr>
          <w:p w14:paraId="08C11357" w14:textId="77777777" w:rsidR="00D85532" w:rsidRPr="0061343E" w:rsidRDefault="00D85532" w:rsidP="00A40866">
            <w:pPr>
              <w:keepNext/>
              <w:keepLines/>
              <w:jc w:val="center"/>
              <w:rPr>
                <w:rFonts w:ascii="Arial Narrow" w:hAnsi="Arial Narrow"/>
                <w:sz w:val="20"/>
                <w:szCs w:val="20"/>
              </w:rPr>
            </w:pPr>
            <w:r w:rsidRPr="0061343E">
              <w:rPr>
                <w:rFonts w:ascii="Arial Narrow" w:hAnsi="Arial Narrow"/>
                <w:sz w:val="20"/>
                <w:szCs w:val="20"/>
              </w:rPr>
              <w:t>0.01 (0.00, 0.02)</w:t>
            </w:r>
          </w:p>
        </w:tc>
      </w:tr>
      <w:tr w:rsidR="00D85532" w:rsidRPr="0061343E" w14:paraId="50D0AF52" w14:textId="77777777" w:rsidTr="00E7466A">
        <w:tc>
          <w:tcPr>
            <w:tcW w:w="0" w:type="auto"/>
            <w:gridSpan w:val="5"/>
            <w:shd w:val="clear" w:color="auto" w:fill="auto"/>
          </w:tcPr>
          <w:p w14:paraId="5C9810FD" w14:textId="77777777" w:rsidR="00D85532" w:rsidRPr="0061343E" w:rsidRDefault="00D85532" w:rsidP="00A40866">
            <w:pPr>
              <w:pStyle w:val="TableCentre"/>
              <w:keepNext/>
              <w:keepLines/>
              <w:jc w:val="left"/>
              <w:rPr>
                <w:rFonts w:ascii="Arial Narrow" w:hAnsi="Arial Narrow"/>
                <w:b/>
                <w:bCs/>
                <w:sz w:val="20"/>
                <w:szCs w:val="20"/>
              </w:rPr>
            </w:pPr>
            <w:r w:rsidRPr="0061343E">
              <w:rPr>
                <w:rFonts w:ascii="Arial Narrow" w:hAnsi="Arial Narrow"/>
                <w:b/>
                <w:bCs/>
                <w:sz w:val="20"/>
                <w:szCs w:val="20"/>
              </w:rPr>
              <w:t>DUPI 300 mg Q2W vs placebo</w:t>
            </w:r>
          </w:p>
        </w:tc>
      </w:tr>
      <w:tr w:rsidR="00D85532" w:rsidRPr="0061343E" w14:paraId="3C1DFF0A" w14:textId="77777777" w:rsidTr="00E7466A">
        <w:tc>
          <w:tcPr>
            <w:tcW w:w="0" w:type="auto"/>
            <w:shd w:val="clear" w:color="auto" w:fill="B8CCE4"/>
          </w:tcPr>
          <w:p w14:paraId="70E2CED4" w14:textId="77777777" w:rsidR="00D85532" w:rsidRPr="0061343E" w:rsidRDefault="00D85532" w:rsidP="00A40866">
            <w:pPr>
              <w:pStyle w:val="TableLeft"/>
              <w:keepNext/>
              <w:keepLines/>
              <w:rPr>
                <w:rFonts w:ascii="Arial Narrow" w:hAnsi="Arial Narrow"/>
                <w:sz w:val="20"/>
                <w:szCs w:val="20"/>
              </w:rPr>
            </w:pPr>
            <w:r w:rsidRPr="0061343E">
              <w:rPr>
                <w:rFonts w:ascii="Arial Narrow" w:hAnsi="Arial Narrow"/>
                <w:sz w:val="20"/>
                <w:szCs w:val="20"/>
              </w:rPr>
              <w:t>CAFÉ</w:t>
            </w:r>
          </w:p>
        </w:tc>
        <w:tc>
          <w:tcPr>
            <w:tcW w:w="0" w:type="auto"/>
            <w:shd w:val="clear" w:color="auto" w:fill="B8CCE4"/>
          </w:tcPr>
          <w:p w14:paraId="48258663" w14:textId="77777777" w:rsidR="00D85532" w:rsidRPr="0061343E" w:rsidRDefault="00D85532" w:rsidP="00A40866">
            <w:pPr>
              <w:pStyle w:val="TableCentre"/>
              <w:keepNext/>
              <w:keepLines/>
              <w:rPr>
                <w:rFonts w:ascii="Arial Narrow" w:hAnsi="Arial Narrow"/>
                <w:sz w:val="20"/>
                <w:szCs w:val="20"/>
              </w:rPr>
            </w:pPr>
            <w:r w:rsidRPr="0061343E">
              <w:rPr>
                <w:rFonts w:ascii="Arial Narrow" w:hAnsi="Arial Narrow"/>
                <w:sz w:val="20"/>
                <w:szCs w:val="20"/>
              </w:rPr>
              <w:t>0/107</w:t>
            </w:r>
          </w:p>
        </w:tc>
        <w:tc>
          <w:tcPr>
            <w:tcW w:w="0" w:type="auto"/>
            <w:shd w:val="clear" w:color="auto" w:fill="B8CCE4"/>
          </w:tcPr>
          <w:p w14:paraId="62A1690B" w14:textId="77777777" w:rsidR="00D85532" w:rsidRPr="0061343E" w:rsidRDefault="00D85532" w:rsidP="00A40866">
            <w:pPr>
              <w:pStyle w:val="TableCentre"/>
              <w:keepNext/>
              <w:keepLines/>
              <w:rPr>
                <w:rFonts w:ascii="Arial Narrow" w:hAnsi="Arial Narrow"/>
                <w:sz w:val="20"/>
                <w:szCs w:val="20"/>
              </w:rPr>
            </w:pPr>
            <w:r w:rsidRPr="0061343E">
              <w:rPr>
                <w:rFonts w:ascii="Arial Narrow" w:hAnsi="Arial Narrow"/>
                <w:sz w:val="20"/>
                <w:szCs w:val="20"/>
              </w:rPr>
              <w:t>1/108 (0.9)</w:t>
            </w:r>
          </w:p>
        </w:tc>
        <w:tc>
          <w:tcPr>
            <w:tcW w:w="0" w:type="auto"/>
            <w:shd w:val="clear" w:color="auto" w:fill="B8CCE4"/>
          </w:tcPr>
          <w:p w14:paraId="6547A61B" w14:textId="77777777" w:rsidR="00D85532" w:rsidRPr="0061343E" w:rsidRDefault="00D85532" w:rsidP="00A40866">
            <w:pPr>
              <w:pStyle w:val="TableCentre"/>
              <w:keepNext/>
              <w:keepLines/>
              <w:rPr>
                <w:rFonts w:ascii="Arial Narrow" w:hAnsi="Arial Narrow"/>
                <w:sz w:val="20"/>
                <w:szCs w:val="20"/>
              </w:rPr>
            </w:pPr>
          </w:p>
        </w:tc>
        <w:tc>
          <w:tcPr>
            <w:tcW w:w="0" w:type="auto"/>
            <w:shd w:val="clear" w:color="auto" w:fill="B8CCE4"/>
          </w:tcPr>
          <w:p w14:paraId="08BC5538" w14:textId="77777777" w:rsidR="00D85532" w:rsidRPr="0061343E" w:rsidRDefault="00D85532" w:rsidP="00A40866">
            <w:pPr>
              <w:keepNext/>
              <w:keepLines/>
              <w:jc w:val="center"/>
              <w:rPr>
                <w:rFonts w:ascii="Arial Narrow" w:hAnsi="Arial Narrow"/>
                <w:sz w:val="20"/>
                <w:szCs w:val="20"/>
              </w:rPr>
            </w:pPr>
            <w:r w:rsidRPr="0061343E">
              <w:rPr>
                <w:rFonts w:ascii="Arial Narrow" w:hAnsi="Arial Narrow"/>
                <w:sz w:val="20"/>
                <w:szCs w:val="20"/>
              </w:rPr>
              <w:t>-0.01 (-0.03, 0.01)</w:t>
            </w:r>
          </w:p>
        </w:tc>
      </w:tr>
      <w:tr w:rsidR="00D85532" w:rsidRPr="0061343E" w14:paraId="69C50150" w14:textId="77777777" w:rsidTr="00E7466A">
        <w:tc>
          <w:tcPr>
            <w:tcW w:w="0" w:type="auto"/>
            <w:shd w:val="clear" w:color="auto" w:fill="B8CCE4"/>
          </w:tcPr>
          <w:p w14:paraId="65CDF73A" w14:textId="77777777" w:rsidR="00D85532" w:rsidRPr="0061343E" w:rsidRDefault="00D85532" w:rsidP="00A40866">
            <w:pPr>
              <w:pStyle w:val="TableLeft"/>
              <w:keepNext/>
              <w:keepLines/>
              <w:rPr>
                <w:rFonts w:ascii="Arial Narrow" w:hAnsi="Arial Narrow"/>
                <w:sz w:val="20"/>
                <w:szCs w:val="20"/>
              </w:rPr>
            </w:pPr>
            <w:r w:rsidRPr="0061343E">
              <w:rPr>
                <w:rFonts w:ascii="Arial Narrow" w:hAnsi="Arial Narrow"/>
                <w:sz w:val="20"/>
                <w:szCs w:val="20"/>
              </w:rPr>
              <w:t>CHRONOS</w:t>
            </w:r>
          </w:p>
        </w:tc>
        <w:tc>
          <w:tcPr>
            <w:tcW w:w="0" w:type="auto"/>
            <w:shd w:val="clear" w:color="auto" w:fill="B8CCE4"/>
          </w:tcPr>
          <w:p w14:paraId="299248AF" w14:textId="77777777" w:rsidR="00D85532" w:rsidRPr="0061343E" w:rsidRDefault="00D85532" w:rsidP="00A40866">
            <w:pPr>
              <w:pStyle w:val="TableCentre"/>
              <w:keepNext/>
              <w:keepLines/>
              <w:rPr>
                <w:rFonts w:ascii="Arial Narrow" w:hAnsi="Arial Narrow"/>
                <w:sz w:val="20"/>
                <w:szCs w:val="20"/>
              </w:rPr>
            </w:pPr>
            <w:r w:rsidRPr="0061343E">
              <w:rPr>
                <w:rFonts w:ascii="Arial Narrow" w:hAnsi="Arial Narrow"/>
                <w:sz w:val="20"/>
                <w:szCs w:val="20"/>
              </w:rPr>
              <w:t>2/110 (1.8)</w:t>
            </w:r>
          </w:p>
        </w:tc>
        <w:tc>
          <w:tcPr>
            <w:tcW w:w="0" w:type="auto"/>
            <w:shd w:val="clear" w:color="auto" w:fill="B8CCE4"/>
          </w:tcPr>
          <w:p w14:paraId="6BFB2887" w14:textId="77777777" w:rsidR="00D85532" w:rsidRPr="0061343E" w:rsidRDefault="00D85532" w:rsidP="00A40866">
            <w:pPr>
              <w:pStyle w:val="TableCentre"/>
              <w:keepNext/>
              <w:keepLines/>
              <w:rPr>
                <w:rFonts w:ascii="Arial Narrow" w:hAnsi="Arial Narrow"/>
                <w:sz w:val="20"/>
                <w:szCs w:val="20"/>
              </w:rPr>
            </w:pPr>
            <w:r w:rsidRPr="0061343E">
              <w:rPr>
                <w:rFonts w:ascii="Arial Narrow" w:hAnsi="Arial Narrow"/>
                <w:sz w:val="20"/>
                <w:szCs w:val="20"/>
              </w:rPr>
              <w:t>24/315 (7.6)</w:t>
            </w:r>
          </w:p>
        </w:tc>
        <w:tc>
          <w:tcPr>
            <w:tcW w:w="0" w:type="auto"/>
            <w:shd w:val="clear" w:color="auto" w:fill="B8CCE4"/>
          </w:tcPr>
          <w:p w14:paraId="1D4EC3C6" w14:textId="77777777" w:rsidR="00D85532" w:rsidRPr="0061343E" w:rsidRDefault="00D85532" w:rsidP="00A40866">
            <w:pPr>
              <w:keepNext/>
              <w:keepLines/>
              <w:jc w:val="center"/>
              <w:rPr>
                <w:rFonts w:ascii="Arial Narrow" w:hAnsi="Arial Narrow"/>
                <w:sz w:val="20"/>
                <w:szCs w:val="20"/>
              </w:rPr>
            </w:pPr>
            <w:r w:rsidRPr="0061343E">
              <w:rPr>
                <w:rFonts w:ascii="Arial Narrow" w:hAnsi="Arial Narrow"/>
                <w:sz w:val="20"/>
                <w:szCs w:val="20"/>
              </w:rPr>
              <w:t>0.24 (0.06, 0.99)</w:t>
            </w:r>
          </w:p>
        </w:tc>
        <w:tc>
          <w:tcPr>
            <w:tcW w:w="0" w:type="auto"/>
            <w:shd w:val="clear" w:color="auto" w:fill="B8CCE4"/>
          </w:tcPr>
          <w:p w14:paraId="71B938CD" w14:textId="77777777" w:rsidR="00D85532" w:rsidRPr="0061343E" w:rsidRDefault="00D85532" w:rsidP="00A40866">
            <w:pPr>
              <w:keepNext/>
              <w:keepLines/>
              <w:jc w:val="center"/>
              <w:rPr>
                <w:rFonts w:ascii="Arial Narrow" w:hAnsi="Arial Narrow"/>
                <w:sz w:val="20"/>
                <w:szCs w:val="20"/>
              </w:rPr>
            </w:pPr>
            <w:r w:rsidRPr="0061343E">
              <w:rPr>
                <w:rFonts w:ascii="Arial Narrow" w:hAnsi="Arial Narrow"/>
                <w:sz w:val="20"/>
                <w:szCs w:val="20"/>
              </w:rPr>
              <w:t>-0.06 (-0.10, -0.02)</w:t>
            </w:r>
          </w:p>
        </w:tc>
      </w:tr>
      <w:tr w:rsidR="00D85532" w:rsidRPr="0061343E" w14:paraId="24ADDF4B" w14:textId="77777777" w:rsidTr="00E7466A">
        <w:tc>
          <w:tcPr>
            <w:tcW w:w="0" w:type="auto"/>
            <w:shd w:val="clear" w:color="auto" w:fill="B8CCE4"/>
          </w:tcPr>
          <w:p w14:paraId="45D0492E" w14:textId="77777777" w:rsidR="00D85532" w:rsidRPr="0061343E" w:rsidRDefault="00D85532" w:rsidP="00A40866">
            <w:pPr>
              <w:pStyle w:val="TableLeft"/>
              <w:keepNext/>
              <w:keepLines/>
              <w:rPr>
                <w:rFonts w:ascii="Arial Narrow" w:hAnsi="Arial Narrow"/>
                <w:sz w:val="20"/>
                <w:szCs w:val="20"/>
              </w:rPr>
            </w:pPr>
            <w:r w:rsidRPr="0061343E">
              <w:rPr>
                <w:rFonts w:ascii="Arial Narrow" w:hAnsi="Arial Narrow"/>
                <w:sz w:val="20"/>
                <w:szCs w:val="20"/>
              </w:rPr>
              <w:t>JADE COMPARE</w:t>
            </w:r>
          </w:p>
        </w:tc>
        <w:tc>
          <w:tcPr>
            <w:tcW w:w="0" w:type="auto"/>
            <w:shd w:val="clear" w:color="auto" w:fill="B8CCE4"/>
          </w:tcPr>
          <w:p w14:paraId="629451DC" w14:textId="77777777" w:rsidR="00D85532" w:rsidRPr="0061343E" w:rsidRDefault="00D85532" w:rsidP="00A40866">
            <w:pPr>
              <w:pStyle w:val="TableCentre"/>
              <w:keepNext/>
              <w:keepLines/>
              <w:rPr>
                <w:rFonts w:ascii="Arial Narrow" w:hAnsi="Arial Narrow"/>
                <w:sz w:val="20"/>
                <w:szCs w:val="20"/>
              </w:rPr>
            </w:pPr>
            <w:r w:rsidRPr="0061343E">
              <w:rPr>
                <w:rFonts w:ascii="Arial Narrow" w:hAnsi="Arial Narrow"/>
                <w:sz w:val="20"/>
                <w:szCs w:val="20"/>
              </w:rPr>
              <w:t xml:space="preserve">8/242 (3.3) </w:t>
            </w:r>
          </w:p>
        </w:tc>
        <w:tc>
          <w:tcPr>
            <w:tcW w:w="0" w:type="auto"/>
            <w:shd w:val="clear" w:color="auto" w:fill="B8CCE4"/>
          </w:tcPr>
          <w:p w14:paraId="6F155131" w14:textId="77777777" w:rsidR="00D85532" w:rsidRPr="0061343E" w:rsidRDefault="00D85532" w:rsidP="00A40866">
            <w:pPr>
              <w:pStyle w:val="TableCentre"/>
              <w:keepNext/>
              <w:keepLines/>
              <w:rPr>
                <w:rFonts w:ascii="Arial Narrow" w:hAnsi="Arial Narrow"/>
                <w:sz w:val="20"/>
                <w:szCs w:val="20"/>
              </w:rPr>
            </w:pPr>
            <w:r w:rsidRPr="0061343E">
              <w:rPr>
                <w:rFonts w:ascii="Arial Narrow" w:hAnsi="Arial Narrow"/>
                <w:sz w:val="20"/>
                <w:szCs w:val="20"/>
              </w:rPr>
              <w:t>5 /131(3.8)</w:t>
            </w:r>
          </w:p>
        </w:tc>
        <w:tc>
          <w:tcPr>
            <w:tcW w:w="0" w:type="auto"/>
            <w:shd w:val="clear" w:color="auto" w:fill="B8CCE4"/>
          </w:tcPr>
          <w:p w14:paraId="1FD8B0B3" w14:textId="77777777" w:rsidR="00D85532" w:rsidRPr="0061343E" w:rsidRDefault="00D85532" w:rsidP="00A40866">
            <w:pPr>
              <w:keepNext/>
              <w:keepLines/>
              <w:jc w:val="center"/>
              <w:rPr>
                <w:rFonts w:ascii="Arial Narrow" w:hAnsi="Arial Narrow"/>
                <w:sz w:val="20"/>
                <w:szCs w:val="20"/>
              </w:rPr>
            </w:pPr>
            <w:r w:rsidRPr="0061343E">
              <w:rPr>
                <w:rFonts w:ascii="Arial Narrow" w:hAnsi="Arial Narrow"/>
                <w:sz w:val="20"/>
                <w:szCs w:val="20"/>
              </w:rPr>
              <w:t>0.87 (0.29, 2.59)</w:t>
            </w:r>
          </w:p>
        </w:tc>
        <w:tc>
          <w:tcPr>
            <w:tcW w:w="0" w:type="auto"/>
            <w:shd w:val="clear" w:color="auto" w:fill="B8CCE4"/>
          </w:tcPr>
          <w:p w14:paraId="56FF8C15" w14:textId="77777777" w:rsidR="00D85532" w:rsidRPr="0061343E" w:rsidRDefault="00D85532" w:rsidP="00A40866">
            <w:pPr>
              <w:keepNext/>
              <w:keepLines/>
              <w:jc w:val="center"/>
              <w:rPr>
                <w:rFonts w:ascii="Arial Narrow" w:hAnsi="Arial Narrow"/>
                <w:sz w:val="20"/>
                <w:szCs w:val="20"/>
              </w:rPr>
            </w:pPr>
            <w:r w:rsidRPr="0061343E">
              <w:rPr>
                <w:rFonts w:ascii="Arial Narrow" w:hAnsi="Arial Narrow"/>
                <w:sz w:val="20"/>
                <w:szCs w:val="20"/>
              </w:rPr>
              <w:t>-0.01 (-0.05, 0.04)</w:t>
            </w:r>
          </w:p>
        </w:tc>
      </w:tr>
      <w:tr w:rsidR="00D85532" w:rsidRPr="0061343E" w14:paraId="2D993ED8" w14:textId="77777777" w:rsidTr="00E7466A">
        <w:tc>
          <w:tcPr>
            <w:tcW w:w="0" w:type="auto"/>
            <w:shd w:val="clear" w:color="auto" w:fill="auto"/>
          </w:tcPr>
          <w:p w14:paraId="3D5BF5AC" w14:textId="77777777" w:rsidR="00D85532" w:rsidRPr="0061343E" w:rsidRDefault="00D85532" w:rsidP="00A40866">
            <w:pPr>
              <w:pStyle w:val="TableLeft"/>
              <w:keepNext/>
              <w:keepLines/>
              <w:rPr>
                <w:rFonts w:ascii="Arial Narrow" w:hAnsi="Arial Narrow"/>
                <w:sz w:val="20"/>
                <w:szCs w:val="20"/>
              </w:rPr>
            </w:pPr>
            <w:r w:rsidRPr="0061343E">
              <w:rPr>
                <w:rFonts w:ascii="Arial Narrow" w:hAnsi="Arial Narrow"/>
                <w:sz w:val="20"/>
                <w:szCs w:val="20"/>
              </w:rPr>
              <w:t>Pooled (REM)</w:t>
            </w:r>
          </w:p>
        </w:tc>
        <w:tc>
          <w:tcPr>
            <w:tcW w:w="0" w:type="auto"/>
            <w:shd w:val="clear" w:color="auto" w:fill="auto"/>
          </w:tcPr>
          <w:p w14:paraId="0BEC8E85" w14:textId="77777777" w:rsidR="00D85532" w:rsidRPr="0061343E" w:rsidRDefault="00D85532" w:rsidP="00A40866">
            <w:pPr>
              <w:pStyle w:val="TableCentre"/>
              <w:keepNext/>
              <w:keepLines/>
              <w:rPr>
                <w:rFonts w:ascii="Arial Narrow" w:hAnsi="Arial Narrow"/>
                <w:sz w:val="20"/>
                <w:szCs w:val="20"/>
              </w:rPr>
            </w:pPr>
          </w:p>
        </w:tc>
        <w:tc>
          <w:tcPr>
            <w:tcW w:w="0" w:type="auto"/>
            <w:shd w:val="clear" w:color="auto" w:fill="auto"/>
          </w:tcPr>
          <w:p w14:paraId="0D243F4A" w14:textId="77777777" w:rsidR="00D85532" w:rsidRPr="0061343E" w:rsidRDefault="00D85532" w:rsidP="00A40866">
            <w:pPr>
              <w:pStyle w:val="TableCentre"/>
              <w:keepNext/>
              <w:keepLines/>
              <w:rPr>
                <w:rFonts w:ascii="Arial Narrow" w:hAnsi="Arial Narrow"/>
                <w:sz w:val="20"/>
                <w:szCs w:val="20"/>
              </w:rPr>
            </w:pPr>
          </w:p>
        </w:tc>
        <w:tc>
          <w:tcPr>
            <w:tcW w:w="0" w:type="auto"/>
            <w:shd w:val="clear" w:color="auto" w:fill="auto"/>
          </w:tcPr>
          <w:p w14:paraId="429CAB7C" w14:textId="77777777" w:rsidR="00D85532" w:rsidRPr="0061343E" w:rsidRDefault="00D85532" w:rsidP="00A40866">
            <w:pPr>
              <w:keepNext/>
              <w:keepLines/>
              <w:jc w:val="center"/>
              <w:rPr>
                <w:rFonts w:ascii="Arial Narrow" w:hAnsi="Arial Narrow"/>
                <w:sz w:val="20"/>
                <w:szCs w:val="20"/>
              </w:rPr>
            </w:pPr>
            <w:r w:rsidRPr="0061343E">
              <w:rPr>
                <w:rFonts w:ascii="Arial Narrow" w:hAnsi="Arial Narrow"/>
                <w:sz w:val="20"/>
                <w:szCs w:val="20"/>
              </w:rPr>
              <w:t>0.51 (0.21, 1.25)</w:t>
            </w:r>
          </w:p>
        </w:tc>
        <w:tc>
          <w:tcPr>
            <w:tcW w:w="0" w:type="auto"/>
            <w:shd w:val="clear" w:color="auto" w:fill="auto"/>
          </w:tcPr>
          <w:p w14:paraId="0F6B9755" w14:textId="77777777" w:rsidR="00D85532" w:rsidRPr="0061343E" w:rsidRDefault="00D85532" w:rsidP="00A40866">
            <w:pPr>
              <w:keepNext/>
              <w:keepLines/>
              <w:jc w:val="center"/>
              <w:rPr>
                <w:rFonts w:ascii="Arial Narrow" w:hAnsi="Arial Narrow"/>
                <w:sz w:val="20"/>
                <w:szCs w:val="20"/>
              </w:rPr>
            </w:pPr>
            <w:r w:rsidRPr="0061343E">
              <w:rPr>
                <w:rFonts w:ascii="Arial Narrow" w:hAnsi="Arial Narrow"/>
                <w:sz w:val="20"/>
                <w:szCs w:val="20"/>
              </w:rPr>
              <w:t>-0.02 (-0.06, 0.01)</w:t>
            </w:r>
          </w:p>
        </w:tc>
      </w:tr>
      <w:tr w:rsidR="00D85532" w:rsidRPr="0061343E" w14:paraId="5FC8D295" w14:textId="77777777" w:rsidTr="00E7466A">
        <w:tc>
          <w:tcPr>
            <w:tcW w:w="0" w:type="auto"/>
            <w:gridSpan w:val="5"/>
            <w:shd w:val="clear" w:color="auto" w:fill="auto"/>
          </w:tcPr>
          <w:p w14:paraId="6B0CA953" w14:textId="77777777" w:rsidR="00D85532" w:rsidRPr="0061343E" w:rsidRDefault="00D85532" w:rsidP="00A40866">
            <w:pPr>
              <w:keepNext/>
              <w:keepLines/>
              <w:rPr>
                <w:rFonts w:ascii="Arial Narrow" w:hAnsi="Arial Narrow"/>
                <w:sz w:val="20"/>
                <w:szCs w:val="20"/>
              </w:rPr>
            </w:pPr>
            <w:r w:rsidRPr="0061343E">
              <w:rPr>
                <w:rFonts w:ascii="Arial Narrow" w:hAnsi="Arial Narrow"/>
                <w:sz w:val="20"/>
                <w:szCs w:val="20"/>
              </w:rPr>
              <w:t>Indirect comparison</w:t>
            </w:r>
          </w:p>
        </w:tc>
      </w:tr>
      <w:tr w:rsidR="00D85532" w:rsidRPr="0061343E" w14:paraId="135B9ABF" w14:textId="77777777" w:rsidTr="00E7466A">
        <w:tc>
          <w:tcPr>
            <w:tcW w:w="0" w:type="auto"/>
            <w:gridSpan w:val="3"/>
            <w:shd w:val="clear" w:color="auto" w:fill="auto"/>
          </w:tcPr>
          <w:p w14:paraId="36437AAB" w14:textId="77777777" w:rsidR="00D85532" w:rsidRPr="0061343E" w:rsidRDefault="00D85532" w:rsidP="00A40866">
            <w:pPr>
              <w:pStyle w:val="TableCentre"/>
              <w:keepNext/>
              <w:keepLines/>
              <w:jc w:val="both"/>
              <w:rPr>
                <w:rFonts w:ascii="Arial Narrow" w:hAnsi="Arial Narrow"/>
                <w:sz w:val="20"/>
                <w:szCs w:val="20"/>
              </w:rPr>
            </w:pPr>
            <w:r w:rsidRPr="0061343E">
              <w:rPr>
                <w:rFonts w:ascii="Arial Narrow" w:hAnsi="Arial Narrow"/>
                <w:sz w:val="20"/>
                <w:szCs w:val="20"/>
              </w:rPr>
              <w:t>NEMO 30 mg Q4W (pooled) vs DUPI 300 mg Q2W (pooled)</w:t>
            </w:r>
          </w:p>
        </w:tc>
        <w:tc>
          <w:tcPr>
            <w:tcW w:w="0" w:type="auto"/>
            <w:shd w:val="clear" w:color="auto" w:fill="auto"/>
          </w:tcPr>
          <w:p w14:paraId="55C5B21C" w14:textId="77777777" w:rsidR="00D85532" w:rsidRPr="0061343E" w:rsidRDefault="00D85532" w:rsidP="00A40866">
            <w:pPr>
              <w:keepNext/>
              <w:keepLines/>
              <w:jc w:val="center"/>
              <w:rPr>
                <w:rFonts w:ascii="Arial Narrow" w:hAnsi="Arial Narrow"/>
                <w:sz w:val="20"/>
                <w:szCs w:val="20"/>
              </w:rPr>
            </w:pPr>
            <w:r w:rsidRPr="0061343E">
              <w:rPr>
                <w:rFonts w:ascii="Arial Narrow" w:hAnsi="Arial Narrow"/>
                <w:sz w:val="20"/>
                <w:szCs w:val="20"/>
              </w:rPr>
              <w:t>2.53 (0.80, 8.00)</w:t>
            </w:r>
          </w:p>
        </w:tc>
        <w:tc>
          <w:tcPr>
            <w:tcW w:w="0" w:type="auto"/>
            <w:shd w:val="clear" w:color="auto" w:fill="auto"/>
          </w:tcPr>
          <w:p w14:paraId="1C4EBAA9" w14:textId="77777777" w:rsidR="00D85532" w:rsidRPr="0061343E" w:rsidRDefault="00D85532" w:rsidP="00A40866">
            <w:pPr>
              <w:keepNext/>
              <w:keepLines/>
              <w:jc w:val="center"/>
              <w:rPr>
                <w:rFonts w:ascii="Arial Narrow" w:hAnsi="Arial Narrow"/>
                <w:sz w:val="20"/>
                <w:szCs w:val="20"/>
              </w:rPr>
            </w:pPr>
            <w:r w:rsidRPr="0061343E">
              <w:rPr>
                <w:rFonts w:ascii="Arial Narrow" w:hAnsi="Arial Narrow"/>
                <w:sz w:val="20"/>
                <w:szCs w:val="20"/>
              </w:rPr>
              <w:t>0.03 (-0.00, 0.06)</w:t>
            </w:r>
          </w:p>
        </w:tc>
      </w:tr>
    </w:tbl>
    <w:p w14:paraId="3C4C5173" w14:textId="77777777" w:rsidR="00D85532" w:rsidRPr="0061343E" w:rsidRDefault="00D85532" w:rsidP="00A40866">
      <w:pPr>
        <w:pStyle w:val="TableFigureFooter"/>
        <w:keepNext/>
        <w:rPr>
          <w:sz w:val="20"/>
        </w:rPr>
      </w:pPr>
      <w:r w:rsidRPr="0061343E">
        <w:t>Source: Table 2-88, p 215 of the submission.</w:t>
      </w:r>
    </w:p>
    <w:p w14:paraId="56DD8E3B" w14:textId="77777777" w:rsidR="00D85532" w:rsidRPr="0061343E" w:rsidRDefault="00D85532" w:rsidP="00A40866">
      <w:pPr>
        <w:pStyle w:val="TableFigureFooter"/>
        <w:keepNext/>
        <w:rPr>
          <w:rFonts w:eastAsia="Calibri"/>
        </w:rPr>
      </w:pPr>
      <w:r w:rsidRPr="0061343E">
        <w:rPr>
          <w:rFonts w:eastAsia="Calibri"/>
        </w:rPr>
        <w:t>CI = confidence interval; DUPI = dupilumab; ITC = indirect treatment comparison; Q2W = every 2 weeks; Q4W = every 4 weeks; RD = risk difference; REM = random effects model; RR = relative risk; TEAEs = treatment emergent adverse events</w:t>
      </w:r>
    </w:p>
    <w:p w14:paraId="0CA64507" w14:textId="77777777" w:rsidR="00D85532" w:rsidRPr="0061343E" w:rsidRDefault="00D85532" w:rsidP="00A40866">
      <w:pPr>
        <w:pStyle w:val="TableFigureFooter"/>
        <w:keepNext/>
        <w:rPr>
          <w:szCs w:val="18"/>
        </w:rPr>
      </w:pPr>
      <w:r w:rsidRPr="0061343E">
        <w:rPr>
          <w:szCs w:val="18"/>
          <w:vertAlign w:val="superscript"/>
        </w:rPr>
        <w:t xml:space="preserve">a </w:t>
      </w:r>
      <w:r w:rsidRPr="0061343E">
        <w:rPr>
          <w:szCs w:val="18"/>
        </w:rPr>
        <w:t xml:space="preserve">Treatment exposure was 16 weeks for ARCADIA 1, ARCADIA 2, ARCADIA CYCLO, CAFÉ and COMPARE, 24 weeks for Study 114322, and 52 weeks for CHRONOS </w:t>
      </w:r>
    </w:p>
    <w:p w14:paraId="61B2DDFB" w14:textId="77777777" w:rsidR="00D85532" w:rsidRPr="0061343E" w:rsidRDefault="00D85532" w:rsidP="00D85532">
      <w:pPr>
        <w:pStyle w:val="TableFigureFooter"/>
        <w:rPr>
          <w:szCs w:val="18"/>
        </w:rPr>
      </w:pPr>
      <w:r w:rsidRPr="0061343E">
        <w:rPr>
          <w:rStyle w:val="CommentReference"/>
          <w:b w:val="0"/>
          <w:bCs/>
          <w:sz w:val="18"/>
          <w:szCs w:val="18"/>
          <w:shd w:val="clear" w:color="auto" w:fill="B8CCE4" w:themeFill="accent1" w:themeFillTint="66"/>
        </w:rPr>
        <w:t>Blue shading</w:t>
      </w:r>
      <w:r w:rsidRPr="0061343E">
        <w:rPr>
          <w:rStyle w:val="CommentReference"/>
          <w:b w:val="0"/>
          <w:bCs/>
          <w:sz w:val="18"/>
          <w:szCs w:val="18"/>
        </w:rPr>
        <w:t xml:space="preserve"> indicates data previously seen by the PBAC</w:t>
      </w:r>
    </w:p>
    <w:p w14:paraId="25FAC81E" w14:textId="0B566A2C" w:rsidR="00D85532" w:rsidRPr="0061343E" w:rsidRDefault="00D85532" w:rsidP="00D85532">
      <w:pPr>
        <w:pStyle w:val="3-BodyText"/>
      </w:pPr>
      <w:bookmarkStart w:id="56" w:name="_Ref205803100"/>
      <w:r w:rsidRPr="0061343E">
        <w:lastRenderedPageBreak/>
        <w:t>For all the safety outcomes included in the ITCs, i.e. any TEAEs, SAEs, and TEAEs leading to discontinuation, there were no statistically significant differences observed between either NEMO or DUPI in comparison to placebo. The ITC showed similar safety between NEMO and DUPI in terms of any TEAEs (RR</w:t>
      </w:r>
      <w:r w:rsidR="0022104E" w:rsidRPr="0061343E">
        <w:t xml:space="preserve"> =</w:t>
      </w:r>
      <w:r w:rsidRPr="0061343E">
        <w:t xml:space="preserve"> 1.01, 95% CI: 0.90, 1.13). However, the wide 95% </w:t>
      </w:r>
      <w:r w:rsidR="0022104E" w:rsidRPr="0061343E">
        <w:t xml:space="preserve">confidence intervals </w:t>
      </w:r>
      <w:r w:rsidR="00871DC5" w:rsidRPr="0061343E">
        <w:t xml:space="preserve">in the </w:t>
      </w:r>
      <w:r w:rsidRPr="0061343E">
        <w:t xml:space="preserve">ITCs </w:t>
      </w:r>
      <w:r w:rsidR="00871DC5" w:rsidRPr="0061343E">
        <w:t xml:space="preserve">for </w:t>
      </w:r>
      <w:r w:rsidRPr="0061343E">
        <w:t>SAEs (RR</w:t>
      </w:r>
      <w:r w:rsidR="0022104E" w:rsidRPr="0061343E">
        <w:t xml:space="preserve"> =</w:t>
      </w:r>
      <w:r w:rsidRPr="0061343E">
        <w:t xml:space="preserve"> 2.36, 95% CI: 0.77, 7.21) and TEAEs leading to discontinuation (RR</w:t>
      </w:r>
      <w:r w:rsidR="0022104E" w:rsidRPr="0061343E">
        <w:t xml:space="preserve"> =</w:t>
      </w:r>
      <w:r w:rsidRPr="0061343E">
        <w:t xml:space="preserve"> 2.53, 95% CI: 0.80, 8.00) indicated that the analyses were not adequately powered to detect differences in these outcomes</w:t>
      </w:r>
      <w:r w:rsidR="00871DC5" w:rsidRPr="0061343E">
        <w:t xml:space="preserve">. Further, </w:t>
      </w:r>
      <w:r w:rsidRPr="0061343E">
        <w:t>the small event numbers for some of the outcomes make the results difficult to interpret. Other limitations relating to the safety ITCs included the limited safety outcomes included in the ITCs, the various duration of treatment across studies (e.g. 16 weeks in ARCADIA 1, ARCADIA 2, ARCADIA CYCLO, CAFÉ, and JADE COMPARE vs. 52 weeks in CHRONOS) and the short time frames of safety data included in the ITC for NEMO (16-24 weeks) relative to its expected long term use in clinical practice.</w:t>
      </w:r>
      <w:bookmarkEnd w:id="56"/>
    </w:p>
    <w:p w14:paraId="20DBE9E3" w14:textId="034F584A" w:rsidR="00D85532" w:rsidRPr="0061343E" w:rsidRDefault="00D85532" w:rsidP="00D85532">
      <w:pPr>
        <w:pStyle w:val="3-BodyText"/>
      </w:pPr>
      <w:r w:rsidRPr="0061343E">
        <w:t xml:space="preserve">The PBAC has previously </w:t>
      </w:r>
      <w:r w:rsidRPr="0061343E">
        <w:rPr>
          <w:lang w:eastAsia="en-GB"/>
        </w:rPr>
        <w:t xml:space="preserve">considered </w:t>
      </w:r>
      <w:r w:rsidR="004759D1" w:rsidRPr="0061343E">
        <w:rPr>
          <w:lang w:eastAsia="en-GB"/>
        </w:rPr>
        <w:t xml:space="preserve">that DUPI was inferior compared to placebo (representing standard of care) in terms of safety </w:t>
      </w:r>
      <w:r w:rsidRPr="0061343E">
        <w:rPr>
          <w:lang w:eastAsia="en-GB"/>
        </w:rPr>
        <w:t xml:space="preserve">due to </w:t>
      </w:r>
      <w:r w:rsidR="006F2ACA" w:rsidRPr="0061343E">
        <w:rPr>
          <w:lang w:eastAsia="en-GB"/>
        </w:rPr>
        <w:t xml:space="preserve">the </w:t>
      </w:r>
      <w:r w:rsidRPr="0061343E">
        <w:rPr>
          <w:lang w:eastAsia="en-GB"/>
        </w:rPr>
        <w:t>increased incidence of conjunctivitis and injection site reactions (</w:t>
      </w:r>
      <w:r w:rsidRPr="0061343E">
        <w:rPr>
          <w:rFonts w:cstheme="minorHAnsi"/>
          <w:szCs w:val="24"/>
        </w:rPr>
        <w:t>para</w:t>
      </w:r>
      <w:r w:rsidR="0022104E" w:rsidRPr="0061343E">
        <w:rPr>
          <w:rFonts w:cstheme="minorHAnsi"/>
          <w:szCs w:val="24"/>
        </w:rPr>
        <w:t>graph</w:t>
      </w:r>
      <w:r w:rsidRPr="0061343E">
        <w:rPr>
          <w:rFonts w:cstheme="minorHAnsi"/>
          <w:szCs w:val="24"/>
        </w:rPr>
        <w:t xml:space="preserve"> 7.11, dupilumab PSD, March 2020 PBAC meeting). No formal ITC</w:t>
      </w:r>
      <w:r w:rsidR="00747D21" w:rsidRPr="0061343E">
        <w:rPr>
          <w:rFonts w:cstheme="minorHAnsi"/>
          <w:szCs w:val="24"/>
        </w:rPr>
        <w:t>s</w:t>
      </w:r>
      <w:r w:rsidRPr="0061343E">
        <w:rPr>
          <w:rFonts w:cstheme="minorHAnsi"/>
          <w:szCs w:val="24"/>
        </w:rPr>
        <w:t xml:space="preserve"> of </w:t>
      </w:r>
      <w:r w:rsidR="0022104E" w:rsidRPr="0061343E">
        <w:rPr>
          <w:rFonts w:cstheme="minorHAnsi"/>
          <w:szCs w:val="24"/>
        </w:rPr>
        <w:t xml:space="preserve">this </w:t>
      </w:r>
      <w:r w:rsidRPr="0061343E">
        <w:rPr>
          <w:rFonts w:cstheme="minorHAnsi"/>
          <w:szCs w:val="24"/>
        </w:rPr>
        <w:t>outcome were performed.</w:t>
      </w:r>
      <w:r w:rsidR="00603608" w:rsidRPr="0061343E">
        <w:rPr>
          <w:rFonts w:cstheme="minorHAnsi"/>
          <w:szCs w:val="24"/>
        </w:rPr>
        <w:t xml:space="preserve"> There were no reported differences </w:t>
      </w:r>
      <w:r w:rsidR="00856E2D" w:rsidRPr="0061343E">
        <w:rPr>
          <w:rFonts w:cstheme="minorHAnsi"/>
          <w:szCs w:val="24"/>
        </w:rPr>
        <w:t>in the</w:t>
      </w:r>
      <w:r w:rsidR="00603608" w:rsidRPr="0061343E">
        <w:rPr>
          <w:rFonts w:cstheme="minorHAnsi"/>
          <w:szCs w:val="24"/>
        </w:rPr>
        <w:t xml:space="preserve"> rate of conjunctivitis between the NEMO and placebo arms </w:t>
      </w:r>
      <w:r w:rsidR="00856E2D" w:rsidRPr="0061343E">
        <w:rPr>
          <w:rFonts w:cstheme="minorHAnsi"/>
          <w:szCs w:val="24"/>
        </w:rPr>
        <w:t>of</w:t>
      </w:r>
      <w:r w:rsidR="00603608" w:rsidRPr="0061343E">
        <w:rPr>
          <w:rFonts w:cstheme="minorHAnsi"/>
          <w:szCs w:val="24"/>
        </w:rPr>
        <w:t xml:space="preserve"> the NEMO trials.</w:t>
      </w:r>
    </w:p>
    <w:p w14:paraId="2FA86BC7" w14:textId="77777777" w:rsidR="00D85532" w:rsidRPr="00D86D87" w:rsidRDefault="00D85532" w:rsidP="00D85532">
      <w:pPr>
        <w:pStyle w:val="4-SubsectionHeading"/>
      </w:pPr>
      <w:bookmarkStart w:id="57" w:name="_Toc22897643"/>
      <w:bookmarkStart w:id="58" w:name="_Toc197466443"/>
      <w:bookmarkStart w:id="59" w:name="_Toc197899847"/>
      <w:bookmarkStart w:id="60" w:name="_Toc197963445"/>
      <w:bookmarkStart w:id="61" w:name="_Toc198648775"/>
      <w:r w:rsidRPr="00D86D87">
        <w:t>Benefits/harms</w:t>
      </w:r>
      <w:bookmarkEnd w:id="57"/>
      <w:bookmarkEnd w:id="58"/>
      <w:bookmarkEnd w:id="59"/>
      <w:bookmarkEnd w:id="60"/>
      <w:bookmarkEnd w:id="61"/>
    </w:p>
    <w:p w14:paraId="6B3B819D" w14:textId="15FACD00" w:rsidR="00D85532" w:rsidRPr="00D86D87" w:rsidRDefault="00D85532" w:rsidP="00D85532">
      <w:pPr>
        <w:pStyle w:val="3-BodyText"/>
      </w:pPr>
      <w:r w:rsidRPr="00D86D87">
        <w:t xml:space="preserve">A benefits and harms table </w:t>
      </w:r>
      <w:r w:rsidR="0022104E">
        <w:t>was</w:t>
      </w:r>
      <w:r w:rsidR="0022104E" w:rsidRPr="00D86D87">
        <w:t xml:space="preserve"> </w:t>
      </w:r>
      <w:r w:rsidRPr="00D86D87">
        <w:t xml:space="preserve">not presented as the submission made a claim of non-inferiority. </w:t>
      </w:r>
    </w:p>
    <w:p w14:paraId="64E85972" w14:textId="77777777" w:rsidR="00D85532" w:rsidRPr="00D86D87" w:rsidRDefault="00D85532" w:rsidP="00D85532">
      <w:pPr>
        <w:pStyle w:val="4-SubsectionHeading"/>
      </w:pPr>
      <w:bookmarkStart w:id="62" w:name="_Toc22897644"/>
      <w:bookmarkStart w:id="63" w:name="_Toc197466444"/>
      <w:bookmarkStart w:id="64" w:name="_Toc197899848"/>
      <w:bookmarkStart w:id="65" w:name="_Toc197963446"/>
      <w:bookmarkStart w:id="66" w:name="_Toc198648776"/>
      <w:r w:rsidRPr="00D86D87">
        <w:t>Clinical claim</w:t>
      </w:r>
      <w:bookmarkEnd w:id="62"/>
      <w:bookmarkEnd w:id="63"/>
      <w:bookmarkEnd w:id="64"/>
      <w:bookmarkEnd w:id="65"/>
      <w:bookmarkEnd w:id="66"/>
    </w:p>
    <w:p w14:paraId="40BC5C88" w14:textId="77777777" w:rsidR="00D85532" w:rsidRPr="0061343E" w:rsidRDefault="00D85532" w:rsidP="00D85532">
      <w:pPr>
        <w:pStyle w:val="3-BodyText"/>
      </w:pPr>
      <w:r w:rsidRPr="0061343E">
        <w:t>The submission described NEMO as non-inferior in terms of effectiveness compared with DUPI and non-inferior in terms of safety compared to DUPI for the treatment of chronic severe AD in patients who are inadequately controlled on topical therapies. In addition, the submission claimed that NEMO offers the benefits of fewer injections and reduced rate of conjunctivitis, compared to DUPI.</w:t>
      </w:r>
    </w:p>
    <w:p w14:paraId="4E5D32EA" w14:textId="29EDF485" w:rsidR="00A573DA" w:rsidRPr="0061343E" w:rsidRDefault="00D85532" w:rsidP="00554353">
      <w:pPr>
        <w:pStyle w:val="3-BodyText"/>
      </w:pPr>
      <w:r w:rsidRPr="0061343E">
        <w:t xml:space="preserve">The </w:t>
      </w:r>
      <w:r w:rsidR="00771E6A" w:rsidRPr="0061343E">
        <w:t xml:space="preserve">ESC </w:t>
      </w:r>
      <w:r w:rsidR="0022104E" w:rsidRPr="0061343E">
        <w:t>considered</w:t>
      </w:r>
      <w:r w:rsidR="00771E6A" w:rsidRPr="0061343E">
        <w:t xml:space="preserve"> that the </w:t>
      </w:r>
      <w:r w:rsidRPr="0061343E">
        <w:t xml:space="preserve">claim </w:t>
      </w:r>
      <w:r w:rsidR="00F51DAE" w:rsidRPr="0061343E">
        <w:t xml:space="preserve">of non-inferior </w:t>
      </w:r>
      <w:r w:rsidRPr="0061343E">
        <w:t>efficacy was not supported by the evidence presented in the submission</w:t>
      </w:r>
      <w:r w:rsidR="00902B6D" w:rsidRPr="0061343E">
        <w:t xml:space="preserve"> and the PSCR</w:t>
      </w:r>
      <w:r w:rsidRPr="0061343E">
        <w:t xml:space="preserve">. </w:t>
      </w:r>
      <w:r w:rsidR="002F798B" w:rsidRPr="0061343E">
        <w:t xml:space="preserve">Further, </w:t>
      </w:r>
      <w:r w:rsidR="00F2647E" w:rsidRPr="0061343E">
        <w:t xml:space="preserve">the ESC noted that </w:t>
      </w:r>
      <w:r w:rsidR="002F798B" w:rsidRPr="0061343E">
        <w:t>n</w:t>
      </w:r>
      <w:r w:rsidRPr="0061343E">
        <w:t xml:space="preserve">o comparative data between NEMO and its main comparator, DUPI, was presented in the proposed PBS target population of patients with severe AD. </w:t>
      </w:r>
      <w:r w:rsidR="00F2647E" w:rsidRPr="0061343E">
        <w:t>Overall,</w:t>
      </w:r>
      <w:r w:rsidR="000D43F5" w:rsidRPr="0061343E">
        <w:t xml:space="preserve"> the ESC </w:t>
      </w:r>
      <w:r w:rsidR="00F2647E" w:rsidRPr="0061343E">
        <w:t>considered</w:t>
      </w:r>
      <w:r w:rsidR="003D779B" w:rsidRPr="0061343E">
        <w:t xml:space="preserve"> that</w:t>
      </w:r>
      <w:r w:rsidR="000D43F5" w:rsidRPr="0061343E">
        <w:t xml:space="preserve"> NEMO was inferior in terms of clinical efficacy </w:t>
      </w:r>
      <w:r w:rsidR="00365894" w:rsidRPr="0061343E">
        <w:t xml:space="preserve">compared </w:t>
      </w:r>
      <w:r w:rsidR="000D43F5" w:rsidRPr="0061343E">
        <w:t>to DUPI</w:t>
      </w:r>
      <w:r w:rsidR="00A20271" w:rsidRPr="0061343E">
        <w:t xml:space="preserve">, based on the results of the ITCs </w:t>
      </w:r>
      <w:r w:rsidR="00E10B56" w:rsidRPr="0061343E">
        <w:t>for patients with moderate to severe AD</w:t>
      </w:r>
      <w:r w:rsidR="003D779B" w:rsidRPr="0061343E">
        <w:t xml:space="preserve"> </w:t>
      </w:r>
      <w:r w:rsidR="00EA32AF" w:rsidRPr="0061343E">
        <w:t>with the differences</w:t>
      </w:r>
      <w:r w:rsidR="003D779B" w:rsidRPr="0061343E">
        <w:t xml:space="preserve"> statistically significantly </w:t>
      </w:r>
      <w:r w:rsidR="005347CF" w:rsidRPr="0061343E">
        <w:t xml:space="preserve">in </w:t>
      </w:r>
      <w:r w:rsidR="003D779B" w:rsidRPr="0061343E">
        <w:t>favour</w:t>
      </w:r>
      <w:r w:rsidR="005347CF" w:rsidRPr="0061343E">
        <w:t xml:space="preserve"> of</w:t>
      </w:r>
      <w:r w:rsidR="003D779B" w:rsidRPr="0061343E">
        <w:t xml:space="preserve"> DUPI</w:t>
      </w:r>
      <w:r w:rsidR="00554353" w:rsidRPr="0061343E">
        <w:rPr>
          <w:rStyle w:val="CommentReference"/>
          <w:rFonts w:eastAsia="Times New Roman" w:cs="Times New Roman"/>
        </w:rPr>
        <w:t xml:space="preserve"> </w:t>
      </w:r>
      <w:r w:rsidRPr="0061343E">
        <w:t>for both EASI-75 (RR</w:t>
      </w:r>
      <w:r w:rsidR="003D779B" w:rsidRPr="0061343E">
        <w:t xml:space="preserve"> =</w:t>
      </w:r>
      <w:r w:rsidRPr="0061343E">
        <w:t xml:space="preserve"> 0.61; 95% CI: 0.41, 0.89) and IGA success (RR</w:t>
      </w:r>
      <w:r w:rsidR="003D779B" w:rsidRPr="0061343E">
        <w:t xml:space="preserve"> =</w:t>
      </w:r>
      <w:r w:rsidRPr="0061343E">
        <w:t xml:space="preserve"> 0.49; 95% CI: 0.34, 0.69), the two primary endpoints in the submission. </w:t>
      </w:r>
    </w:p>
    <w:p w14:paraId="12DAFDA8" w14:textId="67021FBD" w:rsidR="00E10B56" w:rsidRPr="0061343E" w:rsidRDefault="00E10B56">
      <w:pPr>
        <w:pStyle w:val="3-BodyText"/>
      </w:pPr>
      <w:r w:rsidRPr="0061343E">
        <w:t xml:space="preserve">The ESC noted that the PSCR presented additional analyses of the LTE study which included comparison of NEMO Q4W at Week 24 and Week 36 to DUPI at Week 16. The ESC considered a longer induction period and longer treatment duration appeared </w:t>
      </w:r>
      <w:r w:rsidRPr="0061343E">
        <w:lastRenderedPageBreak/>
        <w:t xml:space="preserve">to demonstrate improvements with NEMO in comparison to placebo. However, </w:t>
      </w:r>
      <w:r w:rsidR="000D467B" w:rsidRPr="0061343E">
        <w:t xml:space="preserve">the ESC considered that the results did not provide support to the submission’s clinical claim of non-inferior effectiveness versus DUPI </w:t>
      </w:r>
      <w:r w:rsidR="00F47B9E" w:rsidRPr="0061343E">
        <w:t xml:space="preserve">given </w:t>
      </w:r>
      <w:r w:rsidR="00B65FC0" w:rsidRPr="0061343E">
        <w:t xml:space="preserve">the comparison </w:t>
      </w:r>
      <w:r w:rsidR="000E6BD5" w:rsidRPr="0061343E">
        <w:t>did not consider response rates at comparable times</w:t>
      </w:r>
      <w:r w:rsidR="00F47B9E" w:rsidRPr="0061343E">
        <w:t xml:space="preserve"> (24</w:t>
      </w:r>
      <w:r w:rsidR="00142558" w:rsidRPr="0061343E">
        <w:t xml:space="preserve"> to </w:t>
      </w:r>
      <w:r w:rsidR="00F47B9E" w:rsidRPr="0061343E">
        <w:t>36 weeks for NEMO and 16 weeks for DUPI)</w:t>
      </w:r>
      <w:r w:rsidR="00C32F81" w:rsidRPr="0061343E">
        <w:t xml:space="preserve">, </w:t>
      </w:r>
      <w:r w:rsidRPr="0061343E">
        <w:t xml:space="preserve">the </w:t>
      </w:r>
      <w:r w:rsidR="00063AAE" w:rsidRPr="0061343E">
        <w:t>unanchored</w:t>
      </w:r>
      <w:r w:rsidRPr="0061343E">
        <w:t xml:space="preserve"> nature of the</w:t>
      </w:r>
      <w:r w:rsidR="00063AAE" w:rsidRPr="0061343E">
        <w:t xml:space="preserve"> comparisons</w:t>
      </w:r>
      <w:r w:rsidRPr="0061343E">
        <w:t xml:space="preserve"> </w:t>
      </w:r>
      <w:r w:rsidR="00A935A6">
        <w:t>and</w:t>
      </w:r>
      <w:r w:rsidRPr="0061343E">
        <w:t xml:space="preserve"> the transitivity issues discussed above.</w:t>
      </w:r>
      <w:r w:rsidR="003D779B" w:rsidRPr="0061343E">
        <w:t xml:space="preserve"> Further, the ESC noted that the extended induction regimen was not included in the PI for NEMO.</w:t>
      </w:r>
      <w:r w:rsidR="008278EC">
        <w:t xml:space="preserve"> </w:t>
      </w:r>
      <w:r w:rsidR="00CC57EC">
        <w:t xml:space="preserve">The Pre-PBAC response reiterated that the </w:t>
      </w:r>
      <w:r w:rsidR="00CC57EC" w:rsidRPr="0061343E">
        <w:t xml:space="preserve">additional analyses of the LTE study </w:t>
      </w:r>
      <w:r w:rsidR="00CC57EC">
        <w:t xml:space="preserve">provided with the PSCR recognises that, </w:t>
      </w:r>
      <w:r w:rsidR="00CC57EC" w:rsidRPr="00CC57EC">
        <w:rPr>
          <w:u w:val="single"/>
        </w:rPr>
        <w:t>for some patients,</w:t>
      </w:r>
      <w:r w:rsidR="00CC57EC">
        <w:t xml:space="preserve"> a longer induction period may be required to achieve a comparable response to induction with DUPI (at Week 16). Additionally, t</w:t>
      </w:r>
      <w:r w:rsidR="008278EC">
        <w:t xml:space="preserve">he Pre-PBAC response </w:t>
      </w:r>
      <w:r w:rsidR="005B321F">
        <w:t>stated</w:t>
      </w:r>
      <w:r w:rsidR="008278EC">
        <w:t xml:space="preserve"> that </w:t>
      </w:r>
      <w:r w:rsidR="008278EC" w:rsidRPr="0071643E">
        <w:t>any uncertainty with respect to clinical efficacy is mitigated by the continuation criteria in the proposed restriction that specifically limits maintenance treatment to responders</w:t>
      </w:r>
      <w:r w:rsidR="00113700">
        <w:t>.</w:t>
      </w:r>
      <w:r w:rsidR="008278EC" w:rsidRPr="0071643E">
        <w:t xml:space="preserve"> </w:t>
      </w:r>
    </w:p>
    <w:p w14:paraId="21FF7996" w14:textId="296D35D7" w:rsidR="003D779B" w:rsidRPr="0061343E" w:rsidRDefault="00F26650" w:rsidP="00D85532">
      <w:pPr>
        <w:pStyle w:val="3-BodyText"/>
      </w:pPr>
      <w:r w:rsidRPr="0061343E">
        <w:t>T</w:t>
      </w:r>
      <w:r w:rsidR="003D779B" w:rsidRPr="0061343E">
        <w:t>he ESC noted that a recent network meta-analysis</w:t>
      </w:r>
      <w:r w:rsidR="003D779B" w:rsidRPr="0061343E">
        <w:rPr>
          <w:rStyle w:val="FootnoteReference"/>
        </w:rPr>
        <w:footnoteReference w:id="12"/>
      </w:r>
      <w:r w:rsidR="003D779B" w:rsidRPr="0061343E">
        <w:t>concluded that for relative efficacy comparisons up to 16 weeks of treatment “nemolizumab probably has lower efficacy than dupilumab with regard to change in EASI, patient-orientated eczema measure (POEM) and DLQI, but similar efficacy with regard to peak pruritus numeric rating scale (PP-NRS)”.</w:t>
      </w:r>
    </w:p>
    <w:p w14:paraId="1CAB8FFB" w14:textId="3955F91F" w:rsidR="003D779B" w:rsidRPr="0061343E" w:rsidRDefault="003D779B" w:rsidP="00D85532">
      <w:pPr>
        <w:pStyle w:val="3-BodyText"/>
      </w:pPr>
      <w:r w:rsidRPr="0061343E">
        <w:t>The ESC noted that in the pooled data for the severe AD subgroup, no significant difference was observed between NEMO and placebo in the composite outcome of EASI-50 and 4-point improvement in DLQI (RR = 1.47, 95% CI: 0.65, 3.33)</w:t>
      </w:r>
      <w:r w:rsidR="00960DD0" w:rsidRPr="0061343E">
        <w:t xml:space="preserve">, however the </w:t>
      </w:r>
      <w:r w:rsidR="00F91643" w:rsidRPr="0061343E">
        <w:t>confidence intervals were wide</w:t>
      </w:r>
      <w:r w:rsidRPr="0061343E">
        <w:t>.</w:t>
      </w:r>
    </w:p>
    <w:p w14:paraId="1E6D4C99" w14:textId="31959711" w:rsidR="00753621" w:rsidRPr="0061343E" w:rsidRDefault="00753621" w:rsidP="00E7466A">
      <w:pPr>
        <w:pStyle w:val="3-BodyText"/>
      </w:pPr>
      <w:r w:rsidRPr="0061343E">
        <w:t>The ESC</w:t>
      </w:r>
      <w:r w:rsidR="00957827" w:rsidRPr="0061343E">
        <w:t xml:space="preserve"> considered</w:t>
      </w:r>
      <w:r w:rsidR="000260B2" w:rsidRPr="0061343E">
        <w:t>, in line</w:t>
      </w:r>
      <w:r w:rsidRPr="0061343E">
        <w:t xml:space="preserve"> with the ACM advice</w:t>
      </w:r>
      <w:r w:rsidR="000260B2" w:rsidRPr="0061343E">
        <w:t>,</w:t>
      </w:r>
      <w:r w:rsidRPr="0061343E">
        <w:t xml:space="preserve"> that NEMO could potentially provide an alternative option for patients who don’t respond completely to </w:t>
      </w:r>
      <w:r w:rsidR="003D779B" w:rsidRPr="0061343E">
        <w:t>DUPI</w:t>
      </w:r>
      <w:r w:rsidRPr="0061343E">
        <w:t xml:space="preserve"> or those who </w:t>
      </w:r>
      <w:r w:rsidR="003D779B" w:rsidRPr="0061343E">
        <w:t>cannot</w:t>
      </w:r>
      <w:r w:rsidRPr="0061343E">
        <w:t xml:space="preserve"> tolerate its adverse effects.</w:t>
      </w:r>
    </w:p>
    <w:p w14:paraId="2B94DD60" w14:textId="12118471" w:rsidR="00315820" w:rsidRDefault="00D85532" w:rsidP="00D85532">
      <w:pPr>
        <w:pStyle w:val="3-BodyText"/>
      </w:pPr>
      <w:r w:rsidRPr="0061343E">
        <w:t xml:space="preserve">The </w:t>
      </w:r>
      <w:r w:rsidR="00AA63C9" w:rsidRPr="0061343E">
        <w:t xml:space="preserve">ESC </w:t>
      </w:r>
      <w:r w:rsidR="00E10B56" w:rsidRPr="0061343E">
        <w:t>considered</w:t>
      </w:r>
      <w:r w:rsidR="00AA63C9" w:rsidRPr="0061343E">
        <w:t xml:space="preserve"> that the </w:t>
      </w:r>
      <w:r w:rsidRPr="0061343E">
        <w:t xml:space="preserve">therapeutic conclusion </w:t>
      </w:r>
      <w:r w:rsidR="00F51DAE" w:rsidRPr="0061343E">
        <w:t xml:space="preserve">of </w:t>
      </w:r>
      <w:r w:rsidR="00856E2D" w:rsidRPr="0061343E">
        <w:t xml:space="preserve">non-inferior </w:t>
      </w:r>
      <w:r w:rsidRPr="0061343E">
        <w:t xml:space="preserve">safety was </w:t>
      </w:r>
      <w:r w:rsidR="00690C83" w:rsidRPr="0061343E">
        <w:t>uncertain</w:t>
      </w:r>
      <w:r w:rsidRPr="0061343E">
        <w:t>. Although the ITC showed similar safety of NEMO and DUPI in terms of TEAEs</w:t>
      </w:r>
      <w:r w:rsidR="00A832DB" w:rsidRPr="0061343E">
        <w:t>, t</w:t>
      </w:r>
      <w:r w:rsidRPr="0061343E">
        <w:t xml:space="preserve">he ITCs for serious TEAEs and TEAEs leading to discontinuation were statistically underpowered, </w:t>
      </w:r>
      <w:r w:rsidR="00BC7386" w:rsidRPr="0061343E">
        <w:t xml:space="preserve">indicated </w:t>
      </w:r>
      <w:r w:rsidRPr="0061343E">
        <w:t xml:space="preserve">by the wide 95% </w:t>
      </w:r>
      <w:r w:rsidR="00E10B56" w:rsidRPr="0061343E">
        <w:t xml:space="preserve">confidence intervals </w:t>
      </w:r>
      <w:r w:rsidRPr="0061343E">
        <w:t>of the indirect results. In addition, the selected safety outcomes in the ITCs, namely any TEAEs, serious TEAEs, TEAEs leading to discontinuation, may not allow for a meaningful comparison of NEMO and DUPI as they do not capture individual AEs that may be important</w:t>
      </w:r>
      <w:r w:rsidR="00A24B55" w:rsidRPr="0061343E">
        <w:t>,</w:t>
      </w:r>
      <w:r w:rsidRPr="0061343E">
        <w:t xml:space="preserve"> such as the increased risk of conjunctivitis with DUPI. Additionally, any interpretation of the ITC results for safety should consider the short duration of treatment (at Week 16) and the transitivity of NEMO and DUPI trials indirectly </w:t>
      </w:r>
      <w:r w:rsidRPr="004C7C13">
        <w:t>compared</w:t>
      </w:r>
      <w:r w:rsidR="00315820" w:rsidRPr="004C7C13">
        <w:t>.</w:t>
      </w:r>
      <w:r w:rsidR="000B0D33">
        <w:t xml:space="preserve"> </w:t>
      </w:r>
    </w:p>
    <w:p w14:paraId="5EB416C6" w14:textId="7111C79F" w:rsidR="000E7A94" w:rsidRDefault="000E7A94" w:rsidP="00477FBA">
      <w:pPr>
        <w:widowControl w:val="0"/>
        <w:numPr>
          <w:ilvl w:val="1"/>
          <w:numId w:val="6"/>
        </w:numPr>
        <w:spacing w:after="120"/>
        <w:rPr>
          <w:rFonts w:asciiTheme="minorHAnsi" w:hAnsiTheme="minorHAnsi"/>
          <w:snapToGrid w:val="0"/>
          <w:szCs w:val="20"/>
        </w:rPr>
      </w:pPr>
      <w:bookmarkStart w:id="67" w:name="_Hlk76376200"/>
      <w:bookmarkStart w:id="68" w:name="_Toc22897645"/>
      <w:bookmarkStart w:id="69" w:name="_Toc198648777"/>
      <w:r w:rsidRPr="004C7C13">
        <w:rPr>
          <w:rFonts w:asciiTheme="minorHAnsi" w:hAnsiTheme="minorHAnsi"/>
          <w:iCs/>
          <w:snapToGrid w:val="0"/>
        </w:rPr>
        <w:t>The</w:t>
      </w:r>
      <w:r w:rsidRPr="004C7C13">
        <w:rPr>
          <w:rFonts w:asciiTheme="minorHAnsi" w:hAnsiTheme="minorHAnsi"/>
          <w:snapToGrid w:val="0"/>
          <w:szCs w:val="20"/>
        </w:rPr>
        <w:t xml:space="preserve"> PBAC considered that the claim of non-inferior comparative effectiveness </w:t>
      </w:r>
      <w:r w:rsidR="00477FBA" w:rsidRPr="004C7C13">
        <w:rPr>
          <w:rFonts w:asciiTheme="minorHAnsi" w:hAnsiTheme="minorHAnsi"/>
          <w:snapToGrid w:val="0"/>
          <w:szCs w:val="20"/>
        </w:rPr>
        <w:t>w</w:t>
      </w:r>
      <w:r w:rsidR="004F5DE9" w:rsidRPr="004C7C13">
        <w:rPr>
          <w:rFonts w:asciiTheme="minorHAnsi" w:hAnsiTheme="minorHAnsi"/>
          <w:snapToGrid w:val="0"/>
          <w:szCs w:val="20"/>
        </w:rPr>
        <w:t>as</w:t>
      </w:r>
      <w:r w:rsidR="00477FBA" w:rsidRPr="004C7C13">
        <w:rPr>
          <w:rFonts w:asciiTheme="minorHAnsi" w:hAnsiTheme="minorHAnsi"/>
          <w:snapToGrid w:val="0"/>
          <w:szCs w:val="20"/>
        </w:rPr>
        <w:t xml:space="preserve"> </w:t>
      </w:r>
      <w:r w:rsidRPr="004C7C13">
        <w:rPr>
          <w:rFonts w:asciiTheme="minorHAnsi" w:hAnsiTheme="minorHAnsi"/>
          <w:snapToGrid w:val="0"/>
          <w:szCs w:val="20"/>
        </w:rPr>
        <w:t>not adequately supported by the</w:t>
      </w:r>
      <w:r w:rsidR="004F5DE9" w:rsidRPr="004C7C13">
        <w:rPr>
          <w:rFonts w:asciiTheme="minorHAnsi" w:hAnsiTheme="minorHAnsi"/>
          <w:snapToGrid w:val="0"/>
          <w:szCs w:val="20"/>
        </w:rPr>
        <w:t xml:space="preserve"> presented</w:t>
      </w:r>
      <w:r w:rsidR="004F5DE9">
        <w:rPr>
          <w:rFonts w:asciiTheme="minorHAnsi" w:hAnsiTheme="minorHAnsi"/>
          <w:snapToGrid w:val="0"/>
          <w:szCs w:val="20"/>
        </w:rPr>
        <w:t xml:space="preserve"> data and a claim of inferior comparative effectiveness </w:t>
      </w:r>
      <w:r w:rsidR="00B97C2B">
        <w:rPr>
          <w:rFonts w:asciiTheme="minorHAnsi" w:hAnsiTheme="minorHAnsi"/>
          <w:snapToGrid w:val="0"/>
          <w:szCs w:val="20"/>
        </w:rPr>
        <w:t xml:space="preserve">would </w:t>
      </w:r>
      <w:r w:rsidR="004F5DE9">
        <w:rPr>
          <w:rFonts w:asciiTheme="minorHAnsi" w:hAnsiTheme="minorHAnsi"/>
          <w:snapToGrid w:val="0"/>
          <w:szCs w:val="20"/>
        </w:rPr>
        <w:t>be more reasonable</w:t>
      </w:r>
      <w:r w:rsidRPr="00CC1872">
        <w:rPr>
          <w:rFonts w:asciiTheme="minorHAnsi" w:hAnsiTheme="minorHAnsi"/>
          <w:snapToGrid w:val="0"/>
          <w:szCs w:val="20"/>
        </w:rPr>
        <w:t>.</w:t>
      </w:r>
      <w:bookmarkEnd w:id="67"/>
      <w:r w:rsidR="004F5DE9">
        <w:rPr>
          <w:rFonts w:asciiTheme="minorHAnsi" w:hAnsiTheme="minorHAnsi"/>
          <w:snapToGrid w:val="0"/>
          <w:szCs w:val="20"/>
        </w:rPr>
        <w:t xml:space="preserve"> </w:t>
      </w:r>
    </w:p>
    <w:p w14:paraId="541D9C0F" w14:textId="64ED3532" w:rsidR="004F5DE9" w:rsidRDefault="004C7C13" w:rsidP="00477FBA">
      <w:pPr>
        <w:widowControl w:val="0"/>
        <w:numPr>
          <w:ilvl w:val="1"/>
          <w:numId w:val="6"/>
        </w:numPr>
        <w:spacing w:after="120"/>
        <w:rPr>
          <w:rFonts w:asciiTheme="minorHAnsi" w:hAnsiTheme="minorHAnsi"/>
          <w:snapToGrid w:val="0"/>
          <w:szCs w:val="20"/>
        </w:rPr>
      </w:pPr>
      <w:r w:rsidRPr="004C7C13">
        <w:rPr>
          <w:rFonts w:asciiTheme="minorHAnsi" w:hAnsiTheme="minorHAnsi"/>
          <w:snapToGrid w:val="0"/>
          <w:szCs w:val="20"/>
        </w:rPr>
        <w:t>The PBAC considered the claim of non-inferior comparative safety to be uncertain</w:t>
      </w:r>
      <w:r w:rsidR="00604A56">
        <w:rPr>
          <w:rFonts w:asciiTheme="minorHAnsi" w:hAnsiTheme="minorHAnsi"/>
          <w:snapToGrid w:val="0"/>
          <w:szCs w:val="20"/>
        </w:rPr>
        <w:t xml:space="preserve"> </w:t>
      </w:r>
      <w:r w:rsidR="00604A56">
        <w:rPr>
          <w:rFonts w:asciiTheme="minorHAnsi" w:hAnsiTheme="minorHAnsi"/>
          <w:snapToGrid w:val="0"/>
          <w:szCs w:val="20"/>
        </w:rPr>
        <w:lastRenderedPageBreak/>
        <w:t>noting it was based on ITCs</w:t>
      </w:r>
      <w:r w:rsidR="00EA6816">
        <w:rPr>
          <w:rFonts w:asciiTheme="minorHAnsi" w:hAnsiTheme="minorHAnsi"/>
          <w:snapToGrid w:val="0"/>
          <w:szCs w:val="20"/>
        </w:rPr>
        <w:t xml:space="preserve"> </w:t>
      </w:r>
      <w:r w:rsidR="00150428">
        <w:rPr>
          <w:snapToGrid w:val="0"/>
          <w:lang w:val="en-GB"/>
        </w:rPr>
        <w:t xml:space="preserve">which </w:t>
      </w:r>
      <w:r w:rsidR="00D32A1B" w:rsidRPr="00B036A7">
        <w:rPr>
          <w:snapToGrid w:val="0"/>
          <w:lang w:val="en-GB"/>
        </w:rPr>
        <w:t>were statistically underpowered</w:t>
      </w:r>
      <w:r w:rsidR="00D32A1B">
        <w:rPr>
          <w:rFonts w:asciiTheme="minorHAnsi" w:hAnsiTheme="minorHAnsi"/>
          <w:snapToGrid w:val="0"/>
          <w:szCs w:val="20"/>
        </w:rPr>
        <w:t xml:space="preserve"> </w:t>
      </w:r>
      <w:r w:rsidR="00150428">
        <w:rPr>
          <w:rFonts w:asciiTheme="minorHAnsi" w:hAnsiTheme="minorHAnsi"/>
          <w:snapToGrid w:val="0"/>
          <w:szCs w:val="20"/>
        </w:rPr>
        <w:t xml:space="preserve">and </w:t>
      </w:r>
      <w:r w:rsidR="0012737C" w:rsidRPr="00B036A7">
        <w:rPr>
          <w:snapToGrid w:val="0"/>
          <w:lang w:val="en-GB"/>
        </w:rPr>
        <w:t>the selected safety outcomes in the ITCs</w:t>
      </w:r>
      <w:r w:rsidR="0012737C">
        <w:rPr>
          <w:rFonts w:asciiTheme="minorHAnsi" w:hAnsiTheme="minorHAnsi"/>
          <w:snapToGrid w:val="0"/>
          <w:szCs w:val="20"/>
        </w:rPr>
        <w:t xml:space="preserve"> </w:t>
      </w:r>
      <w:r w:rsidR="00150428">
        <w:rPr>
          <w:rFonts w:asciiTheme="minorHAnsi" w:hAnsiTheme="minorHAnsi"/>
          <w:snapToGrid w:val="0"/>
          <w:szCs w:val="20"/>
        </w:rPr>
        <w:t xml:space="preserve">did not capture individual </w:t>
      </w:r>
      <w:r w:rsidR="0012737C">
        <w:rPr>
          <w:rFonts w:asciiTheme="minorHAnsi" w:hAnsiTheme="minorHAnsi"/>
          <w:snapToGrid w:val="0"/>
          <w:szCs w:val="20"/>
        </w:rPr>
        <w:t>AEs that may be important</w:t>
      </w:r>
      <w:r w:rsidR="00734ECE">
        <w:rPr>
          <w:rFonts w:asciiTheme="minorHAnsi" w:hAnsiTheme="minorHAnsi"/>
          <w:snapToGrid w:val="0"/>
          <w:szCs w:val="20"/>
        </w:rPr>
        <w:t xml:space="preserve"> when comparing NEMO to DUPI</w:t>
      </w:r>
      <w:r w:rsidRPr="004C7C13">
        <w:rPr>
          <w:rFonts w:asciiTheme="minorHAnsi" w:hAnsiTheme="minorHAnsi"/>
          <w:snapToGrid w:val="0"/>
          <w:szCs w:val="20"/>
        </w:rPr>
        <w:t>. However, the PBAC noted that both NEMO and DUPI did not report statistically significant differences to placebo in terms of TEAEs or SAEs leading to discontinuation</w:t>
      </w:r>
      <w:r>
        <w:rPr>
          <w:rFonts w:asciiTheme="minorHAnsi" w:hAnsiTheme="minorHAnsi"/>
          <w:snapToGrid w:val="0"/>
          <w:szCs w:val="20"/>
        </w:rPr>
        <w:t xml:space="preserve"> (see paragraph </w:t>
      </w:r>
      <w:r>
        <w:rPr>
          <w:rFonts w:asciiTheme="minorHAnsi" w:hAnsiTheme="minorHAnsi"/>
          <w:snapToGrid w:val="0"/>
          <w:szCs w:val="20"/>
        </w:rPr>
        <w:fldChar w:fldCharType="begin"/>
      </w:r>
      <w:r>
        <w:rPr>
          <w:rFonts w:asciiTheme="minorHAnsi" w:hAnsiTheme="minorHAnsi"/>
          <w:snapToGrid w:val="0"/>
          <w:szCs w:val="20"/>
        </w:rPr>
        <w:instrText xml:space="preserve"> REF _Ref205803100 \r \h </w:instrText>
      </w:r>
      <w:r>
        <w:rPr>
          <w:rFonts w:asciiTheme="minorHAnsi" w:hAnsiTheme="minorHAnsi"/>
          <w:snapToGrid w:val="0"/>
          <w:szCs w:val="20"/>
        </w:rPr>
      </w:r>
      <w:r>
        <w:rPr>
          <w:rFonts w:asciiTheme="minorHAnsi" w:hAnsiTheme="minorHAnsi"/>
          <w:snapToGrid w:val="0"/>
          <w:szCs w:val="20"/>
        </w:rPr>
        <w:fldChar w:fldCharType="separate"/>
      </w:r>
      <w:r w:rsidR="00E5780E">
        <w:rPr>
          <w:rFonts w:asciiTheme="minorHAnsi" w:hAnsiTheme="minorHAnsi"/>
          <w:snapToGrid w:val="0"/>
          <w:szCs w:val="20"/>
        </w:rPr>
        <w:t>6.37</w:t>
      </w:r>
      <w:r>
        <w:rPr>
          <w:rFonts w:asciiTheme="minorHAnsi" w:hAnsiTheme="minorHAnsi"/>
          <w:snapToGrid w:val="0"/>
          <w:szCs w:val="20"/>
        </w:rPr>
        <w:fldChar w:fldCharType="end"/>
      </w:r>
      <w:r>
        <w:rPr>
          <w:rFonts w:asciiTheme="minorHAnsi" w:hAnsiTheme="minorHAnsi"/>
          <w:snapToGrid w:val="0"/>
          <w:szCs w:val="20"/>
        </w:rPr>
        <w:t>)</w:t>
      </w:r>
      <w:r w:rsidRPr="004C7C13">
        <w:rPr>
          <w:rFonts w:asciiTheme="minorHAnsi" w:hAnsiTheme="minorHAnsi"/>
          <w:snapToGrid w:val="0"/>
          <w:szCs w:val="20"/>
        </w:rPr>
        <w:t>.</w:t>
      </w:r>
    </w:p>
    <w:p w14:paraId="74A1172E" w14:textId="59FA4252" w:rsidR="00B60939" w:rsidRPr="00D86D87" w:rsidRDefault="00B60939" w:rsidP="00E9094A">
      <w:pPr>
        <w:pStyle w:val="4-SubsectionHeading"/>
      </w:pPr>
      <w:r w:rsidRPr="00D86D87">
        <w:t>Economic analysis</w:t>
      </w:r>
      <w:bookmarkEnd w:id="68"/>
      <w:bookmarkEnd w:id="69"/>
    </w:p>
    <w:p w14:paraId="131A179E" w14:textId="3A11F9BD" w:rsidR="001C1E5A" w:rsidRPr="0061343E" w:rsidRDefault="001C1E5A" w:rsidP="001C1E5A">
      <w:pPr>
        <w:pStyle w:val="3-BodyText"/>
        <w:numPr>
          <w:ilvl w:val="1"/>
          <w:numId w:val="1"/>
        </w:numPr>
        <w:spacing w:before="0" w:after="120"/>
        <w:rPr>
          <w:b/>
          <w:bCs/>
          <w:lang w:val="en-US"/>
        </w:rPr>
      </w:pPr>
      <w:r w:rsidRPr="0061343E">
        <w:t xml:space="preserve">The submission presented a CMA comparing </w:t>
      </w:r>
      <w:r w:rsidR="00000FD0" w:rsidRPr="0061343E">
        <w:t>NEMO</w:t>
      </w:r>
      <w:r w:rsidRPr="0061343E">
        <w:t xml:space="preserve"> with </w:t>
      </w:r>
      <w:r w:rsidR="00000FD0" w:rsidRPr="0061343E">
        <w:t>DUPI</w:t>
      </w:r>
      <w:r w:rsidRPr="0061343E">
        <w:t xml:space="preserve"> for the treatment of chronic severe AD based on a claim of non-inferior effectiveness and safety compared to </w:t>
      </w:r>
      <w:r w:rsidR="00000FD0" w:rsidRPr="0061343E">
        <w:t>DUPI</w:t>
      </w:r>
      <w:r w:rsidR="00F26F04" w:rsidRPr="0061343E">
        <w:t xml:space="preserve">, but with fewer injection site reactions and </w:t>
      </w:r>
      <w:r w:rsidR="00FC59B9" w:rsidRPr="0061343E">
        <w:t>incidences of conjunctivitis</w:t>
      </w:r>
      <w:r w:rsidRPr="0061343E">
        <w:t xml:space="preserve">. The CMA </w:t>
      </w:r>
      <w:r w:rsidR="000732D8">
        <w:t>relies on</w:t>
      </w:r>
      <w:r w:rsidRPr="0061343E">
        <w:t xml:space="preserve"> the claim of non-inferior efficacy of </w:t>
      </w:r>
      <w:r w:rsidR="00000FD0" w:rsidRPr="0061343E">
        <w:t>NEMO</w:t>
      </w:r>
      <w:r w:rsidRPr="0061343E">
        <w:t xml:space="preserve"> compared to </w:t>
      </w:r>
      <w:r w:rsidR="00000FD0" w:rsidRPr="0061343E">
        <w:t>DUPI</w:t>
      </w:r>
      <w:r w:rsidRPr="0061343E">
        <w:t xml:space="preserve">. </w:t>
      </w:r>
      <w:r w:rsidR="00DA061F" w:rsidRPr="0061343E">
        <w:t xml:space="preserve">The ESC </w:t>
      </w:r>
      <w:r w:rsidR="003D779B" w:rsidRPr="0061343E">
        <w:t>considered</w:t>
      </w:r>
      <w:r w:rsidR="00DA061F" w:rsidRPr="0061343E">
        <w:t xml:space="preserve"> that </w:t>
      </w:r>
      <w:r w:rsidR="003D779B" w:rsidRPr="0061343E">
        <w:t>NEMO was likely inferior compared to DUPI</w:t>
      </w:r>
      <w:r w:rsidR="00DA061F" w:rsidRPr="0061343E">
        <w:t xml:space="preserve">. </w:t>
      </w:r>
      <w:r w:rsidRPr="0061343E">
        <w:t xml:space="preserve">The key assumptions and components of the cost-minimisation approach are summarised in </w:t>
      </w:r>
      <w:r w:rsidRPr="0061343E">
        <w:fldChar w:fldCharType="begin"/>
      </w:r>
      <w:r w:rsidRPr="0061343E">
        <w:instrText xml:space="preserve"> REF _Ref197009145 \h </w:instrText>
      </w:r>
      <w:r w:rsidR="000409F2" w:rsidRPr="0061343E">
        <w:instrText xml:space="preserve"> \* MERGEFORMAT </w:instrText>
      </w:r>
      <w:r w:rsidRPr="0061343E">
        <w:fldChar w:fldCharType="separate"/>
      </w:r>
      <w:r w:rsidR="00E5780E" w:rsidRPr="0061343E">
        <w:t xml:space="preserve">Table </w:t>
      </w:r>
      <w:r w:rsidR="00E5780E">
        <w:rPr>
          <w:noProof/>
        </w:rPr>
        <w:t>18</w:t>
      </w:r>
      <w:r w:rsidRPr="0061343E">
        <w:fldChar w:fldCharType="end"/>
      </w:r>
      <w:r w:rsidRPr="0061343E">
        <w:t xml:space="preserve">. </w:t>
      </w:r>
    </w:p>
    <w:p w14:paraId="6B08C790" w14:textId="6760CF1E" w:rsidR="001C1E5A" w:rsidRPr="0061343E" w:rsidRDefault="001C1E5A" w:rsidP="00550072">
      <w:pPr>
        <w:pStyle w:val="Caption"/>
        <w:keepLines w:val="0"/>
        <w:widowControl w:val="0"/>
      </w:pPr>
      <w:bookmarkStart w:id="70" w:name="_Ref197009145"/>
      <w:r w:rsidRPr="0061343E">
        <w:t xml:space="preserve">Table </w:t>
      </w:r>
      <w:r w:rsidR="00167892">
        <w:fldChar w:fldCharType="begin"/>
      </w:r>
      <w:r w:rsidR="00167892">
        <w:instrText xml:space="preserve"> SEQ Table \* ARABIC </w:instrText>
      </w:r>
      <w:r w:rsidR="00167892">
        <w:fldChar w:fldCharType="separate"/>
      </w:r>
      <w:r w:rsidR="00E5780E">
        <w:rPr>
          <w:noProof/>
        </w:rPr>
        <w:t>18</w:t>
      </w:r>
      <w:r w:rsidR="00167892">
        <w:rPr>
          <w:noProof/>
        </w:rPr>
        <w:fldChar w:fldCharType="end"/>
      </w:r>
      <w:bookmarkEnd w:id="70"/>
      <w:r w:rsidRPr="0061343E">
        <w:t>: Key components and assumptions of the CMA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8: Key components and assumptions of the CMA"/>
      </w:tblPr>
      <w:tblGrid>
        <w:gridCol w:w="2624"/>
        <w:gridCol w:w="6393"/>
      </w:tblGrid>
      <w:tr w:rsidR="001C1E5A" w:rsidRPr="0061343E" w14:paraId="1C46865A" w14:textId="77777777" w:rsidTr="00E7466A">
        <w:tc>
          <w:tcPr>
            <w:tcW w:w="2624" w:type="dxa"/>
            <w:vAlign w:val="center"/>
          </w:tcPr>
          <w:p w14:paraId="4ADCBDDF" w14:textId="77777777" w:rsidR="001C1E5A" w:rsidRPr="0061343E" w:rsidRDefault="001C1E5A" w:rsidP="00550072">
            <w:pPr>
              <w:pStyle w:val="In-tableHeading"/>
              <w:keepLines w:val="0"/>
              <w:widowControl w:val="0"/>
              <w:rPr>
                <w:lang w:val="en-AU"/>
              </w:rPr>
            </w:pPr>
            <w:r w:rsidRPr="0061343E">
              <w:rPr>
                <w:lang w:val="en-AU"/>
              </w:rPr>
              <w:t>Component</w:t>
            </w:r>
          </w:p>
        </w:tc>
        <w:tc>
          <w:tcPr>
            <w:tcW w:w="6393" w:type="dxa"/>
            <w:vAlign w:val="center"/>
          </w:tcPr>
          <w:p w14:paraId="116CF6D8" w14:textId="77777777" w:rsidR="001C1E5A" w:rsidRPr="0061343E" w:rsidRDefault="001C1E5A" w:rsidP="00550072">
            <w:pPr>
              <w:pStyle w:val="In-tableHeading"/>
              <w:keepLines w:val="0"/>
              <w:widowControl w:val="0"/>
              <w:rPr>
                <w:lang w:val="en-AU"/>
              </w:rPr>
            </w:pPr>
            <w:r w:rsidRPr="0061343E">
              <w:rPr>
                <w:lang w:val="en-AU"/>
              </w:rPr>
              <w:t>Claim or assumption</w:t>
            </w:r>
          </w:p>
        </w:tc>
      </w:tr>
      <w:tr w:rsidR="001C1E5A" w:rsidRPr="0061343E" w14:paraId="619A27F4" w14:textId="77777777" w:rsidTr="00E7466A">
        <w:tc>
          <w:tcPr>
            <w:tcW w:w="2624" w:type="dxa"/>
            <w:vAlign w:val="center"/>
          </w:tcPr>
          <w:p w14:paraId="589CE1EB" w14:textId="77777777" w:rsidR="001C1E5A" w:rsidRPr="0061343E" w:rsidRDefault="001C1E5A" w:rsidP="00550072">
            <w:pPr>
              <w:pStyle w:val="TableText0"/>
              <w:keepLines w:val="0"/>
              <w:widowControl w:val="0"/>
            </w:pPr>
            <w:r w:rsidRPr="0061343E">
              <w:t>Therapeutic claim: effectiveness</w:t>
            </w:r>
          </w:p>
        </w:tc>
        <w:tc>
          <w:tcPr>
            <w:tcW w:w="6393" w:type="dxa"/>
            <w:vAlign w:val="center"/>
          </w:tcPr>
          <w:p w14:paraId="1593C931" w14:textId="03558AC4" w:rsidR="001C1E5A" w:rsidRPr="0061343E" w:rsidRDefault="001C1E5A" w:rsidP="00550072">
            <w:pPr>
              <w:pStyle w:val="TableText0"/>
              <w:keepLines w:val="0"/>
              <w:widowControl w:val="0"/>
            </w:pPr>
            <w:r w:rsidRPr="0061343E">
              <w:t xml:space="preserve">Based on evidence presented in </w:t>
            </w:r>
            <w:r w:rsidR="00EA49B6" w:rsidRPr="0061343E">
              <w:t>the submission</w:t>
            </w:r>
            <w:r w:rsidRPr="0061343E">
              <w:t>, effectiveness is assumed to be non-inferior.</w:t>
            </w:r>
            <w:r w:rsidR="003D779B" w:rsidRPr="0061343E">
              <w:t xml:space="preserve"> The ESC considered that NEMO was inferior to DUPI in terms of effectiveness.</w:t>
            </w:r>
          </w:p>
        </w:tc>
      </w:tr>
      <w:tr w:rsidR="001C1E5A" w:rsidRPr="0061343E" w14:paraId="6B9F0522" w14:textId="77777777" w:rsidTr="00E7466A">
        <w:tc>
          <w:tcPr>
            <w:tcW w:w="2624" w:type="dxa"/>
            <w:vAlign w:val="center"/>
          </w:tcPr>
          <w:p w14:paraId="71FB9C98" w14:textId="77777777" w:rsidR="001C1E5A" w:rsidRPr="0061343E" w:rsidRDefault="001C1E5A" w:rsidP="00550072">
            <w:pPr>
              <w:pStyle w:val="TableText0"/>
              <w:keepLines w:val="0"/>
              <w:widowControl w:val="0"/>
            </w:pPr>
            <w:r w:rsidRPr="0061343E">
              <w:t>Therapeutic claim: safety</w:t>
            </w:r>
          </w:p>
        </w:tc>
        <w:tc>
          <w:tcPr>
            <w:tcW w:w="6393" w:type="dxa"/>
            <w:vAlign w:val="center"/>
          </w:tcPr>
          <w:p w14:paraId="5CB37511" w14:textId="36C8F653" w:rsidR="001C1E5A" w:rsidRPr="0061343E" w:rsidRDefault="001C1E5A" w:rsidP="00550072">
            <w:pPr>
              <w:pStyle w:val="TableText0"/>
              <w:keepLines w:val="0"/>
              <w:widowControl w:val="0"/>
            </w:pPr>
            <w:r w:rsidRPr="0061343E">
              <w:t xml:space="preserve">Based on evidence presented in </w:t>
            </w:r>
            <w:r w:rsidR="00EA49B6" w:rsidRPr="0061343E">
              <w:t>the submission</w:t>
            </w:r>
            <w:r w:rsidRPr="0061343E">
              <w:t xml:space="preserve">, safety is assumed to be </w:t>
            </w:r>
            <w:r w:rsidR="00FC59B9" w:rsidRPr="0061343E">
              <w:t xml:space="preserve">non-inferior, but </w:t>
            </w:r>
            <w:r w:rsidR="00F27AEF" w:rsidRPr="0061343E">
              <w:t>with fewer</w:t>
            </w:r>
            <w:r w:rsidRPr="0061343E">
              <w:t xml:space="preserve"> injection site reactions and patients with conjunctivitis. </w:t>
            </w:r>
            <w:r w:rsidR="003D779B" w:rsidRPr="0061343E">
              <w:t>The ESC considered that the claim of non-inferior safety was uncertain and noted that the submission did not present ITCs for injection site reactions or conjunctivitis versus DUPI.</w:t>
            </w:r>
            <w:r w:rsidRPr="0061343E">
              <w:t xml:space="preserve"> </w:t>
            </w:r>
          </w:p>
        </w:tc>
      </w:tr>
      <w:tr w:rsidR="001C1E5A" w:rsidRPr="0061343E" w14:paraId="5AE4D030" w14:textId="77777777" w:rsidTr="00E7466A">
        <w:tc>
          <w:tcPr>
            <w:tcW w:w="2624" w:type="dxa"/>
            <w:vAlign w:val="center"/>
          </w:tcPr>
          <w:p w14:paraId="4E94E223" w14:textId="77777777" w:rsidR="001C1E5A" w:rsidRPr="0061343E" w:rsidRDefault="001C1E5A" w:rsidP="00550072">
            <w:pPr>
              <w:pStyle w:val="TableText0"/>
              <w:keepLines w:val="0"/>
              <w:widowControl w:val="0"/>
            </w:pPr>
            <w:r w:rsidRPr="0061343E">
              <w:t>Evidence base</w:t>
            </w:r>
          </w:p>
        </w:tc>
        <w:tc>
          <w:tcPr>
            <w:tcW w:w="6393" w:type="dxa"/>
            <w:vAlign w:val="center"/>
          </w:tcPr>
          <w:p w14:paraId="40B42B10" w14:textId="77777777" w:rsidR="001C1E5A" w:rsidRPr="0061343E" w:rsidRDefault="001C1E5A" w:rsidP="00550072">
            <w:pPr>
              <w:pStyle w:val="TableText0"/>
              <w:keepLines w:val="0"/>
              <w:widowControl w:val="0"/>
            </w:pPr>
            <w:r w:rsidRPr="0061343E">
              <w:t xml:space="preserve">Indirect treatment comparison of nemolizumab and dupilumab </w:t>
            </w:r>
          </w:p>
        </w:tc>
      </w:tr>
      <w:tr w:rsidR="001C1E5A" w:rsidRPr="0061343E" w14:paraId="45B495BA" w14:textId="77777777" w:rsidTr="00E7466A">
        <w:tc>
          <w:tcPr>
            <w:tcW w:w="2624" w:type="dxa"/>
            <w:vAlign w:val="center"/>
          </w:tcPr>
          <w:p w14:paraId="1713B74D" w14:textId="77777777" w:rsidR="001C1E5A" w:rsidRPr="0061343E" w:rsidRDefault="001C1E5A" w:rsidP="00550072">
            <w:pPr>
              <w:pStyle w:val="TableText0"/>
              <w:keepLines w:val="0"/>
              <w:widowControl w:val="0"/>
            </w:pPr>
            <w:r w:rsidRPr="0061343E">
              <w:t>Equi-effective doses</w:t>
            </w:r>
          </w:p>
        </w:tc>
        <w:tc>
          <w:tcPr>
            <w:tcW w:w="6393" w:type="dxa"/>
            <w:vAlign w:val="center"/>
          </w:tcPr>
          <w:p w14:paraId="6A6BD418" w14:textId="185F8E6E" w:rsidR="001C1E5A" w:rsidRPr="0061343E" w:rsidRDefault="000064BE" w:rsidP="00550072">
            <w:pPr>
              <w:pStyle w:val="TableText0"/>
              <w:keepLines w:val="0"/>
              <w:widowControl w:val="0"/>
            </w:pPr>
            <w:r w:rsidRPr="0061343E">
              <w:t>Nemolizumab i</w:t>
            </w:r>
            <w:r w:rsidR="001C1E5A" w:rsidRPr="0061343E">
              <w:t>nitial dose of 60 mg</w:t>
            </w:r>
            <w:r w:rsidR="002B1465" w:rsidRPr="0061343E">
              <w:t xml:space="preserve"> SC</w:t>
            </w:r>
            <w:r w:rsidR="001C1E5A" w:rsidRPr="0061343E">
              <w:t xml:space="preserve">, followed by 30 mg Q4W </w:t>
            </w:r>
            <w:r w:rsidR="00721AF9" w:rsidRPr="0061343E">
              <w:t xml:space="preserve">SC </w:t>
            </w:r>
            <w:r w:rsidR="001C1E5A" w:rsidRPr="0061343E">
              <w:t xml:space="preserve">for 16 weeks and 30 mg Q8W </w:t>
            </w:r>
            <w:r w:rsidR="00721AF9" w:rsidRPr="0061343E">
              <w:t xml:space="preserve">SC </w:t>
            </w:r>
            <w:r w:rsidR="001C1E5A" w:rsidRPr="0061343E">
              <w:t xml:space="preserve">thereafter = </w:t>
            </w:r>
            <w:r w:rsidR="00551334" w:rsidRPr="0061343E">
              <w:t xml:space="preserve">dupilumab </w:t>
            </w:r>
            <w:r w:rsidR="001C1E5A" w:rsidRPr="0061343E">
              <w:t xml:space="preserve">600 mg SC injection loading dose, followed by 300 mg SC injection Q2W in adult patients and adolescents weighing ≥ 60 kg; 400 mg SC injection loading dose, followed by 200 mg SC injection Q2W in adolescents weighing &lt; 60 kg. </w:t>
            </w:r>
          </w:p>
        </w:tc>
      </w:tr>
      <w:tr w:rsidR="001C1E5A" w:rsidRPr="0061343E" w14:paraId="773298BE" w14:textId="77777777" w:rsidTr="00E7466A">
        <w:tc>
          <w:tcPr>
            <w:tcW w:w="2624" w:type="dxa"/>
            <w:vAlign w:val="center"/>
          </w:tcPr>
          <w:p w14:paraId="3BE0E7D2" w14:textId="77777777" w:rsidR="001C1E5A" w:rsidRPr="0061343E" w:rsidRDefault="001C1E5A" w:rsidP="00550072">
            <w:pPr>
              <w:pStyle w:val="TableText0"/>
              <w:keepLines w:val="0"/>
              <w:widowControl w:val="0"/>
            </w:pPr>
            <w:r w:rsidRPr="0061343E">
              <w:t>Direct medicine costs</w:t>
            </w:r>
          </w:p>
        </w:tc>
        <w:tc>
          <w:tcPr>
            <w:tcW w:w="6393" w:type="dxa"/>
            <w:vAlign w:val="center"/>
          </w:tcPr>
          <w:p w14:paraId="3E2A48AB" w14:textId="77777777" w:rsidR="001C1E5A" w:rsidRPr="0061343E" w:rsidRDefault="001C1E5A" w:rsidP="00550072">
            <w:pPr>
              <w:pStyle w:val="TableText0"/>
              <w:keepLines w:val="0"/>
              <w:widowControl w:val="0"/>
            </w:pPr>
            <w:r w:rsidRPr="0061343E">
              <w:t xml:space="preserve">The cost of nemolizumab per patient for two years of treatment is higher to account for a reduction in conjunctivitis in patients treated with nemolizumab compared to those treated with dupilumab. </w:t>
            </w:r>
          </w:p>
        </w:tc>
      </w:tr>
      <w:tr w:rsidR="001C1E5A" w:rsidRPr="0061343E" w14:paraId="28CCEC69" w14:textId="77777777" w:rsidTr="00E7466A">
        <w:tc>
          <w:tcPr>
            <w:tcW w:w="2624" w:type="dxa"/>
            <w:vAlign w:val="center"/>
          </w:tcPr>
          <w:p w14:paraId="6B1A9BF2" w14:textId="77777777" w:rsidR="001C1E5A" w:rsidRPr="0061343E" w:rsidRDefault="001C1E5A" w:rsidP="00550072">
            <w:pPr>
              <w:pStyle w:val="TableText0"/>
              <w:keepLines w:val="0"/>
              <w:widowControl w:val="0"/>
            </w:pPr>
            <w:r w:rsidRPr="0061343E">
              <w:t>Cost offsets</w:t>
            </w:r>
          </w:p>
        </w:tc>
        <w:tc>
          <w:tcPr>
            <w:tcW w:w="6393" w:type="dxa"/>
            <w:vAlign w:val="center"/>
          </w:tcPr>
          <w:p w14:paraId="76DD748B" w14:textId="77777777" w:rsidR="001C1E5A" w:rsidRPr="0061343E" w:rsidRDefault="001C1E5A" w:rsidP="00550072">
            <w:pPr>
              <w:pStyle w:val="TableText0"/>
              <w:keepLines w:val="0"/>
              <w:widowControl w:val="0"/>
            </w:pPr>
            <w:r w:rsidRPr="0061343E">
              <w:t xml:space="preserve">Additional cost to account for a reduction in the adverse events relating to conjunctivitis. </w:t>
            </w:r>
          </w:p>
        </w:tc>
      </w:tr>
    </w:tbl>
    <w:p w14:paraId="589651FB" w14:textId="77777777" w:rsidR="001C1E5A" w:rsidRPr="0061343E" w:rsidRDefault="001C1E5A" w:rsidP="001C1E5A">
      <w:pPr>
        <w:pStyle w:val="TableFigureFooter"/>
      </w:pPr>
      <w:r w:rsidRPr="0061343E">
        <w:t xml:space="preserve">Source: Table 3-1, pp229-230 of the submission. </w:t>
      </w:r>
    </w:p>
    <w:p w14:paraId="19D40239" w14:textId="77777777" w:rsidR="001C1E5A" w:rsidRPr="0061343E" w:rsidRDefault="001C1E5A" w:rsidP="00A75874">
      <w:pPr>
        <w:pStyle w:val="TableFigureFooter"/>
        <w:spacing w:after="120"/>
        <w:contextualSpacing w:val="0"/>
        <w:rPr>
          <w:rFonts w:eastAsia="Calibri"/>
        </w:rPr>
      </w:pPr>
      <w:r w:rsidRPr="0061343E">
        <w:t xml:space="preserve">CMA = cost-minimisation approach; Q2W = every 2 weeks; Q4W = every 4 weeks; Q8W = every 8 weeks; SC = subcutaneous </w:t>
      </w:r>
    </w:p>
    <w:p w14:paraId="58A185A7" w14:textId="6455C66B" w:rsidR="00F8138B" w:rsidRPr="0061343E" w:rsidRDefault="001C1E5A" w:rsidP="001C1E5A">
      <w:pPr>
        <w:pStyle w:val="3-BodyText"/>
      </w:pPr>
      <w:r w:rsidRPr="0061343E">
        <w:t xml:space="preserve">The submission </w:t>
      </w:r>
      <w:r w:rsidR="0049248B">
        <w:t>proposed</w:t>
      </w:r>
      <w:r w:rsidR="0049248B" w:rsidRPr="0061343E">
        <w:t xml:space="preserve"> </w:t>
      </w:r>
      <w:r w:rsidRPr="0061343E">
        <w:t xml:space="preserve">the equi-effective doses as follows: </w:t>
      </w:r>
    </w:p>
    <w:p w14:paraId="06960ED9" w14:textId="77777777" w:rsidR="00FD6D4B" w:rsidRPr="0061343E" w:rsidRDefault="001C1E5A" w:rsidP="00753218">
      <w:pPr>
        <w:pStyle w:val="3-BodyText"/>
        <w:numPr>
          <w:ilvl w:val="1"/>
          <w:numId w:val="4"/>
        </w:numPr>
      </w:pPr>
      <w:r w:rsidRPr="0061343E">
        <w:t xml:space="preserve">For adults and adolescents ≥ 60kg; </w:t>
      </w:r>
      <w:r w:rsidR="00000FD0" w:rsidRPr="0061343E">
        <w:t>NEMO</w:t>
      </w:r>
      <w:r w:rsidRPr="0061343E">
        <w:t xml:space="preserve"> at an initial dose of 60 mg (given as 2 x 30 mg SC injections at week 0), followed by 30 mg SC injection Q4W until week 16 and 30 mg Q8W thereafter is equi-effective to </w:t>
      </w:r>
      <w:r w:rsidR="00000FD0" w:rsidRPr="0061343E">
        <w:t>DUPI</w:t>
      </w:r>
      <w:r w:rsidRPr="0061343E">
        <w:t xml:space="preserve"> 600 mg SC injection as a loading dose followed by 300 mg SC injection Q2W. </w:t>
      </w:r>
    </w:p>
    <w:p w14:paraId="6F5EDBE8" w14:textId="7374D6DE" w:rsidR="0034585A" w:rsidRPr="0061343E" w:rsidRDefault="001C1E5A" w:rsidP="00753218">
      <w:pPr>
        <w:pStyle w:val="3-BodyText"/>
        <w:numPr>
          <w:ilvl w:val="1"/>
          <w:numId w:val="4"/>
        </w:numPr>
      </w:pPr>
      <w:r w:rsidRPr="0061343E">
        <w:t xml:space="preserve">For adolescents &lt; 60kg; </w:t>
      </w:r>
      <w:r w:rsidR="00000FD0" w:rsidRPr="0061343E">
        <w:t>NEMO</w:t>
      </w:r>
      <w:r w:rsidRPr="0061343E">
        <w:t xml:space="preserve"> at an initial dose of 60 mg (given </w:t>
      </w:r>
      <w:r w:rsidR="00F27AEF" w:rsidRPr="0061343E">
        <w:t>as 2</w:t>
      </w:r>
      <w:r w:rsidRPr="0061343E">
        <w:t xml:space="preserve"> x 30 mg SC injections at week 0), followed by 30 mg subcutaneous SC injection Q4W until week 16 and 30 mg Q8W thereafter is equi-effective to </w:t>
      </w:r>
      <w:r w:rsidR="00000FD0" w:rsidRPr="0061343E">
        <w:t>DUPI</w:t>
      </w:r>
      <w:r w:rsidRPr="0061343E">
        <w:t xml:space="preserve"> 400 mg SC injection as a loading dose followed by 200 mg SC injection Q2W. </w:t>
      </w:r>
    </w:p>
    <w:p w14:paraId="7565F7BB" w14:textId="07B1EE30" w:rsidR="001C1E5A" w:rsidRPr="0061343E" w:rsidRDefault="001C1E5A" w:rsidP="0034585A">
      <w:pPr>
        <w:pStyle w:val="3-BodyText"/>
        <w:numPr>
          <w:ilvl w:val="0"/>
          <w:numId w:val="0"/>
        </w:numPr>
        <w:ind w:left="1080"/>
      </w:pPr>
      <w:r w:rsidRPr="0061343E">
        <w:lastRenderedPageBreak/>
        <w:t>The submission did not consider relative dose intensity (RDI</w:t>
      </w:r>
      <w:r w:rsidR="00DC787A" w:rsidRPr="0061343E">
        <w:t>)</w:t>
      </w:r>
      <w:r w:rsidRPr="0061343E">
        <w:t xml:space="preserve"> in the CMA. </w:t>
      </w:r>
      <w:r w:rsidR="009B35CB" w:rsidRPr="0061343E">
        <w:t>T</w:t>
      </w:r>
      <w:r w:rsidRPr="0061343E">
        <w:t xml:space="preserve">he RDI in the ARCADIA trials for </w:t>
      </w:r>
      <w:r w:rsidR="00000FD0" w:rsidRPr="0061343E">
        <w:t>NEMO</w:t>
      </w:r>
      <w:r w:rsidRPr="0061343E">
        <w:t xml:space="preserve"> was 96% while that of </w:t>
      </w:r>
      <w:r w:rsidR="00000FD0" w:rsidRPr="0061343E">
        <w:t>DUPI</w:t>
      </w:r>
      <w:r w:rsidRPr="0061343E">
        <w:t xml:space="preserve"> in JADE COMPARE was 93.4%</w:t>
      </w:r>
      <w:r w:rsidR="009B35CB" w:rsidRPr="0061343E">
        <w:t>.</w:t>
      </w:r>
    </w:p>
    <w:p w14:paraId="63DDB585" w14:textId="69978FFD" w:rsidR="001C1E5A" w:rsidRPr="0061343E" w:rsidRDefault="001C1E5A" w:rsidP="001C1E5A">
      <w:pPr>
        <w:pStyle w:val="3-BodyText"/>
      </w:pPr>
      <w:r w:rsidRPr="0061343E">
        <w:t>In addition to direct medicine costs, the submission included cost offsets of $0.71 per patient per week</w:t>
      </w:r>
      <w:r w:rsidR="00BF7E0F" w:rsidRPr="0061343E">
        <w:t xml:space="preserve"> </w:t>
      </w:r>
      <w:r w:rsidR="003D779B" w:rsidRPr="0061343E">
        <w:t>(</w:t>
      </w:r>
      <w:r w:rsidR="00BF7E0F" w:rsidRPr="0061343E">
        <w:t>resulting in a total cost of $73.93</w:t>
      </w:r>
      <w:r w:rsidR="00C26D44" w:rsidRPr="0061343E">
        <w:t xml:space="preserve"> </w:t>
      </w:r>
      <w:r w:rsidR="00D40853" w:rsidRPr="0061343E">
        <w:t>across the two years</w:t>
      </w:r>
      <w:r w:rsidR="003D779B" w:rsidRPr="0061343E">
        <w:t>)</w:t>
      </w:r>
      <w:r w:rsidR="00D40853" w:rsidRPr="0061343E">
        <w:t xml:space="preserve">, </w:t>
      </w:r>
      <w:r w:rsidRPr="0061343E">
        <w:t xml:space="preserve">associated with a reduction in the number of eye complications associated with DUPI over the first 16 weeks of treatment. </w:t>
      </w:r>
      <w:r w:rsidR="00BF7E0F" w:rsidRPr="0061343E">
        <w:t>This approach assumed that the</w:t>
      </w:r>
      <w:r w:rsidRPr="0061343E">
        <w:t xml:space="preserve"> incidence of eye complications observed during the first 16 weeks</w:t>
      </w:r>
      <w:r w:rsidR="00D40853" w:rsidRPr="0061343E">
        <w:t xml:space="preserve"> in the DUPI trials</w:t>
      </w:r>
      <w:r w:rsidRPr="0061343E">
        <w:t xml:space="preserve"> would continue to apply over the 2-year treatment period. No long-term data were presented to support this assumption, noting these costs were not included in previous submissions of treatments for AD made to the PBAC (</w:t>
      </w:r>
      <w:proofErr w:type="spellStart"/>
      <w:r w:rsidRPr="0061343E">
        <w:t>abrocitinib</w:t>
      </w:r>
      <w:proofErr w:type="spellEnd"/>
      <w:r w:rsidRPr="0061343E">
        <w:t xml:space="preserve"> PSD, November 2024 PBAC Meeting; upadacitinib PSD, July 2021 PBAC Meeting and lebrikizumab PSD, March 2024 PBAC meeting). </w:t>
      </w:r>
      <w:r w:rsidR="009360FA" w:rsidRPr="0061343E">
        <w:t>The PSCR maintained the</w:t>
      </w:r>
      <w:r w:rsidR="00930C73" w:rsidRPr="0061343E">
        <w:t xml:space="preserve">se cost offsets </w:t>
      </w:r>
      <w:r w:rsidR="003D779B" w:rsidRPr="0061343E">
        <w:t>were appropriate</w:t>
      </w:r>
      <w:r w:rsidR="00554353" w:rsidRPr="0061343E">
        <w:t>,</w:t>
      </w:r>
      <w:r w:rsidR="007B1CC4" w:rsidRPr="0061343E">
        <w:t xml:space="preserve"> given</w:t>
      </w:r>
      <w:r w:rsidR="00F447FE" w:rsidRPr="0061343E">
        <w:t xml:space="preserve"> NEMO does not </w:t>
      </w:r>
      <w:r w:rsidR="003D779B" w:rsidRPr="0061343E">
        <w:t xml:space="preserve">result in </w:t>
      </w:r>
      <w:r w:rsidR="00F447FE" w:rsidRPr="0061343E">
        <w:t>ocular AEs</w:t>
      </w:r>
      <w:r w:rsidR="00CC41E9" w:rsidRPr="0061343E">
        <w:t>.</w:t>
      </w:r>
      <w:r w:rsidR="00DA3FED" w:rsidRPr="0061343E">
        <w:t xml:space="preserve"> The ESC considered that cost offsets for conjunctivitis should not be included in the CMA</w:t>
      </w:r>
      <w:r w:rsidR="00E13717" w:rsidRPr="0061343E">
        <w:t>.</w:t>
      </w:r>
    </w:p>
    <w:p w14:paraId="4B89A16F" w14:textId="5CFB259E" w:rsidR="001C1E5A" w:rsidRPr="0061343E" w:rsidRDefault="001C1E5A" w:rsidP="001C1E5A">
      <w:pPr>
        <w:pStyle w:val="3-BodyText"/>
      </w:pPr>
      <w:r w:rsidRPr="0061343E">
        <w:t>The results of the CMA are presented below</w:t>
      </w:r>
      <w:r w:rsidR="00DC787A" w:rsidRPr="0061343E">
        <w:t>.</w:t>
      </w:r>
      <w:r w:rsidRPr="0061343E">
        <w:t xml:space="preserve"> </w:t>
      </w:r>
      <w:r w:rsidR="00C26D44" w:rsidRPr="0061343E">
        <w:t xml:space="preserve">Of note, </w:t>
      </w:r>
      <w:r w:rsidR="00F91EE1" w:rsidRPr="0061343E">
        <w:t xml:space="preserve">DUPI is subject to flat pricing, i.e., the published prices for both the 200 mg and 300 mg doses are the </w:t>
      </w:r>
      <w:r w:rsidR="00CE0F01" w:rsidRPr="0061343E">
        <w:t>same</w:t>
      </w:r>
      <w:r w:rsidR="00C26D44" w:rsidRPr="0061343E">
        <w:t xml:space="preserve">. </w:t>
      </w:r>
    </w:p>
    <w:p w14:paraId="7A02EB4C" w14:textId="58B6E6E7" w:rsidR="001C1E5A" w:rsidRPr="0061343E" w:rsidRDefault="001C1E5A" w:rsidP="00550072">
      <w:pPr>
        <w:pStyle w:val="Caption"/>
        <w:keepLines w:val="0"/>
        <w:widowControl w:val="0"/>
      </w:pPr>
      <w:r w:rsidRPr="0061343E">
        <w:t xml:space="preserve">Table </w:t>
      </w:r>
      <w:r w:rsidR="00167892">
        <w:fldChar w:fldCharType="begin"/>
      </w:r>
      <w:r w:rsidR="00167892">
        <w:instrText xml:space="preserve"> SEQ Table \* ARABIC </w:instrText>
      </w:r>
      <w:r w:rsidR="00167892">
        <w:fldChar w:fldCharType="separate"/>
      </w:r>
      <w:r w:rsidR="00E5780E">
        <w:rPr>
          <w:noProof/>
        </w:rPr>
        <w:t>19</w:t>
      </w:r>
      <w:r w:rsidR="00167892">
        <w:rPr>
          <w:noProof/>
        </w:rPr>
        <w:fldChar w:fldCharType="end"/>
      </w:r>
      <w:r w:rsidRPr="0061343E">
        <w:t>: Cost-minimisation of NEMO against DUPI (based on published prices)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9: Cost-minimisation of NEMO against DUPI (based on published prices)"/>
      </w:tblPr>
      <w:tblGrid>
        <w:gridCol w:w="3010"/>
        <w:gridCol w:w="3008"/>
        <w:gridCol w:w="2999"/>
      </w:tblGrid>
      <w:tr w:rsidR="001C1E5A" w:rsidRPr="0061343E" w14:paraId="3D4C669D" w14:textId="77777777" w:rsidTr="00E7466A">
        <w:tc>
          <w:tcPr>
            <w:tcW w:w="3010" w:type="dxa"/>
          </w:tcPr>
          <w:p w14:paraId="5D09C9DA" w14:textId="77777777" w:rsidR="001C1E5A" w:rsidRPr="0061343E" w:rsidRDefault="001C1E5A" w:rsidP="00550072">
            <w:pPr>
              <w:pStyle w:val="In-tableHeading"/>
              <w:keepLines w:val="0"/>
              <w:widowControl w:val="0"/>
            </w:pPr>
            <w:r w:rsidRPr="0061343E">
              <w:t>Component</w:t>
            </w:r>
          </w:p>
        </w:tc>
        <w:tc>
          <w:tcPr>
            <w:tcW w:w="3008" w:type="dxa"/>
          </w:tcPr>
          <w:p w14:paraId="5B91AB27" w14:textId="77777777" w:rsidR="001C1E5A" w:rsidRPr="0061343E" w:rsidRDefault="001C1E5A" w:rsidP="00550072">
            <w:pPr>
              <w:pStyle w:val="In-tableHeading"/>
              <w:keepLines w:val="0"/>
              <w:widowControl w:val="0"/>
              <w:jc w:val="center"/>
              <w:rPr>
                <w:lang w:val="en-AU"/>
              </w:rPr>
            </w:pPr>
            <w:r w:rsidRPr="0061343E">
              <w:rPr>
                <w:lang w:val="en-AU"/>
              </w:rPr>
              <w:t>Nemolizumab</w:t>
            </w:r>
          </w:p>
        </w:tc>
        <w:tc>
          <w:tcPr>
            <w:tcW w:w="2999" w:type="dxa"/>
          </w:tcPr>
          <w:p w14:paraId="7E5FD3C7" w14:textId="77777777" w:rsidR="001C1E5A" w:rsidRPr="0061343E" w:rsidRDefault="001C1E5A" w:rsidP="00550072">
            <w:pPr>
              <w:pStyle w:val="In-tableHeading"/>
              <w:keepLines w:val="0"/>
              <w:widowControl w:val="0"/>
              <w:jc w:val="center"/>
              <w:rPr>
                <w:lang w:val="en-AU"/>
              </w:rPr>
            </w:pPr>
            <w:r w:rsidRPr="0061343E">
              <w:rPr>
                <w:lang w:val="en-AU"/>
              </w:rPr>
              <w:t>Dupilumab</w:t>
            </w:r>
          </w:p>
        </w:tc>
      </w:tr>
      <w:tr w:rsidR="001C1E5A" w:rsidRPr="0061343E" w14:paraId="44FDE799" w14:textId="77777777" w:rsidTr="00E7466A">
        <w:tc>
          <w:tcPr>
            <w:tcW w:w="3010" w:type="dxa"/>
          </w:tcPr>
          <w:p w14:paraId="37096F79" w14:textId="4DF6C6CA" w:rsidR="001C1E5A" w:rsidRPr="0061343E" w:rsidRDefault="001C1E5A" w:rsidP="00550072">
            <w:pPr>
              <w:pStyle w:val="TableText0"/>
              <w:keepLines w:val="0"/>
              <w:widowControl w:val="0"/>
            </w:pPr>
            <w:r w:rsidRPr="0061343E">
              <w:t>AEMP</w:t>
            </w:r>
            <w:r w:rsidR="006C2606" w:rsidRPr="0061343E">
              <w:t>/EMP</w:t>
            </w:r>
            <w:r w:rsidRPr="0061343E">
              <w:t xml:space="preserve"> per script</w:t>
            </w:r>
          </w:p>
        </w:tc>
        <w:tc>
          <w:tcPr>
            <w:tcW w:w="3008" w:type="dxa"/>
          </w:tcPr>
          <w:p w14:paraId="00065804" w14:textId="6C4EF457" w:rsidR="001C1E5A" w:rsidRPr="008123A0" w:rsidRDefault="001C1E5A" w:rsidP="00550072">
            <w:pPr>
              <w:pStyle w:val="TableText0"/>
              <w:keepLines w:val="0"/>
              <w:widowControl w:val="0"/>
            </w:pPr>
            <w:r w:rsidRPr="008123A0">
              <w:t>$2,670</w:t>
            </w:r>
          </w:p>
        </w:tc>
        <w:tc>
          <w:tcPr>
            <w:tcW w:w="2999" w:type="dxa"/>
          </w:tcPr>
          <w:p w14:paraId="0E6B49E1" w14:textId="77777777" w:rsidR="001C1E5A" w:rsidRPr="0061343E" w:rsidRDefault="001C1E5A" w:rsidP="00550072">
            <w:pPr>
              <w:pStyle w:val="TableText0"/>
              <w:keepLines w:val="0"/>
              <w:widowControl w:val="0"/>
            </w:pPr>
            <w:r w:rsidRPr="0061343E">
              <w:t>$1,609.86</w:t>
            </w:r>
          </w:p>
        </w:tc>
      </w:tr>
      <w:tr w:rsidR="001C1E5A" w:rsidRPr="0061343E" w14:paraId="4CED4BA6" w14:textId="77777777" w:rsidTr="00E7466A">
        <w:tc>
          <w:tcPr>
            <w:tcW w:w="3010" w:type="dxa"/>
          </w:tcPr>
          <w:p w14:paraId="5BAABC2E" w14:textId="77777777" w:rsidR="001C1E5A" w:rsidRPr="0061343E" w:rsidRDefault="001C1E5A" w:rsidP="00550072">
            <w:pPr>
              <w:pStyle w:val="TableText0"/>
              <w:keepLines w:val="0"/>
              <w:widowControl w:val="0"/>
            </w:pPr>
            <w:r w:rsidRPr="0061343E">
              <w:t xml:space="preserve">No. of doses over 2 years </w:t>
            </w:r>
          </w:p>
        </w:tc>
        <w:tc>
          <w:tcPr>
            <w:tcW w:w="3008" w:type="dxa"/>
          </w:tcPr>
          <w:p w14:paraId="4002120B" w14:textId="77777777" w:rsidR="001C1E5A" w:rsidRPr="008123A0" w:rsidRDefault="001C1E5A" w:rsidP="00550072">
            <w:pPr>
              <w:pStyle w:val="TableText0"/>
              <w:keepLines w:val="0"/>
              <w:widowControl w:val="0"/>
            </w:pPr>
            <w:r w:rsidRPr="008123A0">
              <w:t>16</w:t>
            </w:r>
          </w:p>
        </w:tc>
        <w:tc>
          <w:tcPr>
            <w:tcW w:w="2999" w:type="dxa"/>
          </w:tcPr>
          <w:p w14:paraId="2A7B07F7" w14:textId="77777777" w:rsidR="001C1E5A" w:rsidRPr="0061343E" w:rsidRDefault="001C1E5A" w:rsidP="00550072">
            <w:pPr>
              <w:pStyle w:val="TableText0"/>
              <w:keepLines w:val="0"/>
              <w:widowControl w:val="0"/>
            </w:pPr>
            <w:r w:rsidRPr="0061343E">
              <w:t>53</w:t>
            </w:r>
          </w:p>
        </w:tc>
      </w:tr>
      <w:tr w:rsidR="001C1E5A" w:rsidRPr="0061343E" w14:paraId="7FF4AF75" w14:textId="77777777" w:rsidTr="00E7466A">
        <w:tc>
          <w:tcPr>
            <w:tcW w:w="3010" w:type="dxa"/>
          </w:tcPr>
          <w:p w14:paraId="467BECA1" w14:textId="77777777" w:rsidR="001C1E5A" w:rsidRPr="0061343E" w:rsidRDefault="001C1E5A" w:rsidP="00550072">
            <w:pPr>
              <w:pStyle w:val="TableText0"/>
              <w:keepLines w:val="0"/>
              <w:widowControl w:val="0"/>
            </w:pPr>
            <w:r w:rsidRPr="0061343E">
              <w:t>No. of scripts over 2 years</w:t>
            </w:r>
          </w:p>
        </w:tc>
        <w:tc>
          <w:tcPr>
            <w:tcW w:w="3008" w:type="dxa"/>
          </w:tcPr>
          <w:p w14:paraId="1B31C7B7" w14:textId="77777777" w:rsidR="001C1E5A" w:rsidRPr="008123A0" w:rsidRDefault="001C1E5A" w:rsidP="00550072">
            <w:pPr>
              <w:pStyle w:val="TableText0"/>
              <w:keepLines w:val="0"/>
              <w:widowControl w:val="0"/>
            </w:pPr>
            <w:r w:rsidRPr="008123A0">
              <w:t>16</w:t>
            </w:r>
          </w:p>
        </w:tc>
        <w:tc>
          <w:tcPr>
            <w:tcW w:w="2999" w:type="dxa"/>
          </w:tcPr>
          <w:p w14:paraId="5FC7682F" w14:textId="77777777" w:rsidR="001C1E5A" w:rsidRPr="0061343E" w:rsidRDefault="001C1E5A" w:rsidP="00550072">
            <w:pPr>
              <w:pStyle w:val="TableText0"/>
              <w:keepLines w:val="0"/>
              <w:widowControl w:val="0"/>
            </w:pPr>
            <w:r w:rsidRPr="0061343E">
              <w:t>26.5</w:t>
            </w:r>
          </w:p>
        </w:tc>
      </w:tr>
      <w:tr w:rsidR="001C1E5A" w:rsidRPr="0061343E" w14:paraId="6C443A48" w14:textId="77777777" w:rsidTr="00E7466A">
        <w:tc>
          <w:tcPr>
            <w:tcW w:w="3010" w:type="dxa"/>
          </w:tcPr>
          <w:p w14:paraId="68FC1A48" w14:textId="77777777" w:rsidR="001C1E5A" w:rsidRPr="0061343E" w:rsidRDefault="001C1E5A" w:rsidP="00550072">
            <w:pPr>
              <w:pStyle w:val="TableText0"/>
              <w:keepLines w:val="0"/>
              <w:widowControl w:val="0"/>
            </w:pPr>
            <w:r w:rsidRPr="0061343E">
              <w:t>Total medicines cost over 2 years</w:t>
            </w:r>
          </w:p>
        </w:tc>
        <w:tc>
          <w:tcPr>
            <w:tcW w:w="3008" w:type="dxa"/>
          </w:tcPr>
          <w:p w14:paraId="2A8922E2" w14:textId="77777777" w:rsidR="001C1E5A" w:rsidRPr="008123A0" w:rsidRDefault="001C1E5A" w:rsidP="00550072">
            <w:pPr>
              <w:pStyle w:val="TableText0"/>
              <w:keepLines w:val="0"/>
              <w:widowControl w:val="0"/>
            </w:pPr>
            <w:r w:rsidRPr="008123A0">
              <w:t>$42,735.22</w:t>
            </w:r>
          </w:p>
        </w:tc>
        <w:tc>
          <w:tcPr>
            <w:tcW w:w="2999" w:type="dxa"/>
          </w:tcPr>
          <w:p w14:paraId="6A0C1310" w14:textId="77777777" w:rsidR="001C1E5A" w:rsidRPr="0061343E" w:rsidRDefault="001C1E5A" w:rsidP="00550072">
            <w:pPr>
              <w:pStyle w:val="TableText0"/>
              <w:keepLines w:val="0"/>
              <w:widowControl w:val="0"/>
            </w:pPr>
            <w:r w:rsidRPr="0061343E">
              <w:t>$42,661.29</w:t>
            </w:r>
          </w:p>
        </w:tc>
      </w:tr>
      <w:tr w:rsidR="001C1E5A" w:rsidRPr="0061343E" w14:paraId="088178B8" w14:textId="77777777" w:rsidTr="00E7466A">
        <w:tc>
          <w:tcPr>
            <w:tcW w:w="3010" w:type="dxa"/>
          </w:tcPr>
          <w:p w14:paraId="107CC476" w14:textId="77777777" w:rsidR="001C1E5A" w:rsidRPr="0061343E" w:rsidRDefault="001C1E5A" w:rsidP="00550072">
            <w:pPr>
              <w:pStyle w:val="TableText0"/>
              <w:keepLines w:val="0"/>
              <w:widowControl w:val="0"/>
            </w:pPr>
            <w:r w:rsidRPr="0061343E">
              <w:t xml:space="preserve">Cost of managing eye complications  </w:t>
            </w:r>
          </w:p>
        </w:tc>
        <w:tc>
          <w:tcPr>
            <w:tcW w:w="3008" w:type="dxa"/>
          </w:tcPr>
          <w:p w14:paraId="1D89905A" w14:textId="77777777" w:rsidR="001C1E5A" w:rsidRPr="008123A0" w:rsidRDefault="001C1E5A" w:rsidP="00550072">
            <w:pPr>
              <w:pStyle w:val="TableText0"/>
              <w:keepLines w:val="0"/>
              <w:widowControl w:val="0"/>
            </w:pPr>
            <w:r w:rsidRPr="008123A0">
              <w:t>$0.00</w:t>
            </w:r>
          </w:p>
        </w:tc>
        <w:tc>
          <w:tcPr>
            <w:tcW w:w="2999" w:type="dxa"/>
          </w:tcPr>
          <w:p w14:paraId="417389FD" w14:textId="77777777" w:rsidR="001C1E5A" w:rsidRPr="0061343E" w:rsidRDefault="001C1E5A" w:rsidP="00550072">
            <w:pPr>
              <w:pStyle w:val="TableText0"/>
              <w:keepLines w:val="0"/>
              <w:widowControl w:val="0"/>
            </w:pPr>
            <w:r w:rsidRPr="0061343E">
              <w:t>$73.93</w:t>
            </w:r>
          </w:p>
        </w:tc>
      </w:tr>
      <w:tr w:rsidR="001C1E5A" w:rsidRPr="0061343E" w14:paraId="1DA62A7C" w14:textId="77777777" w:rsidTr="00E7466A">
        <w:trPr>
          <w:trHeight w:val="70"/>
        </w:trPr>
        <w:tc>
          <w:tcPr>
            <w:tcW w:w="3010" w:type="dxa"/>
          </w:tcPr>
          <w:p w14:paraId="6A00DB18" w14:textId="77777777" w:rsidR="001C1E5A" w:rsidRPr="0061343E" w:rsidRDefault="001C1E5A" w:rsidP="00550072">
            <w:pPr>
              <w:pStyle w:val="TableText0"/>
              <w:keepLines w:val="0"/>
              <w:widowControl w:val="0"/>
            </w:pPr>
            <w:r w:rsidRPr="0061343E">
              <w:t xml:space="preserve">Total 2-year treatment cost </w:t>
            </w:r>
          </w:p>
        </w:tc>
        <w:tc>
          <w:tcPr>
            <w:tcW w:w="3008" w:type="dxa"/>
          </w:tcPr>
          <w:p w14:paraId="3DE22706" w14:textId="77777777" w:rsidR="001C1E5A" w:rsidRPr="008123A0" w:rsidRDefault="001C1E5A" w:rsidP="00550072">
            <w:pPr>
              <w:pStyle w:val="TableText0"/>
              <w:keepLines w:val="0"/>
              <w:widowControl w:val="0"/>
            </w:pPr>
            <w:r w:rsidRPr="008123A0">
              <w:t>$42,735.22</w:t>
            </w:r>
          </w:p>
        </w:tc>
        <w:tc>
          <w:tcPr>
            <w:tcW w:w="2999" w:type="dxa"/>
          </w:tcPr>
          <w:p w14:paraId="27FFDBF6" w14:textId="77777777" w:rsidR="001C1E5A" w:rsidRPr="0061343E" w:rsidRDefault="001C1E5A" w:rsidP="00550072">
            <w:pPr>
              <w:pStyle w:val="TableText0"/>
              <w:keepLines w:val="0"/>
              <w:widowControl w:val="0"/>
            </w:pPr>
            <w:r w:rsidRPr="0061343E">
              <w:t>$42,735.22</w:t>
            </w:r>
          </w:p>
        </w:tc>
      </w:tr>
      <w:tr w:rsidR="001C1E5A" w:rsidRPr="0061343E" w14:paraId="7FFBAC6F" w14:textId="77777777" w:rsidTr="00E7466A">
        <w:tc>
          <w:tcPr>
            <w:tcW w:w="3010" w:type="dxa"/>
          </w:tcPr>
          <w:p w14:paraId="0AB8A0C8" w14:textId="77777777" w:rsidR="001C1E5A" w:rsidRPr="0061343E" w:rsidRDefault="001C1E5A" w:rsidP="00550072">
            <w:pPr>
              <w:pStyle w:val="TableText0"/>
              <w:keepLines w:val="0"/>
              <w:widowControl w:val="0"/>
            </w:pPr>
            <w:r w:rsidRPr="0061343E">
              <w:t>DPMQ</w:t>
            </w:r>
          </w:p>
        </w:tc>
        <w:tc>
          <w:tcPr>
            <w:tcW w:w="3008" w:type="dxa"/>
          </w:tcPr>
          <w:p w14:paraId="67FCC1F1" w14:textId="77777777" w:rsidR="001C1E5A" w:rsidRPr="008123A0" w:rsidRDefault="001C1E5A" w:rsidP="00550072">
            <w:pPr>
              <w:pStyle w:val="TableText0"/>
              <w:keepLines w:val="0"/>
              <w:widowControl w:val="0"/>
            </w:pPr>
            <w:r w:rsidRPr="008123A0">
              <w:t>$2,833.55</w:t>
            </w:r>
          </w:p>
        </w:tc>
        <w:tc>
          <w:tcPr>
            <w:tcW w:w="2999" w:type="dxa"/>
          </w:tcPr>
          <w:p w14:paraId="66A9179C" w14:textId="77777777" w:rsidR="001C1E5A" w:rsidRPr="0061343E" w:rsidRDefault="001C1E5A" w:rsidP="00550072">
            <w:pPr>
              <w:pStyle w:val="TableText0"/>
              <w:keepLines w:val="0"/>
              <w:widowControl w:val="0"/>
            </w:pPr>
            <w:r w:rsidRPr="0061343E">
              <w:t xml:space="preserve">$1,755.66 </w:t>
            </w:r>
          </w:p>
        </w:tc>
      </w:tr>
    </w:tbl>
    <w:p w14:paraId="75132CAF" w14:textId="77777777" w:rsidR="001C1E5A" w:rsidRPr="0061343E" w:rsidRDefault="001C1E5A" w:rsidP="001C1E5A">
      <w:pPr>
        <w:pStyle w:val="TableFigureFooter"/>
      </w:pPr>
      <w:r w:rsidRPr="0061343E">
        <w:t xml:space="preserve">Source: tabulated during the evaluation, from Table 3-4, p235 of the submission. </w:t>
      </w:r>
    </w:p>
    <w:p w14:paraId="7BA63A45" w14:textId="35D3ACB6" w:rsidR="001C1E5A" w:rsidRPr="0061343E" w:rsidRDefault="00F27AEF" w:rsidP="00A75874">
      <w:pPr>
        <w:pStyle w:val="TableFigureFooter"/>
        <w:spacing w:after="120"/>
        <w:contextualSpacing w:val="0"/>
      </w:pPr>
      <w:r w:rsidRPr="0061343E">
        <w:t>AEMP =</w:t>
      </w:r>
      <w:r w:rsidR="001C1E5A" w:rsidRPr="0061343E">
        <w:t xml:space="preserve"> approved ex-manufacturer price; DPMQ = dispensed price for maximum quantity; DUPI = dupilumab; NEMO = nemolizumab; No.  = number </w:t>
      </w:r>
    </w:p>
    <w:p w14:paraId="33165D48" w14:textId="77AAF9FB" w:rsidR="001C1E5A" w:rsidRPr="00732799" w:rsidRDefault="00934614" w:rsidP="001C1E5A">
      <w:pPr>
        <w:pStyle w:val="3-BodyText"/>
        <w:rPr>
          <w:color w:val="0066FF"/>
        </w:rPr>
      </w:pPr>
      <w:r w:rsidRPr="0061343E">
        <w:t>T</w:t>
      </w:r>
      <w:r w:rsidR="001C1E5A" w:rsidRPr="0061343E">
        <w:t>he cost</w:t>
      </w:r>
      <w:r w:rsidR="00DB5B41" w:rsidRPr="0061343E">
        <w:t xml:space="preserve"> offset</w:t>
      </w:r>
      <w:r w:rsidR="001C1E5A" w:rsidRPr="0061343E">
        <w:t xml:space="preserve">s </w:t>
      </w:r>
      <w:r w:rsidR="00DB5B41" w:rsidRPr="0061343E">
        <w:t xml:space="preserve">associated with </w:t>
      </w:r>
      <w:r w:rsidR="001C1E5A" w:rsidRPr="0061343E">
        <w:t xml:space="preserve">managing eye complications </w:t>
      </w:r>
      <w:r w:rsidR="00DB5B41" w:rsidRPr="0061343E">
        <w:t xml:space="preserve">are </w:t>
      </w:r>
      <w:r w:rsidR="001C1E5A" w:rsidRPr="0061343E">
        <w:t xml:space="preserve">uncertain. If </w:t>
      </w:r>
      <w:r w:rsidR="00642DE9" w:rsidRPr="0061343E">
        <w:t xml:space="preserve">the </w:t>
      </w:r>
      <w:r w:rsidR="001C1E5A" w:rsidRPr="0061343E">
        <w:t xml:space="preserve">costs associated with conjunctivitis </w:t>
      </w:r>
      <w:r w:rsidR="00151384" w:rsidRPr="0061343E">
        <w:t xml:space="preserve">are </w:t>
      </w:r>
      <w:r w:rsidR="00151384" w:rsidRPr="00732799">
        <w:t xml:space="preserve">applied for </w:t>
      </w:r>
      <w:r w:rsidR="00815CF7" w:rsidRPr="00732799">
        <w:t xml:space="preserve">only </w:t>
      </w:r>
      <w:r w:rsidR="001C1E5A" w:rsidRPr="00732799">
        <w:t xml:space="preserve">a 16-week period, the total 2-year treatment cost reduces, resulting in a lower EMP of $2,667.04 per NEMO script. If costs associated with conjunctivitis are excluded entirely, the resulting EMP is $2,666.33 per NEMO script. </w:t>
      </w:r>
      <w:r w:rsidR="00B63BD0" w:rsidRPr="00732799">
        <w:t>If RDI is considered (96% for NEMO and 93.4% for DUPI), the EMP reduces to $2,598.83 per NEMO script.</w:t>
      </w:r>
    </w:p>
    <w:p w14:paraId="1A91F0B3" w14:textId="5A1C27F6" w:rsidR="00627B30" w:rsidRPr="0061343E" w:rsidRDefault="00627B30" w:rsidP="001C1E5A">
      <w:pPr>
        <w:pStyle w:val="3-BodyText"/>
      </w:pPr>
      <w:r w:rsidRPr="0061343E">
        <w:t xml:space="preserve">The PSCR </w:t>
      </w:r>
      <w:r w:rsidR="003D779B" w:rsidRPr="0061343E">
        <w:t xml:space="preserve">presented a revised CMA which included an </w:t>
      </w:r>
      <w:r w:rsidR="00B83AEA" w:rsidRPr="0061343E">
        <w:t xml:space="preserve">extended induction period </w:t>
      </w:r>
      <w:r w:rsidR="003D779B" w:rsidRPr="0061343E">
        <w:t xml:space="preserve">for patients who had not responded to NEMO at 16 weeks. For these patients an additional injection of NEMO is required before progression to the </w:t>
      </w:r>
      <w:r w:rsidR="005C2CED" w:rsidRPr="0061343E">
        <w:t>continuation stage of treatment</w:t>
      </w:r>
      <w:r w:rsidR="00082077" w:rsidRPr="0061343E">
        <w:t>. The PSCR calculated</w:t>
      </w:r>
      <w:r w:rsidR="003D779B" w:rsidRPr="0061343E">
        <w:t>,</w:t>
      </w:r>
      <w:r w:rsidR="00082077" w:rsidRPr="0061343E">
        <w:t xml:space="preserve"> </w:t>
      </w:r>
      <w:r w:rsidRPr="0061343E">
        <w:t xml:space="preserve">based on the composite outcome </w:t>
      </w:r>
      <w:r w:rsidR="003D779B" w:rsidRPr="0061343E">
        <w:t>of EASI-50</w:t>
      </w:r>
      <w:r w:rsidRPr="0061343E">
        <w:t xml:space="preserve"> in the PBS population, </w:t>
      </w:r>
      <w:r w:rsidR="003D779B" w:rsidRPr="0061343E">
        <w:t xml:space="preserve">that </w:t>
      </w:r>
      <w:r w:rsidRPr="0061343E">
        <w:t xml:space="preserve">74.1% </w:t>
      </w:r>
      <w:r w:rsidR="00A92655" w:rsidRPr="0061343E">
        <w:t xml:space="preserve">(164/221) </w:t>
      </w:r>
      <w:r w:rsidRPr="0061343E">
        <w:t xml:space="preserve">of responders will </w:t>
      </w:r>
      <w:r w:rsidR="003D779B" w:rsidRPr="0061343E">
        <w:t>receive</w:t>
      </w:r>
      <w:r w:rsidRPr="0061343E">
        <w:t xml:space="preserve"> 16 injections over 2 years and </w:t>
      </w:r>
      <w:r w:rsidR="003D779B" w:rsidRPr="0061343E">
        <w:t>25.9% (57/221) will require the e</w:t>
      </w:r>
      <w:r w:rsidRPr="0061343E">
        <w:t xml:space="preserve">xtended </w:t>
      </w:r>
      <w:r w:rsidR="003D779B" w:rsidRPr="0061343E">
        <w:t>i</w:t>
      </w:r>
      <w:r w:rsidRPr="0061343E">
        <w:t xml:space="preserve">nduction </w:t>
      </w:r>
      <w:r w:rsidR="003D779B" w:rsidRPr="0061343E">
        <w:t>and will receive</w:t>
      </w:r>
      <w:r w:rsidRPr="0061343E">
        <w:t xml:space="preserve"> 17 </w:t>
      </w:r>
      <w:r w:rsidRPr="003F13EE">
        <w:t xml:space="preserve">injections. This </w:t>
      </w:r>
      <w:r w:rsidR="00082077" w:rsidRPr="003F13EE">
        <w:t xml:space="preserve">resulted </w:t>
      </w:r>
      <w:r w:rsidR="003D779B" w:rsidRPr="003F13EE">
        <w:t>in</w:t>
      </w:r>
      <w:r w:rsidRPr="003F13EE">
        <w:t xml:space="preserve"> an increase in the weighted number of injections to 16.26 over 2 years</w:t>
      </w:r>
      <w:r w:rsidR="003D779B" w:rsidRPr="003F13EE">
        <w:t xml:space="preserve"> and a revised proposed </w:t>
      </w:r>
      <w:r w:rsidR="004440D0" w:rsidRPr="003F13EE">
        <w:t xml:space="preserve">published </w:t>
      </w:r>
      <w:r w:rsidRPr="003F13EE">
        <w:t xml:space="preserve">EMP per injection </w:t>
      </w:r>
      <w:r w:rsidR="003D779B" w:rsidRPr="003F13EE">
        <w:t>of</w:t>
      </w:r>
      <w:r w:rsidR="004440D0" w:rsidRPr="003F13EE">
        <w:t xml:space="preserve"> </w:t>
      </w:r>
      <w:r w:rsidRPr="003F13EE">
        <w:t xml:space="preserve">$2,628.42 </w:t>
      </w:r>
      <w:r w:rsidR="003D779B" w:rsidRPr="003F13EE">
        <w:t xml:space="preserve">(reduced by 1.6% </w:t>
      </w:r>
      <w:r w:rsidRPr="003F13EE">
        <w:t>from $2,670.95</w:t>
      </w:r>
      <w:r w:rsidR="004440D0" w:rsidRPr="003F13EE">
        <w:t>)</w:t>
      </w:r>
      <w:r w:rsidRPr="003F13EE">
        <w:t xml:space="preserve">. </w:t>
      </w:r>
      <w:r w:rsidR="003F6688" w:rsidRPr="003F13EE">
        <w:t xml:space="preserve">As </w:t>
      </w:r>
      <w:r w:rsidR="003D779B" w:rsidRPr="003F13EE">
        <w:t>noted</w:t>
      </w:r>
      <w:r w:rsidR="003F6688" w:rsidRPr="003F13EE">
        <w:t xml:space="preserve"> above, t</w:t>
      </w:r>
      <w:r w:rsidR="00470627" w:rsidRPr="003F13EE">
        <w:t xml:space="preserve">he ESC considered </w:t>
      </w:r>
      <w:r w:rsidR="003D779B" w:rsidRPr="003F13EE">
        <w:t xml:space="preserve">that </w:t>
      </w:r>
      <w:r w:rsidR="00470627" w:rsidRPr="003F13EE">
        <w:t>the</w:t>
      </w:r>
      <w:r w:rsidR="00470627" w:rsidRPr="0061343E">
        <w:t xml:space="preserve"> </w:t>
      </w:r>
      <w:r w:rsidR="00470627" w:rsidRPr="0061343E">
        <w:lastRenderedPageBreak/>
        <w:t xml:space="preserve">extended induction period </w:t>
      </w:r>
      <w:r w:rsidR="003D779B" w:rsidRPr="0061343E">
        <w:t>was not</w:t>
      </w:r>
      <w:r w:rsidR="00470627" w:rsidRPr="0061343E">
        <w:t xml:space="preserve"> appropriate </w:t>
      </w:r>
      <w:r w:rsidR="007A1D40" w:rsidRPr="0061343E">
        <w:t xml:space="preserve">as </w:t>
      </w:r>
      <w:r w:rsidR="003D779B" w:rsidRPr="0061343E">
        <w:t>it was not included in the</w:t>
      </w:r>
      <w:r w:rsidR="007A1D40" w:rsidRPr="0061343E">
        <w:t xml:space="preserve"> approved PI.</w:t>
      </w:r>
      <w:r w:rsidR="007E3DC8">
        <w:t xml:space="preserve"> The Pre-PBAC response proposed </w:t>
      </w:r>
      <w:r w:rsidR="00F11120">
        <w:t>a further price reduction</w:t>
      </w:r>
      <w:r w:rsidR="00B76E76">
        <w:t xml:space="preserve"> of </w:t>
      </w:r>
      <w:r w:rsidR="00590FB9" w:rsidRPr="00590FB9">
        <w:rPr>
          <w:color w:val="000000"/>
          <w:w w:val="61"/>
          <w:shd w:val="solid" w:color="000000" w:fill="000000"/>
          <w:fitText w:val="475" w:id="-628929024"/>
          <w14:textFill>
            <w14:solidFill>
              <w14:srgbClr w14:val="000000">
                <w14:alpha w14:val="100000"/>
              </w14:srgbClr>
            </w14:solidFill>
          </w14:textFill>
        </w:rPr>
        <w:t>|||  ||</w:t>
      </w:r>
      <w:r w:rsidR="00590FB9" w:rsidRPr="00590FB9">
        <w:rPr>
          <w:color w:val="000000"/>
          <w:spacing w:val="5"/>
          <w:w w:val="61"/>
          <w:shd w:val="solid" w:color="000000" w:fill="000000"/>
          <w:fitText w:val="475" w:id="-628929024"/>
          <w14:textFill>
            <w14:solidFill>
              <w14:srgbClr w14:val="000000">
                <w14:alpha w14:val="100000"/>
              </w14:srgbClr>
            </w14:solidFill>
          </w14:textFill>
        </w:rPr>
        <w:t>|</w:t>
      </w:r>
      <w:r w:rsidR="00B76E76">
        <w:t>%,</w:t>
      </w:r>
      <w:r w:rsidR="00F11120">
        <w:t xml:space="preserve"> </w:t>
      </w:r>
      <w:r w:rsidR="00B76E76">
        <w:t>resulting in an AEMP of $</w:t>
      </w:r>
      <w:r w:rsidR="00590FB9" w:rsidRPr="00590FB9">
        <w:rPr>
          <w:color w:val="000000"/>
          <w:w w:val="59"/>
          <w:shd w:val="solid" w:color="000000" w:fill="000000"/>
          <w:fitText w:val="460" w:id="-628929023"/>
          <w14:textFill>
            <w14:solidFill>
              <w14:srgbClr w14:val="000000">
                <w14:alpha w14:val="100000"/>
              </w14:srgbClr>
            </w14:solidFill>
          </w14:textFill>
        </w:rPr>
        <w:t>|||  ||</w:t>
      </w:r>
      <w:r w:rsidR="00590FB9" w:rsidRPr="00590FB9">
        <w:rPr>
          <w:color w:val="000000"/>
          <w:spacing w:val="5"/>
          <w:w w:val="59"/>
          <w:shd w:val="solid" w:color="000000" w:fill="000000"/>
          <w:fitText w:val="460" w:id="-628929023"/>
          <w14:textFill>
            <w14:solidFill>
              <w14:srgbClr w14:val="000000">
                <w14:alpha w14:val="100000"/>
              </w14:srgbClr>
            </w14:solidFill>
          </w14:textFill>
        </w:rPr>
        <w:t>|</w:t>
      </w:r>
      <w:r w:rsidR="00877934" w:rsidRPr="003329D5">
        <w:t xml:space="preserve"> </w:t>
      </w:r>
      <w:r w:rsidR="00877934">
        <w:t xml:space="preserve">to </w:t>
      </w:r>
      <w:r w:rsidR="00240F4B">
        <w:t>reduce any further uncertainty</w:t>
      </w:r>
      <w:r w:rsidR="003F2762">
        <w:t xml:space="preserve"> regarding the </w:t>
      </w:r>
      <w:r w:rsidR="007A4F4C">
        <w:t>non-inferiority clinical claim</w:t>
      </w:r>
      <w:r w:rsidR="00096F80">
        <w:t>.</w:t>
      </w:r>
    </w:p>
    <w:p w14:paraId="69E6999D" w14:textId="0D1DA05B" w:rsidR="00172885" w:rsidRPr="0061343E" w:rsidRDefault="00BF7E0F" w:rsidP="001A6A1B">
      <w:pPr>
        <w:pStyle w:val="3-BodyText"/>
        <w:rPr>
          <w:color w:val="0066FF"/>
        </w:rPr>
      </w:pPr>
      <w:r w:rsidRPr="0061343E">
        <w:t>Ke</w:t>
      </w:r>
      <w:r w:rsidR="00C44702" w:rsidRPr="0061343E">
        <w:t>y</w:t>
      </w:r>
      <w:r w:rsidRPr="0061343E">
        <w:t xml:space="preserve"> uncertainties of the CMA relat</w:t>
      </w:r>
      <w:r w:rsidR="00C44702" w:rsidRPr="0061343E">
        <w:t>e</w:t>
      </w:r>
      <w:r w:rsidRPr="0061343E">
        <w:t xml:space="preserve"> to long term comparative effectiveness and safety of NEMO vs DUPI. </w:t>
      </w:r>
      <w:r w:rsidR="00601306" w:rsidRPr="0061343E">
        <w:t xml:space="preserve">The ESC </w:t>
      </w:r>
      <w:r w:rsidR="003D779B" w:rsidRPr="0061343E">
        <w:t>considered that NEMO was inferior in terms of clinical efficacy compared to DUPI</w:t>
      </w:r>
      <w:r w:rsidR="00DC03D9" w:rsidRPr="0061343E">
        <w:t>.</w:t>
      </w:r>
      <w:r w:rsidR="001A6A1B" w:rsidRPr="0061343E">
        <w:t xml:space="preserve"> </w:t>
      </w:r>
      <w:r w:rsidR="00DC03D9" w:rsidRPr="0061343E">
        <w:t xml:space="preserve">The ESC </w:t>
      </w:r>
      <w:r w:rsidR="003D779B" w:rsidRPr="0061343E">
        <w:t xml:space="preserve">recalled that </w:t>
      </w:r>
      <w:r w:rsidR="00DC03D9" w:rsidRPr="0061343E">
        <w:t xml:space="preserve">the PBAC </w:t>
      </w:r>
      <w:r w:rsidR="003D779B" w:rsidRPr="0061343E">
        <w:t xml:space="preserve">had stated </w:t>
      </w:r>
      <w:r w:rsidR="00DC03D9" w:rsidRPr="0061343E">
        <w:t>in its consideration of baricitinib for the same indication that “the literature suggests higher willingness to accept (WTA) for south</w:t>
      </w:r>
      <w:r w:rsidR="00B966D2" w:rsidRPr="0061343E">
        <w:t>-</w:t>
      </w:r>
      <w:r w:rsidR="00DC03D9" w:rsidRPr="0061343E">
        <w:t xml:space="preserve">west quadrant </w:t>
      </w:r>
      <w:r w:rsidR="000E29A3" w:rsidRPr="000E29A3">
        <w:t xml:space="preserve">incremental cost effectiveness ratio </w:t>
      </w:r>
      <w:r w:rsidR="000E29A3">
        <w:t>(</w:t>
      </w:r>
      <w:r w:rsidR="00DC03D9" w:rsidRPr="0061343E">
        <w:t>ICERs</w:t>
      </w:r>
      <w:r w:rsidR="000E29A3">
        <w:t>)</w:t>
      </w:r>
      <w:r w:rsidR="00DC03D9" w:rsidRPr="0061343E">
        <w:t xml:space="preserve"> (where treatments are less effective and less costly) compared to willingness to pay (WTP) for north</w:t>
      </w:r>
      <w:r w:rsidR="00B966D2" w:rsidRPr="0061343E">
        <w:t>-</w:t>
      </w:r>
      <w:r w:rsidR="00DC03D9" w:rsidRPr="0061343E">
        <w:t>east quadrant ICERs (where treatments are more effective and more costly)” (para</w:t>
      </w:r>
      <w:r w:rsidR="003D779B" w:rsidRPr="0061343E">
        <w:t>graph</w:t>
      </w:r>
      <w:r w:rsidR="00DC03D9" w:rsidRPr="0061343E">
        <w:t xml:space="preserve"> 7.13, baricitinib PSD, July 2021 PBAC meeting)</w:t>
      </w:r>
      <w:r w:rsidR="00FF3A29" w:rsidRPr="0061343E">
        <w:t xml:space="preserve">. </w:t>
      </w:r>
      <w:r w:rsidR="003D779B" w:rsidRPr="0061343E">
        <w:t>The ESC considered that the price of NEMO should reflect this lower efficacy.</w:t>
      </w:r>
    </w:p>
    <w:p w14:paraId="7C056281" w14:textId="77777777" w:rsidR="001C1E5A" w:rsidRPr="00D86D87" w:rsidRDefault="001C1E5A" w:rsidP="001C1E5A">
      <w:pPr>
        <w:pStyle w:val="4-SubsectionHeading"/>
      </w:pPr>
      <w:bookmarkStart w:id="71" w:name="_Toc22897646"/>
      <w:bookmarkStart w:id="72" w:name="_Toc198648778"/>
      <w:r w:rsidRPr="00D86D87">
        <w:t>Drug cost/patient/year</w:t>
      </w:r>
      <w:bookmarkEnd w:id="71"/>
      <w:bookmarkEnd w:id="72"/>
    </w:p>
    <w:p w14:paraId="46078DD0" w14:textId="1003B8B2" w:rsidR="003D779B" w:rsidRPr="0016695A" w:rsidRDefault="00345358" w:rsidP="001C1E5A">
      <w:pPr>
        <w:pStyle w:val="3-BodyText"/>
      </w:pPr>
      <w:bookmarkStart w:id="73" w:name="_Ref104805102"/>
      <w:r w:rsidRPr="0061343E">
        <w:t xml:space="preserve">Based </w:t>
      </w:r>
      <w:r w:rsidRPr="0016695A">
        <w:t>on the results of the CMA</w:t>
      </w:r>
      <w:r w:rsidR="00BF0271" w:rsidRPr="0016695A">
        <w:t xml:space="preserve"> from the submission</w:t>
      </w:r>
      <w:r w:rsidRPr="0016695A">
        <w:t>, t</w:t>
      </w:r>
      <w:r w:rsidR="001C1E5A" w:rsidRPr="0016695A">
        <w:t>he drug cost/patient/dose for NEMO was $5,504.50 for the loading dose (60 mg) and $2,833.50 for the subsequent doses (30 mg Q4W, 30 mg Q8W).  Th</w:t>
      </w:r>
      <w:r w:rsidR="00F54A5B" w:rsidRPr="0016695A">
        <w:t xml:space="preserve">is results in a </w:t>
      </w:r>
      <w:r w:rsidR="001C1E5A" w:rsidRPr="0016695A">
        <w:t xml:space="preserve">drug cost/patient/year for NEMO </w:t>
      </w:r>
      <w:r w:rsidR="00F54A5B" w:rsidRPr="0016695A">
        <w:t xml:space="preserve">of </w:t>
      </w:r>
      <w:r w:rsidR="001C1E5A" w:rsidRPr="0016695A">
        <w:t>$27,84</w:t>
      </w:r>
      <w:r w:rsidR="00697B30" w:rsidRPr="0016695A">
        <w:t>8</w:t>
      </w:r>
      <w:r w:rsidR="001C1E5A" w:rsidRPr="0016695A">
        <w:t xml:space="preserve"> in </w:t>
      </w:r>
      <w:r w:rsidR="00F54A5B" w:rsidRPr="0016695A">
        <w:t xml:space="preserve">Year </w:t>
      </w:r>
      <w:r w:rsidR="001C1E5A" w:rsidRPr="0016695A">
        <w:t xml:space="preserve">1 and $17,001 </w:t>
      </w:r>
      <w:r w:rsidR="00F54A5B" w:rsidRPr="0016695A">
        <w:t>for each subsequent year</w:t>
      </w:r>
      <w:r w:rsidR="000636EC" w:rsidRPr="0016695A">
        <w:t xml:space="preserve">. </w:t>
      </w:r>
    </w:p>
    <w:p w14:paraId="75A0D669" w14:textId="1AF1B709" w:rsidR="001C1E5A" w:rsidRPr="0061343E" w:rsidRDefault="000636EC" w:rsidP="001C1E5A">
      <w:pPr>
        <w:pStyle w:val="3-BodyText"/>
      </w:pPr>
      <w:r w:rsidRPr="0061343E">
        <w:t xml:space="preserve">The drug cost/patient/year </w:t>
      </w:r>
      <w:r w:rsidR="001C1E5A" w:rsidRPr="0061343E">
        <w:t xml:space="preserve">for DUPI is $23,701 in </w:t>
      </w:r>
      <w:r w:rsidRPr="0061343E">
        <w:t xml:space="preserve">Year </w:t>
      </w:r>
      <w:r w:rsidR="001C1E5A" w:rsidRPr="0061343E">
        <w:t>1 and $22,82</w:t>
      </w:r>
      <w:r w:rsidR="00697B30" w:rsidRPr="0061343E">
        <w:t>9</w:t>
      </w:r>
      <w:r w:rsidR="001C1E5A" w:rsidRPr="0061343E">
        <w:t xml:space="preserve"> </w:t>
      </w:r>
      <w:r w:rsidRPr="0061343E">
        <w:t>for each subsequent year</w:t>
      </w:r>
      <w:r w:rsidR="001C1E5A" w:rsidRPr="0061343E">
        <w:t xml:space="preserve">.  </w:t>
      </w:r>
    </w:p>
    <w:p w14:paraId="364E7B8C" w14:textId="77777777" w:rsidR="001C1E5A" w:rsidRPr="00D86D87" w:rsidRDefault="001C1E5A" w:rsidP="001C1E5A">
      <w:pPr>
        <w:pStyle w:val="4-SubsectionHeading"/>
      </w:pPr>
      <w:bookmarkStart w:id="74" w:name="_Toc22897647"/>
      <w:bookmarkStart w:id="75" w:name="_Toc198648779"/>
      <w:bookmarkEnd w:id="73"/>
      <w:r w:rsidRPr="00D86D87">
        <w:t>Estimated PBS usage &amp; financial implications</w:t>
      </w:r>
      <w:bookmarkEnd w:id="74"/>
      <w:bookmarkEnd w:id="75"/>
    </w:p>
    <w:p w14:paraId="7BE67802" w14:textId="52CE694F" w:rsidR="001C1E5A" w:rsidRPr="0061343E" w:rsidRDefault="001C1E5A" w:rsidP="001C1E5A">
      <w:pPr>
        <w:pStyle w:val="3-BodyText"/>
        <w:rPr>
          <w:color w:val="0066FF"/>
        </w:rPr>
      </w:pPr>
      <w:r w:rsidRPr="0061343E">
        <w:t xml:space="preserve">This submission </w:t>
      </w:r>
      <w:r w:rsidR="003D779B" w:rsidRPr="0061343E">
        <w:t>was not</w:t>
      </w:r>
      <w:r w:rsidRPr="0061343E">
        <w:t xml:space="preserve"> considered by DUSC. The submission utilised a market-share approach to estimate the extent of use and financial impact of listing </w:t>
      </w:r>
      <w:r w:rsidR="00000FD0" w:rsidRPr="0061343E">
        <w:t>NEMO</w:t>
      </w:r>
      <w:r w:rsidRPr="0061343E">
        <w:t xml:space="preserve"> for the treatment of chronic severe AD. The key inputs for the financial analysis are summarised in </w:t>
      </w:r>
      <w:r w:rsidRPr="0061343E">
        <w:fldChar w:fldCharType="begin"/>
      </w:r>
      <w:r w:rsidRPr="0061343E">
        <w:instrText xml:space="preserve"> REF _Ref197080982 \h </w:instrText>
      </w:r>
      <w:r w:rsidR="0061343E" w:rsidRPr="0061343E">
        <w:instrText xml:space="preserve"> \* MERGEFORMAT </w:instrText>
      </w:r>
      <w:r w:rsidRPr="0061343E">
        <w:fldChar w:fldCharType="separate"/>
      </w:r>
      <w:r w:rsidR="00E5780E" w:rsidRPr="0061343E">
        <w:t xml:space="preserve">Table </w:t>
      </w:r>
      <w:r w:rsidR="00E5780E">
        <w:rPr>
          <w:noProof/>
        </w:rPr>
        <w:t>20</w:t>
      </w:r>
      <w:r w:rsidRPr="0061343E">
        <w:fldChar w:fldCharType="end"/>
      </w:r>
      <w:r w:rsidRPr="0061343E">
        <w:t xml:space="preserve">. </w:t>
      </w:r>
    </w:p>
    <w:p w14:paraId="5396CFE0" w14:textId="56B764AA" w:rsidR="001C1E5A" w:rsidRPr="0061343E" w:rsidRDefault="001C1E5A" w:rsidP="001C1E5A">
      <w:pPr>
        <w:pStyle w:val="Caption"/>
      </w:pPr>
      <w:bookmarkStart w:id="76" w:name="_Ref197080982"/>
      <w:r w:rsidRPr="0061343E">
        <w:t xml:space="preserve">Table </w:t>
      </w:r>
      <w:r w:rsidR="00167892">
        <w:fldChar w:fldCharType="begin"/>
      </w:r>
      <w:r w:rsidR="00167892">
        <w:instrText xml:space="preserve"> SEQ Table \* ARABIC </w:instrText>
      </w:r>
      <w:r w:rsidR="00167892">
        <w:fldChar w:fldCharType="separate"/>
      </w:r>
      <w:r w:rsidR="00E5780E">
        <w:rPr>
          <w:noProof/>
        </w:rPr>
        <w:t>20</w:t>
      </w:r>
      <w:r w:rsidR="00167892">
        <w:rPr>
          <w:noProof/>
        </w:rPr>
        <w:fldChar w:fldCharType="end"/>
      </w:r>
      <w:bookmarkEnd w:id="76"/>
      <w:r w:rsidRPr="0061343E">
        <w:t>: Data sources and parameter values applied in the utilisation and financial estimates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20: Data sources and parameter values applied in the utilisation and financial estimates"/>
      </w:tblPr>
      <w:tblGrid>
        <w:gridCol w:w="1526"/>
        <w:gridCol w:w="2013"/>
        <w:gridCol w:w="2835"/>
        <w:gridCol w:w="2806"/>
      </w:tblGrid>
      <w:tr w:rsidR="001C1E5A" w:rsidRPr="0061343E" w14:paraId="2CF2EB5F" w14:textId="77777777" w:rsidTr="003F7210">
        <w:trPr>
          <w:tblHeader/>
        </w:trPr>
        <w:tc>
          <w:tcPr>
            <w:tcW w:w="1526" w:type="dxa"/>
            <w:tcMar>
              <w:left w:w="20" w:type="dxa"/>
              <w:right w:w="20" w:type="dxa"/>
            </w:tcMar>
            <w:vAlign w:val="center"/>
          </w:tcPr>
          <w:p w14:paraId="5BB1949F" w14:textId="77777777" w:rsidR="001C1E5A" w:rsidRPr="0061343E" w:rsidRDefault="001C1E5A" w:rsidP="00E7466A">
            <w:pPr>
              <w:pStyle w:val="In-tableHeading"/>
            </w:pPr>
            <w:r w:rsidRPr="0061343E">
              <w:t>Data</w:t>
            </w:r>
          </w:p>
        </w:tc>
        <w:tc>
          <w:tcPr>
            <w:tcW w:w="2013" w:type="dxa"/>
            <w:tcMar>
              <w:left w:w="20" w:type="dxa"/>
              <w:right w:w="20" w:type="dxa"/>
            </w:tcMar>
            <w:vAlign w:val="center"/>
          </w:tcPr>
          <w:p w14:paraId="469F8635" w14:textId="77777777" w:rsidR="001C1E5A" w:rsidRPr="0061343E" w:rsidRDefault="001C1E5A" w:rsidP="00E7466A">
            <w:pPr>
              <w:pStyle w:val="In-tableHeading"/>
              <w:keepNext w:val="0"/>
              <w:jc w:val="center"/>
              <w:rPr>
                <w:lang w:val="en-AU"/>
              </w:rPr>
            </w:pPr>
            <w:r w:rsidRPr="0061343E">
              <w:rPr>
                <w:lang w:val="en-AU"/>
              </w:rPr>
              <w:t>Value</w:t>
            </w:r>
          </w:p>
        </w:tc>
        <w:tc>
          <w:tcPr>
            <w:tcW w:w="2835" w:type="dxa"/>
            <w:tcMar>
              <w:left w:w="20" w:type="dxa"/>
              <w:right w:w="20" w:type="dxa"/>
            </w:tcMar>
            <w:vAlign w:val="center"/>
          </w:tcPr>
          <w:p w14:paraId="70EC6F0D" w14:textId="77777777" w:rsidR="001C1E5A" w:rsidRPr="0061343E" w:rsidRDefault="001C1E5A" w:rsidP="00E7466A">
            <w:pPr>
              <w:pStyle w:val="In-tableHeading"/>
              <w:keepNext w:val="0"/>
              <w:jc w:val="center"/>
              <w:rPr>
                <w:lang w:val="en-AU"/>
              </w:rPr>
            </w:pPr>
            <w:r w:rsidRPr="0061343E">
              <w:rPr>
                <w:lang w:val="en-AU"/>
              </w:rPr>
              <w:t>Source</w:t>
            </w:r>
          </w:p>
        </w:tc>
        <w:tc>
          <w:tcPr>
            <w:tcW w:w="2806" w:type="dxa"/>
            <w:tcMar>
              <w:left w:w="20" w:type="dxa"/>
              <w:right w:w="20" w:type="dxa"/>
            </w:tcMar>
            <w:vAlign w:val="center"/>
          </w:tcPr>
          <w:p w14:paraId="396D30B9" w14:textId="77777777" w:rsidR="001C1E5A" w:rsidRPr="0061343E" w:rsidRDefault="001C1E5A" w:rsidP="00E7466A">
            <w:pPr>
              <w:pStyle w:val="In-tableHeading"/>
              <w:keepNext w:val="0"/>
              <w:jc w:val="center"/>
              <w:rPr>
                <w:lang w:val="en-AU"/>
              </w:rPr>
            </w:pPr>
            <w:r w:rsidRPr="0061343E">
              <w:rPr>
                <w:lang w:val="en-AU"/>
              </w:rPr>
              <w:t>Comment</w:t>
            </w:r>
          </w:p>
        </w:tc>
      </w:tr>
      <w:tr w:rsidR="001C1E5A" w:rsidRPr="0061343E" w14:paraId="6CEB17D8" w14:textId="77777777" w:rsidTr="003F7210">
        <w:tc>
          <w:tcPr>
            <w:tcW w:w="9180" w:type="dxa"/>
            <w:gridSpan w:val="4"/>
            <w:tcMar>
              <w:left w:w="20" w:type="dxa"/>
              <w:right w:w="20" w:type="dxa"/>
            </w:tcMar>
            <w:vAlign w:val="center"/>
          </w:tcPr>
          <w:p w14:paraId="7E3C5DE5" w14:textId="77777777" w:rsidR="001C1E5A" w:rsidRPr="0061343E" w:rsidRDefault="001C1E5A" w:rsidP="00E7466A">
            <w:pPr>
              <w:pStyle w:val="In-tableHeading"/>
              <w:keepNext w:val="0"/>
              <w:rPr>
                <w:lang w:val="en-AU"/>
              </w:rPr>
            </w:pPr>
            <w:r w:rsidRPr="0061343E">
              <w:rPr>
                <w:lang w:val="en-AU"/>
              </w:rPr>
              <w:t xml:space="preserve">Size of the market </w:t>
            </w:r>
          </w:p>
        </w:tc>
      </w:tr>
      <w:tr w:rsidR="001C1E5A" w:rsidRPr="0061343E" w14:paraId="01448E5F" w14:textId="77777777" w:rsidTr="003F7210">
        <w:tc>
          <w:tcPr>
            <w:tcW w:w="1526" w:type="dxa"/>
            <w:tcMar>
              <w:left w:w="20" w:type="dxa"/>
              <w:right w:w="20" w:type="dxa"/>
            </w:tcMar>
            <w:vAlign w:val="center"/>
          </w:tcPr>
          <w:p w14:paraId="11FEAAD7" w14:textId="77777777" w:rsidR="001C1E5A" w:rsidRPr="0061343E" w:rsidRDefault="001C1E5A" w:rsidP="00E7466A">
            <w:pPr>
              <w:pStyle w:val="TableText0"/>
              <w:keepNext w:val="0"/>
            </w:pPr>
            <w:r w:rsidRPr="0061343E">
              <w:t xml:space="preserve">Total services for all strengths of DUPI and UPA for atopic dermatitis </w:t>
            </w:r>
          </w:p>
        </w:tc>
        <w:tc>
          <w:tcPr>
            <w:tcW w:w="2013" w:type="dxa"/>
            <w:tcMar>
              <w:left w:w="20" w:type="dxa"/>
              <w:right w:w="20" w:type="dxa"/>
            </w:tcMar>
            <w:vAlign w:val="center"/>
          </w:tcPr>
          <w:p w14:paraId="71ECA6D6" w14:textId="77777777" w:rsidR="001C1E5A" w:rsidRPr="0061343E" w:rsidRDefault="001C1E5A" w:rsidP="00E7466A">
            <w:pPr>
              <w:pStyle w:val="TableText0"/>
              <w:keepNext w:val="0"/>
            </w:pPr>
            <w:r w:rsidRPr="0061343E">
              <w:t>DUPI: 206,257</w:t>
            </w:r>
          </w:p>
          <w:p w14:paraId="1EC94A71" w14:textId="77777777" w:rsidR="001C1E5A" w:rsidRPr="0061343E" w:rsidRDefault="001C1E5A" w:rsidP="00E7466A">
            <w:pPr>
              <w:pStyle w:val="TableText0"/>
              <w:keepNext w:val="0"/>
            </w:pPr>
            <w:r w:rsidRPr="0061343E">
              <w:t>UPA: 30,192</w:t>
            </w:r>
          </w:p>
          <w:p w14:paraId="2B399DB4" w14:textId="77777777" w:rsidR="001C1E5A" w:rsidRPr="0061343E" w:rsidRDefault="001C1E5A" w:rsidP="00E7466A">
            <w:pPr>
              <w:pStyle w:val="TableText0"/>
              <w:keepNext w:val="0"/>
            </w:pPr>
            <w:r w:rsidRPr="0061343E">
              <w:t>Total: 236,449</w:t>
            </w:r>
          </w:p>
        </w:tc>
        <w:tc>
          <w:tcPr>
            <w:tcW w:w="2835" w:type="dxa"/>
            <w:tcMar>
              <w:left w:w="20" w:type="dxa"/>
              <w:right w:w="20" w:type="dxa"/>
            </w:tcMar>
            <w:vAlign w:val="center"/>
          </w:tcPr>
          <w:p w14:paraId="5C63D543" w14:textId="77777777" w:rsidR="001C1E5A" w:rsidRPr="0061343E" w:rsidRDefault="001C1E5A" w:rsidP="00E7466A">
            <w:pPr>
              <w:pStyle w:val="TableText0"/>
              <w:keepNext w:val="0"/>
            </w:pPr>
            <w:r w:rsidRPr="0061343E">
              <w:t xml:space="preserve">Services Australia Utilisation statistics for PBS items: 12291X, 12292Y, 12827D, 12828E, 12829F, 12831H, 12835M and 12836N (January – December 2024). </w:t>
            </w:r>
          </w:p>
        </w:tc>
        <w:tc>
          <w:tcPr>
            <w:tcW w:w="2806" w:type="dxa"/>
            <w:tcMar>
              <w:left w:w="20" w:type="dxa"/>
              <w:right w:w="20" w:type="dxa"/>
            </w:tcMar>
            <w:vAlign w:val="center"/>
          </w:tcPr>
          <w:p w14:paraId="7CF94121" w14:textId="77777777" w:rsidR="001C1E5A" w:rsidRPr="0061343E" w:rsidRDefault="001C1E5A" w:rsidP="00E7466A">
            <w:pPr>
              <w:pStyle w:val="TableText0"/>
              <w:keepNext w:val="0"/>
            </w:pPr>
            <w:r w:rsidRPr="0061343E">
              <w:t xml:space="preserve">This was reasonable. </w:t>
            </w:r>
          </w:p>
        </w:tc>
      </w:tr>
      <w:tr w:rsidR="001C1E5A" w:rsidRPr="0061343E" w14:paraId="16AB4982" w14:textId="77777777" w:rsidTr="003F7210">
        <w:tc>
          <w:tcPr>
            <w:tcW w:w="1526" w:type="dxa"/>
            <w:tcMar>
              <w:left w:w="20" w:type="dxa"/>
              <w:right w:w="20" w:type="dxa"/>
            </w:tcMar>
            <w:vAlign w:val="center"/>
          </w:tcPr>
          <w:p w14:paraId="3E167DE5" w14:textId="77777777" w:rsidR="001C1E5A" w:rsidRPr="0061343E" w:rsidRDefault="001C1E5A" w:rsidP="00E7466A">
            <w:pPr>
              <w:pStyle w:val="TableText0"/>
              <w:keepNext w:val="0"/>
            </w:pPr>
            <w:r w:rsidRPr="0061343E">
              <w:t xml:space="preserve">Annual growth in prescriptions  </w:t>
            </w:r>
          </w:p>
        </w:tc>
        <w:tc>
          <w:tcPr>
            <w:tcW w:w="2013" w:type="dxa"/>
            <w:tcMar>
              <w:left w:w="20" w:type="dxa"/>
              <w:right w:w="20" w:type="dxa"/>
            </w:tcMar>
            <w:vAlign w:val="center"/>
          </w:tcPr>
          <w:p w14:paraId="7FE89A8C" w14:textId="77777777" w:rsidR="001C1E5A" w:rsidRPr="0061343E" w:rsidRDefault="001C1E5A" w:rsidP="00E7466A">
            <w:pPr>
              <w:pStyle w:val="TableText0"/>
              <w:keepNext w:val="0"/>
            </w:pPr>
            <w:r w:rsidRPr="0061343E">
              <w:t>Yr 1: 19.6%</w:t>
            </w:r>
          </w:p>
          <w:p w14:paraId="197DE8CB" w14:textId="77777777" w:rsidR="001C1E5A" w:rsidRPr="0061343E" w:rsidRDefault="001C1E5A" w:rsidP="00E7466A">
            <w:pPr>
              <w:pStyle w:val="TableText0"/>
              <w:keepNext w:val="0"/>
            </w:pPr>
            <w:r w:rsidRPr="0061343E">
              <w:t>Yr 2: 16.4%</w:t>
            </w:r>
          </w:p>
          <w:p w14:paraId="0E587802" w14:textId="77777777" w:rsidR="001C1E5A" w:rsidRPr="0061343E" w:rsidRDefault="001C1E5A" w:rsidP="00E7466A">
            <w:pPr>
              <w:pStyle w:val="TableText0"/>
              <w:keepNext w:val="0"/>
            </w:pPr>
            <w:r w:rsidRPr="0061343E">
              <w:t>Yr 3: 14.1%</w:t>
            </w:r>
          </w:p>
          <w:p w14:paraId="7300AA68" w14:textId="77777777" w:rsidR="001C1E5A" w:rsidRPr="0061343E" w:rsidRDefault="001C1E5A" w:rsidP="00E7466A">
            <w:pPr>
              <w:pStyle w:val="TableText0"/>
              <w:keepNext w:val="0"/>
            </w:pPr>
            <w:r w:rsidRPr="0061343E">
              <w:t>Yr 4: 12.3%</w:t>
            </w:r>
          </w:p>
          <w:p w14:paraId="7B965522" w14:textId="77777777" w:rsidR="001C1E5A" w:rsidRPr="0061343E" w:rsidRDefault="001C1E5A" w:rsidP="00E7466A">
            <w:pPr>
              <w:pStyle w:val="TableText0"/>
              <w:keepNext w:val="0"/>
            </w:pPr>
            <w:r w:rsidRPr="0061343E">
              <w:t>Yr 5: 11.0%</w:t>
            </w:r>
          </w:p>
          <w:p w14:paraId="514CF535" w14:textId="77777777" w:rsidR="001C1E5A" w:rsidRPr="0061343E" w:rsidRDefault="001C1E5A" w:rsidP="00E7466A">
            <w:pPr>
              <w:pStyle w:val="TableText0"/>
              <w:keepNext w:val="0"/>
            </w:pPr>
            <w:r w:rsidRPr="0061343E">
              <w:t>Yr 6: 9.9%</w:t>
            </w:r>
          </w:p>
        </w:tc>
        <w:tc>
          <w:tcPr>
            <w:tcW w:w="2835" w:type="dxa"/>
            <w:tcMar>
              <w:left w:w="20" w:type="dxa"/>
              <w:right w:w="20" w:type="dxa"/>
            </w:tcMar>
            <w:vAlign w:val="center"/>
          </w:tcPr>
          <w:p w14:paraId="1067D5D6" w14:textId="5EED6AF2" w:rsidR="001C1E5A" w:rsidRPr="0061343E" w:rsidRDefault="00A52568" w:rsidP="00E7466A">
            <w:pPr>
              <w:pStyle w:val="TableText0"/>
              <w:keepNext w:val="0"/>
            </w:pPr>
            <w:r w:rsidRPr="0061343E">
              <w:t xml:space="preserve">DUPI </w:t>
            </w:r>
            <w:r w:rsidR="001C1E5A" w:rsidRPr="0061343E">
              <w:t xml:space="preserve">PSD (Table 6, July 2024 PBAC Meeting) </w:t>
            </w:r>
          </w:p>
        </w:tc>
        <w:tc>
          <w:tcPr>
            <w:tcW w:w="2806" w:type="dxa"/>
            <w:tcMar>
              <w:left w:w="20" w:type="dxa"/>
              <w:right w:w="20" w:type="dxa"/>
            </w:tcMar>
            <w:vAlign w:val="center"/>
          </w:tcPr>
          <w:p w14:paraId="7A833593" w14:textId="1A68FEFB" w:rsidR="001C1E5A" w:rsidRPr="0061343E" w:rsidRDefault="00FC70FE" w:rsidP="00E7466A">
            <w:pPr>
              <w:pStyle w:val="TableText0"/>
              <w:keepNext w:val="0"/>
            </w:pPr>
            <w:r w:rsidRPr="0061343E">
              <w:t>The submission a</w:t>
            </w:r>
            <w:r w:rsidR="003F4375" w:rsidRPr="0061343E">
              <w:t>ssumed</w:t>
            </w:r>
            <w:r w:rsidR="00E956CC" w:rsidRPr="0061343E">
              <w:t xml:space="preserve"> that the severe AD population would </w:t>
            </w:r>
            <w:r w:rsidR="00A12F24" w:rsidRPr="0061343E">
              <w:t xml:space="preserve">experience </w:t>
            </w:r>
            <w:r w:rsidR="003F4375" w:rsidRPr="0061343E">
              <w:t xml:space="preserve">linear growth of </w:t>
            </w:r>
            <w:r w:rsidR="00E956CC" w:rsidRPr="0061343E">
              <w:t>7,597 patients per year</w:t>
            </w:r>
            <w:r w:rsidR="00A12F24" w:rsidRPr="0061343E">
              <w:t>, consistent with</w:t>
            </w:r>
            <w:r w:rsidR="003F4375" w:rsidRPr="0061343E">
              <w:t xml:space="preserve"> the </w:t>
            </w:r>
            <w:r w:rsidR="00BD4DA8" w:rsidRPr="0061343E">
              <w:t xml:space="preserve">July </w:t>
            </w:r>
            <w:r w:rsidR="003378F4" w:rsidRPr="0061343E">
              <w:t>2024</w:t>
            </w:r>
            <w:r w:rsidR="00A12F24" w:rsidRPr="0061343E">
              <w:t xml:space="preserve"> DUPI PSD</w:t>
            </w:r>
            <w:r w:rsidR="0074113F" w:rsidRPr="0061343E">
              <w:t xml:space="preserve">. </w:t>
            </w:r>
            <w:r w:rsidR="00A12F24" w:rsidRPr="0061343E">
              <w:t xml:space="preserve">In July 2024, </w:t>
            </w:r>
            <w:r w:rsidR="003378F4" w:rsidRPr="0061343E">
              <w:t xml:space="preserve">the </w:t>
            </w:r>
            <w:r w:rsidR="001C1E5A" w:rsidRPr="0061343E">
              <w:t xml:space="preserve">PBAC </w:t>
            </w:r>
            <w:r w:rsidR="003378F4" w:rsidRPr="0061343E">
              <w:t xml:space="preserve">considered </w:t>
            </w:r>
            <w:r w:rsidR="001C1E5A" w:rsidRPr="0061343E">
              <w:t xml:space="preserve">that the growth rate of AD would stabilise from </w:t>
            </w:r>
            <w:r w:rsidR="00BD4DA8" w:rsidRPr="0061343E">
              <w:t xml:space="preserve">Year </w:t>
            </w:r>
            <w:r w:rsidR="001C1E5A" w:rsidRPr="0061343E">
              <w:t xml:space="preserve">4 onwards. A reduction of 5% in the growth rate from year 4 onwards was recommended. </w:t>
            </w:r>
          </w:p>
        </w:tc>
      </w:tr>
      <w:tr w:rsidR="001C1E5A" w:rsidRPr="0061343E" w14:paraId="17D68EC5" w14:textId="77777777" w:rsidTr="003F7210">
        <w:tc>
          <w:tcPr>
            <w:tcW w:w="1526" w:type="dxa"/>
            <w:tcMar>
              <w:left w:w="20" w:type="dxa"/>
              <w:right w:w="20" w:type="dxa"/>
            </w:tcMar>
            <w:vAlign w:val="center"/>
          </w:tcPr>
          <w:p w14:paraId="442FB281" w14:textId="77777777" w:rsidR="001C1E5A" w:rsidRPr="0061343E" w:rsidRDefault="001C1E5A" w:rsidP="00E7466A">
            <w:pPr>
              <w:pStyle w:val="TableText0"/>
              <w:keepNext w:val="0"/>
            </w:pPr>
            <w:r w:rsidRPr="0061343E">
              <w:lastRenderedPageBreak/>
              <w:t xml:space="preserve">Phase of treatment </w:t>
            </w:r>
          </w:p>
        </w:tc>
        <w:tc>
          <w:tcPr>
            <w:tcW w:w="2013" w:type="dxa"/>
            <w:tcMar>
              <w:left w:w="20" w:type="dxa"/>
              <w:right w:w="20" w:type="dxa"/>
            </w:tcMar>
            <w:vAlign w:val="center"/>
          </w:tcPr>
          <w:p w14:paraId="74DFD421" w14:textId="77777777" w:rsidR="001C1E5A" w:rsidRPr="0061343E" w:rsidRDefault="001C1E5A" w:rsidP="00E7466A">
            <w:pPr>
              <w:pStyle w:val="TableText0"/>
              <w:keepNext w:val="0"/>
            </w:pPr>
            <w:r w:rsidRPr="0061343E">
              <w:t>DUPI: 18.5% initiating, 81.5% continuing</w:t>
            </w:r>
          </w:p>
          <w:p w14:paraId="49D9EAF3" w14:textId="77777777" w:rsidR="001C1E5A" w:rsidRPr="0061343E" w:rsidRDefault="001C1E5A" w:rsidP="00E7466A">
            <w:pPr>
              <w:pStyle w:val="TableText0"/>
              <w:keepNext w:val="0"/>
            </w:pPr>
          </w:p>
          <w:p w14:paraId="48175AF2" w14:textId="77777777" w:rsidR="001C1E5A" w:rsidRPr="0061343E" w:rsidRDefault="001C1E5A" w:rsidP="00E7466A">
            <w:pPr>
              <w:pStyle w:val="TableText0"/>
              <w:keepNext w:val="0"/>
            </w:pPr>
            <w:r w:rsidRPr="0061343E">
              <w:t xml:space="preserve">UPA: 26% initiating, 76% continuing </w:t>
            </w:r>
          </w:p>
        </w:tc>
        <w:tc>
          <w:tcPr>
            <w:tcW w:w="2835" w:type="dxa"/>
            <w:tcMar>
              <w:left w:w="20" w:type="dxa"/>
              <w:right w:w="20" w:type="dxa"/>
            </w:tcMar>
            <w:vAlign w:val="center"/>
          </w:tcPr>
          <w:p w14:paraId="4308DA9E" w14:textId="77777777" w:rsidR="001C1E5A" w:rsidRPr="0061343E" w:rsidRDefault="001C1E5A" w:rsidP="00E7466A">
            <w:pPr>
              <w:pStyle w:val="TableText0"/>
              <w:keepNext w:val="0"/>
            </w:pPr>
            <w:r w:rsidRPr="0061343E">
              <w:t xml:space="preserve">DUPI: based on the proportion of initial scripts required for 2 years of treatment, i.e., 5 of 27 scripts would be required for initial treatment (5/27 = 18.5%) </w:t>
            </w:r>
          </w:p>
          <w:p w14:paraId="45B7BE08" w14:textId="77777777" w:rsidR="001C1E5A" w:rsidRPr="0061343E" w:rsidRDefault="001C1E5A" w:rsidP="00E7466A">
            <w:pPr>
              <w:pStyle w:val="TableText0"/>
              <w:keepNext w:val="0"/>
            </w:pPr>
          </w:p>
          <w:p w14:paraId="3502228E" w14:textId="77777777" w:rsidR="001C1E5A" w:rsidRPr="0061343E" w:rsidRDefault="001C1E5A" w:rsidP="00E7466A">
            <w:pPr>
              <w:pStyle w:val="TableText0"/>
              <w:keepNext w:val="0"/>
            </w:pPr>
            <w:r w:rsidRPr="0061343E">
              <w:t xml:space="preserve">UPA: based on Services Australia utilisation statistics. </w:t>
            </w:r>
          </w:p>
        </w:tc>
        <w:tc>
          <w:tcPr>
            <w:tcW w:w="2806" w:type="dxa"/>
            <w:tcMar>
              <w:left w:w="20" w:type="dxa"/>
              <w:right w:w="20" w:type="dxa"/>
            </w:tcMar>
            <w:vAlign w:val="center"/>
          </w:tcPr>
          <w:p w14:paraId="2DF47FC6" w14:textId="5DD906C1" w:rsidR="001C1E5A" w:rsidRPr="0061343E" w:rsidRDefault="001C1E5A" w:rsidP="00E7466A">
            <w:pPr>
              <w:pStyle w:val="TableText0"/>
              <w:keepNext w:val="0"/>
            </w:pPr>
            <w:r w:rsidRPr="0061343E">
              <w:t xml:space="preserve">This approach assumes that all patients that initiate treatment with </w:t>
            </w:r>
            <w:r w:rsidR="009D2449" w:rsidRPr="0061343E">
              <w:t>DUPI</w:t>
            </w:r>
            <w:r w:rsidRPr="0061343E">
              <w:t xml:space="preserve"> will complete initial treatment. </w:t>
            </w:r>
            <w:r w:rsidR="003D779B" w:rsidRPr="0061343E">
              <w:t>The ESC considered that this might not be reasonable as only approximately 60% of DUPI patients respond to treatment.</w:t>
            </w:r>
          </w:p>
        </w:tc>
      </w:tr>
      <w:tr w:rsidR="001C1E5A" w:rsidRPr="0061343E" w14:paraId="2B502EDA" w14:textId="77777777" w:rsidTr="003F7210">
        <w:tc>
          <w:tcPr>
            <w:tcW w:w="1526" w:type="dxa"/>
            <w:tcMar>
              <w:left w:w="20" w:type="dxa"/>
              <w:right w:w="20" w:type="dxa"/>
            </w:tcMar>
            <w:vAlign w:val="center"/>
          </w:tcPr>
          <w:p w14:paraId="1D2FEC1E" w14:textId="76BBD1A4" w:rsidR="001C1E5A" w:rsidRPr="0061343E" w:rsidRDefault="001C1E5A" w:rsidP="00E7466A">
            <w:pPr>
              <w:pStyle w:val="TableText0"/>
              <w:keepNext w:val="0"/>
            </w:pPr>
            <w:r w:rsidRPr="0061343E">
              <w:t xml:space="preserve">Grandfathered </w:t>
            </w:r>
            <w:r w:rsidR="00BC2532" w:rsidRPr="0061343E">
              <w:t>NE</w:t>
            </w:r>
            <w:r w:rsidR="00331148" w:rsidRPr="0061343E">
              <w:t>M</w:t>
            </w:r>
            <w:r w:rsidR="00BC2532" w:rsidRPr="0061343E">
              <w:t xml:space="preserve">O </w:t>
            </w:r>
            <w:r w:rsidRPr="0061343E">
              <w:t>patients</w:t>
            </w:r>
          </w:p>
        </w:tc>
        <w:tc>
          <w:tcPr>
            <w:tcW w:w="2013" w:type="dxa"/>
            <w:tcMar>
              <w:left w:w="20" w:type="dxa"/>
              <w:right w:w="20" w:type="dxa"/>
            </w:tcMar>
            <w:vAlign w:val="center"/>
          </w:tcPr>
          <w:p w14:paraId="5281F87D" w14:textId="0702AEE9" w:rsidR="001C1E5A" w:rsidRPr="0061343E" w:rsidRDefault="00590FB9" w:rsidP="00E7466A">
            <w:pPr>
              <w:pStyle w:val="TableText0"/>
              <w:keepNext w:val="0"/>
            </w:pPr>
            <w:r w:rsidRPr="00590FB9">
              <w:rPr>
                <w:color w:val="000000"/>
                <w:spacing w:val="45"/>
                <w:shd w:val="solid" w:color="000000" w:fill="000000"/>
                <w:fitText w:val="330" w:id="-628929022"/>
                <w14:textFill>
                  <w14:solidFill>
                    <w14:srgbClr w14:val="000000">
                      <w14:alpha w14:val="100000"/>
                    </w14:srgbClr>
                  </w14:solidFill>
                </w14:textFill>
              </w:rPr>
              <w:t>|||</w:t>
            </w:r>
            <w:r w:rsidRPr="00590FB9">
              <w:rPr>
                <w:color w:val="000000"/>
                <w:spacing w:val="15"/>
                <w:shd w:val="solid" w:color="000000" w:fill="000000"/>
                <w:fitText w:val="330" w:id="-628929022"/>
                <w14:textFill>
                  <w14:solidFill>
                    <w14:srgbClr w14:val="000000">
                      <w14:alpha w14:val="100000"/>
                    </w14:srgbClr>
                  </w14:solidFill>
                </w14:textFill>
              </w:rPr>
              <w:t>|</w:t>
            </w:r>
            <w:r w:rsidR="007B368E">
              <w:rPr>
                <w:vertAlign w:val="superscript"/>
              </w:rPr>
              <w:t>1</w:t>
            </w:r>
            <w:r w:rsidR="001C1E5A" w:rsidRPr="0061343E">
              <w:t xml:space="preserve"> patients </w:t>
            </w:r>
          </w:p>
        </w:tc>
        <w:tc>
          <w:tcPr>
            <w:tcW w:w="2835" w:type="dxa"/>
            <w:tcMar>
              <w:left w:w="20" w:type="dxa"/>
              <w:right w:w="20" w:type="dxa"/>
            </w:tcMar>
            <w:vAlign w:val="center"/>
          </w:tcPr>
          <w:p w14:paraId="5F26B916" w14:textId="77777777" w:rsidR="001C1E5A" w:rsidRPr="0061343E" w:rsidRDefault="001C1E5A" w:rsidP="00E7466A">
            <w:pPr>
              <w:pStyle w:val="TableText0"/>
              <w:keepNext w:val="0"/>
              <w:rPr>
                <w:highlight w:val="yellow"/>
              </w:rPr>
            </w:pPr>
            <w:r w:rsidRPr="0061343E">
              <w:t xml:space="preserve">Grandfathered patients were assumed to be accounted for in the estimated size of the market estimations.  </w:t>
            </w:r>
          </w:p>
        </w:tc>
        <w:tc>
          <w:tcPr>
            <w:tcW w:w="2806" w:type="dxa"/>
            <w:tcMar>
              <w:left w:w="20" w:type="dxa"/>
              <w:right w:w="20" w:type="dxa"/>
            </w:tcMar>
            <w:vAlign w:val="center"/>
          </w:tcPr>
          <w:p w14:paraId="6B976D7C" w14:textId="6E694B8B" w:rsidR="001C1E5A" w:rsidRPr="0061343E" w:rsidRDefault="00DE55E8" w:rsidP="00E7466A">
            <w:pPr>
              <w:pStyle w:val="TableText0"/>
              <w:keepNext w:val="0"/>
            </w:pPr>
            <w:r>
              <w:t>This was noted.</w:t>
            </w:r>
          </w:p>
        </w:tc>
      </w:tr>
      <w:tr w:rsidR="001C1E5A" w:rsidRPr="0061343E" w14:paraId="3DE44C1F" w14:textId="77777777" w:rsidTr="003F7210">
        <w:tc>
          <w:tcPr>
            <w:tcW w:w="9180" w:type="dxa"/>
            <w:gridSpan w:val="4"/>
            <w:tcMar>
              <w:left w:w="20" w:type="dxa"/>
              <w:right w:w="20" w:type="dxa"/>
            </w:tcMar>
            <w:vAlign w:val="center"/>
          </w:tcPr>
          <w:p w14:paraId="3E221DF6" w14:textId="77777777" w:rsidR="001C1E5A" w:rsidRPr="0061343E" w:rsidRDefault="001C1E5A" w:rsidP="00E7466A">
            <w:pPr>
              <w:pStyle w:val="TableText0"/>
              <w:keepNext w:val="0"/>
              <w:rPr>
                <w:b/>
              </w:rPr>
            </w:pPr>
            <w:r w:rsidRPr="0061343E">
              <w:rPr>
                <w:b/>
              </w:rPr>
              <w:t>Treatment utilisation</w:t>
            </w:r>
          </w:p>
        </w:tc>
      </w:tr>
      <w:tr w:rsidR="001C1E5A" w:rsidRPr="0061343E" w14:paraId="595BE032" w14:textId="77777777" w:rsidTr="003F7210">
        <w:tc>
          <w:tcPr>
            <w:tcW w:w="1526" w:type="dxa"/>
            <w:tcMar>
              <w:left w:w="20" w:type="dxa"/>
              <w:right w:w="20" w:type="dxa"/>
            </w:tcMar>
            <w:vAlign w:val="center"/>
          </w:tcPr>
          <w:p w14:paraId="7A490E5C" w14:textId="77777777" w:rsidR="001C1E5A" w:rsidRPr="0061343E" w:rsidRDefault="001C1E5A" w:rsidP="00E7466A">
            <w:pPr>
              <w:pStyle w:val="TableText0"/>
              <w:keepNext w:val="0"/>
            </w:pPr>
            <w:r w:rsidRPr="0061343E">
              <w:t>Proportion applicable to indication</w:t>
            </w:r>
          </w:p>
        </w:tc>
        <w:tc>
          <w:tcPr>
            <w:tcW w:w="2013" w:type="dxa"/>
            <w:tcMar>
              <w:left w:w="20" w:type="dxa"/>
              <w:right w:w="20" w:type="dxa"/>
            </w:tcMar>
            <w:vAlign w:val="center"/>
          </w:tcPr>
          <w:p w14:paraId="5FB8DC1A" w14:textId="77777777" w:rsidR="001C1E5A" w:rsidRPr="0061343E" w:rsidRDefault="001C1E5A" w:rsidP="00E7466A">
            <w:pPr>
              <w:pStyle w:val="TableText0"/>
              <w:keepNext w:val="0"/>
            </w:pPr>
            <w:r w:rsidRPr="0061343E">
              <w:t>100%</w:t>
            </w:r>
          </w:p>
        </w:tc>
        <w:tc>
          <w:tcPr>
            <w:tcW w:w="2835" w:type="dxa"/>
            <w:tcMar>
              <w:left w:w="20" w:type="dxa"/>
              <w:right w:w="20" w:type="dxa"/>
            </w:tcMar>
            <w:vAlign w:val="center"/>
          </w:tcPr>
          <w:p w14:paraId="51E0B4E0" w14:textId="77777777" w:rsidR="001C1E5A" w:rsidRPr="0061343E" w:rsidRDefault="001C1E5A" w:rsidP="00E7466A">
            <w:pPr>
              <w:pStyle w:val="TableText0"/>
              <w:keepNext w:val="0"/>
            </w:pPr>
            <w:r w:rsidRPr="0061343E">
              <w:t>Assumption</w:t>
            </w:r>
          </w:p>
        </w:tc>
        <w:tc>
          <w:tcPr>
            <w:tcW w:w="2806" w:type="dxa"/>
            <w:tcMar>
              <w:left w:w="20" w:type="dxa"/>
              <w:right w:w="20" w:type="dxa"/>
            </w:tcMar>
            <w:vAlign w:val="center"/>
          </w:tcPr>
          <w:p w14:paraId="3487D0A4" w14:textId="2B075420" w:rsidR="001C1E5A" w:rsidRPr="0061343E" w:rsidRDefault="001C1E5A" w:rsidP="00E7466A">
            <w:pPr>
              <w:pStyle w:val="TableText0"/>
              <w:keepNext w:val="0"/>
            </w:pPr>
            <w:r w:rsidRPr="0061343E">
              <w:t xml:space="preserve">This was reasonable. </w:t>
            </w:r>
          </w:p>
        </w:tc>
      </w:tr>
      <w:tr w:rsidR="001C1E5A" w:rsidRPr="0061343E" w14:paraId="4390378D" w14:textId="77777777" w:rsidTr="003F7210">
        <w:tc>
          <w:tcPr>
            <w:tcW w:w="1526" w:type="dxa"/>
            <w:tcMar>
              <w:left w:w="20" w:type="dxa"/>
              <w:right w:w="20" w:type="dxa"/>
            </w:tcMar>
            <w:vAlign w:val="center"/>
          </w:tcPr>
          <w:p w14:paraId="34B4B5FB" w14:textId="77777777" w:rsidR="001C1E5A" w:rsidRPr="0061343E" w:rsidRDefault="001C1E5A" w:rsidP="00E7466A">
            <w:pPr>
              <w:pStyle w:val="TableText0"/>
              <w:keepNext w:val="0"/>
            </w:pPr>
            <w:r w:rsidRPr="0061343E">
              <w:t>Uptake rate</w:t>
            </w:r>
          </w:p>
        </w:tc>
        <w:tc>
          <w:tcPr>
            <w:tcW w:w="2013" w:type="dxa"/>
            <w:tcMar>
              <w:left w:w="20" w:type="dxa"/>
              <w:right w:w="20" w:type="dxa"/>
            </w:tcMar>
            <w:vAlign w:val="center"/>
          </w:tcPr>
          <w:p w14:paraId="13B63388" w14:textId="23317274" w:rsidR="001C1E5A" w:rsidRPr="0061343E" w:rsidRDefault="00590FB9" w:rsidP="00E7466A">
            <w:pPr>
              <w:pStyle w:val="TableText0"/>
              <w:keepNext w:val="0"/>
            </w:pPr>
            <w:r w:rsidRPr="00590FB9">
              <w:rPr>
                <w:color w:val="000000"/>
                <w:spacing w:val="53"/>
                <w:shd w:val="solid" w:color="000000" w:fill="000000"/>
                <w:fitText w:val="330" w:id="-628929021"/>
                <w14:textFill>
                  <w14:solidFill>
                    <w14:srgbClr w14:val="000000">
                      <w14:alpha w14:val="100000"/>
                    </w14:srgbClr>
                  </w14:solidFill>
                </w14:textFill>
              </w:rPr>
              <w:t>|||</w:t>
            </w:r>
            <w:r w:rsidRPr="00590FB9">
              <w:rPr>
                <w:color w:val="000000"/>
                <w:spacing w:val="1"/>
                <w:shd w:val="solid" w:color="000000" w:fill="000000"/>
                <w:fitText w:val="330" w:id="-628929021"/>
                <w14:textFill>
                  <w14:solidFill>
                    <w14:srgbClr w14:val="000000">
                      <w14:alpha w14:val="100000"/>
                    </w14:srgbClr>
                  </w14:solidFill>
                </w14:textFill>
              </w:rPr>
              <w:t>|</w:t>
            </w:r>
            <w:r w:rsidR="001C1E5A" w:rsidRPr="0061343E">
              <w:t>-</w:t>
            </w:r>
            <w:r w:rsidRPr="00590FB9">
              <w:rPr>
                <w:color w:val="000000"/>
                <w:spacing w:val="53"/>
                <w:shd w:val="solid" w:color="000000" w:fill="000000"/>
                <w:fitText w:val="330" w:id="-628929020"/>
                <w14:textFill>
                  <w14:solidFill>
                    <w14:srgbClr w14:val="000000">
                      <w14:alpha w14:val="100000"/>
                    </w14:srgbClr>
                  </w14:solidFill>
                </w14:textFill>
              </w:rPr>
              <w:t>|||</w:t>
            </w:r>
            <w:r w:rsidRPr="00590FB9">
              <w:rPr>
                <w:color w:val="000000"/>
                <w:spacing w:val="1"/>
                <w:shd w:val="solid" w:color="000000" w:fill="000000"/>
                <w:fitText w:val="330" w:id="-628929020"/>
                <w14:textFill>
                  <w14:solidFill>
                    <w14:srgbClr w14:val="000000">
                      <w14:alpha w14:val="100000"/>
                    </w14:srgbClr>
                  </w14:solidFill>
                </w14:textFill>
              </w:rPr>
              <w:t>|</w:t>
            </w:r>
            <w:r w:rsidR="001C1E5A" w:rsidRPr="0061343E">
              <w:t xml:space="preserve">% </w:t>
            </w:r>
          </w:p>
        </w:tc>
        <w:tc>
          <w:tcPr>
            <w:tcW w:w="2835" w:type="dxa"/>
            <w:tcMar>
              <w:left w:w="20" w:type="dxa"/>
              <w:right w:w="20" w:type="dxa"/>
            </w:tcMar>
            <w:vAlign w:val="center"/>
          </w:tcPr>
          <w:p w14:paraId="4FE3979C" w14:textId="77777777" w:rsidR="001C1E5A" w:rsidRPr="0061343E" w:rsidRDefault="001C1E5A" w:rsidP="00E7466A">
            <w:pPr>
              <w:pStyle w:val="TableText0"/>
              <w:keepNext w:val="0"/>
            </w:pPr>
            <w:r w:rsidRPr="0061343E">
              <w:t xml:space="preserve">Assumption </w:t>
            </w:r>
          </w:p>
        </w:tc>
        <w:tc>
          <w:tcPr>
            <w:tcW w:w="2806" w:type="dxa"/>
            <w:tcMar>
              <w:left w:w="20" w:type="dxa"/>
              <w:right w:w="20" w:type="dxa"/>
            </w:tcMar>
            <w:vAlign w:val="center"/>
          </w:tcPr>
          <w:p w14:paraId="693C2625" w14:textId="6922E84C" w:rsidR="001C1E5A" w:rsidRPr="0061343E" w:rsidRDefault="00E13717" w:rsidP="00E7466A">
            <w:pPr>
              <w:pStyle w:val="TableText0"/>
              <w:keepNext w:val="0"/>
            </w:pPr>
            <w:r w:rsidRPr="0061343E">
              <w:t>Noting th</w:t>
            </w:r>
            <w:r w:rsidR="002820E5" w:rsidRPr="0061343E">
              <w:t xml:space="preserve">at NEMO was inferior compared to DUPI in terms of effectiveness, the ESC considered that the uptake rates </w:t>
            </w:r>
            <w:r w:rsidR="00B32D0A" w:rsidRPr="0061343E">
              <w:t>may be too high.</w:t>
            </w:r>
          </w:p>
        </w:tc>
      </w:tr>
      <w:tr w:rsidR="001C1E5A" w:rsidRPr="0061343E" w14:paraId="18A47CB8" w14:textId="77777777" w:rsidTr="003F7210">
        <w:tc>
          <w:tcPr>
            <w:tcW w:w="1526" w:type="dxa"/>
            <w:tcMar>
              <w:left w:w="20" w:type="dxa"/>
              <w:right w:w="20" w:type="dxa"/>
            </w:tcMar>
            <w:vAlign w:val="center"/>
          </w:tcPr>
          <w:p w14:paraId="0EAFFB76" w14:textId="77777777" w:rsidR="001C1E5A" w:rsidRPr="0061343E" w:rsidRDefault="001C1E5A" w:rsidP="00E7466A">
            <w:pPr>
              <w:pStyle w:val="TableText0"/>
              <w:keepNext w:val="0"/>
            </w:pPr>
            <w:r w:rsidRPr="0061343E">
              <w:t xml:space="preserve">Substitution rates </w:t>
            </w:r>
          </w:p>
        </w:tc>
        <w:tc>
          <w:tcPr>
            <w:tcW w:w="2013" w:type="dxa"/>
            <w:tcMar>
              <w:left w:w="20" w:type="dxa"/>
              <w:right w:w="20" w:type="dxa"/>
            </w:tcMar>
            <w:vAlign w:val="center"/>
          </w:tcPr>
          <w:p w14:paraId="104E8C2D" w14:textId="77777777" w:rsidR="001C1E5A" w:rsidRPr="0061343E" w:rsidRDefault="001C1E5A" w:rsidP="00E7466A">
            <w:pPr>
              <w:pStyle w:val="TableText0"/>
              <w:keepNext w:val="0"/>
            </w:pPr>
            <w:r w:rsidRPr="0061343E">
              <w:t>NEMO : DUPI (initial) = 0.6</w:t>
            </w:r>
          </w:p>
          <w:p w14:paraId="30645791" w14:textId="77777777" w:rsidR="001C1E5A" w:rsidRPr="0061343E" w:rsidRDefault="001C1E5A" w:rsidP="00E7466A">
            <w:pPr>
              <w:pStyle w:val="TableText0"/>
              <w:keepNext w:val="0"/>
            </w:pPr>
            <w:r w:rsidRPr="0061343E">
              <w:t>NEMO : DUPI (continuing) = 0.45</w:t>
            </w:r>
          </w:p>
          <w:p w14:paraId="14801884" w14:textId="77777777" w:rsidR="001C1E5A" w:rsidRPr="0061343E" w:rsidRDefault="001C1E5A" w:rsidP="00E7466A">
            <w:pPr>
              <w:pStyle w:val="TableText0"/>
              <w:keepNext w:val="0"/>
            </w:pPr>
          </w:p>
          <w:p w14:paraId="11393455" w14:textId="77777777" w:rsidR="001C1E5A" w:rsidRPr="0061343E" w:rsidRDefault="001C1E5A" w:rsidP="00E7466A">
            <w:pPr>
              <w:pStyle w:val="TableText0"/>
              <w:keepNext w:val="0"/>
            </w:pPr>
            <w:r w:rsidRPr="0061343E">
              <w:t>NEMO : UPA (initial) = 0.75</w:t>
            </w:r>
          </w:p>
          <w:p w14:paraId="5A995314" w14:textId="77777777" w:rsidR="001C1E5A" w:rsidRPr="0061343E" w:rsidRDefault="001C1E5A" w:rsidP="00E7466A">
            <w:pPr>
              <w:pStyle w:val="TableText0"/>
              <w:keepNext w:val="0"/>
            </w:pPr>
            <w:r w:rsidRPr="0061343E">
              <w:t xml:space="preserve">NEMO : UPA (continuing) = 0.45  </w:t>
            </w:r>
          </w:p>
        </w:tc>
        <w:tc>
          <w:tcPr>
            <w:tcW w:w="2835" w:type="dxa"/>
            <w:tcMar>
              <w:left w:w="20" w:type="dxa"/>
              <w:right w:w="20" w:type="dxa"/>
            </w:tcMar>
            <w:vAlign w:val="center"/>
          </w:tcPr>
          <w:p w14:paraId="47151AEE" w14:textId="217C9B9B" w:rsidR="001C1E5A" w:rsidRPr="0061343E" w:rsidRDefault="001C1E5A" w:rsidP="00E7466A">
            <w:pPr>
              <w:pStyle w:val="TableText0"/>
              <w:keepNext w:val="0"/>
            </w:pPr>
            <w:r w:rsidRPr="0061343E">
              <w:t xml:space="preserve">Substitution rates were calculated based on the number of scripts required for initial treatment and continuing treatment over 2 years for </w:t>
            </w:r>
            <w:r w:rsidR="00521393" w:rsidRPr="0061343E">
              <w:t>NEMO</w:t>
            </w:r>
            <w:r w:rsidRPr="0061343E">
              <w:t xml:space="preserve">, </w:t>
            </w:r>
            <w:r w:rsidR="00521393" w:rsidRPr="0061343E">
              <w:t xml:space="preserve">DUPI </w:t>
            </w:r>
            <w:r w:rsidRPr="0061343E">
              <w:t xml:space="preserve">and </w:t>
            </w:r>
            <w:r w:rsidR="00521393" w:rsidRPr="0061343E">
              <w:t>UPA</w:t>
            </w:r>
            <w:r w:rsidRPr="0061343E">
              <w:t xml:space="preserve">. </w:t>
            </w:r>
          </w:p>
          <w:p w14:paraId="0FB6EF2F" w14:textId="77777777" w:rsidR="001C1E5A" w:rsidRPr="0061343E" w:rsidRDefault="001C1E5A" w:rsidP="00E7466A">
            <w:pPr>
              <w:pStyle w:val="TableText0"/>
              <w:keepNext w:val="0"/>
            </w:pPr>
            <w:r w:rsidRPr="0061343E">
              <w:t xml:space="preserve"> </w:t>
            </w:r>
          </w:p>
        </w:tc>
        <w:tc>
          <w:tcPr>
            <w:tcW w:w="2806" w:type="dxa"/>
            <w:tcMar>
              <w:left w:w="20" w:type="dxa"/>
              <w:right w:w="20" w:type="dxa"/>
            </w:tcMar>
            <w:vAlign w:val="center"/>
          </w:tcPr>
          <w:p w14:paraId="7802A5ED" w14:textId="74175E62" w:rsidR="001C1E5A" w:rsidRPr="0061343E" w:rsidRDefault="001C1E5A" w:rsidP="00E7466A">
            <w:pPr>
              <w:pStyle w:val="TableText0"/>
              <w:keepNext w:val="0"/>
            </w:pPr>
            <w:r w:rsidRPr="0061343E">
              <w:t xml:space="preserve">This was consistent with the dosing schedules for all medicines. </w:t>
            </w:r>
          </w:p>
        </w:tc>
      </w:tr>
      <w:tr w:rsidR="001C1E5A" w:rsidRPr="0061343E" w14:paraId="4442323F" w14:textId="77777777" w:rsidTr="003F7210">
        <w:tc>
          <w:tcPr>
            <w:tcW w:w="9180" w:type="dxa"/>
            <w:gridSpan w:val="4"/>
            <w:tcMar>
              <w:left w:w="20" w:type="dxa"/>
              <w:right w:w="20" w:type="dxa"/>
            </w:tcMar>
            <w:vAlign w:val="center"/>
          </w:tcPr>
          <w:p w14:paraId="79516FFD" w14:textId="77777777" w:rsidR="001C1E5A" w:rsidRPr="0061343E" w:rsidRDefault="001C1E5A" w:rsidP="00E7466A">
            <w:pPr>
              <w:pStyle w:val="TableText0"/>
              <w:keepNext w:val="0"/>
              <w:rPr>
                <w:b/>
              </w:rPr>
            </w:pPr>
            <w:r w:rsidRPr="0061343E">
              <w:rPr>
                <w:b/>
              </w:rPr>
              <w:t>Costs</w:t>
            </w:r>
          </w:p>
        </w:tc>
      </w:tr>
      <w:tr w:rsidR="001C1E5A" w:rsidRPr="0061343E" w14:paraId="5E0F3F7E" w14:textId="77777777" w:rsidTr="003F7210">
        <w:tc>
          <w:tcPr>
            <w:tcW w:w="1526" w:type="dxa"/>
            <w:tcBorders>
              <w:bottom w:val="single" w:sz="4" w:space="0" w:color="auto"/>
            </w:tcBorders>
            <w:tcMar>
              <w:left w:w="20" w:type="dxa"/>
              <w:right w:w="20" w:type="dxa"/>
            </w:tcMar>
            <w:vAlign w:val="center"/>
          </w:tcPr>
          <w:p w14:paraId="3A8E861C" w14:textId="3C01AE51" w:rsidR="001C1E5A" w:rsidRPr="0061343E" w:rsidRDefault="00521393" w:rsidP="00E7466A">
            <w:pPr>
              <w:pStyle w:val="TableText0"/>
              <w:keepNext w:val="0"/>
            </w:pPr>
            <w:r w:rsidRPr="0061343E">
              <w:t>NEMO</w:t>
            </w:r>
          </w:p>
        </w:tc>
        <w:tc>
          <w:tcPr>
            <w:tcW w:w="2013" w:type="dxa"/>
            <w:tcBorders>
              <w:bottom w:val="single" w:sz="4" w:space="0" w:color="auto"/>
            </w:tcBorders>
            <w:tcMar>
              <w:left w:w="20" w:type="dxa"/>
              <w:right w:w="20" w:type="dxa"/>
            </w:tcMar>
            <w:vAlign w:val="center"/>
          </w:tcPr>
          <w:p w14:paraId="08BBB73E" w14:textId="77777777" w:rsidR="001C1E5A" w:rsidRPr="00D21DA9" w:rsidRDefault="001C1E5A" w:rsidP="00E7466A">
            <w:pPr>
              <w:pStyle w:val="TableText0"/>
              <w:keepNext w:val="0"/>
            </w:pPr>
            <w:r w:rsidRPr="0061343E">
              <w:t>Initiating</w:t>
            </w:r>
            <w:r w:rsidRPr="00D21DA9">
              <w:t>: $5,504.50</w:t>
            </w:r>
          </w:p>
          <w:p w14:paraId="24717B8C" w14:textId="77777777" w:rsidR="001C1E5A" w:rsidRPr="0061343E" w:rsidRDefault="001C1E5A" w:rsidP="00E7466A">
            <w:pPr>
              <w:pStyle w:val="TableText0"/>
              <w:keepNext w:val="0"/>
            </w:pPr>
            <w:r w:rsidRPr="00D21DA9">
              <w:t>Continuing: $2,833.55</w:t>
            </w:r>
          </w:p>
        </w:tc>
        <w:tc>
          <w:tcPr>
            <w:tcW w:w="2835" w:type="dxa"/>
            <w:tcBorders>
              <w:bottom w:val="single" w:sz="4" w:space="0" w:color="auto"/>
            </w:tcBorders>
            <w:tcMar>
              <w:left w:w="20" w:type="dxa"/>
              <w:right w:w="20" w:type="dxa"/>
            </w:tcMar>
            <w:vAlign w:val="center"/>
          </w:tcPr>
          <w:p w14:paraId="309D8247" w14:textId="77777777" w:rsidR="001C1E5A" w:rsidRPr="0061343E" w:rsidRDefault="001C1E5A" w:rsidP="00E7466A">
            <w:pPr>
              <w:pStyle w:val="TableText0"/>
              <w:keepNext w:val="0"/>
            </w:pPr>
            <w:r w:rsidRPr="0061343E">
              <w:t xml:space="preserve">Requested published DPMQ </w:t>
            </w:r>
          </w:p>
        </w:tc>
        <w:tc>
          <w:tcPr>
            <w:tcW w:w="2806" w:type="dxa"/>
            <w:tcBorders>
              <w:bottom w:val="single" w:sz="4" w:space="0" w:color="auto"/>
            </w:tcBorders>
            <w:tcMar>
              <w:left w:w="20" w:type="dxa"/>
              <w:right w:w="20" w:type="dxa"/>
            </w:tcMar>
            <w:vAlign w:val="center"/>
          </w:tcPr>
          <w:p w14:paraId="259B9E29" w14:textId="77777777" w:rsidR="001C1E5A" w:rsidRPr="0061343E" w:rsidRDefault="001C1E5A" w:rsidP="00E7466A">
            <w:pPr>
              <w:pStyle w:val="TableText0"/>
              <w:keepNext w:val="0"/>
            </w:pPr>
            <w:r w:rsidRPr="0061343E">
              <w:t xml:space="preserve">The appropriate mark-up fees were applied to the requested AEMP. </w:t>
            </w:r>
          </w:p>
        </w:tc>
      </w:tr>
      <w:tr w:rsidR="001C1E5A" w:rsidRPr="0061343E" w14:paraId="64D6628C" w14:textId="77777777" w:rsidTr="003F7210">
        <w:tc>
          <w:tcPr>
            <w:tcW w:w="1526" w:type="dxa"/>
            <w:tcBorders>
              <w:bottom w:val="nil"/>
            </w:tcBorders>
            <w:tcMar>
              <w:left w:w="20" w:type="dxa"/>
              <w:right w:w="20" w:type="dxa"/>
            </w:tcMar>
            <w:vAlign w:val="center"/>
          </w:tcPr>
          <w:p w14:paraId="0A03B23F" w14:textId="0C65FDB0" w:rsidR="001C1E5A" w:rsidRPr="0061343E" w:rsidRDefault="00521393" w:rsidP="00E7466A">
            <w:pPr>
              <w:pStyle w:val="TableText0"/>
              <w:keepNext w:val="0"/>
            </w:pPr>
            <w:r w:rsidRPr="0061343E">
              <w:t>DUPI</w:t>
            </w:r>
          </w:p>
        </w:tc>
        <w:tc>
          <w:tcPr>
            <w:tcW w:w="2013" w:type="dxa"/>
            <w:tcBorders>
              <w:bottom w:val="nil"/>
            </w:tcBorders>
            <w:tcMar>
              <w:left w:w="20" w:type="dxa"/>
              <w:right w:w="20" w:type="dxa"/>
            </w:tcMar>
            <w:vAlign w:val="center"/>
          </w:tcPr>
          <w:p w14:paraId="4AD9DCD3" w14:textId="77777777" w:rsidR="001C1E5A" w:rsidRPr="0061343E" w:rsidRDefault="001C1E5A" w:rsidP="00E7466A">
            <w:pPr>
              <w:pStyle w:val="TableText0"/>
              <w:keepNext w:val="0"/>
            </w:pPr>
            <w:r w:rsidRPr="0061343E">
              <w:t>200 mg, 300 mg: $1,755.66</w:t>
            </w:r>
          </w:p>
        </w:tc>
        <w:tc>
          <w:tcPr>
            <w:tcW w:w="2835" w:type="dxa"/>
            <w:tcBorders>
              <w:bottom w:val="nil"/>
            </w:tcBorders>
            <w:tcMar>
              <w:left w:w="20" w:type="dxa"/>
              <w:right w:w="20" w:type="dxa"/>
            </w:tcMar>
            <w:vAlign w:val="center"/>
          </w:tcPr>
          <w:p w14:paraId="22F95E80" w14:textId="77777777" w:rsidR="001C1E5A" w:rsidRPr="0061343E" w:rsidRDefault="001C1E5A" w:rsidP="00E7466A">
            <w:pPr>
              <w:pStyle w:val="TableText0"/>
              <w:keepNext w:val="0"/>
            </w:pPr>
            <w:r w:rsidRPr="0061343E">
              <w:t>PBS items 12291X, 12292Y</w:t>
            </w:r>
          </w:p>
        </w:tc>
        <w:tc>
          <w:tcPr>
            <w:tcW w:w="2806" w:type="dxa"/>
            <w:tcBorders>
              <w:bottom w:val="nil"/>
            </w:tcBorders>
            <w:tcMar>
              <w:left w:w="20" w:type="dxa"/>
              <w:right w:w="20" w:type="dxa"/>
            </w:tcMar>
            <w:vAlign w:val="center"/>
          </w:tcPr>
          <w:p w14:paraId="53AB11CA" w14:textId="39DEC5C2" w:rsidR="001C1E5A" w:rsidRPr="0061343E" w:rsidRDefault="001C1E5A" w:rsidP="00E7466A">
            <w:pPr>
              <w:pStyle w:val="TableText0"/>
              <w:keepNext w:val="0"/>
            </w:pPr>
            <w:r w:rsidRPr="0061343E">
              <w:t xml:space="preserve">This was </w:t>
            </w:r>
            <w:r w:rsidR="008211BE">
              <w:t>correct</w:t>
            </w:r>
            <w:r w:rsidRPr="0061343E">
              <w:t xml:space="preserve">. </w:t>
            </w:r>
          </w:p>
        </w:tc>
      </w:tr>
      <w:tr w:rsidR="001C1E5A" w:rsidRPr="0061343E" w14:paraId="6E7377D6" w14:textId="77777777" w:rsidTr="003F7210">
        <w:trPr>
          <w:trHeight w:val="688"/>
        </w:trPr>
        <w:tc>
          <w:tcPr>
            <w:tcW w:w="1526" w:type="dxa"/>
            <w:tcMar>
              <w:left w:w="20" w:type="dxa"/>
              <w:right w:w="20" w:type="dxa"/>
            </w:tcMar>
            <w:vAlign w:val="center"/>
          </w:tcPr>
          <w:p w14:paraId="0F8F91D8" w14:textId="0F7FEC36" w:rsidR="001C1E5A" w:rsidRPr="0061343E" w:rsidRDefault="00521393" w:rsidP="00E7466A">
            <w:pPr>
              <w:pStyle w:val="TableText0"/>
              <w:keepNext w:val="0"/>
            </w:pPr>
            <w:r w:rsidRPr="0061343E">
              <w:t>UPA</w:t>
            </w:r>
          </w:p>
        </w:tc>
        <w:tc>
          <w:tcPr>
            <w:tcW w:w="2013" w:type="dxa"/>
            <w:tcMar>
              <w:left w:w="20" w:type="dxa"/>
              <w:right w:w="20" w:type="dxa"/>
            </w:tcMar>
            <w:vAlign w:val="center"/>
          </w:tcPr>
          <w:p w14:paraId="11DABE0C" w14:textId="77777777" w:rsidR="001C1E5A" w:rsidRPr="0061343E" w:rsidRDefault="001C1E5A" w:rsidP="00E7466A">
            <w:pPr>
              <w:pStyle w:val="TableText0"/>
              <w:keepNext w:val="0"/>
            </w:pPr>
            <w:r w:rsidRPr="0061343E">
              <w:t>15 mg: $1,272.78</w:t>
            </w:r>
          </w:p>
          <w:p w14:paraId="0FB99D24" w14:textId="77777777" w:rsidR="001C1E5A" w:rsidRPr="0061343E" w:rsidRDefault="001C1E5A" w:rsidP="00E7466A">
            <w:pPr>
              <w:pStyle w:val="TableText0"/>
            </w:pPr>
            <w:r w:rsidRPr="0061343E">
              <w:t>30 mg: $2,077.76</w:t>
            </w:r>
          </w:p>
        </w:tc>
        <w:tc>
          <w:tcPr>
            <w:tcW w:w="2835" w:type="dxa"/>
            <w:tcMar>
              <w:left w:w="20" w:type="dxa"/>
              <w:right w:w="20" w:type="dxa"/>
            </w:tcMar>
            <w:vAlign w:val="center"/>
          </w:tcPr>
          <w:p w14:paraId="5ECE2C31" w14:textId="77777777" w:rsidR="001C1E5A" w:rsidRPr="0061343E" w:rsidRDefault="001C1E5A" w:rsidP="00E7466A">
            <w:pPr>
              <w:pStyle w:val="TableText0"/>
              <w:keepNext w:val="0"/>
            </w:pPr>
            <w:r w:rsidRPr="0061343E">
              <w:t xml:space="preserve">PBS items 12827D, 12828E, 12829F, 12831H, 12835M and 12836N. </w:t>
            </w:r>
          </w:p>
        </w:tc>
        <w:tc>
          <w:tcPr>
            <w:tcW w:w="2806" w:type="dxa"/>
            <w:tcMar>
              <w:left w:w="20" w:type="dxa"/>
              <w:right w:w="20" w:type="dxa"/>
            </w:tcMar>
            <w:vAlign w:val="center"/>
          </w:tcPr>
          <w:p w14:paraId="268243E5" w14:textId="79159C42" w:rsidR="001C1E5A" w:rsidRPr="0061343E" w:rsidRDefault="001C1E5A" w:rsidP="00E7466A">
            <w:pPr>
              <w:pStyle w:val="TableText0"/>
              <w:keepNext w:val="0"/>
            </w:pPr>
            <w:r w:rsidRPr="0061343E">
              <w:t xml:space="preserve">This was </w:t>
            </w:r>
            <w:r w:rsidR="008211BE">
              <w:t>correct</w:t>
            </w:r>
            <w:r w:rsidRPr="0061343E">
              <w:t xml:space="preserve">. </w:t>
            </w:r>
          </w:p>
        </w:tc>
      </w:tr>
      <w:tr w:rsidR="001C1E5A" w:rsidRPr="0061343E" w14:paraId="5B7BF17C" w14:textId="77777777" w:rsidTr="003F7210">
        <w:tc>
          <w:tcPr>
            <w:tcW w:w="1526" w:type="dxa"/>
            <w:tcMar>
              <w:left w:w="20" w:type="dxa"/>
              <w:right w:w="20" w:type="dxa"/>
            </w:tcMar>
            <w:vAlign w:val="center"/>
          </w:tcPr>
          <w:p w14:paraId="119B98D1" w14:textId="77777777" w:rsidR="001C1E5A" w:rsidRPr="0061343E" w:rsidRDefault="001C1E5A" w:rsidP="00E7466A">
            <w:pPr>
              <w:pStyle w:val="TableText0"/>
              <w:keepNext w:val="0"/>
            </w:pPr>
            <w:r w:rsidRPr="0061343E">
              <w:t>MBS costs</w:t>
            </w:r>
          </w:p>
        </w:tc>
        <w:tc>
          <w:tcPr>
            <w:tcW w:w="2013" w:type="dxa"/>
            <w:tcMar>
              <w:left w:w="20" w:type="dxa"/>
              <w:right w:w="20" w:type="dxa"/>
            </w:tcMar>
            <w:vAlign w:val="center"/>
          </w:tcPr>
          <w:p w14:paraId="194245DF" w14:textId="77777777" w:rsidR="001C1E5A" w:rsidRPr="0061343E" w:rsidRDefault="001C1E5A" w:rsidP="00E7466A">
            <w:pPr>
              <w:pStyle w:val="TableText0"/>
              <w:keepNext w:val="0"/>
            </w:pPr>
            <w:r w:rsidRPr="0061343E">
              <w:t>GP attendance: $42.85</w:t>
            </w:r>
          </w:p>
          <w:p w14:paraId="1E7F3B7A" w14:textId="77777777" w:rsidR="001C1E5A" w:rsidRPr="0061343E" w:rsidRDefault="001C1E5A" w:rsidP="00E7466A">
            <w:pPr>
              <w:pStyle w:val="TableText0"/>
              <w:keepNext w:val="0"/>
            </w:pPr>
            <w:r w:rsidRPr="0061343E">
              <w:t>Specialist attendance: $82.10</w:t>
            </w:r>
          </w:p>
        </w:tc>
        <w:tc>
          <w:tcPr>
            <w:tcW w:w="2835" w:type="dxa"/>
            <w:tcMar>
              <w:left w:w="20" w:type="dxa"/>
              <w:right w:w="20" w:type="dxa"/>
            </w:tcMar>
            <w:vAlign w:val="center"/>
          </w:tcPr>
          <w:p w14:paraId="12198B65" w14:textId="74270E01" w:rsidR="001C1E5A" w:rsidRPr="0061343E" w:rsidRDefault="001C1E5A" w:rsidP="00E7466A">
            <w:pPr>
              <w:pStyle w:val="TableText0"/>
              <w:keepNext w:val="0"/>
            </w:pPr>
            <w:r w:rsidRPr="0061343E">
              <w:t xml:space="preserve">Offsets associated with MBS items 23 and 106 were included based on the claim that </w:t>
            </w:r>
            <w:r w:rsidR="00521393" w:rsidRPr="0061343E">
              <w:t xml:space="preserve">NEMO </w:t>
            </w:r>
            <w:r w:rsidRPr="0061343E">
              <w:t xml:space="preserve">reduces the number of conjunctivitis events in patients. </w:t>
            </w:r>
          </w:p>
        </w:tc>
        <w:tc>
          <w:tcPr>
            <w:tcW w:w="2806" w:type="dxa"/>
            <w:tcMar>
              <w:left w:w="20" w:type="dxa"/>
              <w:right w:w="20" w:type="dxa"/>
            </w:tcMar>
            <w:vAlign w:val="center"/>
          </w:tcPr>
          <w:p w14:paraId="79054D85" w14:textId="1A5E0E43" w:rsidR="001C1E5A" w:rsidRPr="0061343E" w:rsidRDefault="001C1E5A" w:rsidP="00E7466A">
            <w:pPr>
              <w:pStyle w:val="TableText0"/>
              <w:keepNext w:val="0"/>
            </w:pPr>
            <w:r w:rsidRPr="0061343E">
              <w:t xml:space="preserve">It is not appropriate to include cost offsets associated with GP and specialist visits as these are not likely to be realised. </w:t>
            </w:r>
          </w:p>
        </w:tc>
      </w:tr>
    </w:tbl>
    <w:p w14:paraId="3CEBF9CA" w14:textId="77777777" w:rsidR="001C1E5A" w:rsidRPr="0061343E" w:rsidRDefault="001C1E5A" w:rsidP="001C1E5A">
      <w:pPr>
        <w:pStyle w:val="TableFigureFooter"/>
      </w:pPr>
      <w:r w:rsidRPr="0061343E">
        <w:t xml:space="preserve">Source: tabulated during the evaluation. </w:t>
      </w:r>
    </w:p>
    <w:p w14:paraId="43DA88C2" w14:textId="49E61F2D" w:rsidR="001C1E5A" w:rsidRDefault="001C1E5A" w:rsidP="00A75874">
      <w:pPr>
        <w:pStyle w:val="TableFigureFooter"/>
        <w:spacing w:after="120"/>
        <w:contextualSpacing w:val="0"/>
      </w:pPr>
      <w:r w:rsidRPr="0061343E">
        <w:t xml:space="preserve">AD = atopic dermatitis; AEMP = approved ex-manufacturer price; DPMQ = dispensed price for maximum </w:t>
      </w:r>
      <w:r w:rsidR="00F27AEF" w:rsidRPr="0061343E">
        <w:t>quantity;</w:t>
      </w:r>
      <w:r w:rsidRPr="0061343E">
        <w:t xml:space="preserve"> DUPI = dupilumab; GP = General practitioner; MBS = Medicare Benefits Schedule; NEMO = nemolizumab; PBS = Pharmaceutical Benefits Scheme; PSD = public summary document; RPBS = Repatriation Pharmaceutical Benefits Scheme; UPA = upadacitinib</w:t>
      </w:r>
    </w:p>
    <w:p w14:paraId="6E58FFB9" w14:textId="77777777" w:rsidR="00A40059" w:rsidRPr="00F01538" w:rsidRDefault="00A40059" w:rsidP="00A40059">
      <w:pPr>
        <w:pStyle w:val="TableFigureFooter"/>
        <w:spacing w:after="120"/>
        <w:rPr>
          <w:i/>
          <w:iCs/>
          <w:szCs w:val="18"/>
        </w:rPr>
      </w:pPr>
      <w:r w:rsidRPr="00F01538">
        <w:rPr>
          <w:i/>
          <w:iCs/>
          <w:szCs w:val="18"/>
        </w:rPr>
        <w:t xml:space="preserve">The redacted values correspond to the following ranges: </w:t>
      </w:r>
    </w:p>
    <w:p w14:paraId="0A4ACD24" w14:textId="3812023B" w:rsidR="00A40059" w:rsidRPr="00F01538" w:rsidRDefault="00A40059" w:rsidP="00A40059">
      <w:pPr>
        <w:pStyle w:val="TableFigureFooter"/>
        <w:spacing w:after="120"/>
        <w:contextualSpacing w:val="0"/>
        <w:rPr>
          <w:i/>
          <w:iCs/>
          <w:szCs w:val="18"/>
        </w:rPr>
      </w:pPr>
      <w:r w:rsidRPr="00F01538">
        <w:rPr>
          <w:i/>
          <w:iCs/>
          <w:szCs w:val="18"/>
          <w:vertAlign w:val="superscript"/>
        </w:rPr>
        <w:t>1</w:t>
      </w:r>
      <w:r w:rsidRPr="00F01538">
        <w:rPr>
          <w:szCs w:val="18"/>
          <w:vertAlign w:val="superscript"/>
        </w:rPr>
        <w:t xml:space="preserve"> </w:t>
      </w:r>
      <w:r w:rsidR="006E24A8" w:rsidRPr="00F01538">
        <w:rPr>
          <w:i/>
          <w:iCs/>
          <w:szCs w:val="18"/>
        </w:rPr>
        <w:t>&lt; 500</w:t>
      </w:r>
    </w:p>
    <w:p w14:paraId="31BD542B" w14:textId="6C5C4AE7" w:rsidR="001C1E5A" w:rsidRPr="001F741C" w:rsidRDefault="001C1E5A" w:rsidP="001C1E5A">
      <w:pPr>
        <w:pStyle w:val="3-BodyText"/>
        <w:rPr>
          <w:b/>
          <w:bCs/>
        </w:rPr>
      </w:pPr>
      <w:bookmarkStart w:id="77" w:name="_Ref104805295"/>
      <w:r w:rsidRPr="0061343E">
        <w:t xml:space="preserve">The submission projected </w:t>
      </w:r>
      <w:r w:rsidR="009B1646" w:rsidRPr="0061343E">
        <w:t xml:space="preserve">a linear </w:t>
      </w:r>
      <w:r w:rsidRPr="0061343E">
        <w:t xml:space="preserve">annual growth </w:t>
      </w:r>
      <w:r w:rsidR="005D2BD6" w:rsidRPr="0061343E">
        <w:t xml:space="preserve">of </w:t>
      </w:r>
      <w:r w:rsidRPr="0061343E">
        <w:t xml:space="preserve">the </w:t>
      </w:r>
      <w:r w:rsidR="009B1646" w:rsidRPr="0061343E">
        <w:t>DUPI and UPA</w:t>
      </w:r>
      <w:r w:rsidR="005D2BD6" w:rsidRPr="0061343E">
        <w:t xml:space="preserve"> </w:t>
      </w:r>
      <w:r w:rsidRPr="0061343E">
        <w:t xml:space="preserve">market size based on projections previously presented to the PBAC (Table 6, dupilumab PSD, July 2024 PBAC Meeting). </w:t>
      </w:r>
      <w:r w:rsidR="008C206D" w:rsidRPr="0061343E">
        <w:t>In July 2024, t</w:t>
      </w:r>
      <w:r w:rsidRPr="0061343E">
        <w:t xml:space="preserve">he PBAC noted that </w:t>
      </w:r>
      <w:r w:rsidR="008C206D" w:rsidRPr="0061343E">
        <w:t xml:space="preserve">the </w:t>
      </w:r>
      <w:r w:rsidRPr="0061343E">
        <w:t>assum</w:t>
      </w:r>
      <w:r w:rsidR="008C206D" w:rsidRPr="0061343E">
        <w:t xml:space="preserve">ption of </w:t>
      </w:r>
      <w:r w:rsidRPr="0061343E">
        <w:t xml:space="preserve">linear growth in the market from </w:t>
      </w:r>
      <w:r w:rsidR="005748E4" w:rsidRPr="0061343E">
        <w:t xml:space="preserve">Year </w:t>
      </w:r>
      <w:r w:rsidRPr="0061343E">
        <w:t>4 onwards was not reasonable as the market was expected to stabilise</w:t>
      </w:r>
      <w:r w:rsidR="005748E4" w:rsidRPr="0061343E">
        <w:t xml:space="preserve">. It was </w:t>
      </w:r>
      <w:r w:rsidRPr="0061343E">
        <w:t xml:space="preserve">recommended that the growth rate be reduced by 5% from </w:t>
      </w:r>
      <w:r w:rsidR="005748E4" w:rsidRPr="0061343E">
        <w:t xml:space="preserve">Year </w:t>
      </w:r>
      <w:r w:rsidRPr="0061343E">
        <w:t xml:space="preserve">4 onwards (Table 8, dupilumab PSD, July 2024 PBAC Meeting).  </w:t>
      </w:r>
    </w:p>
    <w:p w14:paraId="38F4CE23" w14:textId="00A7BE11" w:rsidR="00080828" w:rsidRPr="0061343E" w:rsidRDefault="001C1E5A" w:rsidP="001C1E5A">
      <w:pPr>
        <w:pStyle w:val="3-BodyText"/>
      </w:pPr>
      <w:r w:rsidRPr="001F741C">
        <w:lastRenderedPageBreak/>
        <w:t xml:space="preserve">The submission assumed that the market share of NEMO would grow from </w:t>
      </w:r>
      <w:r w:rsidR="00590FB9" w:rsidRPr="00590FB9">
        <w:rPr>
          <w:color w:val="000000"/>
          <w:w w:val="59"/>
          <w:shd w:val="solid" w:color="000000" w:fill="000000"/>
          <w:fitText w:val="460" w:id="-628929019"/>
          <w14:textFill>
            <w14:solidFill>
              <w14:srgbClr w14:val="000000">
                <w14:alpha w14:val="100000"/>
              </w14:srgbClr>
            </w14:solidFill>
          </w14:textFill>
        </w:rPr>
        <w:t>|||  ||</w:t>
      </w:r>
      <w:r w:rsidR="00590FB9" w:rsidRPr="00590FB9">
        <w:rPr>
          <w:color w:val="000000"/>
          <w:spacing w:val="5"/>
          <w:w w:val="59"/>
          <w:shd w:val="solid" w:color="000000" w:fill="000000"/>
          <w:fitText w:val="460" w:id="-628929019"/>
          <w14:textFill>
            <w14:solidFill>
              <w14:srgbClr w14:val="000000">
                <w14:alpha w14:val="100000"/>
              </w14:srgbClr>
            </w14:solidFill>
          </w14:textFill>
        </w:rPr>
        <w:t>|</w:t>
      </w:r>
      <w:r w:rsidRPr="001F741C">
        <w:t>% i</w:t>
      </w:r>
      <w:r w:rsidRPr="0061343E">
        <w:t xml:space="preserve">n </w:t>
      </w:r>
      <w:r w:rsidR="00080828" w:rsidRPr="0061343E">
        <w:t xml:space="preserve">Year </w:t>
      </w:r>
      <w:r w:rsidRPr="0061343E">
        <w:t xml:space="preserve">1 to </w:t>
      </w:r>
      <w:r w:rsidR="00590FB9" w:rsidRPr="00590FB9">
        <w:rPr>
          <w:color w:val="000000"/>
          <w:w w:val="61"/>
          <w:shd w:val="solid" w:color="000000" w:fill="000000"/>
          <w:fitText w:val="475" w:id="-628929018"/>
          <w14:textFill>
            <w14:solidFill>
              <w14:srgbClr w14:val="000000">
                <w14:alpha w14:val="100000"/>
              </w14:srgbClr>
            </w14:solidFill>
          </w14:textFill>
        </w:rPr>
        <w:t>|||  ||</w:t>
      </w:r>
      <w:r w:rsidR="00590FB9" w:rsidRPr="00590FB9">
        <w:rPr>
          <w:color w:val="000000"/>
          <w:spacing w:val="5"/>
          <w:w w:val="61"/>
          <w:shd w:val="solid" w:color="000000" w:fill="000000"/>
          <w:fitText w:val="475" w:id="-628929018"/>
          <w14:textFill>
            <w14:solidFill>
              <w14:srgbClr w14:val="000000">
                <w14:alpha w14:val="100000"/>
              </w14:srgbClr>
            </w14:solidFill>
          </w14:textFill>
        </w:rPr>
        <w:t>|</w:t>
      </w:r>
      <w:r w:rsidRPr="0061343E">
        <w:t xml:space="preserve"> in </w:t>
      </w:r>
      <w:r w:rsidR="00080828" w:rsidRPr="0061343E">
        <w:t xml:space="preserve">Year </w:t>
      </w:r>
      <w:r w:rsidRPr="0061343E">
        <w:t xml:space="preserve">6. Given the </w:t>
      </w:r>
      <w:r w:rsidR="00B32D0A" w:rsidRPr="0061343E">
        <w:t>inferior efficacy of NEMO compared to DUPI and UPA, the ESC considered that the</w:t>
      </w:r>
      <w:r w:rsidR="005763D3" w:rsidRPr="0061343E">
        <w:t xml:space="preserve"> </w:t>
      </w:r>
      <w:r w:rsidR="009523C5" w:rsidRPr="0061343E">
        <w:t xml:space="preserve">uptake of NEMO </w:t>
      </w:r>
      <w:r w:rsidRPr="0061343E">
        <w:t xml:space="preserve">may be </w:t>
      </w:r>
      <w:r w:rsidR="005763D3" w:rsidRPr="0061343E">
        <w:t>overestimated</w:t>
      </w:r>
      <w:r w:rsidRPr="0061343E">
        <w:t>.</w:t>
      </w:r>
    </w:p>
    <w:p w14:paraId="719832FF" w14:textId="60E8FD6E" w:rsidR="00CB17D7" w:rsidRDefault="001C1E5A" w:rsidP="00E7466A">
      <w:pPr>
        <w:pStyle w:val="3-BodyText"/>
      </w:pPr>
      <w:r w:rsidRPr="0061343E">
        <w:t xml:space="preserve">The total number of NEMO prescriptions was estimated based on calculated substitution rates for initial and continuing treatment. </w:t>
      </w:r>
      <w:r w:rsidR="003D779B" w:rsidRPr="0061343E">
        <w:t>As DUPI has the same PBS item code for initial and continuing supply, t</w:t>
      </w:r>
      <w:r w:rsidRPr="0061343E">
        <w:t>he number of initial (</w:t>
      </w:r>
      <w:r w:rsidR="009E2C45" w:rsidRPr="0061343E">
        <w:t xml:space="preserve">assumed to be </w:t>
      </w:r>
      <w:r w:rsidRPr="0061343E">
        <w:t xml:space="preserve">18.5% of all scripts) and continuing (81.5%) prescriptions for DUPI </w:t>
      </w:r>
      <w:r w:rsidR="003D779B" w:rsidRPr="0061343E">
        <w:t xml:space="preserve">were </w:t>
      </w:r>
      <w:r w:rsidRPr="0061343E">
        <w:t xml:space="preserve">based on the recommended dosing schedule in which 5 of a total of 27 scripts </w:t>
      </w:r>
      <w:r w:rsidR="009E2C45" w:rsidRPr="0061343E">
        <w:t xml:space="preserve">required </w:t>
      </w:r>
      <w:r w:rsidRPr="0061343E">
        <w:t xml:space="preserve">for a treatment period of 2 years, </w:t>
      </w:r>
      <w:r w:rsidR="003D779B" w:rsidRPr="0061343E">
        <w:t>are</w:t>
      </w:r>
      <w:r w:rsidRPr="0061343E">
        <w:t xml:space="preserve"> for initial treatment with DUPI. T</w:t>
      </w:r>
      <w:r w:rsidR="003D779B" w:rsidRPr="0061343E">
        <w:t>he ESC noted that t</w:t>
      </w:r>
      <w:r w:rsidRPr="0061343E">
        <w:t xml:space="preserve">his approach assumes that all patients who initiate treatment with </w:t>
      </w:r>
      <w:r w:rsidR="00000FD0" w:rsidRPr="0061343E">
        <w:t>DUPI</w:t>
      </w:r>
      <w:r w:rsidRPr="0061343E">
        <w:t xml:space="preserve"> complete initial treatment and progress to continuing treatment</w:t>
      </w:r>
      <w:r w:rsidR="00DF4180" w:rsidRPr="0061343E">
        <w:t>, i.e. it</w:t>
      </w:r>
      <w:r w:rsidRPr="0061343E">
        <w:t xml:space="preserve"> does not account for patients that may not respond to initial treatment with </w:t>
      </w:r>
      <w:r w:rsidR="00000FD0" w:rsidRPr="0061343E">
        <w:t>DUPI</w:t>
      </w:r>
      <w:r w:rsidRPr="0061343E">
        <w:t xml:space="preserve"> and therefore, discontinue treatment</w:t>
      </w:r>
      <w:r w:rsidR="003D779B" w:rsidRPr="0061343E">
        <w:t xml:space="preserve">, which </w:t>
      </w:r>
      <w:r w:rsidR="00D57022" w:rsidRPr="0061343E">
        <w:t xml:space="preserve">was </w:t>
      </w:r>
      <w:r w:rsidRPr="0061343E">
        <w:t xml:space="preserve">not a reasonable assumption as only </w:t>
      </w:r>
      <w:r w:rsidR="003D779B" w:rsidRPr="0061343E">
        <w:t xml:space="preserve">approximately </w:t>
      </w:r>
      <w:r w:rsidRPr="0061343E">
        <w:t xml:space="preserve">60% of patients </w:t>
      </w:r>
      <w:r w:rsidR="00D57022" w:rsidRPr="0061343E">
        <w:t xml:space="preserve">are </w:t>
      </w:r>
      <w:r w:rsidRPr="0061343E">
        <w:t xml:space="preserve">reported to respond to initial </w:t>
      </w:r>
      <w:r w:rsidR="00D57022" w:rsidRPr="0061343E">
        <w:t xml:space="preserve">DUPI </w:t>
      </w:r>
      <w:r w:rsidRPr="0061343E">
        <w:t>treatment (Table 19, dupilumab PSD, March</w:t>
      </w:r>
      <w:r w:rsidR="00080828" w:rsidRPr="0061343E">
        <w:t xml:space="preserve"> </w:t>
      </w:r>
      <w:r w:rsidRPr="0061343E">
        <w:t>2020 PBAC Meeting</w:t>
      </w:r>
      <w:r w:rsidR="000C1D36" w:rsidRPr="0061343E">
        <w:t>)</w:t>
      </w:r>
      <w:r w:rsidRPr="0061343E">
        <w:t xml:space="preserve">. </w:t>
      </w:r>
      <w:r w:rsidR="00103EBC" w:rsidRPr="0061343E">
        <w:t xml:space="preserve">As </w:t>
      </w:r>
      <w:r w:rsidRPr="0061343E">
        <w:t xml:space="preserve">the substitution rate of </w:t>
      </w:r>
      <w:r w:rsidR="00000FD0" w:rsidRPr="0061343E">
        <w:t>NEMO</w:t>
      </w:r>
      <w:r w:rsidRPr="0061343E">
        <w:t xml:space="preserve"> to </w:t>
      </w:r>
      <w:r w:rsidR="00000FD0" w:rsidRPr="0061343E">
        <w:t>DUPI</w:t>
      </w:r>
      <w:r w:rsidRPr="0061343E">
        <w:t xml:space="preserve"> for initial treatment is </w:t>
      </w:r>
      <w:r w:rsidR="003D779B" w:rsidRPr="0061343E">
        <w:t xml:space="preserve">likely </w:t>
      </w:r>
      <w:r w:rsidRPr="0061343E">
        <w:t>higher than that for continuing treatment, the financial impact of NEMO to the PBS/RPBS</w:t>
      </w:r>
      <w:r w:rsidR="00103EBC" w:rsidRPr="0061343E">
        <w:t xml:space="preserve"> may be underestimated</w:t>
      </w:r>
      <w:r w:rsidRPr="0061343E">
        <w:t xml:space="preserve">. </w:t>
      </w:r>
      <w:r w:rsidR="00103EBC" w:rsidRPr="0061343E">
        <w:t xml:space="preserve">Further, </w:t>
      </w:r>
      <w:r w:rsidRPr="0061343E">
        <w:t>the financial estimates are highly sensitive to the split between initial and continuing DUPI scripts</w:t>
      </w:r>
      <w:r w:rsidR="00887A3F" w:rsidRPr="0061343E">
        <w:t xml:space="preserve">. </w:t>
      </w:r>
      <w:r w:rsidR="003D779B" w:rsidRPr="0061343E">
        <w:t>The ESC noted that i</w:t>
      </w:r>
      <w:r w:rsidRPr="0061343E">
        <w:t xml:space="preserve">f a split of 26% and 74% between initial and continuing scripts (based on UPA utilisation statistics) </w:t>
      </w:r>
      <w:r w:rsidR="00887A3F" w:rsidRPr="0061343E">
        <w:t xml:space="preserve">was </w:t>
      </w:r>
      <w:r w:rsidRPr="0061343E">
        <w:t xml:space="preserve">applied to all DUPI scripts, </w:t>
      </w:r>
      <w:r w:rsidR="00887A3F" w:rsidRPr="0061343E">
        <w:t>the net cost of NE</w:t>
      </w:r>
      <w:r w:rsidR="00376586">
        <w:t>M</w:t>
      </w:r>
      <w:r w:rsidR="00887A3F" w:rsidRPr="0061343E">
        <w:t>O to the PBS/RPBS increased</w:t>
      </w:r>
      <w:r w:rsidR="007C0CE2" w:rsidRPr="0061343E">
        <w:t xml:space="preserve"> from a cost saving to a cost of approximately </w:t>
      </w:r>
      <w:r w:rsidR="00E605E2" w:rsidRPr="00E605E2">
        <w:t>$10 million to &lt; $20 million</w:t>
      </w:r>
      <w:r w:rsidR="007C0CE2" w:rsidRPr="0061343E">
        <w:t xml:space="preserve"> in Year 6</w:t>
      </w:r>
      <w:r w:rsidR="00667AED" w:rsidRPr="0061343E">
        <w:t xml:space="preserve">. </w:t>
      </w:r>
      <w:r w:rsidRPr="0061343E">
        <w:t xml:space="preserve">PBS data for DUPI by treatment phase could reduce the uncertainty in the financial impact associated with the listing of NEMO. </w:t>
      </w:r>
      <w:r w:rsidR="00CB17D7">
        <w:t>The Pre-PBAC response</w:t>
      </w:r>
      <w:r w:rsidR="003C42E8">
        <w:t xml:space="preserve"> </w:t>
      </w:r>
      <w:r w:rsidR="00CB17D7">
        <w:t xml:space="preserve">disagreed with the ESC and stated that it is </w:t>
      </w:r>
      <w:r w:rsidR="00CB17D7" w:rsidRPr="00DD21A8">
        <w:t xml:space="preserve">more likely that the proportion of initiating scripts </w:t>
      </w:r>
      <w:r w:rsidR="00CB17D7">
        <w:t xml:space="preserve">of NEMO </w:t>
      </w:r>
      <w:r w:rsidR="00CB17D7" w:rsidRPr="00DD21A8">
        <w:t xml:space="preserve">could </w:t>
      </w:r>
      <w:r w:rsidR="00CB17D7">
        <w:t xml:space="preserve">be less than the assumptions in the </w:t>
      </w:r>
      <w:r w:rsidR="00CB17D7" w:rsidRPr="00DD21A8">
        <w:t>estimates, not higher,</w:t>
      </w:r>
      <w:r w:rsidR="00CB17D7">
        <w:t xml:space="preserve"> based on the long term treatment duration of DUPI.</w:t>
      </w:r>
    </w:p>
    <w:p w14:paraId="001A92BE" w14:textId="068EDFCD" w:rsidR="00B45947" w:rsidRPr="0061343E" w:rsidRDefault="00B45947" w:rsidP="00E7466A">
      <w:pPr>
        <w:pStyle w:val="3-BodyText"/>
      </w:pPr>
      <w:r w:rsidRPr="0061343E">
        <w:t xml:space="preserve">The PSCR </w:t>
      </w:r>
      <w:r w:rsidR="003D779B" w:rsidRPr="0061343E">
        <w:t>stated</w:t>
      </w:r>
      <w:r w:rsidR="00F7366F" w:rsidRPr="0061343E">
        <w:t xml:space="preserve"> </w:t>
      </w:r>
      <w:r w:rsidRPr="0061343E">
        <w:t xml:space="preserve">that </w:t>
      </w:r>
      <w:r w:rsidR="005601C4" w:rsidRPr="0061343E">
        <w:t>for Years</w:t>
      </w:r>
      <w:r w:rsidRPr="0061343E">
        <w:t xml:space="preserve"> 3 to 6 of the forward estimates, NEMO patients will require </w:t>
      </w:r>
      <w:r w:rsidR="003D779B" w:rsidRPr="0061343E">
        <w:t>an</w:t>
      </w:r>
      <w:r w:rsidRPr="0061343E">
        <w:t xml:space="preserve"> average 6.75 injections per year</w:t>
      </w:r>
      <w:r w:rsidR="003D779B" w:rsidRPr="0061343E">
        <w:t xml:space="preserve">, which </w:t>
      </w:r>
      <w:r w:rsidRPr="0061343E">
        <w:t xml:space="preserve">is lower than the average of 8.13 per year (16.26 over two years) </w:t>
      </w:r>
      <w:r w:rsidR="003D779B" w:rsidRPr="0061343E">
        <w:t>applied</w:t>
      </w:r>
      <w:r w:rsidRPr="0061343E">
        <w:t xml:space="preserve"> in the financial estimates due to the PBAC’s preferred approach of pricing products over the first two years of listing. </w:t>
      </w:r>
      <w:r w:rsidR="006D0968" w:rsidRPr="0061343E">
        <w:t>The PSCR stated that a</w:t>
      </w:r>
      <w:r w:rsidRPr="0061343E">
        <w:t xml:space="preserve">ssuming NEMO has the same persistence </w:t>
      </w:r>
      <w:r w:rsidR="00222882">
        <w:t>as</w:t>
      </w:r>
      <w:r w:rsidR="00222882" w:rsidRPr="0061343E">
        <w:t xml:space="preserve"> </w:t>
      </w:r>
      <w:r w:rsidRPr="0061343E">
        <w:t xml:space="preserve">DUPI, a six-year saving of </w:t>
      </w:r>
      <w:r w:rsidR="00ED3703" w:rsidRPr="0061343E">
        <w:t xml:space="preserve">approximately </w:t>
      </w:r>
      <w:r w:rsidR="00316506" w:rsidRPr="00316506">
        <w:t>$50 million to &lt; $60 million</w:t>
      </w:r>
      <w:r w:rsidR="00CC3ADF">
        <w:t xml:space="preserve"> </w:t>
      </w:r>
      <w:r w:rsidR="003D779B" w:rsidRPr="0061343E">
        <w:t>would be</w:t>
      </w:r>
      <w:r w:rsidRPr="0061343E">
        <w:t xml:space="preserve"> possible.</w:t>
      </w:r>
      <w:r w:rsidR="003E146A" w:rsidRPr="0061343E">
        <w:t xml:space="preserve"> The ESC noted these estimates were based on the published</w:t>
      </w:r>
      <w:r w:rsidR="00EA69D5" w:rsidRPr="0061343E">
        <w:t xml:space="preserve"> prices for NEMO and DUPI.</w:t>
      </w:r>
      <w:r w:rsidR="007438E6">
        <w:t xml:space="preserve"> </w:t>
      </w:r>
    </w:p>
    <w:p w14:paraId="26310D17" w14:textId="21D5D580" w:rsidR="001C1E5A" w:rsidRPr="0061343E" w:rsidRDefault="001C1E5A" w:rsidP="002F6DEA">
      <w:pPr>
        <w:pStyle w:val="3-BodyText"/>
        <w:rPr>
          <w:color w:val="0066FF"/>
        </w:rPr>
      </w:pPr>
      <w:r w:rsidRPr="0061343E">
        <w:t>A summary of the net financial implicat</w:t>
      </w:r>
      <w:r w:rsidRPr="002F6DEA">
        <w:t>ions for the PBS/RPBS is provided in</w:t>
      </w:r>
      <w:r w:rsidRPr="002F6DEA">
        <w:rPr>
          <w:b/>
          <w:bCs/>
        </w:rPr>
        <w:t xml:space="preserve"> </w:t>
      </w:r>
      <w:r w:rsidRPr="002F6DEA">
        <w:rPr>
          <w:b/>
          <w:bCs/>
        </w:rPr>
        <w:fldChar w:fldCharType="begin"/>
      </w:r>
      <w:r w:rsidRPr="002F6DEA">
        <w:rPr>
          <w:b/>
          <w:bCs/>
        </w:rPr>
        <w:instrText xml:space="preserve"> REF _Ref197081761 \h </w:instrText>
      </w:r>
      <w:r w:rsidR="000409F2" w:rsidRPr="002F6DEA">
        <w:rPr>
          <w:b/>
          <w:bCs/>
        </w:rPr>
        <w:instrText xml:space="preserve"> \* MERGEFORMAT </w:instrText>
      </w:r>
      <w:r w:rsidRPr="002F6DEA">
        <w:rPr>
          <w:b/>
          <w:bCs/>
        </w:rPr>
      </w:r>
      <w:r w:rsidRPr="002F6DEA">
        <w:rPr>
          <w:b/>
          <w:bCs/>
        </w:rPr>
        <w:fldChar w:fldCharType="separate"/>
      </w:r>
      <w:r w:rsidR="00E5780E" w:rsidRPr="0061343E">
        <w:t xml:space="preserve">Table </w:t>
      </w:r>
      <w:r w:rsidR="00E5780E">
        <w:rPr>
          <w:noProof/>
        </w:rPr>
        <w:t>21</w:t>
      </w:r>
      <w:r w:rsidRPr="002F6DEA">
        <w:rPr>
          <w:b/>
          <w:bCs/>
        </w:rPr>
        <w:fldChar w:fldCharType="end"/>
      </w:r>
      <w:r w:rsidRPr="002F6DEA">
        <w:rPr>
          <w:b/>
          <w:bCs/>
        </w:rPr>
        <w:t>.</w:t>
      </w:r>
    </w:p>
    <w:p w14:paraId="42CFFA41" w14:textId="016C7188" w:rsidR="001C1E5A" w:rsidRPr="0061343E" w:rsidRDefault="001C1E5A" w:rsidP="001C1E5A">
      <w:pPr>
        <w:pStyle w:val="TableFigureHeading"/>
      </w:pPr>
      <w:bookmarkStart w:id="78" w:name="_Ref197081761"/>
      <w:r w:rsidRPr="0061343E">
        <w:lastRenderedPageBreak/>
        <w:t xml:space="preserve">Table </w:t>
      </w:r>
      <w:r w:rsidR="00167892">
        <w:fldChar w:fldCharType="begin"/>
      </w:r>
      <w:r w:rsidR="00167892">
        <w:instrText xml:space="preserve"> SEQ Table \* ARABIC </w:instrText>
      </w:r>
      <w:r w:rsidR="00167892">
        <w:fldChar w:fldCharType="separate"/>
      </w:r>
      <w:r w:rsidR="00E5780E">
        <w:rPr>
          <w:noProof/>
        </w:rPr>
        <w:t>21</w:t>
      </w:r>
      <w:r w:rsidR="00167892">
        <w:rPr>
          <w:noProof/>
        </w:rPr>
        <w:fldChar w:fldCharType="end"/>
      </w:r>
      <w:bookmarkEnd w:id="77"/>
      <w:bookmarkEnd w:id="78"/>
      <w:r w:rsidRPr="0061343E">
        <w:t>:</w:t>
      </w:r>
      <w:r w:rsidRPr="0061343E">
        <w:rPr>
          <w:rStyle w:val="CommentReference"/>
          <w:b/>
          <w:szCs w:val="24"/>
        </w:rPr>
        <w:t xml:space="preserve"> Estimated reduction in the cost to the PBS/RPBS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21: Estimated reduction in the cost to the PBS/RPBS "/>
      </w:tblPr>
      <w:tblGrid>
        <w:gridCol w:w="2122"/>
        <w:gridCol w:w="1148"/>
        <w:gridCol w:w="1149"/>
        <w:gridCol w:w="1149"/>
        <w:gridCol w:w="1149"/>
        <w:gridCol w:w="1149"/>
        <w:gridCol w:w="1151"/>
      </w:tblGrid>
      <w:tr w:rsidR="001C1E5A" w:rsidRPr="0061343E" w14:paraId="6EAA0A41" w14:textId="77777777" w:rsidTr="004B68FB">
        <w:trPr>
          <w:tblHeader/>
        </w:trPr>
        <w:tc>
          <w:tcPr>
            <w:tcW w:w="1177" w:type="pct"/>
            <w:vAlign w:val="center"/>
          </w:tcPr>
          <w:p w14:paraId="3FC073B8" w14:textId="77777777" w:rsidR="001C1E5A" w:rsidRPr="0061343E" w:rsidRDefault="001C1E5A" w:rsidP="00550072">
            <w:pPr>
              <w:pStyle w:val="In-tableHeading"/>
              <w:keepLines w:val="0"/>
              <w:widowControl w:val="0"/>
              <w:jc w:val="center"/>
              <w:rPr>
                <w:lang w:val="en-AU"/>
              </w:rPr>
            </w:pPr>
          </w:p>
        </w:tc>
        <w:tc>
          <w:tcPr>
            <w:tcW w:w="637" w:type="pct"/>
            <w:vAlign w:val="center"/>
          </w:tcPr>
          <w:p w14:paraId="55242718" w14:textId="77777777" w:rsidR="001C1E5A" w:rsidRPr="0061343E" w:rsidRDefault="001C1E5A" w:rsidP="00550072">
            <w:pPr>
              <w:pStyle w:val="In-tableHeading"/>
              <w:keepLines w:val="0"/>
              <w:widowControl w:val="0"/>
              <w:jc w:val="center"/>
              <w:rPr>
                <w:lang w:val="en-AU"/>
              </w:rPr>
            </w:pPr>
            <w:r w:rsidRPr="0061343E">
              <w:rPr>
                <w:lang w:val="en-AU"/>
              </w:rPr>
              <w:t>Year 1</w:t>
            </w:r>
          </w:p>
        </w:tc>
        <w:tc>
          <w:tcPr>
            <w:tcW w:w="637" w:type="pct"/>
            <w:vAlign w:val="center"/>
          </w:tcPr>
          <w:p w14:paraId="66FCA7F9" w14:textId="77777777" w:rsidR="001C1E5A" w:rsidRPr="0061343E" w:rsidRDefault="001C1E5A" w:rsidP="00550072">
            <w:pPr>
              <w:pStyle w:val="In-tableHeading"/>
              <w:keepLines w:val="0"/>
              <w:widowControl w:val="0"/>
              <w:jc w:val="center"/>
              <w:rPr>
                <w:lang w:val="en-AU"/>
              </w:rPr>
            </w:pPr>
            <w:r w:rsidRPr="0061343E">
              <w:rPr>
                <w:lang w:val="en-AU"/>
              </w:rPr>
              <w:t>Year 2</w:t>
            </w:r>
          </w:p>
        </w:tc>
        <w:tc>
          <w:tcPr>
            <w:tcW w:w="637" w:type="pct"/>
            <w:vAlign w:val="center"/>
          </w:tcPr>
          <w:p w14:paraId="05C4D6A6" w14:textId="77777777" w:rsidR="001C1E5A" w:rsidRPr="0061343E" w:rsidRDefault="001C1E5A" w:rsidP="00550072">
            <w:pPr>
              <w:pStyle w:val="In-tableHeading"/>
              <w:keepLines w:val="0"/>
              <w:widowControl w:val="0"/>
              <w:jc w:val="center"/>
              <w:rPr>
                <w:lang w:val="en-AU"/>
              </w:rPr>
            </w:pPr>
            <w:r w:rsidRPr="0061343E">
              <w:rPr>
                <w:lang w:val="en-AU"/>
              </w:rPr>
              <w:t>Year 3</w:t>
            </w:r>
          </w:p>
        </w:tc>
        <w:tc>
          <w:tcPr>
            <w:tcW w:w="637" w:type="pct"/>
            <w:vAlign w:val="center"/>
          </w:tcPr>
          <w:p w14:paraId="6B6B53F3" w14:textId="77777777" w:rsidR="001C1E5A" w:rsidRPr="0061343E" w:rsidRDefault="001C1E5A" w:rsidP="00550072">
            <w:pPr>
              <w:pStyle w:val="In-tableHeading"/>
              <w:keepLines w:val="0"/>
              <w:widowControl w:val="0"/>
              <w:jc w:val="center"/>
              <w:rPr>
                <w:lang w:val="en-AU"/>
              </w:rPr>
            </w:pPr>
            <w:r w:rsidRPr="0061343E">
              <w:rPr>
                <w:lang w:val="en-AU"/>
              </w:rPr>
              <w:t>Year 4</w:t>
            </w:r>
          </w:p>
        </w:tc>
        <w:tc>
          <w:tcPr>
            <w:tcW w:w="637" w:type="pct"/>
            <w:vAlign w:val="center"/>
          </w:tcPr>
          <w:p w14:paraId="0F809395" w14:textId="77777777" w:rsidR="001C1E5A" w:rsidRPr="0061343E" w:rsidRDefault="001C1E5A" w:rsidP="00550072">
            <w:pPr>
              <w:pStyle w:val="In-tableHeading"/>
              <w:keepLines w:val="0"/>
              <w:widowControl w:val="0"/>
              <w:jc w:val="center"/>
              <w:rPr>
                <w:lang w:val="en-AU"/>
              </w:rPr>
            </w:pPr>
            <w:r w:rsidRPr="0061343E">
              <w:rPr>
                <w:lang w:val="en-AU"/>
              </w:rPr>
              <w:t>Year 5</w:t>
            </w:r>
          </w:p>
        </w:tc>
        <w:tc>
          <w:tcPr>
            <w:tcW w:w="638" w:type="pct"/>
          </w:tcPr>
          <w:p w14:paraId="52AA69CF" w14:textId="77777777" w:rsidR="001C1E5A" w:rsidRPr="0061343E" w:rsidRDefault="001C1E5A" w:rsidP="00550072">
            <w:pPr>
              <w:pStyle w:val="In-tableHeading"/>
              <w:keepLines w:val="0"/>
              <w:widowControl w:val="0"/>
              <w:jc w:val="center"/>
              <w:rPr>
                <w:lang w:val="en-AU"/>
              </w:rPr>
            </w:pPr>
            <w:r w:rsidRPr="0061343E">
              <w:rPr>
                <w:lang w:val="en-AU"/>
              </w:rPr>
              <w:t>Year 6</w:t>
            </w:r>
          </w:p>
        </w:tc>
      </w:tr>
      <w:tr w:rsidR="001C1E5A" w:rsidRPr="0061343E" w14:paraId="34976FBA" w14:textId="77777777" w:rsidTr="004B68FB">
        <w:tc>
          <w:tcPr>
            <w:tcW w:w="5000" w:type="pct"/>
            <w:gridSpan w:val="7"/>
            <w:vAlign w:val="center"/>
          </w:tcPr>
          <w:p w14:paraId="0C585A93" w14:textId="77777777" w:rsidR="001C1E5A" w:rsidRPr="0061343E" w:rsidRDefault="001C1E5A" w:rsidP="00550072">
            <w:pPr>
              <w:pStyle w:val="TableText0"/>
              <w:keepLines w:val="0"/>
              <w:widowControl w:val="0"/>
              <w:rPr>
                <w:b/>
                <w:bCs w:val="0"/>
                <w:szCs w:val="20"/>
              </w:rPr>
            </w:pPr>
            <w:r w:rsidRPr="0061343E">
              <w:rPr>
                <w:b/>
                <w:bCs w:val="0"/>
                <w:szCs w:val="20"/>
              </w:rPr>
              <w:t>Estimated extent of use of NEMO</w:t>
            </w:r>
          </w:p>
        </w:tc>
      </w:tr>
      <w:tr w:rsidR="001C1E5A" w:rsidRPr="0061343E" w14:paraId="0CB53131" w14:textId="77777777" w:rsidTr="004B68FB">
        <w:tc>
          <w:tcPr>
            <w:tcW w:w="1177" w:type="pct"/>
          </w:tcPr>
          <w:p w14:paraId="30A6007F" w14:textId="77777777" w:rsidR="001C1E5A" w:rsidRPr="0061343E" w:rsidRDefault="001C1E5A" w:rsidP="00550072">
            <w:pPr>
              <w:pStyle w:val="TableText0"/>
              <w:keepLines w:val="0"/>
              <w:widowControl w:val="0"/>
              <w:rPr>
                <w:szCs w:val="20"/>
                <w:vertAlign w:val="superscript"/>
              </w:rPr>
            </w:pPr>
            <w:r w:rsidRPr="0061343E">
              <w:rPr>
                <w:szCs w:val="20"/>
              </w:rPr>
              <w:t xml:space="preserve">  DUPI (initial) </w:t>
            </w:r>
            <w:r w:rsidRPr="0061343E">
              <w:rPr>
                <w:szCs w:val="20"/>
                <w:vertAlign w:val="superscript"/>
              </w:rPr>
              <w:t>a</w:t>
            </w:r>
          </w:p>
        </w:tc>
        <w:tc>
          <w:tcPr>
            <w:tcW w:w="637" w:type="pct"/>
          </w:tcPr>
          <w:p w14:paraId="6B6DDE60" w14:textId="75853537" w:rsidR="001C1E5A" w:rsidRPr="0027628C" w:rsidRDefault="00590FB9" w:rsidP="006D6385">
            <w:pPr>
              <w:pStyle w:val="TableText0"/>
              <w:keepLines w:val="0"/>
              <w:widowControl w:val="0"/>
              <w:rPr>
                <w:szCs w:val="20"/>
                <w:highlight w:val="darkGray"/>
              </w:rPr>
            </w:pPr>
            <w:r w:rsidRPr="00767170">
              <w:rPr>
                <w:color w:val="000000"/>
                <w:spacing w:val="53"/>
                <w:szCs w:val="20"/>
                <w:shd w:val="solid" w:color="000000" w:fill="000000"/>
                <w:fitText w:val="330" w:id="-628929017"/>
                <w14:textFill>
                  <w14:solidFill>
                    <w14:srgbClr w14:val="000000">
                      <w14:alpha w14:val="100000"/>
                    </w14:srgbClr>
                  </w14:solidFill>
                </w14:textFill>
              </w:rPr>
              <w:t>|||</w:t>
            </w:r>
            <w:r w:rsidRPr="00767170">
              <w:rPr>
                <w:color w:val="000000"/>
                <w:spacing w:val="1"/>
                <w:szCs w:val="20"/>
                <w:shd w:val="solid" w:color="000000" w:fill="000000"/>
                <w:fitText w:val="330" w:id="-628929017"/>
                <w14:textFill>
                  <w14:solidFill>
                    <w14:srgbClr w14:val="000000">
                      <w14:alpha w14:val="100000"/>
                    </w14:srgbClr>
                  </w14:solidFill>
                </w14:textFill>
              </w:rPr>
              <w:t>|</w:t>
            </w:r>
            <w:r w:rsidR="00AB1ED1" w:rsidRPr="00AB1ED1">
              <w:rPr>
                <w:szCs w:val="20"/>
                <w:vertAlign w:val="superscript"/>
              </w:rPr>
              <w:t>1</w:t>
            </w:r>
          </w:p>
        </w:tc>
        <w:tc>
          <w:tcPr>
            <w:tcW w:w="637" w:type="pct"/>
          </w:tcPr>
          <w:p w14:paraId="70F90BB2" w14:textId="3D68150C" w:rsidR="001C1E5A" w:rsidRPr="0027628C" w:rsidRDefault="00590FB9" w:rsidP="006D6385">
            <w:pPr>
              <w:pStyle w:val="TableText0"/>
              <w:keepLines w:val="0"/>
              <w:widowControl w:val="0"/>
              <w:rPr>
                <w:szCs w:val="20"/>
                <w:highlight w:val="darkGray"/>
              </w:rPr>
            </w:pPr>
            <w:r w:rsidRPr="00767170">
              <w:rPr>
                <w:color w:val="000000"/>
                <w:spacing w:val="53"/>
                <w:szCs w:val="20"/>
                <w:shd w:val="solid" w:color="000000" w:fill="000000"/>
                <w:fitText w:val="330" w:id="-628929016"/>
                <w14:textFill>
                  <w14:solidFill>
                    <w14:srgbClr w14:val="000000">
                      <w14:alpha w14:val="100000"/>
                    </w14:srgbClr>
                  </w14:solidFill>
                </w14:textFill>
              </w:rPr>
              <w:t>|||</w:t>
            </w:r>
            <w:r w:rsidRPr="00767170">
              <w:rPr>
                <w:color w:val="000000"/>
                <w:spacing w:val="1"/>
                <w:szCs w:val="20"/>
                <w:shd w:val="solid" w:color="000000" w:fill="000000"/>
                <w:fitText w:val="330" w:id="-628929016"/>
                <w14:textFill>
                  <w14:solidFill>
                    <w14:srgbClr w14:val="000000">
                      <w14:alpha w14:val="100000"/>
                    </w14:srgbClr>
                  </w14:solidFill>
                </w14:textFill>
              </w:rPr>
              <w:t>|</w:t>
            </w:r>
            <w:r w:rsidR="0030293D" w:rsidRPr="0030293D">
              <w:rPr>
                <w:szCs w:val="20"/>
                <w:vertAlign w:val="superscript"/>
              </w:rPr>
              <w:t>2</w:t>
            </w:r>
          </w:p>
        </w:tc>
        <w:tc>
          <w:tcPr>
            <w:tcW w:w="637" w:type="pct"/>
          </w:tcPr>
          <w:p w14:paraId="1D42B190" w14:textId="53FB4FE7" w:rsidR="001C1E5A" w:rsidRPr="0027628C" w:rsidRDefault="00590FB9" w:rsidP="006D6385">
            <w:pPr>
              <w:pStyle w:val="TableText0"/>
              <w:keepLines w:val="0"/>
              <w:widowControl w:val="0"/>
              <w:rPr>
                <w:szCs w:val="20"/>
                <w:highlight w:val="darkGray"/>
              </w:rPr>
            </w:pPr>
            <w:r w:rsidRPr="00767170">
              <w:rPr>
                <w:color w:val="000000"/>
                <w:spacing w:val="53"/>
                <w:szCs w:val="20"/>
                <w:shd w:val="solid" w:color="000000" w:fill="000000"/>
                <w:fitText w:val="330" w:id="-628929015"/>
                <w14:textFill>
                  <w14:solidFill>
                    <w14:srgbClr w14:val="000000">
                      <w14:alpha w14:val="100000"/>
                    </w14:srgbClr>
                  </w14:solidFill>
                </w14:textFill>
              </w:rPr>
              <w:t>|||</w:t>
            </w:r>
            <w:r w:rsidRPr="00767170">
              <w:rPr>
                <w:color w:val="000000"/>
                <w:spacing w:val="1"/>
                <w:szCs w:val="20"/>
                <w:shd w:val="solid" w:color="000000" w:fill="000000"/>
                <w:fitText w:val="330" w:id="-628929015"/>
                <w14:textFill>
                  <w14:solidFill>
                    <w14:srgbClr w14:val="000000">
                      <w14:alpha w14:val="100000"/>
                    </w14:srgbClr>
                  </w14:solidFill>
                </w14:textFill>
              </w:rPr>
              <w:t>|</w:t>
            </w:r>
            <w:r w:rsidR="006D6385" w:rsidRPr="006D6385">
              <w:rPr>
                <w:szCs w:val="20"/>
                <w:vertAlign w:val="superscript"/>
              </w:rPr>
              <w:t>3</w:t>
            </w:r>
          </w:p>
        </w:tc>
        <w:tc>
          <w:tcPr>
            <w:tcW w:w="637" w:type="pct"/>
          </w:tcPr>
          <w:p w14:paraId="22A2AB92" w14:textId="2A3B4A5C" w:rsidR="001C1E5A" w:rsidRPr="0027628C" w:rsidRDefault="00590FB9" w:rsidP="006D6385">
            <w:pPr>
              <w:pStyle w:val="TableText0"/>
              <w:keepLines w:val="0"/>
              <w:widowControl w:val="0"/>
              <w:rPr>
                <w:szCs w:val="20"/>
                <w:highlight w:val="darkGray"/>
              </w:rPr>
            </w:pPr>
            <w:r w:rsidRPr="00767170">
              <w:rPr>
                <w:color w:val="000000"/>
                <w:spacing w:val="53"/>
                <w:szCs w:val="20"/>
                <w:shd w:val="solid" w:color="000000" w:fill="000000"/>
                <w:fitText w:val="330" w:id="-628929014"/>
                <w14:textFill>
                  <w14:solidFill>
                    <w14:srgbClr w14:val="000000">
                      <w14:alpha w14:val="100000"/>
                    </w14:srgbClr>
                  </w14:solidFill>
                </w14:textFill>
              </w:rPr>
              <w:t>|||</w:t>
            </w:r>
            <w:r w:rsidRPr="00767170">
              <w:rPr>
                <w:color w:val="000000"/>
                <w:spacing w:val="1"/>
                <w:szCs w:val="20"/>
                <w:shd w:val="solid" w:color="000000" w:fill="000000"/>
                <w:fitText w:val="330" w:id="-628929014"/>
                <w14:textFill>
                  <w14:solidFill>
                    <w14:srgbClr w14:val="000000">
                      <w14:alpha w14:val="100000"/>
                    </w14:srgbClr>
                  </w14:solidFill>
                </w14:textFill>
              </w:rPr>
              <w:t>|</w:t>
            </w:r>
            <w:r w:rsidR="005A1B4C" w:rsidRPr="005A1B4C">
              <w:rPr>
                <w:szCs w:val="20"/>
                <w:vertAlign w:val="superscript"/>
              </w:rPr>
              <w:t>4</w:t>
            </w:r>
          </w:p>
        </w:tc>
        <w:tc>
          <w:tcPr>
            <w:tcW w:w="637" w:type="pct"/>
          </w:tcPr>
          <w:p w14:paraId="559CB3BD" w14:textId="66B822F2" w:rsidR="001C1E5A" w:rsidRPr="0027628C" w:rsidRDefault="00590FB9" w:rsidP="006D6385">
            <w:pPr>
              <w:pStyle w:val="TableText0"/>
              <w:keepLines w:val="0"/>
              <w:widowControl w:val="0"/>
              <w:rPr>
                <w:szCs w:val="20"/>
                <w:highlight w:val="darkGray"/>
              </w:rPr>
            </w:pPr>
            <w:r w:rsidRPr="00767170">
              <w:rPr>
                <w:color w:val="000000"/>
                <w:spacing w:val="53"/>
                <w:szCs w:val="20"/>
                <w:shd w:val="solid" w:color="000000" w:fill="000000"/>
                <w:fitText w:val="330" w:id="-628929013"/>
                <w14:textFill>
                  <w14:solidFill>
                    <w14:srgbClr w14:val="000000">
                      <w14:alpha w14:val="100000"/>
                    </w14:srgbClr>
                  </w14:solidFill>
                </w14:textFill>
              </w:rPr>
              <w:t>|||</w:t>
            </w:r>
            <w:r w:rsidRPr="00767170">
              <w:rPr>
                <w:color w:val="000000"/>
                <w:spacing w:val="1"/>
                <w:szCs w:val="20"/>
                <w:shd w:val="solid" w:color="000000" w:fill="000000"/>
                <w:fitText w:val="330" w:id="-628929013"/>
                <w14:textFill>
                  <w14:solidFill>
                    <w14:srgbClr w14:val="000000">
                      <w14:alpha w14:val="100000"/>
                    </w14:srgbClr>
                  </w14:solidFill>
                </w14:textFill>
              </w:rPr>
              <w:t>|</w:t>
            </w:r>
            <w:r w:rsidR="00EA1A6D" w:rsidRPr="00EA1A6D">
              <w:rPr>
                <w:szCs w:val="20"/>
                <w:vertAlign w:val="superscript"/>
              </w:rPr>
              <w:t>5</w:t>
            </w:r>
          </w:p>
        </w:tc>
        <w:tc>
          <w:tcPr>
            <w:tcW w:w="638" w:type="pct"/>
          </w:tcPr>
          <w:p w14:paraId="77A8403C" w14:textId="72188205" w:rsidR="001C1E5A" w:rsidRPr="0027628C" w:rsidRDefault="00590FB9" w:rsidP="00550072">
            <w:pPr>
              <w:pStyle w:val="TableText0"/>
              <w:keepLines w:val="0"/>
              <w:widowControl w:val="0"/>
              <w:jc w:val="right"/>
              <w:rPr>
                <w:szCs w:val="20"/>
                <w:highlight w:val="darkGray"/>
              </w:rPr>
            </w:pPr>
            <w:r w:rsidRPr="00767170">
              <w:rPr>
                <w:color w:val="000000"/>
                <w:spacing w:val="53"/>
                <w:szCs w:val="20"/>
                <w:shd w:val="solid" w:color="000000" w:fill="000000"/>
                <w:fitText w:val="330" w:id="-628929012"/>
                <w14:textFill>
                  <w14:solidFill>
                    <w14:srgbClr w14:val="000000">
                      <w14:alpha w14:val="100000"/>
                    </w14:srgbClr>
                  </w14:solidFill>
                </w14:textFill>
              </w:rPr>
              <w:t>|||</w:t>
            </w:r>
            <w:r w:rsidRPr="00767170">
              <w:rPr>
                <w:color w:val="000000"/>
                <w:spacing w:val="1"/>
                <w:szCs w:val="20"/>
                <w:shd w:val="solid" w:color="000000" w:fill="000000"/>
                <w:fitText w:val="330" w:id="-628929012"/>
                <w14:textFill>
                  <w14:solidFill>
                    <w14:srgbClr w14:val="000000">
                      <w14:alpha w14:val="100000"/>
                    </w14:srgbClr>
                  </w14:solidFill>
                </w14:textFill>
              </w:rPr>
              <w:t>|</w:t>
            </w:r>
            <w:r w:rsidR="00EB1528" w:rsidRPr="00EB1528">
              <w:rPr>
                <w:szCs w:val="20"/>
                <w:vertAlign w:val="superscript"/>
              </w:rPr>
              <w:t>6</w:t>
            </w:r>
          </w:p>
        </w:tc>
      </w:tr>
      <w:tr w:rsidR="001C1E5A" w:rsidRPr="0061343E" w14:paraId="20495A00" w14:textId="77777777" w:rsidTr="004B68FB">
        <w:tc>
          <w:tcPr>
            <w:tcW w:w="1177" w:type="pct"/>
          </w:tcPr>
          <w:p w14:paraId="1E2CCDCA" w14:textId="77777777" w:rsidR="001C1E5A" w:rsidRPr="0061343E" w:rsidRDefault="001C1E5A" w:rsidP="00550072">
            <w:pPr>
              <w:pStyle w:val="TableText0"/>
              <w:keepLines w:val="0"/>
              <w:widowControl w:val="0"/>
              <w:rPr>
                <w:szCs w:val="20"/>
              </w:rPr>
            </w:pPr>
            <w:r w:rsidRPr="0061343E">
              <w:rPr>
                <w:szCs w:val="20"/>
              </w:rPr>
              <w:t xml:space="preserve">  DUPI (continuing)</w:t>
            </w:r>
          </w:p>
        </w:tc>
        <w:tc>
          <w:tcPr>
            <w:tcW w:w="637" w:type="pct"/>
          </w:tcPr>
          <w:p w14:paraId="37DF7F92" w14:textId="09473576" w:rsidR="001C1E5A" w:rsidRPr="0027628C" w:rsidRDefault="00590FB9" w:rsidP="006D6385">
            <w:pPr>
              <w:pStyle w:val="TableText0"/>
              <w:keepLines w:val="0"/>
              <w:widowControl w:val="0"/>
              <w:rPr>
                <w:szCs w:val="20"/>
                <w:highlight w:val="darkGray"/>
              </w:rPr>
            </w:pPr>
            <w:r w:rsidRPr="00767170">
              <w:rPr>
                <w:color w:val="000000"/>
                <w:spacing w:val="53"/>
                <w:szCs w:val="20"/>
                <w:shd w:val="solid" w:color="000000" w:fill="000000"/>
                <w:fitText w:val="330" w:id="-628929011"/>
                <w14:textFill>
                  <w14:solidFill>
                    <w14:srgbClr w14:val="000000">
                      <w14:alpha w14:val="100000"/>
                    </w14:srgbClr>
                  </w14:solidFill>
                </w14:textFill>
              </w:rPr>
              <w:t>|||</w:t>
            </w:r>
            <w:r w:rsidRPr="00767170">
              <w:rPr>
                <w:color w:val="000000"/>
                <w:spacing w:val="1"/>
                <w:szCs w:val="20"/>
                <w:shd w:val="solid" w:color="000000" w:fill="000000"/>
                <w:fitText w:val="330" w:id="-628929011"/>
                <w14:textFill>
                  <w14:solidFill>
                    <w14:srgbClr w14:val="000000">
                      <w14:alpha w14:val="100000"/>
                    </w14:srgbClr>
                  </w14:solidFill>
                </w14:textFill>
              </w:rPr>
              <w:t>|</w:t>
            </w:r>
            <w:r w:rsidR="0073222F" w:rsidRPr="0073222F">
              <w:rPr>
                <w:szCs w:val="20"/>
                <w:vertAlign w:val="superscript"/>
              </w:rPr>
              <w:t>7</w:t>
            </w:r>
          </w:p>
        </w:tc>
        <w:tc>
          <w:tcPr>
            <w:tcW w:w="637" w:type="pct"/>
          </w:tcPr>
          <w:p w14:paraId="142DDEEE" w14:textId="6D991A88" w:rsidR="001C1E5A" w:rsidRPr="0027628C" w:rsidRDefault="00590FB9" w:rsidP="006D6385">
            <w:pPr>
              <w:pStyle w:val="TableText0"/>
              <w:keepLines w:val="0"/>
              <w:widowControl w:val="0"/>
              <w:rPr>
                <w:szCs w:val="20"/>
                <w:highlight w:val="darkGray"/>
              </w:rPr>
            </w:pPr>
            <w:r w:rsidRPr="00767170">
              <w:rPr>
                <w:color w:val="000000"/>
                <w:spacing w:val="53"/>
                <w:szCs w:val="20"/>
                <w:shd w:val="solid" w:color="000000" w:fill="000000"/>
                <w:fitText w:val="330" w:id="-628929010"/>
                <w14:textFill>
                  <w14:solidFill>
                    <w14:srgbClr w14:val="000000">
                      <w14:alpha w14:val="100000"/>
                    </w14:srgbClr>
                  </w14:solidFill>
                </w14:textFill>
              </w:rPr>
              <w:t>|||</w:t>
            </w:r>
            <w:r w:rsidRPr="00767170">
              <w:rPr>
                <w:color w:val="000000"/>
                <w:spacing w:val="1"/>
                <w:szCs w:val="20"/>
                <w:shd w:val="solid" w:color="000000" w:fill="000000"/>
                <w:fitText w:val="330" w:id="-628929010"/>
                <w14:textFill>
                  <w14:solidFill>
                    <w14:srgbClr w14:val="000000">
                      <w14:alpha w14:val="100000"/>
                    </w14:srgbClr>
                  </w14:solidFill>
                </w14:textFill>
              </w:rPr>
              <w:t>|</w:t>
            </w:r>
            <w:r w:rsidR="00875A0B" w:rsidRPr="0073222F">
              <w:rPr>
                <w:szCs w:val="20"/>
                <w:vertAlign w:val="superscript"/>
              </w:rPr>
              <w:t>7</w:t>
            </w:r>
          </w:p>
        </w:tc>
        <w:tc>
          <w:tcPr>
            <w:tcW w:w="637" w:type="pct"/>
          </w:tcPr>
          <w:p w14:paraId="3ECE109A" w14:textId="0B25F381" w:rsidR="001C1E5A" w:rsidRPr="0027628C" w:rsidRDefault="00590FB9" w:rsidP="006D6385">
            <w:pPr>
              <w:pStyle w:val="TableText0"/>
              <w:keepLines w:val="0"/>
              <w:widowControl w:val="0"/>
              <w:rPr>
                <w:szCs w:val="20"/>
                <w:highlight w:val="darkGray"/>
              </w:rPr>
            </w:pPr>
            <w:r w:rsidRPr="00767170">
              <w:rPr>
                <w:color w:val="000000"/>
                <w:spacing w:val="53"/>
                <w:szCs w:val="20"/>
                <w:shd w:val="solid" w:color="000000" w:fill="000000"/>
                <w:fitText w:val="330" w:id="-628929009"/>
                <w14:textFill>
                  <w14:solidFill>
                    <w14:srgbClr w14:val="000000">
                      <w14:alpha w14:val="100000"/>
                    </w14:srgbClr>
                  </w14:solidFill>
                </w14:textFill>
              </w:rPr>
              <w:t>|||</w:t>
            </w:r>
            <w:r w:rsidRPr="00767170">
              <w:rPr>
                <w:color w:val="000000"/>
                <w:spacing w:val="1"/>
                <w:szCs w:val="20"/>
                <w:shd w:val="solid" w:color="000000" w:fill="000000"/>
                <w:fitText w:val="330" w:id="-628929009"/>
                <w14:textFill>
                  <w14:solidFill>
                    <w14:srgbClr w14:val="000000">
                      <w14:alpha w14:val="100000"/>
                    </w14:srgbClr>
                  </w14:solidFill>
                </w14:textFill>
              </w:rPr>
              <w:t>|</w:t>
            </w:r>
            <w:r w:rsidR="009E09C5" w:rsidRPr="009E09C5">
              <w:rPr>
                <w:szCs w:val="20"/>
                <w:vertAlign w:val="superscript"/>
              </w:rPr>
              <w:t>8</w:t>
            </w:r>
          </w:p>
        </w:tc>
        <w:tc>
          <w:tcPr>
            <w:tcW w:w="637" w:type="pct"/>
          </w:tcPr>
          <w:p w14:paraId="025FAA02" w14:textId="691E616A" w:rsidR="001C1E5A" w:rsidRPr="0027628C" w:rsidRDefault="00590FB9" w:rsidP="006D6385">
            <w:pPr>
              <w:pStyle w:val="TableText0"/>
              <w:keepLines w:val="0"/>
              <w:widowControl w:val="0"/>
              <w:rPr>
                <w:szCs w:val="20"/>
                <w:highlight w:val="darkGray"/>
              </w:rPr>
            </w:pPr>
            <w:r w:rsidRPr="00767170">
              <w:rPr>
                <w:color w:val="000000"/>
                <w:spacing w:val="53"/>
                <w:szCs w:val="20"/>
                <w:shd w:val="solid" w:color="000000" w:fill="000000"/>
                <w:fitText w:val="330" w:id="-628929008"/>
                <w14:textFill>
                  <w14:solidFill>
                    <w14:srgbClr w14:val="000000">
                      <w14:alpha w14:val="100000"/>
                    </w14:srgbClr>
                  </w14:solidFill>
                </w14:textFill>
              </w:rPr>
              <w:t>|||</w:t>
            </w:r>
            <w:r w:rsidRPr="00767170">
              <w:rPr>
                <w:color w:val="000000"/>
                <w:spacing w:val="1"/>
                <w:szCs w:val="20"/>
                <w:shd w:val="solid" w:color="000000" w:fill="000000"/>
                <w:fitText w:val="330" w:id="-628929008"/>
                <w14:textFill>
                  <w14:solidFill>
                    <w14:srgbClr w14:val="000000">
                      <w14:alpha w14:val="100000"/>
                    </w14:srgbClr>
                  </w14:solidFill>
                </w14:textFill>
              </w:rPr>
              <w:t>|</w:t>
            </w:r>
            <w:r w:rsidR="00BC1287" w:rsidRPr="00BC1287">
              <w:rPr>
                <w:szCs w:val="20"/>
                <w:vertAlign w:val="superscript"/>
              </w:rPr>
              <w:t>8</w:t>
            </w:r>
          </w:p>
        </w:tc>
        <w:tc>
          <w:tcPr>
            <w:tcW w:w="637" w:type="pct"/>
          </w:tcPr>
          <w:p w14:paraId="2B09BBD6" w14:textId="7650273B" w:rsidR="001C1E5A" w:rsidRPr="0027628C" w:rsidRDefault="00590FB9" w:rsidP="006D6385">
            <w:pPr>
              <w:pStyle w:val="TableText0"/>
              <w:keepLines w:val="0"/>
              <w:widowControl w:val="0"/>
              <w:rPr>
                <w:szCs w:val="20"/>
                <w:highlight w:val="darkGray"/>
              </w:rPr>
            </w:pPr>
            <w:r w:rsidRPr="00767170">
              <w:rPr>
                <w:color w:val="000000"/>
                <w:spacing w:val="53"/>
                <w:szCs w:val="20"/>
                <w:shd w:val="solid" w:color="000000" w:fill="000000"/>
                <w:fitText w:val="330" w:id="-628929024"/>
                <w14:textFill>
                  <w14:solidFill>
                    <w14:srgbClr w14:val="000000">
                      <w14:alpha w14:val="100000"/>
                    </w14:srgbClr>
                  </w14:solidFill>
                </w14:textFill>
              </w:rPr>
              <w:t>|||</w:t>
            </w:r>
            <w:r w:rsidRPr="00767170">
              <w:rPr>
                <w:color w:val="000000"/>
                <w:spacing w:val="1"/>
                <w:szCs w:val="20"/>
                <w:shd w:val="solid" w:color="000000" w:fill="000000"/>
                <w:fitText w:val="330" w:id="-628929024"/>
                <w14:textFill>
                  <w14:solidFill>
                    <w14:srgbClr w14:val="000000">
                      <w14:alpha w14:val="100000"/>
                    </w14:srgbClr>
                  </w14:solidFill>
                </w14:textFill>
              </w:rPr>
              <w:t>|</w:t>
            </w:r>
            <w:r w:rsidR="00994212" w:rsidRPr="00994212">
              <w:rPr>
                <w:szCs w:val="20"/>
                <w:vertAlign w:val="superscript"/>
              </w:rPr>
              <w:t>9</w:t>
            </w:r>
          </w:p>
        </w:tc>
        <w:tc>
          <w:tcPr>
            <w:tcW w:w="638" w:type="pct"/>
          </w:tcPr>
          <w:p w14:paraId="2F77C18F" w14:textId="5542D362" w:rsidR="001C1E5A" w:rsidRPr="0027628C" w:rsidRDefault="00590FB9" w:rsidP="00550072">
            <w:pPr>
              <w:pStyle w:val="TableText0"/>
              <w:keepLines w:val="0"/>
              <w:widowControl w:val="0"/>
              <w:jc w:val="right"/>
              <w:rPr>
                <w:szCs w:val="20"/>
                <w:highlight w:val="darkGray"/>
              </w:rPr>
            </w:pPr>
            <w:r w:rsidRPr="00767170">
              <w:rPr>
                <w:color w:val="000000"/>
                <w:spacing w:val="53"/>
                <w:szCs w:val="20"/>
                <w:shd w:val="solid" w:color="000000" w:fill="000000"/>
                <w:fitText w:val="330" w:id="-628929023"/>
                <w14:textFill>
                  <w14:solidFill>
                    <w14:srgbClr w14:val="000000">
                      <w14:alpha w14:val="100000"/>
                    </w14:srgbClr>
                  </w14:solidFill>
                </w14:textFill>
              </w:rPr>
              <w:t>|||</w:t>
            </w:r>
            <w:r w:rsidRPr="00767170">
              <w:rPr>
                <w:color w:val="000000"/>
                <w:spacing w:val="1"/>
                <w:szCs w:val="20"/>
                <w:shd w:val="solid" w:color="000000" w:fill="000000"/>
                <w:fitText w:val="330" w:id="-628929023"/>
                <w14:textFill>
                  <w14:solidFill>
                    <w14:srgbClr w14:val="000000">
                      <w14:alpha w14:val="100000"/>
                    </w14:srgbClr>
                  </w14:solidFill>
                </w14:textFill>
              </w:rPr>
              <w:t>|</w:t>
            </w:r>
            <w:r w:rsidR="00994212" w:rsidRPr="00994212">
              <w:rPr>
                <w:szCs w:val="20"/>
                <w:vertAlign w:val="superscript"/>
              </w:rPr>
              <w:t>9</w:t>
            </w:r>
          </w:p>
        </w:tc>
      </w:tr>
      <w:tr w:rsidR="001C1E5A" w:rsidRPr="0061343E" w14:paraId="7882A4C7" w14:textId="77777777" w:rsidTr="004B68FB">
        <w:tc>
          <w:tcPr>
            <w:tcW w:w="1177" w:type="pct"/>
          </w:tcPr>
          <w:p w14:paraId="390E7DAE" w14:textId="77777777" w:rsidR="001C1E5A" w:rsidRPr="0061343E" w:rsidRDefault="001C1E5A" w:rsidP="00550072">
            <w:pPr>
              <w:pStyle w:val="TableText0"/>
              <w:keepLines w:val="0"/>
              <w:widowControl w:val="0"/>
              <w:rPr>
                <w:szCs w:val="20"/>
                <w:vertAlign w:val="superscript"/>
              </w:rPr>
            </w:pPr>
            <w:r w:rsidRPr="0061343E">
              <w:rPr>
                <w:szCs w:val="20"/>
              </w:rPr>
              <w:t xml:space="preserve">  UPA (initial) </w:t>
            </w:r>
            <w:r w:rsidRPr="0061343E">
              <w:rPr>
                <w:szCs w:val="20"/>
                <w:vertAlign w:val="superscript"/>
              </w:rPr>
              <w:t>b</w:t>
            </w:r>
          </w:p>
        </w:tc>
        <w:tc>
          <w:tcPr>
            <w:tcW w:w="637" w:type="pct"/>
          </w:tcPr>
          <w:p w14:paraId="7BF84137" w14:textId="4C818333" w:rsidR="001C1E5A" w:rsidRPr="0027628C" w:rsidRDefault="00590FB9" w:rsidP="006D6385">
            <w:pPr>
              <w:pStyle w:val="TableText0"/>
              <w:keepLines w:val="0"/>
              <w:widowControl w:val="0"/>
              <w:rPr>
                <w:szCs w:val="20"/>
                <w:highlight w:val="darkGray"/>
              </w:rPr>
            </w:pPr>
            <w:r w:rsidRPr="00767170">
              <w:rPr>
                <w:color w:val="000000"/>
                <w:spacing w:val="53"/>
                <w:szCs w:val="20"/>
                <w:shd w:val="solid" w:color="000000" w:fill="000000"/>
                <w:fitText w:val="330" w:id="-628929022"/>
                <w14:textFill>
                  <w14:solidFill>
                    <w14:srgbClr w14:val="000000">
                      <w14:alpha w14:val="100000"/>
                    </w14:srgbClr>
                  </w14:solidFill>
                </w14:textFill>
              </w:rPr>
              <w:t>|||</w:t>
            </w:r>
            <w:r w:rsidRPr="00767170">
              <w:rPr>
                <w:color w:val="000000"/>
                <w:spacing w:val="1"/>
                <w:szCs w:val="20"/>
                <w:shd w:val="solid" w:color="000000" w:fill="000000"/>
                <w:fitText w:val="330" w:id="-628929022"/>
                <w14:textFill>
                  <w14:solidFill>
                    <w14:srgbClr w14:val="000000">
                      <w14:alpha w14:val="100000"/>
                    </w14:srgbClr>
                  </w14:solidFill>
                </w14:textFill>
              </w:rPr>
              <w:t>|</w:t>
            </w:r>
            <w:r w:rsidR="005120AA" w:rsidRPr="005120AA">
              <w:rPr>
                <w:szCs w:val="20"/>
                <w:vertAlign w:val="superscript"/>
              </w:rPr>
              <w:t>10</w:t>
            </w:r>
          </w:p>
        </w:tc>
        <w:tc>
          <w:tcPr>
            <w:tcW w:w="637" w:type="pct"/>
          </w:tcPr>
          <w:p w14:paraId="7DEAE658" w14:textId="70EDD598" w:rsidR="001C1E5A" w:rsidRPr="0027628C" w:rsidRDefault="00590FB9" w:rsidP="006D6385">
            <w:pPr>
              <w:pStyle w:val="TableText0"/>
              <w:keepLines w:val="0"/>
              <w:widowControl w:val="0"/>
              <w:rPr>
                <w:szCs w:val="20"/>
                <w:highlight w:val="darkGray"/>
              </w:rPr>
            </w:pPr>
            <w:r w:rsidRPr="00767170">
              <w:rPr>
                <w:color w:val="000000"/>
                <w:spacing w:val="53"/>
                <w:szCs w:val="20"/>
                <w:shd w:val="solid" w:color="000000" w:fill="000000"/>
                <w:fitText w:val="330" w:id="-628929021"/>
                <w14:textFill>
                  <w14:solidFill>
                    <w14:srgbClr w14:val="000000">
                      <w14:alpha w14:val="100000"/>
                    </w14:srgbClr>
                  </w14:solidFill>
                </w14:textFill>
              </w:rPr>
              <w:t>|||</w:t>
            </w:r>
            <w:r w:rsidRPr="00767170">
              <w:rPr>
                <w:color w:val="000000"/>
                <w:spacing w:val="1"/>
                <w:szCs w:val="20"/>
                <w:shd w:val="solid" w:color="000000" w:fill="000000"/>
                <w:fitText w:val="330" w:id="-628929021"/>
                <w14:textFill>
                  <w14:solidFill>
                    <w14:srgbClr w14:val="000000">
                      <w14:alpha w14:val="100000"/>
                    </w14:srgbClr>
                  </w14:solidFill>
                </w14:textFill>
              </w:rPr>
              <w:t>|</w:t>
            </w:r>
            <w:r w:rsidR="001E5246" w:rsidRPr="001E5246">
              <w:rPr>
                <w:szCs w:val="20"/>
                <w:vertAlign w:val="superscript"/>
              </w:rPr>
              <w:t>11</w:t>
            </w:r>
          </w:p>
        </w:tc>
        <w:tc>
          <w:tcPr>
            <w:tcW w:w="637" w:type="pct"/>
          </w:tcPr>
          <w:p w14:paraId="3793B87A" w14:textId="1C143710" w:rsidR="001C1E5A" w:rsidRPr="0027628C" w:rsidRDefault="00590FB9" w:rsidP="006D6385">
            <w:pPr>
              <w:pStyle w:val="TableText0"/>
              <w:keepLines w:val="0"/>
              <w:widowControl w:val="0"/>
              <w:rPr>
                <w:szCs w:val="20"/>
                <w:highlight w:val="darkGray"/>
              </w:rPr>
            </w:pPr>
            <w:r w:rsidRPr="00767170">
              <w:rPr>
                <w:color w:val="000000"/>
                <w:spacing w:val="53"/>
                <w:szCs w:val="20"/>
                <w:shd w:val="solid" w:color="000000" w:fill="000000"/>
                <w:fitText w:val="330" w:id="-628929020"/>
                <w14:textFill>
                  <w14:solidFill>
                    <w14:srgbClr w14:val="000000">
                      <w14:alpha w14:val="100000"/>
                    </w14:srgbClr>
                  </w14:solidFill>
                </w14:textFill>
              </w:rPr>
              <w:t>|||</w:t>
            </w:r>
            <w:r w:rsidRPr="00767170">
              <w:rPr>
                <w:color w:val="000000"/>
                <w:spacing w:val="1"/>
                <w:szCs w:val="20"/>
                <w:shd w:val="solid" w:color="000000" w:fill="000000"/>
                <w:fitText w:val="330" w:id="-628929020"/>
                <w14:textFill>
                  <w14:solidFill>
                    <w14:srgbClr w14:val="000000">
                      <w14:alpha w14:val="100000"/>
                    </w14:srgbClr>
                  </w14:solidFill>
                </w14:textFill>
              </w:rPr>
              <w:t>|</w:t>
            </w:r>
            <w:r w:rsidR="001E5246" w:rsidRPr="001E5246">
              <w:rPr>
                <w:szCs w:val="20"/>
                <w:vertAlign w:val="superscript"/>
              </w:rPr>
              <w:t>11</w:t>
            </w:r>
          </w:p>
        </w:tc>
        <w:tc>
          <w:tcPr>
            <w:tcW w:w="637" w:type="pct"/>
          </w:tcPr>
          <w:p w14:paraId="3918F990" w14:textId="0590438E" w:rsidR="001C1E5A" w:rsidRPr="0027628C" w:rsidRDefault="00590FB9" w:rsidP="006D6385">
            <w:pPr>
              <w:pStyle w:val="TableText0"/>
              <w:keepLines w:val="0"/>
              <w:widowControl w:val="0"/>
              <w:rPr>
                <w:szCs w:val="20"/>
                <w:highlight w:val="darkGray"/>
              </w:rPr>
            </w:pPr>
            <w:r w:rsidRPr="00767170">
              <w:rPr>
                <w:color w:val="000000"/>
                <w:spacing w:val="53"/>
                <w:szCs w:val="20"/>
                <w:shd w:val="solid" w:color="000000" w:fill="000000"/>
                <w:fitText w:val="330" w:id="-628929019"/>
                <w14:textFill>
                  <w14:solidFill>
                    <w14:srgbClr w14:val="000000">
                      <w14:alpha w14:val="100000"/>
                    </w14:srgbClr>
                  </w14:solidFill>
                </w14:textFill>
              </w:rPr>
              <w:t>|||</w:t>
            </w:r>
            <w:r w:rsidRPr="00767170">
              <w:rPr>
                <w:color w:val="000000"/>
                <w:spacing w:val="1"/>
                <w:szCs w:val="20"/>
                <w:shd w:val="solid" w:color="000000" w:fill="000000"/>
                <w:fitText w:val="330" w:id="-628929019"/>
                <w14:textFill>
                  <w14:solidFill>
                    <w14:srgbClr w14:val="000000">
                      <w14:alpha w14:val="100000"/>
                    </w14:srgbClr>
                  </w14:solidFill>
                </w14:textFill>
              </w:rPr>
              <w:t>|</w:t>
            </w:r>
            <w:r w:rsidR="001E5246" w:rsidRPr="001E5246">
              <w:rPr>
                <w:szCs w:val="20"/>
                <w:vertAlign w:val="superscript"/>
              </w:rPr>
              <w:t>11</w:t>
            </w:r>
          </w:p>
        </w:tc>
        <w:tc>
          <w:tcPr>
            <w:tcW w:w="637" w:type="pct"/>
          </w:tcPr>
          <w:p w14:paraId="0E2AC99B" w14:textId="4B509CF6" w:rsidR="001C1E5A" w:rsidRPr="0027628C" w:rsidRDefault="00590FB9" w:rsidP="006D6385">
            <w:pPr>
              <w:pStyle w:val="TableText0"/>
              <w:keepLines w:val="0"/>
              <w:widowControl w:val="0"/>
              <w:rPr>
                <w:szCs w:val="20"/>
                <w:highlight w:val="darkGray"/>
              </w:rPr>
            </w:pPr>
            <w:r w:rsidRPr="00767170">
              <w:rPr>
                <w:color w:val="000000"/>
                <w:spacing w:val="53"/>
                <w:szCs w:val="20"/>
                <w:shd w:val="solid" w:color="000000" w:fill="000000"/>
                <w:fitText w:val="330" w:id="-628929018"/>
                <w14:textFill>
                  <w14:solidFill>
                    <w14:srgbClr w14:val="000000">
                      <w14:alpha w14:val="100000"/>
                    </w14:srgbClr>
                  </w14:solidFill>
                </w14:textFill>
              </w:rPr>
              <w:t>|||</w:t>
            </w:r>
            <w:r w:rsidRPr="00767170">
              <w:rPr>
                <w:color w:val="000000"/>
                <w:spacing w:val="1"/>
                <w:szCs w:val="20"/>
                <w:shd w:val="solid" w:color="000000" w:fill="000000"/>
                <w:fitText w:val="330" w:id="-628929018"/>
                <w14:textFill>
                  <w14:solidFill>
                    <w14:srgbClr w14:val="000000">
                      <w14:alpha w14:val="100000"/>
                    </w14:srgbClr>
                  </w14:solidFill>
                </w14:textFill>
              </w:rPr>
              <w:t>|</w:t>
            </w:r>
            <w:r w:rsidR="001E5246" w:rsidRPr="001E5246">
              <w:rPr>
                <w:szCs w:val="20"/>
                <w:vertAlign w:val="superscript"/>
              </w:rPr>
              <w:t>11</w:t>
            </w:r>
          </w:p>
        </w:tc>
        <w:tc>
          <w:tcPr>
            <w:tcW w:w="638" w:type="pct"/>
          </w:tcPr>
          <w:p w14:paraId="1A84ECF1" w14:textId="7287365D" w:rsidR="001C1E5A" w:rsidRPr="0027628C" w:rsidRDefault="00590FB9" w:rsidP="00550072">
            <w:pPr>
              <w:pStyle w:val="TableText0"/>
              <w:keepLines w:val="0"/>
              <w:widowControl w:val="0"/>
              <w:jc w:val="right"/>
              <w:rPr>
                <w:szCs w:val="20"/>
                <w:highlight w:val="darkGray"/>
              </w:rPr>
            </w:pPr>
            <w:r w:rsidRPr="00767170">
              <w:rPr>
                <w:color w:val="000000"/>
                <w:spacing w:val="53"/>
                <w:szCs w:val="20"/>
                <w:shd w:val="solid" w:color="000000" w:fill="000000"/>
                <w:fitText w:val="330" w:id="-628929017"/>
                <w14:textFill>
                  <w14:solidFill>
                    <w14:srgbClr w14:val="000000">
                      <w14:alpha w14:val="100000"/>
                    </w14:srgbClr>
                  </w14:solidFill>
                </w14:textFill>
              </w:rPr>
              <w:t>|||</w:t>
            </w:r>
            <w:r w:rsidRPr="00767170">
              <w:rPr>
                <w:color w:val="000000"/>
                <w:spacing w:val="1"/>
                <w:szCs w:val="20"/>
                <w:shd w:val="solid" w:color="000000" w:fill="000000"/>
                <w:fitText w:val="330" w:id="-628929017"/>
                <w14:textFill>
                  <w14:solidFill>
                    <w14:srgbClr w14:val="000000">
                      <w14:alpha w14:val="100000"/>
                    </w14:srgbClr>
                  </w14:solidFill>
                </w14:textFill>
              </w:rPr>
              <w:t>|</w:t>
            </w:r>
            <w:r w:rsidR="001E5246" w:rsidRPr="001E5246">
              <w:rPr>
                <w:szCs w:val="20"/>
                <w:vertAlign w:val="superscript"/>
              </w:rPr>
              <w:t>11</w:t>
            </w:r>
          </w:p>
        </w:tc>
      </w:tr>
      <w:tr w:rsidR="001C1E5A" w:rsidRPr="0061343E" w14:paraId="65AFABE4" w14:textId="77777777" w:rsidTr="004B68FB">
        <w:tc>
          <w:tcPr>
            <w:tcW w:w="1177" w:type="pct"/>
          </w:tcPr>
          <w:p w14:paraId="46F84E38" w14:textId="77777777" w:rsidR="001C1E5A" w:rsidRPr="0061343E" w:rsidRDefault="001C1E5A" w:rsidP="00550072">
            <w:pPr>
              <w:pStyle w:val="TableText0"/>
              <w:keepLines w:val="0"/>
              <w:widowControl w:val="0"/>
              <w:rPr>
                <w:szCs w:val="20"/>
              </w:rPr>
            </w:pPr>
            <w:r w:rsidRPr="0061343E">
              <w:rPr>
                <w:szCs w:val="20"/>
              </w:rPr>
              <w:t xml:space="preserve">  UPA (continuing)</w:t>
            </w:r>
          </w:p>
        </w:tc>
        <w:tc>
          <w:tcPr>
            <w:tcW w:w="637" w:type="pct"/>
          </w:tcPr>
          <w:p w14:paraId="3EDD91C9" w14:textId="39A3313A" w:rsidR="001C1E5A" w:rsidRPr="0027628C" w:rsidRDefault="00590FB9" w:rsidP="006D6385">
            <w:pPr>
              <w:pStyle w:val="TableText0"/>
              <w:keepLines w:val="0"/>
              <w:widowControl w:val="0"/>
              <w:rPr>
                <w:szCs w:val="20"/>
                <w:highlight w:val="darkGray"/>
              </w:rPr>
            </w:pPr>
            <w:r w:rsidRPr="00767170">
              <w:rPr>
                <w:color w:val="000000"/>
                <w:spacing w:val="53"/>
                <w:szCs w:val="20"/>
                <w:shd w:val="solid" w:color="000000" w:fill="000000"/>
                <w:fitText w:val="330" w:id="-628928768"/>
                <w14:textFill>
                  <w14:solidFill>
                    <w14:srgbClr w14:val="000000">
                      <w14:alpha w14:val="100000"/>
                    </w14:srgbClr>
                  </w14:solidFill>
                </w14:textFill>
              </w:rPr>
              <w:t>|||</w:t>
            </w:r>
            <w:r w:rsidRPr="00767170">
              <w:rPr>
                <w:color w:val="000000"/>
                <w:spacing w:val="1"/>
                <w:szCs w:val="20"/>
                <w:shd w:val="solid" w:color="000000" w:fill="000000"/>
                <w:fitText w:val="330" w:id="-628928768"/>
                <w14:textFill>
                  <w14:solidFill>
                    <w14:srgbClr w14:val="000000">
                      <w14:alpha w14:val="100000"/>
                    </w14:srgbClr>
                  </w14:solidFill>
                </w14:textFill>
              </w:rPr>
              <w:t>|</w:t>
            </w:r>
            <w:r w:rsidR="00D11AA7" w:rsidRPr="00D11AA7">
              <w:rPr>
                <w:szCs w:val="20"/>
                <w:vertAlign w:val="superscript"/>
              </w:rPr>
              <w:t>12</w:t>
            </w:r>
          </w:p>
        </w:tc>
        <w:tc>
          <w:tcPr>
            <w:tcW w:w="637" w:type="pct"/>
          </w:tcPr>
          <w:p w14:paraId="552EA4E2" w14:textId="39F221BC" w:rsidR="001C1E5A" w:rsidRPr="0027628C" w:rsidRDefault="00590FB9" w:rsidP="006D6385">
            <w:pPr>
              <w:pStyle w:val="TableText0"/>
              <w:keepLines w:val="0"/>
              <w:widowControl w:val="0"/>
              <w:rPr>
                <w:szCs w:val="20"/>
                <w:highlight w:val="darkGray"/>
              </w:rPr>
            </w:pPr>
            <w:r w:rsidRPr="00767170">
              <w:rPr>
                <w:color w:val="000000"/>
                <w:spacing w:val="53"/>
                <w:szCs w:val="20"/>
                <w:shd w:val="solid" w:color="000000" w:fill="000000"/>
                <w:fitText w:val="330" w:id="-628928767"/>
                <w14:textFill>
                  <w14:solidFill>
                    <w14:srgbClr w14:val="000000">
                      <w14:alpha w14:val="100000"/>
                    </w14:srgbClr>
                  </w14:solidFill>
                </w14:textFill>
              </w:rPr>
              <w:t>|||</w:t>
            </w:r>
            <w:r w:rsidRPr="00767170">
              <w:rPr>
                <w:color w:val="000000"/>
                <w:spacing w:val="1"/>
                <w:szCs w:val="20"/>
                <w:shd w:val="solid" w:color="000000" w:fill="000000"/>
                <w:fitText w:val="330" w:id="-628928767"/>
                <w14:textFill>
                  <w14:solidFill>
                    <w14:srgbClr w14:val="000000">
                      <w14:alpha w14:val="100000"/>
                    </w14:srgbClr>
                  </w14:solidFill>
                </w14:textFill>
              </w:rPr>
              <w:t>|</w:t>
            </w:r>
            <w:r w:rsidR="00C624C1" w:rsidRPr="00C624C1">
              <w:rPr>
                <w:szCs w:val="20"/>
                <w:vertAlign w:val="superscript"/>
              </w:rPr>
              <w:t>13</w:t>
            </w:r>
          </w:p>
        </w:tc>
        <w:tc>
          <w:tcPr>
            <w:tcW w:w="637" w:type="pct"/>
          </w:tcPr>
          <w:p w14:paraId="79785C46" w14:textId="4CCFFBA7" w:rsidR="001C1E5A" w:rsidRPr="0027628C" w:rsidRDefault="00590FB9" w:rsidP="006D6385">
            <w:pPr>
              <w:pStyle w:val="TableText0"/>
              <w:keepLines w:val="0"/>
              <w:widowControl w:val="0"/>
              <w:rPr>
                <w:szCs w:val="20"/>
                <w:highlight w:val="darkGray"/>
              </w:rPr>
            </w:pPr>
            <w:r w:rsidRPr="00767170">
              <w:rPr>
                <w:color w:val="000000"/>
                <w:spacing w:val="53"/>
                <w:szCs w:val="20"/>
                <w:shd w:val="solid" w:color="000000" w:fill="000000"/>
                <w:fitText w:val="330" w:id="-628928766"/>
                <w14:textFill>
                  <w14:solidFill>
                    <w14:srgbClr w14:val="000000">
                      <w14:alpha w14:val="100000"/>
                    </w14:srgbClr>
                  </w14:solidFill>
                </w14:textFill>
              </w:rPr>
              <w:t>|||</w:t>
            </w:r>
            <w:r w:rsidRPr="00767170">
              <w:rPr>
                <w:color w:val="000000"/>
                <w:spacing w:val="1"/>
                <w:szCs w:val="20"/>
                <w:shd w:val="solid" w:color="000000" w:fill="000000"/>
                <w:fitText w:val="330" w:id="-628928766"/>
                <w14:textFill>
                  <w14:solidFill>
                    <w14:srgbClr w14:val="000000">
                      <w14:alpha w14:val="100000"/>
                    </w14:srgbClr>
                  </w14:solidFill>
                </w14:textFill>
              </w:rPr>
              <w:t>|</w:t>
            </w:r>
            <w:r w:rsidR="00C624C1" w:rsidRPr="00C624C1">
              <w:rPr>
                <w:szCs w:val="20"/>
                <w:vertAlign w:val="superscript"/>
              </w:rPr>
              <w:t>13</w:t>
            </w:r>
          </w:p>
        </w:tc>
        <w:tc>
          <w:tcPr>
            <w:tcW w:w="637" w:type="pct"/>
          </w:tcPr>
          <w:p w14:paraId="1978D208" w14:textId="1FCE220D" w:rsidR="001C1E5A" w:rsidRPr="0027628C" w:rsidRDefault="00590FB9" w:rsidP="006D6385">
            <w:pPr>
              <w:pStyle w:val="TableText0"/>
              <w:keepLines w:val="0"/>
              <w:widowControl w:val="0"/>
              <w:rPr>
                <w:szCs w:val="20"/>
                <w:highlight w:val="darkGray"/>
              </w:rPr>
            </w:pPr>
            <w:r w:rsidRPr="00767170">
              <w:rPr>
                <w:color w:val="000000"/>
                <w:spacing w:val="53"/>
                <w:szCs w:val="20"/>
                <w:shd w:val="solid" w:color="000000" w:fill="000000"/>
                <w:fitText w:val="330" w:id="-628928765"/>
                <w14:textFill>
                  <w14:solidFill>
                    <w14:srgbClr w14:val="000000">
                      <w14:alpha w14:val="100000"/>
                    </w14:srgbClr>
                  </w14:solidFill>
                </w14:textFill>
              </w:rPr>
              <w:t>|||</w:t>
            </w:r>
            <w:r w:rsidRPr="00767170">
              <w:rPr>
                <w:color w:val="000000"/>
                <w:spacing w:val="1"/>
                <w:szCs w:val="20"/>
                <w:shd w:val="solid" w:color="000000" w:fill="000000"/>
                <w:fitText w:val="330" w:id="-628928765"/>
                <w14:textFill>
                  <w14:solidFill>
                    <w14:srgbClr w14:val="000000">
                      <w14:alpha w14:val="100000"/>
                    </w14:srgbClr>
                  </w14:solidFill>
                </w14:textFill>
              </w:rPr>
              <w:t>|</w:t>
            </w:r>
            <w:r w:rsidR="009042D1" w:rsidRPr="00AB1ED1">
              <w:rPr>
                <w:szCs w:val="20"/>
                <w:vertAlign w:val="superscript"/>
              </w:rPr>
              <w:t>1</w:t>
            </w:r>
          </w:p>
        </w:tc>
        <w:tc>
          <w:tcPr>
            <w:tcW w:w="637" w:type="pct"/>
          </w:tcPr>
          <w:p w14:paraId="4B1E4643" w14:textId="3ABB9AD6" w:rsidR="001C1E5A" w:rsidRPr="0027628C" w:rsidRDefault="00590FB9" w:rsidP="006D6385">
            <w:pPr>
              <w:pStyle w:val="TableText0"/>
              <w:keepLines w:val="0"/>
              <w:widowControl w:val="0"/>
              <w:rPr>
                <w:szCs w:val="20"/>
                <w:highlight w:val="darkGray"/>
              </w:rPr>
            </w:pPr>
            <w:r w:rsidRPr="00767170">
              <w:rPr>
                <w:color w:val="000000"/>
                <w:spacing w:val="53"/>
                <w:szCs w:val="20"/>
                <w:shd w:val="solid" w:color="000000" w:fill="000000"/>
                <w:fitText w:val="330" w:id="-628928764"/>
                <w14:textFill>
                  <w14:solidFill>
                    <w14:srgbClr w14:val="000000">
                      <w14:alpha w14:val="100000"/>
                    </w14:srgbClr>
                  </w14:solidFill>
                </w14:textFill>
              </w:rPr>
              <w:t>|||</w:t>
            </w:r>
            <w:r w:rsidRPr="00767170">
              <w:rPr>
                <w:color w:val="000000"/>
                <w:spacing w:val="1"/>
                <w:szCs w:val="20"/>
                <w:shd w:val="solid" w:color="000000" w:fill="000000"/>
                <w:fitText w:val="330" w:id="-628928764"/>
                <w14:textFill>
                  <w14:solidFill>
                    <w14:srgbClr w14:val="000000">
                      <w14:alpha w14:val="100000"/>
                    </w14:srgbClr>
                  </w14:solidFill>
                </w14:textFill>
              </w:rPr>
              <w:t>|</w:t>
            </w:r>
            <w:r w:rsidR="009042D1" w:rsidRPr="00AB1ED1">
              <w:rPr>
                <w:szCs w:val="20"/>
                <w:vertAlign w:val="superscript"/>
              </w:rPr>
              <w:t>1</w:t>
            </w:r>
          </w:p>
        </w:tc>
        <w:tc>
          <w:tcPr>
            <w:tcW w:w="638" w:type="pct"/>
          </w:tcPr>
          <w:p w14:paraId="637A4B82" w14:textId="399475F0" w:rsidR="001C1E5A" w:rsidRPr="0027628C" w:rsidRDefault="00590FB9" w:rsidP="00550072">
            <w:pPr>
              <w:pStyle w:val="TableText0"/>
              <w:keepLines w:val="0"/>
              <w:widowControl w:val="0"/>
              <w:jc w:val="right"/>
              <w:rPr>
                <w:szCs w:val="20"/>
                <w:highlight w:val="darkGray"/>
              </w:rPr>
            </w:pPr>
            <w:r w:rsidRPr="00767170">
              <w:rPr>
                <w:color w:val="000000"/>
                <w:spacing w:val="53"/>
                <w:szCs w:val="20"/>
                <w:shd w:val="solid" w:color="000000" w:fill="000000"/>
                <w:fitText w:val="330" w:id="-628928763"/>
                <w14:textFill>
                  <w14:solidFill>
                    <w14:srgbClr w14:val="000000">
                      <w14:alpha w14:val="100000"/>
                    </w14:srgbClr>
                  </w14:solidFill>
                </w14:textFill>
              </w:rPr>
              <w:t>|||</w:t>
            </w:r>
            <w:r w:rsidRPr="00767170">
              <w:rPr>
                <w:color w:val="000000"/>
                <w:spacing w:val="1"/>
                <w:szCs w:val="20"/>
                <w:shd w:val="solid" w:color="000000" w:fill="000000"/>
                <w:fitText w:val="330" w:id="-628928763"/>
                <w14:textFill>
                  <w14:solidFill>
                    <w14:srgbClr w14:val="000000">
                      <w14:alpha w14:val="100000"/>
                    </w14:srgbClr>
                  </w14:solidFill>
                </w14:textFill>
              </w:rPr>
              <w:t>|</w:t>
            </w:r>
            <w:r w:rsidR="0030293D" w:rsidRPr="0030293D">
              <w:rPr>
                <w:szCs w:val="20"/>
                <w:vertAlign w:val="superscript"/>
              </w:rPr>
              <w:t>2</w:t>
            </w:r>
          </w:p>
        </w:tc>
      </w:tr>
      <w:tr w:rsidR="001C1E5A" w:rsidRPr="0061343E" w14:paraId="55FFFF07" w14:textId="77777777" w:rsidTr="004B68FB">
        <w:tc>
          <w:tcPr>
            <w:tcW w:w="1177" w:type="pct"/>
            <w:vAlign w:val="center"/>
          </w:tcPr>
          <w:p w14:paraId="1F6238B9" w14:textId="77777777" w:rsidR="001C1E5A" w:rsidRPr="0061343E" w:rsidRDefault="001C1E5A" w:rsidP="00550072">
            <w:pPr>
              <w:pStyle w:val="TableText0"/>
              <w:keepLines w:val="0"/>
              <w:widowControl w:val="0"/>
              <w:rPr>
                <w:szCs w:val="20"/>
              </w:rPr>
            </w:pPr>
            <w:r w:rsidRPr="0061343E">
              <w:rPr>
                <w:szCs w:val="20"/>
              </w:rPr>
              <w:t xml:space="preserve">Existing size of the market </w:t>
            </w:r>
          </w:p>
        </w:tc>
        <w:tc>
          <w:tcPr>
            <w:tcW w:w="637" w:type="pct"/>
          </w:tcPr>
          <w:p w14:paraId="1626E475" w14:textId="13E65D7C" w:rsidR="001C1E5A" w:rsidRPr="0027628C" w:rsidRDefault="00590FB9" w:rsidP="006D6385">
            <w:pPr>
              <w:pStyle w:val="TableText0"/>
              <w:keepLines w:val="0"/>
              <w:widowControl w:val="0"/>
              <w:rPr>
                <w:szCs w:val="20"/>
                <w:highlight w:val="darkGray"/>
              </w:rPr>
            </w:pPr>
            <w:r w:rsidRPr="00767170">
              <w:rPr>
                <w:color w:val="000000"/>
                <w:spacing w:val="53"/>
                <w:szCs w:val="20"/>
                <w:shd w:val="solid" w:color="000000" w:fill="000000"/>
                <w:fitText w:val="330" w:id="-628928762"/>
                <w14:textFill>
                  <w14:solidFill>
                    <w14:srgbClr w14:val="000000">
                      <w14:alpha w14:val="100000"/>
                    </w14:srgbClr>
                  </w14:solidFill>
                </w14:textFill>
              </w:rPr>
              <w:t>|||</w:t>
            </w:r>
            <w:r w:rsidRPr="00767170">
              <w:rPr>
                <w:color w:val="000000"/>
                <w:spacing w:val="1"/>
                <w:szCs w:val="20"/>
                <w:shd w:val="solid" w:color="000000" w:fill="000000"/>
                <w:fitText w:val="330" w:id="-628928762"/>
                <w14:textFill>
                  <w14:solidFill>
                    <w14:srgbClr w14:val="000000">
                      <w14:alpha w14:val="100000"/>
                    </w14:srgbClr>
                  </w14:solidFill>
                </w14:textFill>
              </w:rPr>
              <w:t>|</w:t>
            </w:r>
            <w:r w:rsidR="00CA1A63" w:rsidRPr="00CA1A63">
              <w:rPr>
                <w:szCs w:val="20"/>
                <w:vertAlign w:val="superscript"/>
              </w:rPr>
              <w:t>8</w:t>
            </w:r>
          </w:p>
        </w:tc>
        <w:tc>
          <w:tcPr>
            <w:tcW w:w="637" w:type="pct"/>
          </w:tcPr>
          <w:p w14:paraId="6D170869" w14:textId="73B9B5ED" w:rsidR="001C1E5A" w:rsidRPr="0027628C" w:rsidRDefault="00590FB9" w:rsidP="006D6385">
            <w:pPr>
              <w:pStyle w:val="TableText0"/>
              <w:keepLines w:val="0"/>
              <w:widowControl w:val="0"/>
              <w:rPr>
                <w:szCs w:val="20"/>
                <w:highlight w:val="darkGray"/>
              </w:rPr>
            </w:pPr>
            <w:r w:rsidRPr="00767170">
              <w:rPr>
                <w:color w:val="000000"/>
                <w:spacing w:val="53"/>
                <w:szCs w:val="20"/>
                <w:shd w:val="solid" w:color="000000" w:fill="000000"/>
                <w:fitText w:val="330" w:id="-628928761"/>
                <w14:textFill>
                  <w14:solidFill>
                    <w14:srgbClr w14:val="000000">
                      <w14:alpha w14:val="100000"/>
                    </w14:srgbClr>
                  </w14:solidFill>
                </w14:textFill>
              </w:rPr>
              <w:t>|||</w:t>
            </w:r>
            <w:r w:rsidRPr="00767170">
              <w:rPr>
                <w:color w:val="000000"/>
                <w:spacing w:val="1"/>
                <w:szCs w:val="20"/>
                <w:shd w:val="solid" w:color="000000" w:fill="000000"/>
                <w:fitText w:val="330" w:id="-628928761"/>
                <w14:textFill>
                  <w14:solidFill>
                    <w14:srgbClr w14:val="000000">
                      <w14:alpha w14:val="100000"/>
                    </w14:srgbClr>
                  </w14:solidFill>
                </w14:textFill>
              </w:rPr>
              <w:t>|</w:t>
            </w:r>
            <w:r w:rsidR="00CA1A63" w:rsidRPr="00994212">
              <w:rPr>
                <w:szCs w:val="20"/>
                <w:vertAlign w:val="superscript"/>
              </w:rPr>
              <w:t>9</w:t>
            </w:r>
          </w:p>
        </w:tc>
        <w:tc>
          <w:tcPr>
            <w:tcW w:w="637" w:type="pct"/>
          </w:tcPr>
          <w:p w14:paraId="27AA8EEB" w14:textId="289B18F6" w:rsidR="001C1E5A" w:rsidRPr="0027628C" w:rsidRDefault="00590FB9" w:rsidP="006D6385">
            <w:pPr>
              <w:pStyle w:val="TableText0"/>
              <w:keepLines w:val="0"/>
              <w:widowControl w:val="0"/>
              <w:rPr>
                <w:szCs w:val="20"/>
                <w:highlight w:val="darkGray"/>
              </w:rPr>
            </w:pPr>
            <w:r w:rsidRPr="00767170">
              <w:rPr>
                <w:color w:val="000000"/>
                <w:spacing w:val="53"/>
                <w:szCs w:val="20"/>
                <w:shd w:val="solid" w:color="000000" w:fill="000000"/>
                <w:fitText w:val="330" w:id="-628928760"/>
                <w14:textFill>
                  <w14:solidFill>
                    <w14:srgbClr w14:val="000000">
                      <w14:alpha w14:val="100000"/>
                    </w14:srgbClr>
                  </w14:solidFill>
                </w14:textFill>
              </w:rPr>
              <w:t>|||</w:t>
            </w:r>
            <w:r w:rsidRPr="00767170">
              <w:rPr>
                <w:color w:val="000000"/>
                <w:spacing w:val="1"/>
                <w:szCs w:val="20"/>
                <w:shd w:val="solid" w:color="000000" w:fill="000000"/>
                <w:fitText w:val="330" w:id="-628928760"/>
                <w14:textFill>
                  <w14:solidFill>
                    <w14:srgbClr w14:val="000000">
                      <w14:alpha w14:val="100000"/>
                    </w14:srgbClr>
                  </w14:solidFill>
                </w14:textFill>
              </w:rPr>
              <w:t>|</w:t>
            </w:r>
            <w:r w:rsidR="00CA1A63" w:rsidRPr="00994212">
              <w:rPr>
                <w:szCs w:val="20"/>
                <w:vertAlign w:val="superscript"/>
              </w:rPr>
              <w:t>9</w:t>
            </w:r>
          </w:p>
        </w:tc>
        <w:tc>
          <w:tcPr>
            <w:tcW w:w="637" w:type="pct"/>
          </w:tcPr>
          <w:p w14:paraId="5539A111" w14:textId="357DB842" w:rsidR="001C1E5A" w:rsidRPr="0027628C" w:rsidRDefault="00590FB9" w:rsidP="006D6385">
            <w:pPr>
              <w:pStyle w:val="TableText0"/>
              <w:keepLines w:val="0"/>
              <w:widowControl w:val="0"/>
              <w:rPr>
                <w:szCs w:val="20"/>
                <w:highlight w:val="darkGray"/>
              </w:rPr>
            </w:pPr>
            <w:r w:rsidRPr="00767170">
              <w:rPr>
                <w:color w:val="000000"/>
                <w:spacing w:val="53"/>
                <w:szCs w:val="20"/>
                <w:shd w:val="solid" w:color="000000" w:fill="000000"/>
                <w:fitText w:val="330" w:id="-628928759"/>
                <w14:textFill>
                  <w14:solidFill>
                    <w14:srgbClr w14:val="000000">
                      <w14:alpha w14:val="100000"/>
                    </w14:srgbClr>
                  </w14:solidFill>
                </w14:textFill>
              </w:rPr>
              <w:t>|||</w:t>
            </w:r>
            <w:r w:rsidRPr="00767170">
              <w:rPr>
                <w:color w:val="000000"/>
                <w:spacing w:val="1"/>
                <w:szCs w:val="20"/>
                <w:shd w:val="solid" w:color="000000" w:fill="000000"/>
                <w:fitText w:val="330" w:id="-628928759"/>
                <w14:textFill>
                  <w14:solidFill>
                    <w14:srgbClr w14:val="000000">
                      <w14:alpha w14:val="100000"/>
                    </w14:srgbClr>
                  </w14:solidFill>
                </w14:textFill>
              </w:rPr>
              <w:t>|</w:t>
            </w:r>
            <w:r w:rsidR="004F1302" w:rsidRPr="004F1302">
              <w:rPr>
                <w:szCs w:val="20"/>
                <w:vertAlign w:val="superscript"/>
              </w:rPr>
              <w:t>14</w:t>
            </w:r>
          </w:p>
        </w:tc>
        <w:tc>
          <w:tcPr>
            <w:tcW w:w="637" w:type="pct"/>
          </w:tcPr>
          <w:p w14:paraId="1EE4DEE5" w14:textId="0FF366C6" w:rsidR="001C1E5A" w:rsidRPr="0027628C" w:rsidRDefault="00590FB9" w:rsidP="006D6385">
            <w:pPr>
              <w:pStyle w:val="TableText0"/>
              <w:keepLines w:val="0"/>
              <w:widowControl w:val="0"/>
              <w:rPr>
                <w:szCs w:val="20"/>
                <w:highlight w:val="darkGray"/>
              </w:rPr>
            </w:pPr>
            <w:r w:rsidRPr="00767170">
              <w:rPr>
                <w:color w:val="000000"/>
                <w:spacing w:val="53"/>
                <w:szCs w:val="20"/>
                <w:shd w:val="solid" w:color="000000" w:fill="000000"/>
                <w:fitText w:val="330" w:id="-628928758"/>
                <w14:textFill>
                  <w14:solidFill>
                    <w14:srgbClr w14:val="000000">
                      <w14:alpha w14:val="100000"/>
                    </w14:srgbClr>
                  </w14:solidFill>
                </w14:textFill>
              </w:rPr>
              <w:t>|||</w:t>
            </w:r>
            <w:r w:rsidRPr="00767170">
              <w:rPr>
                <w:color w:val="000000"/>
                <w:spacing w:val="1"/>
                <w:szCs w:val="20"/>
                <w:shd w:val="solid" w:color="000000" w:fill="000000"/>
                <w:fitText w:val="330" w:id="-628928758"/>
                <w14:textFill>
                  <w14:solidFill>
                    <w14:srgbClr w14:val="000000">
                      <w14:alpha w14:val="100000"/>
                    </w14:srgbClr>
                  </w14:solidFill>
                </w14:textFill>
              </w:rPr>
              <w:t>|</w:t>
            </w:r>
            <w:r w:rsidR="00BE5B3A" w:rsidRPr="004F1302">
              <w:rPr>
                <w:szCs w:val="20"/>
                <w:vertAlign w:val="superscript"/>
              </w:rPr>
              <w:t>14</w:t>
            </w:r>
          </w:p>
        </w:tc>
        <w:tc>
          <w:tcPr>
            <w:tcW w:w="638" w:type="pct"/>
          </w:tcPr>
          <w:p w14:paraId="4D47C93D" w14:textId="48707004" w:rsidR="001C1E5A" w:rsidRPr="0027628C" w:rsidRDefault="00590FB9" w:rsidP="00550072">
            <w:pPr>
              <w:pStyle w:val="TableText0"/>
              <w:keepLines w:val="0"/>
              <w:widowControl w:val="0"/>
              <w:jc w:val="right"/>
              <w:rPr>
                <w:szCs w:val="20"/>
                <w:highlight w:val="darkGray"/>
              </w:rPr>
            </w:pPr>
            <w:r w:rsidRPr="00767170">
              <w:rPr>
                <w:color w:val="000000"/>
                <w:spacing w:val="53"/>
                <w:szCs w:val="20"/>
                <w:shd w:val="solid" w:color="000000" w:fill="000000"/>
                <w:fitText w:val="330" w:id="-628928757"/>
                <w14:textFill>
                  <w14:solidFill>
                    <w14:srgbClr w14:val="000000">
                      <w14:alpha w14:val="100000"/>
                    </w14:srgbClr>
                  </w14:solidFill>
                </w14:textFill>
              </w:rPr>
              <w:t>|||</w:t>
            </w:r>
            <w:r w:rsidRPr="00767170">
              <w:rPr>
                <w:color w:val="000000"/>
                <w:spacing w:val="1"/>
                <w:szCs w:val="20"/>
                <w:shd w:val="solid" w:color="000000" w:fill="000000"/>
                <w:fitText w:val="330" w:id="-628928757"/>
                <w14:textFill>
                  <w14:solidFill>
                    <w14:srgbClr w14:val="000000">
                      <w14:alpha w14:val="100000"/>
                    </w14:srgbClr>
                  </w14:solidFill>
                </w14:textFill>
              </w:rPr>
              <w:t>|</w:t>
            </w:r>
            <w:r w:rsidR="0061561E" w:rsidRPr="0061561E">
              <w:rPr>
                <w:szCs w:val="20"/>
                <w:vertAlign w:val="superscript"/>
              </w:rPr>
              <w:t>15</w:t>
            </w:r>
          </w:p>
        </w:tc>
      </w:tr>
      <w:tr w:rsidR="001C1E5A" w:rsidRPr="0061343E" w14:paraId="06591425" w14:textId="77777777" w:rsidTr="004B68FB">
        <w:tc>
          <w:tcPr>
            <w:tcW w:w="1177" w:type="pct"/>
            <w:vAlign w:val="center"/>
          </w:tcPr>
          <w:p w14:paraId="58E78F86" w14:textId="77777777" w:rsidR="001C1E5A" w:rsidRPr="0061343E" w:rsidRDefault="001C1E5A" w:rsidP="00550072">
            <w:pPr>
              <w:pStyle w:val="TableText0"/>
              <w:keepLines w:val="0"/>
              <w:widowControl w:val="0"/>
              <w:rPr>
                <w:szCs w:val="20"/>
              </w:rPr>
            </w:pPr>
            <w:r w:rsidRPr="0061343E">
              <w:rPr>
                <w:szCs w:val="20"/>
              </w:rPr>
              <w:t>Market share of NEMO</w:t>
            </w:r>
          </w:p>
        </w:tc>
        <w:tc>
          <w:tcPr>
            <w:tcW w:w="637" w:type="pct"/>
            <w:vAlign w:val="center"/>
          </w:tcPr>
          <w:p w14:paraId="4679FBAB" w14:textId="7B9C1584" w:rsidR="001C1E5A" w:rsidRPr="0061343E" w:rsidRDefault="00767170" w:rsidP="006D6385">
            <w:pPr>
              <w:pStyle w:val="TableText0"/>
              <w:keepLines w:val="0"/>
              <w:widowControl w:val="0"/>
              <w:rPr>
                <w:szCs w:val="20"/>
              </w:rPr>
            </w:pPr>
            <w:r w:rsidRPr="00767170">
              <w:rPr>
                <w:rFonts w:hint="eastAsia"/>
                <w:color w:val="000000"/>
                <w:w w:val="22"/>
                <w:szCs w:val="20"/>
                <w:shd w:val="solid" w:color="000000" w:fill="000000"/>
                <w:fitText w:val="101" w:id="-625701120"/>
                <w14:textFill>
                  <w14:solidFill>
                    <w14:srgbClr w14:val="000000">
                      <w14:alpha w14:val="100000"/>
                    </w14:srgbClr>
                  </w14:solidFill>
                </w14:textFill>
              </w:rPr>
              <w:t xml:space="preserve">　</w:t>
            </w:r>
            <w:r w:rsidRPr="00767170">
              <w:rPr>
                <w:color w:val="000000"/>
                <w:w w:val="22"/>
                <w:szCs w:val="20"/>
                <w:shd w:val="solid" w:color="000000" w:fill="000000"/>
                <w:fitText w:val="101" w:id="-625701120"/>
                <w14:textFill>
                  <w14:solidFill>
                    <w14:srgbClr w14:val="000000">
                      <w14:alpha w14:val="100000"/>
                    </w14:srgbClr>
                  </w14:solidFill>
                </w14:textFill>
              </w:rPr>
              <w:t>|</w:t>
            </w:r>
            <w:r w:rsidRPr="00767170">
              <w:rPr>
                <w:rFonts w:hint="eastAsia"/>
                <w:color w:val="000000"/>
                <w:spacing w:val="4"/>
                <w:w w:val="22"/>
                <w:szCs w:val="20"/>
                <w:shd w:val="solid" w:color="000000" w:fill="000000"/>
                <w:fitText w:val="101" w:id="-625701120"/>
                <w14:textFill>
                  <w14:solidFill>
                    <w14:srgbClr w14:val="000000">
                      <w14:alpha w14:val="100000"/>
                    </w14:srgbClr>
                  </w14:solidFill>
                </w14:textFill>
              </w:rPr>
              <w:t xml:space="preserve">　</w:t>
            </w:r>
            <w:r w:rsidR="001C1E5A" w:rsidRPr="0061343E">
              <w:rPr>
                <w:szCs w:val="20"/>
              </w:rPr>
              <w:t>%</w:t>
            </w:r>
          </w:p>
        </w:tc>
        <w:tc>
          <w:tcPr>
            <w:tcW w:w="637" w:type="pct"/>
            <w:vAlign w:val="center"/>
          </w:tcPr>
          <w:p w14:paraId="50B8AFDA" w14:textId="07D6380D" w:rsidR="001C1E5A" w:rsidRPr="0061343E" w:rsidRDefault="00767170" w:rsidP="006D6385">
            <w:pPr>
              <w:pStyle w:val="TableText0"/>
              <w:keepLines w:val="0"/>
              <w:widowControl w:val="0"/>
              <w:rPr>
                <w:szCs w:val="20"/>
              </w:rPr>
            </w:pPr>
            <w:r w:rsidRPr="00767170">
              <w:rPr>
                <w:rFonts w:hint="eastAsia"/>
                <w:color w:val="000000"/>
                <w:w w:val="22"/>
                <w:szCs w:val="20"/>
                <w:shd w:val="solid" w:color="000000" w:fill="000000"/>
                <w:fitText w:val="101" w:id="-625701119"/>
                <w14:textFill>
                  <w14:solidFill>
                    <w14:srgbClr w14:val="000000">
                      <w14:alpha w14:val="100000"/>
                    </w14:srgbClr>
                  </w14:solidFill>
                </w14:textFill>
              </w:rPr>
              <w:t xml:space="preserve">　</w:t>
            </w:r>
            <w:r w:rsidRPr="00767170">
              <w:rPr>
                <w:color w:val="000000"/>
                <w:w w:val="22"/>
                <w:szCs w:val="20"/>
                <w:shd w:val="solid" w:color="000000" w:fill="000000"/>
                <w:fitText w:val="101" w:id="-625701119"/>
                <w14:textFill>
                  <w14:solidFill>
                    <w14:srgbClr w14:val="000000">
                      <w14:alpha w14:val="100000"/>
                    </w14:srgbClr>
                  </w14:solidFill>
                </w14:textFill>
              </w:rPr>
              <w:t>|</w:t>
            </w:r>
            <w:r w:rsidRPr="00767170">
              <w:rPr>
                <w:rFonts w:hint="eastAsia"/>
                <w:color w:val="000000"/>
                <w:spacing w:val="4"/>
                <w:w w:val="22"/>
                <w:szCs w:val="20"/>
                <w:shd w:val="solid" w:color="000000" w:fill="000000"/>
                <w:fitText w:val="101" w:id="-625701119"/>
                <w14:textFill>
                  <w14:solidFill>
                    <w14:srgbClr w14:val="000000">
                      <w14:alpha w14:val="100000"/>
                    </w14:srgbClr>
                  </w14:solidFill>
                </w14:textFill>
              </w:rPr>
              <w:t xml:space="preserve">　</w:t>
            </w:r>
            <w:r w:rsidR="001C1E5A" w:rsidRPr="0061343E">
              <w:rPr>
                <w:szCs w:val="20"/>
              </w:rPr>
              <w:t>%</w:t>
            </w:r>
          </w:p>
        </w:tc>
        <w:tc>
          <w:tcPr>
            <w:tcW w:w="637" w:type="pct"/>
            <w:vAlign w:val="center"/>
          </w:tcPr>
          <w:p w14:paraId="583F2B24" w14:textId="4F959E7B" w:rsidR="001C1E5A" w:rsidRPr="0061343E" w:rsidRDefault="00767170" w:rsidP="006D6385">
            <w:pPr>
              <w:pStyle w:val="TableText0"/>
              <w:keepLines w:val="0"/>
              <w:widowControl w:val="0"/>
              <w:rPr>
                <w:szCs w:val="20"/>
              </w:rPr>
            </w:pPr>
            <w:r w:rsidRPr="00767170">
              <w:rPr>
                <w:rFonts w:hint="eastAsia"/>
                <w:color w:val="000000"/>
                <w:w w:val="22"/>
                <w:szCs w:val="20"/>
                <w:shd w:val="solid" w:color="000000" w:fill="000000"/>
                <w:fitText w:val="101" w:id="-625700864"/>
                <w14:textFill>
                  <w14:solidFill>
                    <w14:srgbClr w14:val="000000">
                      <w14:alpha w14:val="100000"/>
                    </w14:srgbClr>
                  </w14:solidFill>
                </w14:textFill>
              </w:rPr>
              <w:t xml:space="preserve">　</w:t>
            </w:r>
            <w:r w:rsidRPr="00767170">
              <w:rPr>
                <w:color w:val="000000"/>
                <w:w w:val="22"/>
                <w:szCs w:val="20"/>
                <w:shd w:val="solid" w:color="000000" w:fill="000000"/>
                <w:fitText w:val="101" w:id="-625700864"/>
                <w14:textFill>
                  <w14:solidFill>
                    <w14:srgbClr w14:val="000000">
                      <w14:alpha w14:val="100000"/>
                    </w14:srgbClr>
                  </w14:solidFill>
                </w14:textFill>
              </w:rPr>
              <w:t>|</w:t>
            </w:r>
            <w:r w:rsidRPr="00767170">
              <w:rPr>
                <w:rFonts w:hint="eastAsia"/>
                <w:color w:val="000000"/>
                <w:spacing w:val="4"/>
                <w:w w:val="22"/>
                <w:szCs w:val="20"/>
                <w:shd w:val="solid" w:color="000000" w:fill="000000"/>
                <w:fitText w:val="101" w:id="-625700864"/>
                <w14:textFill>
                  <w14:solidFill>
                    <w14:srgbClr w14:val="000000">
                      <w14:alpha w14:val="100000"/>
                    </w14:srgbClr>
                  </w14:solidFill>
                </w14:textFill>
              </w:rPr>
              <w:t xml:space="preserve">　</w:t>
            </w:r>
            <w:r w:rsidR="001C1E5A" w:rsidRPr="0061343E">
              <w:rPr>
                <w:szCs w:val="20"/>
              </w:rPr>
              <w:t>%</w:t>
            </w:r>
          </w:p>
        </w:tc>
        <w:tc>
          <w:tcPr>
            <w:tcW w:w="637" w:type="pct"/>
            <w:vAlign w:val="center"/>
          </w:tcPr>
          <w:p w14:paraId="0A66E1F8" w14:textId="26591E89" w:rsidR="001C1E5A" w:rsidRPr="0061343E" w:rsidRDefault="00767170" w:rsidP="006D6385">
            <w:pPr>
              <w:pStyle w:val="TableText0"/>
              <w:keepLines w:val="0"/>
              <w:widowControl w:val="0"/>
              <w:rPr>
                <w:szCs w:val="20"/>
              </w:rPr>
            </w:pPr>
            <w:r w:rsidRPr="00767170">
              <w:rPr>
                <w:rFonts w:hint="eastAsia"/>
                <w:color w:val="000000"/>
                <w:w w:val="22"/>
                <w:szCs w:val="20"/>
                <w:shd w:val="solid" w:color="000000" w:fill="000000"/>
                <w:fitText w:val="100" w:id="-625700863"/>
                <w14:textFill>
                  <w14:solidFill>
                    <w14:srgbClr w14:val="000000">
                      <w14:alpha w14:val="100000"/>
                    </w14:srgbClr>
                  </w14:solidFill>
                </w14:textFill>
              </w:rPr>
              <w:t xml:space="preserve">　</w:t>
            </w:r>
            <w:r w:rsidRPr="00767170">
              <w:rPr>
                <w:color w:val="000000"/>
                <w:w w:val="22"/>
                <w:szCs w:val="20"/>
                <w:shd w:val="solid" w:color="000000" w:fill="000000"/>
                <w:fitText w:val="100" w:id="-625700863"/>
                <w14:textFill>
                  <w14:solidFill>
                    <w14:srgbClr w14:val="000000">
                      <w14:alpha w14:val="100000"/>
                    </w14:srgbClr>
                  </w14:solidFill>
                </w14:textFill>
              </w:rPr>
              <w:t>|</w:t>
            </w:r>
            <w:r w:rsidRPr="00767170">
              <w:rPr>
                <w:rFonts w:hint="eastAsia"/>
                <w:color w:val="000000"/>
                <w:spacing w:val="3"/>
                <w:w w:val="22"/>
                <w:szCs w:val="20"/>
                <w:shd w:val="solid" w:color="000000" w:fill="000000"/>
                <w:fitText w:val="100" w:id="-625700863"/>
                <w14:textFill>
                  <w14:solidFill>
                    <w14:srgbClr w14:val="000000">
                      <w14:alpha w14:val="100000"/>
                    </w14:srgbClr>
                  </w14:solidFill>
                </w14:textFill>
              </w:rPr>
              <w:t xml:space="preserve">　</w:t>
            </w:r>
            <w:r w:rsidR="001C1E5A" w:rsidRPr="0061343E">
              <w:rPr>
                <w:szCs w:val="20"/>
              </w:rPr>
              <w:t>%</w:t>
            </w:r>
          </w:p>
        </w:tc>
        <w:tc>
          <w:tcPr>
            <w:tcW w:w="637" w:type="pct"/>
            <w:vAlign w:val="center"/>
          </w:tcPr>
          <w:p w14:paraId="27F78B10" w14:textId="0AF6EB97" w:rsidR="001C1E5A" w:rsidRPr="0061343E" w:rsidRDefault="00767170" w:rsidP="006D6385">
            <w:pPr>
              <w:pStyle w:val="TableText0"/>
              <w:keepLines w:val="0"/>
              <w:widowControl w:val="0"/>
              <w:rPr>
                <w:szCs w:val="20"/>
              </w:rPr>
            </w:pPr>
            <w:r w:rsidRPr="00767170">
              <w:rPr>
                <w:rFonts w:hint="eastAsia"/>
                <w:color w:val="000000"/>
                <w:w w:val="22"/>
                <w:szCs w:val="20"/>
                <w:shd w:val="solid" w:color="000000" w:fill="000000"/>
                <w:fitText w:val="100" w:id="-625700862"/>
                <w14:textFill>
                  <w14:solidFill>
                    <w14:srgbClr w14:val="000000">
                      <w14:alpha w14:val="100000"/>
                    </w14:srgbClr>
                  </w14:solidFill>
                </w14:textFill>
              </w:rPr>
              <w:t xml:space="preserve">　</w:t>
            </w:r>
            <w:r w:rsidRPr="00767170">
              <w:rPr>
                <w:color w:val="000000"/>
                <w:w w:val="22"/>
                <w:szCs w:val="20"/>
                <w:shd w:val="solid" w:color="000000" w:fill="000000"/>
                <w:fitText w:val="100" w:id="-625700862"/>
                <w14:textFill>
                  <w14:solidFill>
                    <w14:srgbClr w14:val="000000">
                      <w14:alpha w14:val="100000"/>
                    </w14:srgbClr>
                  </w14:solidFill>
                </w14:textFill>
              </w:rPr>
              <w:t>|</w:t>
            </w:r>
            <w:r w:rsidRPr="00767170">
              <w:rPr>
                <w:rFonts w:hint="eastAsia"/>
                <w:color w:val="000000"/>
                <w:w w:val="22"/>
                <w:szCs w:val="20"/>
                <w:shd w:val="solid" w:color="000000" w:fill="000000"/>
                <w:fitText w:val="100" w:id="-625700862"/>
                <w14:textFill>
                  <w14:solidFill>
                    <w14:srgbClr w14:val="000000">
                      <w14:alpha w14:val="100000"/>
                    </w14:srgbClr>
                  </w14:solidFill>
                </w14:textFill>
              </w:rPr>
              <w:t xml:space="preserve">　</w:t>
            </w:r>
            <w:r w:rsidR="001C1E5A" w:rsidRPr="0061343E">
              <w:rPr>
                <w:szCs w:val="20"/>
              </w:rPr>
              <w:t>%</w:t>
            </w:r>
          </w:p>
        </w:tc>
        <w:tc>
          <w:tcPr>
            <w:tcW w:w="638" w:type="pct"/>
            <w:vAlign w:val="center"/>
          </w:tcPr>
          <w:p w14:paraId="5E9E9F7B" w14:textId="2F98F1E0" w:rsidR="001C1E5A" w:rsidRPr="0061343E" w:rsidRDefault="00767170" w:rsidP="00550072">
            <w:pPr>
              <w:pStyle w:val="TableText0"/>
              <w:keepLines w:val="0"/>
              <w:widowControl w:val="0"/>
              <w:jc w:val="right"/>
              <w:rPr>
                <w:szCs w:val="20"/>
              </w:rPr>
            </w:pPr>
            <w:r w:rsidRPr="00767170">
              <w:rPr>
                <w:color w:val="000000"/>
                <w:szCs w:val="20"/>
                <w:shd w:val="solid" w:color="000000" w:fill="000000"/>
                <w14:textFill>
                  <w14:solidFill>
                    <w14:srgbClr w14:val="000000">
                      <w14:alpha w14:val="100000"/>
                    </w14:srgbClr>
                  </w14:solidFill>
                </w14:textFill>
              </w:rPr>
              <w:t>|</w:t>
            </w:r>
            <w:r w:rsidR="001C1E5A" w:rsidRPr="0061343E">
              <w:rPr>
                <w:szCs w:val="20"/>
              </w:rPr>
              <w:t>%</w:t>
            </w:r>
          </w:p>
        </w:tc>
      </w:tr>
      <w:tr w:rsidR="001C1E5A" w:rsidRPr="0061343E" w14:paraId="3B156574" w14:textId="77777777" w:rsidTr="004B68FB">
        <w:tc>
          <w:tcPr>
            <w:tcW w:w="1177" w:type="pct"/>
          </w:tcPr>
          <w:p w14:paraId="2266767B" w14:textId="77777777" w:rsidR="001C1E5A" w:rsidRPr="0061343E" w:rsidRDefault="001C1E5A" w:rsidP="00550072">
            <w:pPr>
              <w:pStyle w:val="TableText0"/>
              <w:keepLines w:val="0"/>
              <w:widowControl w:val="0"/>
              <w:rPr>
                <w:szCs w:val="20"/>
              </w:rPr>
            </w:pPr>
            <w:r w:rsidRPr="0061343E">
              <w:rPr>
                <w:szCs w:val="20"/>
              </w:rPr>
              <w:t xml:space="preserve">  NEMO: DUPI (initial) </w:t>
            </w:r>
          </w:p>
        </w:tc>
        <w:tc>
          <w:tcPr>
            <w:tcW w:w="637" w:type="pct"/>
            <w:vAlign w:val="center"/>
          </w:tcPr>
          <w:p w14:paraId="4FDC1883" w14:textId="1501D277" w:rsidR="001C1E5A" w:rsidRPr="0027628C" w:rsidRDefault="00590FB9" w:rsidP="006D6385">
            <w:pPr>
              <w:pStyle w:val="TableText0"/>
              <w:keepLines w:val="0"/>
              <w:widowControl w:val="0"/>
              <w:rPr>
                <w:szCs w:val="20"/>
                <w:highlight w:val="darkGray"/>
              </w:rPr>
            </w:pPr>
            <w:r w:rsidRPr="00767170">
              <w:rPr>
                <w:color w:val="000000"/>
                <w:spacing w:val="53"/>
                <w:szCs w:val="20"/>
                <w:shd w:val="solid" w:color="000000" w:fill="000000"/>
                <w:fitText w:val="330" w:id="-628928756"/>
                <w14:textFill>
                  <w14:solidFill>
                    <w14:srgbClr w14:val="000000">
                      <w14:alpha w14:val="100000"/>
                    </w14:srgbClr>
                  </w14:solidFill>
                </w14:textFill>
              </w:rPr>
              <w:t>|||</w:t>
            </w:r>
            <w:r w:rsidRPr="00767170">
              <w:rPr>
                <w:color w:val="000000"/>
                <w:spacing w:val="1"/>
                <w:szCs w:val="20"/>
                <w:shd w:val="solid" w:color="000000" w:fill="000000"/>
                <w:fitText w:val="330" w:id="-628928756"/>
                <w14:textFill>
                  <w14:solidFill>
                    <w14:srgbClr w14:val="000000">
                      <w14:alpha w14:val="100000"/>
                    </w14:srgbClr>
                  </w14:solidFill>
                </w14:textFill>
              </w:rPr>
              <w:t>|</w:t>
            </w:r>
            <w:r w:rsidR="00B06E42" w:rsidRPr="00B06E42">
              <w:rPr>
                <w:szCs w:val="20"/>
                <w:vertAlign w:val="superscript"/>
              </w:rPr>
              <w:t>16</w:t>
            </w:r>
          </w:p>
        </w:tc>
        <w:tc>
          <w:tcPr>
            <w:tcW w:w="637" w:type="pct"/>
            <w:vAlign w:val="center"/>
          </w:tcPr>
          <w:p w14:paraId="49A52C89" w14:textId="66CBF948" w:rsidR="001C1E5A" w:rsidRPr="0027628C" w:rsidRDefault="00590FB9" w:rsidP="006D6385">
            <w:pPr>
              <w:pStyle w:val="TableText0"/>
              <w:keepLines w:val="0"/>
              <w:widowControl w:val="0"/>
              <w:rPr>
                <w:szCs w:val="20"/>
                <w:highlight w:val="darkGray"/>
              </w:rPr>
            </w:pPr>
            <w:r w:rsidRPr="00767170">
              <w:rPr>
                <w:color w:val="000000"/>
                <w:spacing w:val="53"/>
                <w:szCs w:val="20"/>
                <w:shd w:val="solid" w:color="000000" w:fill="000000"/>
                <w:fitText w:val="330" w:id="-628928755"/>
                <w14:textFill>
                  <w14:solidFill>
                    <w14:srgbClr w14:val="000000">
                      <w14:alpha w14:val="100000"/>
                    </w14:srgbClr>
                  </w14:solidFill>
                </w14:textFill>
              </w:rPr>
              <w:t>|||</w:t>
            </w:r>
            <w:r w:rsidRPr="00767170">
              <w:rPr>
                <w:color w:val="000000"/>
                <w:spacing w:val="1"/>
                <w:szCs w:val="20"/>
                <w:shd w:val="solid" w:color="000000" w:fill="000000"/>
                <w:fitText w:val="330" w:id="-628928755"/>
                <w14:textFill>
                  <w14:solidFill>
                    <w14:srgbClr w14:val="000000">
                      <w14:alpha w14:val="100000"/>
                    </w14:srgbClr>
                  </w14:solidFill>
                </w14:textFill>
              </w:rPr>
              <w:t>|</w:t>
            </w:r>
            <w:r w:rsidR="001E5246" w:rsidRPr="005120AA">
              <w:rPr>
                <w:szCs w:val="20"/>
                <w:vertAlign w:val="superscript"/>
              </w:rPr>
              <w:t>10</w:t>
            </w:r>
          </w:p>
        </w:tc>
        <w:tc>
          <w:tcPr>
            <w:tcW w:w="637" w:type="pct"/>
            <w:vAlign w:val="center"/>
          </w:tcPr>
          <w:p w14:paraId="60AA6087" w14:textId="00D2825E" w:rsidR="001C1E5A" w:rsidRPr="0027628C" w:rsidRDefault="00590FB9" w:rsidP="006D6385">
            <w:pPr>
              <w:pStyle w:val="TableText0"/>
              <w:keepLines w:val="0"/>
              <w:widowControl w:val="0"/>
              <w:rPr>
                <w:szCs w:val="20"/>
                <w:highlight w:val="darkGray"/>
              </w:rPr>
            </w:pPr>
            <w:r w:rsidRPr="00767170">
              <w:rPr>
                <w:color w:val="000000"/>
                <w:spacing w:val="53"/>
                <w:szCs w:val="20"/>
                <w:shd w:val="solid" w:color="000000" w:fill="000000"/>
                <w:fitText w:val="330" w:id="-628928754"/>
                <w14:textFill>
                  <w14:solidFill>
                    <w14:srgbClr w14:val="000000">
                      <w14:alpha w14:val="100000"/>
                    </w14:srgbClr>
                  </w14:solidFill>
                </w14:textFill>
              </w:rPr>
              <w:t>|||</w:t>
            </w:r>
            <w:r w:rsidRPr="00767170">
              <w:rPr>
                <w:color w:val="000000"/>
                <w:spacing w:val="1"/>
                <w:szCs w:val="20"/>
                <w:shd w:val="solid" w:color="000000" w:fill="000000"/>
                <w:fitText w:val="330" w:id="-628928754"/>
                <w14:textFill>
                  <w14:solidFill>
                    <w14:srgbClr w14:val="000000">
                      <w14:alpha w14:val="100000"/>
                    </w14:srgbClr>
                  </w14:solidFill>
                </w14:textFill>
              </w:rPr>
              <w:t>|</w:t>
            </w:r>
            <w:r w:rsidR="000F7E07" w:rsidRPr="001E5246">
              <w:rPr>
                <w:szCs w:val="20"/>
                <w:vertAlign w:val="superscript"/>
              </w:rPr>
              <w:t>11</w:t>
            </w:r>
          </w:p>
        </w:tc>
        <w:tc>
          <w:tcPr>
            <w:tcW w:w="637" w:type="pct"/>
            <w:vAlign w:val="center"/>
          </w:tcPr>
          <w:p w14:paraId="0346164E" w14:textId="41DCCD34" w:rsidR="001C1E5A" w:rsidRPr="0027628C" w:rsidRDefault="00590FB9" w:rsidP="006D6385">
            <w:pPr>
              <w:pStyle w:val="TableText0"/>
              <w:keepLines w:val="0"/>
              <w:widowControl w:val="0"/>
              <w:rPr>
                <w:szCs w:val="20"/>
                <w:highlight w:val="darkGray"/>
              </w:rPr>
            </w:pPr>
            <w:r w:rsidRPr="00767170">
              <w:rPr>
                <w:color w:val="000000"/>
                <w:spacing w:val="53"/>
                <w:szCs w:val="20"/>
                <w:shd w:val="solid" w:color="000000" w:fill="000000"/>
                <w:fitText w:val="330" w:id="-628928753"/>
                <w14:textFill>
                  <w14:solidFill>
                    <w14:srgbClr w14:val="000000">
                      <w14:alpha w14:val="100000"/>
                    </w14:srgbClr>
                  </w14:solidFill>
                </w14:textFill>
              </w:rPr>
              <w:t>|||</w:t>
            </w:r>
            <w:r w:rsidRPr="00767170">
              <w:rPr>
                <w:color w:val="000000"/>
                <w:spacing w:val="1"/>
                <w:szCs w:val="20"/>
                <w:shd w:val="solid" w:color="000000" w:fill="000000"/>
                <w:fitText w:val="330" w:id="-628928753"/>
                <w14:textFill>
                  <w14:solidFill>
                    <w14:srgbClr w14:val="000000">
                      <w14:alpha w14:val="100000"/>
                    </w14:srgbClr>
                  </w14:solidFill>
                </w14:textFill>
              </w:rPr>
              <w:t>|</w:t>
            </w:r>
            <w:r w:rsidR="000F7E07" w:rsidRPr="001E5246">
              <w:rPr>
                <w:szCs w:val="20"/>
                <w:vertAlign w:val="superscript"/>
              </w:rPr>
              <w:t>11</w:t>
            </w:r>
          </w:p>
        </w:tc>
        <w:tc>
          <w:tcPr>
            <w:tcW w:w="637" w:type="pct"/>
            <w:vAlign w:val="center"/>
          </w:tcPr>
          <w:p w14:paraId="32D25A18" w14:textId="579FD89A" w:rsidR="001C1E5A" w:rsidRPr="0027628C" w:rsidRDefault="00590FB9" w:rsidP="006D6385">
            <w:pPr>
              <w:pStyle w:val="TableText0"/>
              <w:keepLines w:val="0"/>
              <w:widowControl w:val="0"/>
              <w:rPr>
                <w:szCs w:val="20"/>
                <w:highlight w:val="darkGray"/>
              </w:rPr>
            </w:pPr>
            <w:r w:rsidRPr="00767170">
              <w:rPr>
                <w:color w:val="000000"/>
                <w:spacing w:val="53"/>
                <w:szCs w:val="20"/>
                <w:shd w:val="solid" w:color="000000" w:fill="000000"/>
                <w:fitText w:val="330" w:id="-628928752"/>
                <w14:textFill>
                  <w14:solidFill>
                    <w14:srgbClr w14:val="000000">
                      <w14:alpha w14:val="100000"/>
                    </w14:srgbClr>
                  </w14:solidFill>
                </w14:textFill>
              </w:rPr>
              <w:t>|||</w:t>
            </w:r>
            <w:r w:rsidRPr="00767170">
              <w:rPr>
                <w:color w:val="000000"/>
                <w:spacing w:val="1"/>
                <w:szCs w:val="20"/>
                <w:shd w:val="solid" w:color="000000" w:fill="000000"/>
                <w:fitText w:val="330" w:id="-628928752"/>
                <w14:textFill>
                  <w14:solidFill>
                    <w14:srgbClr w14:val="000000">
                      <w14:alpha w14:val="100000"/>
                    </w14:srgbClr>
                  </w14:solidFill>
                </w14:textFill>
              </w:rPr>
              <w:t>|</w:t>
            </w:r>
            <w:r w:rsidR="000F7E07" w:rsidRPr="001E5246">
              <w:rPr>
                <w:szCs w:val="20"/>
                <w:vertAlign w:val="superscript"/>
              </w:rPr>
              <w:t>11</w:t>
            </w:r>
          </w:p>
        </w:tc>
        <w:tc>
          <w:tcPr>
            <w:tcW w:w="638" w:type="pct"/>
            <w:vAlign w:val="center"/>
          </w:tcPr>
          <w:p w14:paraId="4AD7278F" w14:textId="10ABAB98" w:rsidR="001C1E5A" w:rsidRPr="0027628C" w:rsidRDefault="00590FB9" w:rsidP="00550072">
            <w:pPr>
              <w:pStyle w:val="TableText0"/>
              <w:keepLines w:val="0"/>
              <w:widowControl w:val="0"/>
              <w:jc w:val="right"/>
              <w:rPr>
                <w:szCs w:val="20"/>
                <w:highlight w:val="darkGray"/>
              </w:rPr>
            </w:pPr>
            <w:r w:rsidRPr="00767170">
              <w:rPr>
                <w:color w:val="000000"/>
                <w:spacing w:val="53"/>
                <w:szCs w:val="20"/>
                <w:shd w:val="solid" w:color="000000" w:fill="000000"/>
                <w:fitText w:val="330" w:id="-628928768"/>
                <w14:textFill>
                  <w14:solidFill>
                    <w14:srgbClr w14:val="000000">
                      <w14:alpha w14:val="100000"/>
                    </w14:srgbClr>
                  </w14:solidFill>
                </w14:textFill>
              </w:rPr>
              <w:t>|||</w:t>
            </w:r>
            <w:r w:rsidRPr="00767170">
              <w:rPr>
                <w:color w:val="000000"/>
                <w:spacing w:val="1"/>
                <w:szCs w:val="20"/>
                <w:shd w:val="solid" w:color="000000" w:fill="000000"/>
                <w:fitText w:val="330" w:id="-628928768"/>
                <w14:textFill>
                  <w14:solidFill>
                    <w14:srgbClr w14:val="000000">
                      <w14:alpha w14:val="100000"/>
                    </w14:srgbClr>
                  </w14:solidFill>
                </w14:textFill>
              </w:rPr>
              <w:t>|</w:t>
            </w:r>
            <w:r w:rsidR="006C7BF0" w:rsidRPr="006C7BF0">
              <w:rPr>
                <w:szCs w:val="20"/>
                <w:vertAlign w:val="superscript"/>
              </w:rPr>
              <w:t>17</w:t>
            </w:r>
          </w:p>
        </w:tc>
      </w:tr>
      <w:tr w:rsidR="001C1E5A" w:rsidRPr="0061343E" w14:paraId="2A464C31" w14:textId="77777777" w:rsidTr="004B68FB">
        <w:tc>
          <w:tcPr>
            <w:tcW w:w="1177" w:type="pct"/>
          </w:tcPr>
          <w:p w14:paraId="3EE1D813" w14:textId="77777777" w:rsidR="001C1E5A" w:rsidRPr="0061343E" w:rsidRDefault="001C1E5A" w:rsidP="00550072">
            <w:pPr>
              <w:pStyle w:val="TableText0"/>
              <w:keepLines w:val="0"/>
              <w:widowControl w:val="0"/>
              <w:rPr>
                <w:szCs w:val="20"/>
              </w:rPr>
            </w:pPr>
            <w:r w:rsidRPr="0061343E">
              <w:rPr>
                <w:szCs w:val="20"/>
              </w:rPr>
              <w:t xml:space="preserve">  NEMO: DUPI (continuing)</w:t>
            </w:r>
          </w:p>
        </w:tc>
        <w:tc>
          <w:tcPr>
            <w:tcW w:w="637" w:type="pct"/>
            <w:vAlign w:val="center"/>
          </w:tcPr>
          <w:p w14:paraId="792B2EEF" w14:textId="1D4F0ABC" w:rsidR="001C1E5A" w:rsidRPr="0027628C" w:rsidRDefault="00590FB9" w:rsidP="006D6385">
            <w:pPr>
              <w:pStyle w:val="TableText0"/>
              <w:keepLines w:val="0"/>
              <w:widowControl w:val="0"/>
              <w:rPr>
                <w:szCs w:val="20"/>
                <w:highlight w:val="darkGray"/>
              </w:rPr>
            </w:pPr>
            <w:r w:rsidRPr="00767170">
              <w:rPr>
                <w:color w:val="000000"/>
                <w:spacing w:val="53"/>
                <w:szCs w:val="20"/>
                <w:shd w:val="solid" w:color="000000" w:fill="000000"/>
                <w:fitText w:val="330" w:id="-628928767"/>
                <w14:textFill>
                  <w14:solidFill>
                    <w14:srgbClr w14:val="000000">
                      <w14:alpha w14:val="100000"/>
                    </w14:srgbClr>
                  </w14:solidFill>
                </w14:textFill>
              </w:rPr>
              <w:t>|||</w:t>
            </w:r>
            <w:r w:rsidRPr="00767170">
              <w:rPr>
                <w:color w:val="000000"/>
                <w:spacing w:val="1"/>
                <w:szCs w:val="20"/>
                <w:shd w:val="solid" w:color="000000" w:fill="000000"/>
                <w:fitText w:val="330" w:id="-628928767"/>
                <w14:textFill>
                  <w14:solidFill>
                    <w14:srgbClr w14:val="000000">
                      <w14:alpha w14:val="100000"/>
                    </w14:srgbClr>
                  </w14:solidFill>
                </w14:textFill>
              </w:rPr>
              <w:t>|</w:t>
            </w:r>
            <w:r w:rsidR="005D1464" w:rsidRPr="005D1464">
              <w:rPr>
                <w:szCs w:val="20"/>
                <w:vertAlign w:val="superscript"/>
              </w:rPr>
              <w:t>11</w:t>
            </w:r>
          </w:p>
        </w:tc>
        <w:tc>
          <w:tcPr>
            <w:tcW w:w="637" w:type="pct"/>
            <w:vAlign w:val="center"/>
          </w:tcPr>
          <w:p w14:paraId="08B48575" w14:textId="3070D45D" w:rsidR="001C1E5A" w:rsidRPr="0027628C" w:rsidRDefault="00590FB9" w:rsidP="006D6385">
            <w:pPr>
              <w:pStyle w:val="TableText0"/>
              <w:keepLines w:val="0"/>
              <w:widowControl w:val="0"/>
              <w:rPr>
                <w:szCs w:val="20"/>
                <w:highlight w:val="darkGray"/>
              </w:rPr>
            </w:pPr>
            <w:r w:rsidRPr="00767170">
              <w:rPr>
                <w:color w:val="000000"/>
                <w:spacing w:val="53"/>
                <w:szCs w:val="20"/>
                <w:shd w:val="solid" w:color="000000" w:fill="000000"/>
                <w:fitText w:val="330" w:id="-628928766"/>
                <w14:textFill>
                  <w14:solidFill>
                    <w14:srgbClr w14:val="000000">
                      <w14:alpha w14:val="100000"/>
                    </w14:srgbClr>
                  </w14:solidFill>
                </w14:textFill>
              </w:rPr>
              <w:t>|||</w:t>
            </w:r>
            <w:r w:rsidRPr="00767170">
              <w:rPr>
                <w:color w:val="000000"/>
                <w:spacing w:val="1"/>
                <w:szCs w:val="20"/>
                <w:shd w:val="solid" w:color="000000" w:fill="000000"/>
                <w:fitText w:val="330" w:id="-628928766"/>
                <w14:textFill>
                  <w14:solidFill>
                    <w14:srgbClr w14:val="000000">
                      <w14:alpha w14:val="100000"/>
                    </w14:srgbClr>
                  </w14:solidFill>
                </w14:textFill>
              </w:rPr>
              <w:t>|</w:t>
            </w:r>
            <w:r w:rsidR="002D30A7" w:rsidRPr="006C7BF0">
              <w:rPr>
                <w:szCs w:val="20"/>
                <w:vertAlign w:val="superscript"/>
              </w:rPr>
              <w:t>17</w:t>
            </w:r>
          </w:p>
        </w:tc>
        <w:tc>
          <w:tcPr>
            <w:tcW w:w="637" w:type="pct"/>
            <w:vAlign w:val="center"/>
          </w:tcPr>
          <w:p w14:paraId="10708C15" w14:textId="26A9C1BE" w:rsidR="001C1E5A" w:rsidRPr="0027628C" w:rsidRDefault="00590FB9" w:rsidP="006D6385">
            <w:pPr>
              <w:pStyle w:val="TableText0"/>
              <w:keepLines w:val="0"/>
              <w:widowControl w:val="0"/>
              <w:rPr>
                <w:szCs w:val="20"/>
                <w:highlight w:val="darkGray"/>
              </w:rPr>
            </w:pPr>
            <w:r w:rsidRPr="00767170">
              <w:rPr>
                <w:color w:val="000000"/>
                <w:spacing w:val="53"/>
                <w:szCs w:val="20"/>
                <w:shd w:val="solid" w:color="000000" w:fill="000000"/>
                <w:fitText w:val="330" w:id="-628928765"/>
                <w14:textFill>
                  <w14:solidFill>
                    <w14:srgbClr w14:val="000000">
                      <w14:alpha w14:val="100000"/>
                    </w14:srgbClr>
                  </w14:solidFill>
                </w14:textFill>
              </w:rPr>
              <w:t>|||</w:t>
            </w:r>
            <w:r w:rsidRPr="00767170">
              <w:rPr>
                <w:color w:val="000000"/>
                <w:spacing w:val="1"/>
                <w:szCs w:val="20"/>
                <w:shd w:val="solid" w:color="000000" w:fill="000000"/>
                <w:fitText w:val="330" w:id="-628928765"/>
                <w14:textFill>
                  <w14:solidFill>
                    <w14:srgbClr w14:val="000000">
                      <w14:alpha w14:val="100000"/>
                    </w14:srgbClr>
                  </w14:solidFill>
                </w14:textFill>
              </w:rPr>
              <w:t>|</w:t>
            </w:r>
            <w:r w:rsidR="00672738" w:rsidRPr="00D11AA7">
              <w:rPr>
                <w:szCs w:val="20"/>
                <w:vertAlign w:val="superscript"/>
              </w:rPr>
              <w:t>12</w:t>
            </w:r>
          </w:p>
        </w:tc>
        <w:tc>
          <w:tcPr>
            <w:tcW w:w="637" w:type="pct"/>
            <w:vAlign w:val="center"/>
          </w:tcPr>
          <w:p w14:paraId="48BACC68" w14:textId="47FE39EF" w:rsidR="001C1E5A" w:rsidRPr="0027628C" w:rsidRDefault="00590FB9" w:rsidP="006D6385">
            <w:pPr>
              <w:pStyle w:val="TableText0"/>
              <w:keepLines w:val="0"/>
              <w:widowControl w:val="0"/>
              <w:rPr>
                <w:szCs w:val="20"/>
                <w:highlight w:val="darkGray"/>
              </w:rPr>
            </w:pPr>
            <w:r w:rsidRPr="00767170">
              <w:rPr>
                <w:color w:val="000000"/>
                <w:spacing w:val="53"/>
                <w:szCs w:val="20"/>
                <w:shd w:val="solid" w:color="000000" w:fill="000000"/>
                <w:fitText w:val="330" w:id="-628928764"/>
                <w14:textFill>
                  <w14:solidFill>
                    <w14:srgbClr w14:val="000000">
                      <w14:alpha w14:val="100000"/>
                    </w14:srgbClr>
                  </w14:solidFill>
                </w14:textFill>
              </w:rPr>
              <w:t>|||</w:t>
            </w:r>
            <w:r w:rsidRPr="00767170">
              <w:rPr>
                <w:color w:val="000000"/>
                <w:spacing w:val="1"/>
                <w:szCs w:val="20"/>
                <w:shd w:val="solid" w:color="000000" w:fill="000000"/>
                <w:fitText w:val="330" w:id="-628928764"/>
                <w14:textFill>
                  <w14:solidFill>
                    <w14:srgbClr w14:val="000000">
                      <w14:alpha w14:val="100000"/>
                    </w14:srgbClr>
                  </w14:solidFill>
                </w14:textFill>
              </w:rPr>
              <w:t>|</w:t>
            </w:r>
            <w:r w:rsidR="009042D1" w:rsidRPr="00AB1ED1">
              <w:rPr>
                <w:szCs w:val="20"/>
                <w:vertAlign w:val="superscript"/>
              </w:rPr>
              <w:t>1</w:t>
            </w:r>
          </w:p>
        </w:tc>
        <w:tc>
          <w:tcPr>
            <w:tcW w:w="637" w:type="pct"/>
            <w:vAlign w:val="center"/>
          </w:tcPr>
          <w:p w14:paraId="41409643" w14:textId="6C1A72B7" w:rsidR="001C1E5A" w:rsidRPr="0027628C" w:rsidRDefault="00590FB9" w:rsidP="006D6385">
            <w:pPr>
              <w:pStyle w:val="TableText0"/>
              <w:keepLines w:val="0"/>
              <w:widowControl w:val="0"/>
              <w:rPr>
                <w:szCs w:val="20"/>
                <w:highlight w:val="darkGray"/>
              </w:rPr>
            </w:pPr>
            <w:r w:rsidRPr="00767170">
              <w:rPr>
                <w:color w:val="000000"/>
                <w:spacing w:val="53"/>
                <w:szCs w:val="20"/>
                <w:shd w:val="solid" w:color="000000" w:fill="000000"/>
                <w:fitText w:val="330" w:id="-628928763"/>
                <w14:textFill>
                  <w14:solidFill>
                    <w14:srgbClr w14:val="000000">
                      <w14:alpha w14:val="100000"/>
                    </w14:srgbClr>
                  </w14:solidFill>
                </w14:textFill>
              </w:rPr>
              <w:t>|||</w:t>
            </w:r>
            <w:r w:rsidRPr="00767170">
              <w:rPr>
                <w:color w:val="000000"/>
                <w:spacing w:val="1"/>
                <w:szCs w:val="20"/>
                <w:shd w:val="solid" w:color="000000" w:fill="000000"/>
                <w:fitText w:val="330" w:id="-628928763"/>
                <w14:textFill>
                  <w14:solidFill>
                    <w14:srgbClr w14:val="000000">
                      <w14:alpha w14:val="100000"/>
                    </w14:srgbClr>
                  </w14:solidFill>
                </w14:textFill>
              </w:rPr>
              <w:t>|</w:t>
            </w:r>
            <w:r w:rsidR="0030293D" w:rsidRPr="0030293D">
              <w:rPr>
                <w:szCs w:val="20"/>
                <w:vertAlign w:val="superscript"/>
              </w:rPr>
              <w:t>2</w:t>
            </w:r>
          </w:p>
        </w:tc>
        <w:tc>
          <w:tcPr>
            <w:tcW w:w="638" w:type="pct"/>
            <w:vAlign w:val="center"/>
          </w:tcPr>
          <w:p w14:paraId="65D15211" w14:textId="778ED142" w:rsidR="001C1E5A" w:rsidRPr="0027628C" w:rsidRDefault="00590FB9" w:rsidP="00550072">
            <w:pPr>
              <w:pStyle w:val="TableText0"/>
              <w:keepLines w:val="0"/>
              <w:widowControl w:val="0"/>
              <w:jc w:val="right"/>
              <w:rPr>
                <w:szCs w:val="20"/>
                <w:highlight w:val="darkGray"/>
              </w:rPr>
            </w:pPr>
            <w:r w:rsidRPr="00767170">
              <w:rPr>
                <w:color w:val="000000"/>
                <w:spacing w:val="53"/>
                <w:szCs w:val="20"/>
                <w:shd w:val="solid" w:color="000000" w:fill="000000"/>
                <w:fitText w:val="330" w:id="-628928762"/>
                <w14:textFill>
                  <w14:solidFill>
                    <w14:srgbClr w14:val="000000">
                      <w14:alpha w14:val="100000"/>
                    </w14:srgbClr>
                  </w14:solidFill>
                </w14:textFill>
              </w:rPr>
              <w:t>|||</w:t>
            </w:r>
            <w:r w:rsidRPr="00767170">
              <w:rPr>
                <w:color w:val="000000"/>
                <w:spacing w:val="1"/>
                <w:szCs w:val="20"/>
                <w:shd w:val="solid" w:color="000000" w:fill="000000"/>
                <w:fitText w:val="330" w:id="-628928762"/>
                <w14:textFill>
                  <w14:solidFill>
                    <w14:srgbClr w14:val="000000">
                      <w14:alpha w14:val="100000"/>
                    </w14:srgbClr>
                  </w14:solidFill>
                </w14:textFill>
              </w:rPr>
              <w:t>|</w:t>
            </w:r>
            <w:r w:rsidR="008F1D0B" w:rsidRPr="006D6385">
              <w:rPr>
                <w:szCs w:val="20"/>
                <w:vertAlign w:val="superscript"/>
              </w:rPr>
              <w:t>3</w:t>
            </w:r>
          </w:p>
        </w:tc>
      </w:tr>
      <w:tr w:rsidR="001C1E5A" w:rsidRPr="0061343E" w14:paraId="0F14AEB5" w14:textId="77777777" w:rsidTr="004B68FB">
        <w:tc>
          <w:tcPr>
            <w:tcW w:w="1177" w:type="pct"/>
          </w:tcPr>
          <w:p w14:paraId="65E5AA7F" w14:textId="77777777" w:rsidR="001C1E5A" w:rsidRPr="0061343E" w:rsidRDefault="001C1E5A" w:rsidP="00550072">
            <w:pPr>
              <w:pStyle w:val="TableText0"/>
              <w:keepLines w:val="0"/>
              <w:widowControl w:val="0"/>
              <w:rPr>
                <w:szCs w:val="20"/>
              </w:rPr>
            </w:pPr>
            <w:r w:rsidRPr="0061343E">
              <w:rPr>
                <w:szCs w:val="20"/>
              </w:rPr>
              <w:t xml:space="preserve">  NEMO: UPA (initial) </w:t>
            </w:r>
          </w:p>
        </w:tc>
        <w:tc>
          <w:tcPr>
            <w:tcW w:w="637" w:type="pct"/>
            <w:vAlign w:val="center"/>
          </w:tcPr>
          <w:p w14:paraId="36CABAE8" w14:textId="3AACEDF4" w:rsidR="001C1E5A" w:rsidRPr="0027628C" w:rsidRDefault="00590FB9" w:rsidP="006D6385">
            <w:pPr>
              <w:pStyle w:val="TableText0"/>
              <w:keepLines w:val="0"/>
              <w:widowControl w:val="0"/>
              <w:rPr>
                <w:szCs w:val="20"/>
                <w:highlight w:val="darkGray"/>
              </w:rPr>
            </w:pPr>
            <w:r w:rsidRPr="00767170">
              <w:rPr>
                <w:color w:val="000000"/>
                <w:spacing w:val="53"/>
                <w:szCs w:val="20"/>
                <w:shd w:val="solid" w:color="000000" w:fill="000000"/>
                <w:fitText w:val="330" w:id="-628928761"/>
                <w14:textFill>
                  <w14:solidFill>
                    <w14:srgbClr w14:val="000000">
                      <w14:alpha w14:val="100000"/>
                    </w14:srgbClr>
                  </w14:solidFill>
                </w14:textFill>
              </w:rPr>
              <w:t>|||</w:t>
            </w:r>
            <w:r w:rsidRPr="00767170">
              <w:rPr>
                <w:color w:val="000000"/>
                <w:spacing w:val="1"/>
                <w:szCs w:val="20"/>
                <w:shd w:val="solid" w:color="000000" w:fill="000000"/>
                <w:fitText w:val="330" w:id="-628928761"/>
                <w14:textFill>
                  <w14:solidFill>
                    <w14:srgbClr w14:val="000000">
                      <w14:alpha w14:val="100000"/>
                    </w14:srgbClr>
                  </w14:solidFill>
                </w14:textFill>
              </w:rPr>
              <w:t>|</w:t>
            </w:r>
            <w:r w:rsidR="003E5C80" w:rsidRPr="00B06E42">
              <w:rPr>
                <w:szCs w:val="20"/>
                <w:vertAlign w:val="superscript"/>
              </w:rPr>
              <w:t>16</w:t>
            </w:r>
          </w:p>
        </w:tc>
        <w:tc>
          <w:tcPr>
            <w:tcW w:w="637" w:type="pct"/>
            <w:vAlign w:val="center"/>
          </w:tcPr>
          <w:p w14:paraId="1A7117EC" w14:textId="5FE3EE2C" w:rsidR="001C1E5A" w:rsidRPr="0027628C" w:rsidRDefault="00590FB9" w:rsidP="006D6385">
            <w:pPr>
              <w:pStyle w:val="TableText0"/>
              <w:keepLines w:val="0"/>
              <w:widowControl w:val="0"/>
              <w:rPr>
                <w:szCs w:val="20"/>
                <w:highlight w:val="darkGray"/>
              </w:rPr>
            </w:pPr>
            <w:r w:rsidRPr="00767170">
              <w:rPr>
                <w:color w:val="000000"/>
                <w:spacing w:val="53"/>
                <w:szCs w:val="20"/>
                <w:shd w:val="solid" w:color="000000" w:fill="000000"/>
                <w:fitText w:val="330" w:id="-628928760"/>
                <w14:textFill>
                  <w14:solidFill>
                    <w14:srgbClr w14:val="000000">
                      <w14:alpha w14:val="100000"/>
                    </w14:srgbClr>
                  </w14:solidFill>
                </w14:textFill>
              </w:rPr>
              <w:t>|||</w:t>
            </w:r>
            <w:r w:rsidRPr="00767170">
              <w:rPr>
                <w:color w:val="000000"/>
                <w:spacing w:val="1"/>
                <w:szCs w:val="20"/>
                <w:shd w:val="solid" w:color="000000" w:fill="000000"/>
                <w:fitText w:val="330" w:id="-628928760"/>
                <w14:textFill>
                  <w14:solidFill>
                    <w14:srgbClr w14:val="000000">
                      <w14:alpha w14:val="100000"/>
                    </w14:srgbClr>
                  </w14:solidFill>
                </w14:textFill>
              </w:rPr>
              <w:t>|</w:t>
            </w:r>
            <w:r w:rsidR="003E5C80" w:rsidRPr="00B06E42">
              <w:rPr>
                <w:szCs w:val="20"/>
                <w:vertAlign w:val="superscript"/>
              </w:rPr>
              <w:t>16</w:t>
            </w:r>
          </w:p>
        </w:tc>
        <w:tc>
          <w:tcPr>
            <w:tcW w:w="637" w:type="pct"/>
            <w:vAlign w:val="center"/>
          </w:tcPr>
          <w:p w14:paraId="7FAF70B4" w14:textId="64BDC0E8" w:rsidR="001C1E5A" w:rsidRPr="0027628C" w:rsidRDefault="00590FB9" w:rsidP="006D6385">
            <w:pPr>
              <w:pStyle w:val="TableText0"/>
              <w:keepLines w:val="0"/>
              <w:widowControl w:val="0"/>
              <w:rPr>
                <w:szCs w:val="20"/>
                <w:highlight w:val="darkGray"/>
              </w:rPr>
            </w:pPr>
            <w:r w:rsidRPr="00767170">
              <w:rPr>
                <w:color w:val="000000"/>
                <w:spacing w:val="53"/>
                <w:szCs w:val="20"/>
                <w:shd w:val="solid" w:color="000000" w:fill="000000"/>
                <w:fitText w:val="330" w:id="-628928759"/>
                <w14:textFill>
                  <w14:solidFill>
                    <w14:srgbClr w14:val="000000">
                      <w14:alpha w14:val="100000"/>
                    </w14:srgbClr>
                  </w14:solidFill>
                </w14:textFill>
              </w:rPr>
              <w:t>|||</w:t>
            </w:r>
            <w:r w:rsidRPr="00767170">
              <w:rPr>
                <w:color w:val="000000"/>
                <w:spacing w:val="1"/>
                <w:szCs w:val="20"/>
                <w:shd w:val="solid" w:color="000000" w:fill="000000"/>
                <w:fitText w:val="330" w:id="-628928759"/>
                <w14:textFill>
                  <w14:solidFill>
                    <w14:srgbClr w14:val="000000">
                      <w14:alpha w14:val="100000"/>
                    </w14:srgbClr>
                  </w14:solidFill>
                </w14:textFill>
              </w:rPr>
              <w:t>|</w:t>
            </w:r>
            <w:r w:rsidR="003E5C80" w:rsidRPr="00B06E42">
              <w:rPr>
                <w:szCs w:val="20"/>
                <w:vertAlign w:val="superscript"/>
              </w:rPr>
              <w:t>16</w:t>
            </w:r>
          </w:p>
        </w:tc>
        <w:tc>
          <w:tcPr>
            <w:tcW w:w="637" w:type="pct"/>
            <w:vAlign w:val="center"/>
          </w:tcPr>
          <w:p w14:paraId="08839D88" w14:textId="704136C0" w:rsidR="001C1E5A" w:rsidRPr="0027628C" w:rsidRDefault="00590FB9" w:rsidP="006D6385">
            <w:pPr>
              <w:pStyle w:val="TableText0"/>
              <w:keepLines w:val="0"/>
              <w:widowControl w:val="0"/>
              <w:rPr>
                <w:szCs w:val="20"/>
                <w:highlight w:val="darkGray"/>
              </w:rPr>
            </w:pPr>
            <w:r w:rsidRPr="00767170">
              <w:rPr>
                <w:color w:val="000000"/>
                <w:spacing w:val="53"/>
                <w:szCs w:val="20"/>
                <w:shd w:val="solid" w:color="000000" w:fill="000000"/>
                <w:fitText w:val="330" w:id="-628928758"/>
                <w14:textFill>
                  <w14:solidFill>
                    <w14:srgbClr w14:val="000000">
                      <w14:alpha w14:val="100000"/>
                    </w14:srgbClr>
                  </w14:solidFill>
                </w14:textFill>
              </w:rPr>
              <w:t>|||</w:t>
            </w:r>
            <w:r w:rsidRPr="00767170">
              <w:rPr>
                <w:color w:val="000000"/>
                <w:spacing w:val="1"/>
                <w:szCs w:val="20"/>
                <w:shd w:val="solid" w:color="000000" w:fill="000000"/>
                <w:fitText w:val="330" w:id="-628928758"/>
                <w14:textFill>
                  <w14:solidFill>
                    <w14:srgbClr w14:val="000000">
                      <w14:alpha w14:val="100000"/>
                    </w14:srgbClr>
                  </w14:solidFill>
                </w14:textFill>
              </w:rPr>
              <w:t>|</w:t>
            </w:r>
            <w:r w:rsidR="003E5C80" w:rsidRPr="00B06E42">
              <w:rPr>
                <w:szCs w:val="20"/>
                <w:vertAlign w:val="superscript"/>
              </w:rPr>
              <w:t>16</w:t>
            </w:r>
          </w:p>
        </w:tc>
        <w:tc>
          <w:tcPr>
            <w:tcW w:w="637" w:type="pct"/>
            <w:vAlign w:val="center"/>
          </w:tcPr>
          <w:p w14:paraId="3C3F32DD" w14:textId="40CAF9FD" w:rsidR="001C1E5A" w:rsidRPr="0027628C" w:rsidRDefault="00590FB9" w:rsidP="006D6385">
            <w:pPr>
              <w:pStyle w:val="TableText0"/>
              <w:keepLines w:val="0"/>
              <w:widowControl w:val="0"/>
              <w:rPr>
                <w:szCs w:val="20"/>
                <w:highlight w:val="darkGray"/>
              </w:rPr>
            </w:pPr>
            <w:r w:rsidRPr="00767170">
              <w:rPr>
                <w:color w:val="000000"/>
                <w:spacing w:val="53"/>
                <w:szCs w:val="20"/>
                <w:shd w:val="solid" w:color="000000" w:fill="000000"/>
                <w:fitText w:val="330" w:id="-628928757"/>
                <w14:textFill>
                  <w14:solidFill>
                    <w14:srgbClr w14:val="000000">
                      <w14:alpha w14:val="100000"/>
                    </w14:srgbClr>
                  </w14:solidFill>
                </w14:textFill>
              </w:rPr>
              <w:t>|||</w:t>
            </w:r>
            <w:r w:rsidRPr="00767170">
              <w:rPr>
                <w:color w:val="000000"/>
                <w:spacing w:val="1"/>
                <w:szCs w:val="20"/>
                <w:shd w:val="solid" w:color="000000" w:fill="000000"/>
                <w:fitText w:val="330" w:id="-628928757"/>
                <w14:textFill>
                  <w14:solidFill>
                    <w14:srgbClr w14:val="000000">
                      <w14:alpha w14:val="100000"/>
                    </w14:srgbClr>
                  </w14:solidFill>
                </w14:textFill>
              </w:rPr>
              <w:t>|</w:t>
            </w:r>
            <w:r w:rsidR="003E5C80" w:rsidRPr="00B06E42">
              <w:rPr>
                <w:szCs w:val="20"/>
                <w:vertAlign w:val="superscript"/>
              </w:rPr>
              <w:t>16</w:t>
            </w:r>
          </w:p>
        </w:tc>
        <w:tc>
          <w:tcPr>
            <w:tcW w:w="638" w:type="pct"/>
            <w:vAlign w:val="center"/>
          </w:tcPr>
          <w:p w14:paraId="5F8F1490" w14:textId="13F1477A" w:rsidR="001C1E5A" w:rsidRPr="0027628C" w:rsidRDefault="00590FB9" w:rsidP="00550072">
            <w:pPr>
              <w:pStyle w:val="TableText0"/>
              <w:keepLines w:val="0"/>
              <w:widowControl w:val="0"/>
              <w:jc w:val="right"/>
              <w:rPr>
                <w:szCs w:val="20"/>
                <w:highlight w:val="darkGray"/>
              </w:rPr>
            </w:pPr>
            <w:r w:rsidRPr="00767170">
              <w:rPr>
                <w:color w:val="000000"/>
                <w:spacing w:val="53"/>
                <w:szCs w:val="20"/>
                <w:shd w:val="solid" w:color="000000" w:fill="000000"/>
                <w:fitText w:val="330" w:id="-628928756"/>
                <w14:textFill>
                  <w14:solidFill>
                    <w14:srgbClr w14:val="000000">
                      <w14:alpha w14:val="100000"/>
                    </w14:srgbClr>
                  </w14:solidFill>
                </w14:textFill>
              </w:rPr>
              <w:t>|||</w:t>
            </w:r>
            <w:r w:rsidRPr="00767170">
              <w:rPr>
                <w:color w:val="000000"/>
                <w:spacing w:val="1"/>
                <w:szCs w:val="20"/>
                <w:shd w:val="solid" w:color="000000" w:fill="000000"/>
                <w:fitText w:val="330" w:id="-628928756"/>
                <w14:textFill>
                  <w14:solidFill>
                    <w14:srgbClr w14:val="000000">
                      <w14:alpha w14:val="100000"/>
                    </w14:srgbClr>
                  </w14:solidFill>
                </w14:textFill>
              </w:rPr>
              <w:t>|</w:t>
            </w:r>
            <w:r w:rsidR="003E5C80" w:rsidRPr="00B06E42">
              <w:rPr>
                <w:szCs w:val="20"/>
                <w:vertAlign w:val="superscript"/>
              </w:rPr>
              <w:t>16</w:t>
            </w:r>
          </w:p>
        </w:tc>
      </w:tr>
      <w:tr w:rsidR="001C1E5A" w:rsidRPr="0061343E" w14:paraId="283D77CB" w14:textId="77777777" w:rsidTr="004B68FB">
        <w:tc>
          <w:tcPr>
            <w:tcW w:w="1177" w:type="pct"/>
          </w:tcPr>
          <w:p w14:paraId="277F19CA" w14:textId="77777777" w:rsidR="001C1E5A" w:rsidRPr="0061343E" w:rsidRDefault="001C1E5A" w:rsidP="00550072">
            <w:pPr>
              <w:pStyle w:val="TableText0"/>
              <w:keepLines w:val="0"/>
              <w:widowControl w:val="0"/>
              <w:rPr>
                <w:szCs w:val="20"/>
              </w:rPr>
            </w:pPr>
            <w:r w:rsidRPr="0061343E">
              <w:rPr>
                <w:szCs w:val="20"/>
              </w:rPr>
              <w:t xml:space="preserve">  NEMO: UPA (continuing)</w:t>
            </w:r>
          </w:p>
        </w:tc>
        <w:tc>
          <w:tcPr>
            <w:tcW w:w="637" w:type="pct"/>
            <w:vAlign w:val="center"/>
          </w:tcPr>
          <w:p w14:paraId="520D3186" w14:textId="1DCAFDB4" w:rsidR="001C1E5A" w:rsidRPr="0027628C" w:rsidRDefault="00590FB9" w:rsidP="006D6385">
            <w:pPr>
              <w:pStyle w:val="TableText0"/>
              <w:keepLines w:val="0"/>
              <w:widowControl w:val="0"/>
              <w:rPr>
                <w:szCs w:val="20"/>
                <w:highlight w:val="darkGray"/>
              </w:rPr>
            </w:pPr>
            <w:r w:rsidRPr="00767170">
              <w:rPr>
                <w:color w:val="000000"/>
                <w:spacing w:val="53"/>
                <w:szCs w:val="20"/>
                <w:shd w:val="solid" w:color="000000" w:fill="000000"/>
                <w:fitText w:val="330" w:id="-628928755"/>
                <w14:textFill>
                  <w14:solidFill>
                    <w14:srgbClr w14:val="000000">
                      <w14:alpha w14:val="100000"/>
                    </w14:srgbClr>
                  </w14:solidFill>
                </w14:textFill>
              </w:rPr>
              <w:t>|||</w:t>
            </w:r>
            <w:r w:rsidRPr="00767170">
              <w:rPr>
                <w:color w:val="000000"/>
                <w:spacing w:val="1"/>
                <w:szCs w:val="20"/>
                <w:shd w:val="solid" w:color="000000" w:fill="000000"/>
                <w:fitText w:val="330" w:id="-628928755"/>
                <w14:textFill>
                  <w14:solidFill>
                    <w14:srgbClr w14:val="000000">
                      <w14:alpha w14:val="100000"/>
                    </w14:srgbClr>
                  </w14:solidFill>
                </w14:textFill>
              </w:rPr>
              <w:t>|</w:t>
            </w:r>
            <w:r w:rsidR="003E5C80" w:rsidRPr="00B06E42">
              <w:rPr>
                <w:szCs w:val="20"/>
                <w:vertAlign w:val="superscript"/>
              </w:rPr>
              <w:t>16</w:t>
            </w:r>
          </w:p>
        </w:tc>
        <w:tc>
          <w:tcPr>
            <w:tcW w:w="637" w:type="pct"/>
            <w:vAlign w:val="center"/>
          </w:tcPr>
          <w:p w14:paraId="5F31C508" w14:textId="4F70CC9E" w:rsidR="001C1E5A" w:rsidRPr="0027628C" w:rsidRDefault="00590FB9" w:rsidP="006D6385">
            <w:pPr>
              <w:pStyle w:val="TableText0"/>
              <w:keepLines w:val="0"/>
              <w:widowControl w:val="0"/>
              <w:rPr>
                <w:szCs w:val="20"/>
                <w:highlight w:val="darkGray"/>
              </w:rPr>
            </w:pPr>
            <w:r w:rsidRPr="00767170">
              <w:rPr>
                <w:color w:val="000000"/>
                <w:spacing w:val="53"/>
                <w:szCs w:val="20"/>
                <w:shd w:val="solid" w:color="000000" w:fill="000000"/>
                <w:fitText w:val="330" w:id="-628928754"/>
                <w14:textFill>
                  <w14:solidFill>
                    <w14:srgbClr w14:val="000000">
                      <w14:alpha w14:val="100000"/>
                    </w14:srgbClr>
                  </w14:solidFill>
                </w14:textFill>
              </w:rPr>
              <w:t>|||</w:t>
            </w:r>
            <w:r w:rsidRPr="00767170">
              <w:rPr>
                <w:color w:val="000000"/>
                <w:spacing w:val="1"/>
                <w:szCs w:val="20"/>
                <w:shd w:val="solid" w:color="000000" w:fill="000000"/>
                <w:fitText w:val="330" w:id="-628928754"/>
                <w14:textFill>
                  <w14:solidFill>
                    <w14:srgbClr w14:val="000000">
                      <w14:alpha w14:val="100000"/>
                    </w14:srgbClr>
                  </w14:solidFill>
                </w14:textFill>
              </w:rPr>
              <w:t>|</w:t>
            </w:r>
            <w:r w:rsidR="003E5C80" w:rsidRPr="00B06E42">
              <w:rPr>
                <w:szCs w:val="20"/>
                <w:vertAlign w:val="superscript"/>
              </w:rPr>
              <w:t>16</w:t>
            </w:r>
          </w:p>
        </w:tc>
        <w:tc>
          <w:tcPr>
            <w:tcW w:w="637" w:type="pct"/>
            <w:vAlign w:val="center"/>
          </w:tcPr>
          <w:p w14:paraId="1360BE91" w14:textId="4DBD6C4B" w:rsidR="001C1E5A" w:rsidRPr="0027628C" w:rsidRDefault="00590FB9" w:rsidP="006D6385">
            <w:pPr>
              <w:pStyle w:val="TableText0"/>
              <w:keepLines w:val="0"/>
              <w:widowControl w:val="0"/>
              <w:rPr>
                <w:szCs w:val="20"/>
                <w:highlight w:val="darkGray"/>
              </w:rPr>
            </w:pPr>
            <w:r w:rsidRPr="00767170">
              <w:rPr>
                <w:color w:val="000000"/>
                <w:spacing w:val="53"/>
                <w:szCs w:val="20"/>
                <w:shd w:val="solid" w:color="000000" w:fill="000000"/>
                <w:fitText w:val="330" w:id="-628928753"/>
                <w14:textFill>
                  <w14:solidFill>
                    <w14:srgbClr w14:val="000000">
                      <w14:alpha w14:val="100000"/>
                    </w14:srgbClr>
                  </w14:solidFill>
                </w14:textFill>
              </w:rPr>
              <w:t>|||</w:t>
            </w:r>
            <w:r w:rsidRPr="00767170">
              <w:rPr>
                <w:color w:val="000000"/>
                <w:spacing w:val="1"/>
                <w:szCs w:val="20"/>
                <w:shd w:val="solid" w:color="000000" w:fill="000000"/>
                <w:fitText w:val="330" w:id="-628928753"/>
                <w14:textFill>
                  <w14:solidFill>
                    <w14:srgbClr w14:val="000000">
                      <w14:alpha w14:val="100000"/>
                    </w14:srgbClr>
                  </w14:solidFill>
                </w14:textFill>
              </w:rPr>
              <w:t>|</w:t>
            </w:r>
            <w:r w:rsidR="001E5246" w:rsidRPr="005120AA">
              <w:rPr>
                <w:szCs w:val="20"/>
                <w:vertAlign w:val="superscript"/>
              </w:rPr>
              <w:t>10</w:t>
            </w:r>
          </w:p>
        </w:tc>
        <w:tc>
          <w:tcPr>
            <w:tcW w:w="637" w:type="pct"/>
            <w:vAlign w:val="center"/>
          </w:tcPr>
          <w:p w14:paraId="017B816B" w14:textId="23AFC799" w:rsidR="001C1E5A" w:rsidRPr="0027628C" w:rsidRDefault="00590FB9" w:rsidP="006D6385">
            <w:pPr>
              <w:pStyle w:val="TableText0"/>
              <w:keepLines w:val="0"/>
              <w:widowControl w:val="0"/>
              <w:rPr>
                <w:szCs w:val="20"/>
                <w:highlight w:val="darkGray"/>
              </w:rPr>
            </w:pPr>
            <w:r w:rsidRPr="00767170">
              <w:rPr>
                <w:color w:val="000000"/>
                <w:spacing w:val="53"/>
                <w:szCs w:val="20"/>
                <w:shd w:val="solid" w:color="000000" w:fill="000000"/>
                <w:fitText w:val="330" w:id="-628928752"/>
                <w14:textFill>
                  <w14:solidFill>
                    <w14:srgbClr w14:val="000000">
                      <w14:alpha w14:val="100000"/>
                    </w14:srgbClr>
                  </w14:solidFill>
                </w14:textFill>
              </w:rPr>
              <w:t>|||</w:t>
            </w:r>
            <w:r w:rsidRPr="00767170">
              <w:rPr>
                <w:color w:val="000000"/>
                <w:spacing w:val="1"/>
                <w:szCs w:val="20"/>
                <w:shd w:val="solid" w:color="000000" w:fill="000000"/>
                <w:fitText w:val="330" w:id="-628928752"/>
                <w14:textFill>
                  <w14:solidFill>
                    <w14:srgbClr w14:val="000000">
                      <w14:alpha w14:val="100000"/>
                    </w14:srgbClr>
                  </w14:solidFill>
                </w14:textFill>
              </w:rPr>
              <w:t>|</w:t>
            </w:r>
            <w:r w:rsidR="001E5246" w:rsidRPr="005120AA">
              <w:rPr>
                <w:szCs w:val="20"/>
                <w:vertAlign w:val="superscript"/>
              </w:rPr>
              <w:t>10</w:t>
            </w:r>
          </w:p>
        </w:tc>
        <w:tc>
          <w:tcPr>
            <w:tcW w:w="637" w:type="pct"/>
            <w:vAlign w:val="center"/>
          </w:tcPr>
          <w:p w14:paraId="7A2096F2" w14:textId="1C633CAC" w:rsidR="001C1E5A" w:rsidRPr="0027628C" w:rsidRDefault="00590FB9" w:rsidP="006D6385">
            <w:pPr>
              <w:pStyle w:val="TableText0"/>
              <w:keepLines w:val="0"/>
              <w:widowControl w:val="0"/>
              <w:rPr>
                <w:szCs w:val="20"/>
                <w:highlight w:val="darkGray"/>
              </w:rPr>
            </w:pPr>
            <w:r w:rsidRPr="00767170">
              <w:rPr>
                <w:color w:val="000000"/>
                <w:spacing w:val="53"/>
                <w:szCs w:val="20"/>
                <w:shd w:val="solid" w:color="000000" w:fill="000000"/>
                <w:fitText w:val="330" w:id="-628928768"/>
                <w14:textFill>
                  <w14:solidFill>
                    <w14:srgbClr w14:val="000000">
                      <w14:alpha w14:val="100000"/>
                    </w14:srgbClr>
                  </w14:solidFill>
                </w14:textFill>
              </w:rPr>
              <w:t>|||</w:t>
            </w:r>
            <w:r w:rsidRPr="00767170">
              <w:rPr>
                <w:color w:val="000000"/>
                <w:spacing w:val="1"/>
                <w:szCs w:val="20"/>
                <w:shd w:val="solid" w:color="000000" w:fill="000000"/>
                <w:fitText w:val="330" w:id="-628928768"/>
                <w14:textFill>
                  <w14:solidFill>
                    <w14:srgbClr w14:val="000000">
                      <w14:alpha w14:val="100000"/>
                    </w14:srgbClr>
                  </w14:solidFill>
                </w14:textFill>
              </w:rPr>
              <w:t>|</w:t>
            </w:r>
            <w:r w:rsidR="001E5246" w:rsidRPr="005120AA">
              <w:rPr>
                <w:szCs w:val="20"/>
                <w:vertAlign w:val="superscript"/>
              </w:rPr>
              <w:t>10</w:t>
            </w:r>
          </w:p>
        </w:tc>
        <w:tc>
          <w:tcPr>
            <w:tcW w:w="638" w:type="pct"/>
            <w:vAlign w:val="center"/>
          </w:tcPr>
          <w:p w14:paraId="4F4BC125" w14:textId="57ED51FC" w:rsidR="001C1E5A" w:rsidRPr="0027628C" w:rsidRDefault="00590FB9" w:rsidP="00550072">
            <w:pPr>
              <w:pStyle w:val="TableText0"/>
              <w:keepLines w:val="0"/>
              <w:widowControl w:val="0"/>
              <w:jc w:val="right"/>
              <w:rPr>
                <w:szCs w:val="20"/>
                <w:highlight w:val="darkGray"/>
              </w:rPr>
            </w:pPr>
            <w:r w:rsidRPr="00767170">
              <w:rPr>
                <w:color w:val="000000"/>
                <w:spacing w:val="53"/>
                <w:szCs w:val="20"/>
                <w:shd w:val="solid" w:color="000000" w:fill="000000"/>
                <w:fitText w:val="330" w:id="-628928767"/>
                <w14:textFill>
                  <w14:solidFill>
                    <w14:srgbClr w14:val="000000">
                      <w14:alpha w14:val="100000"/>
                    </w14:srgbClr>
                  </w14:solidFill>
                </w14:textFill>
              </w:rPr>
              <w:t>|||</w:t>
            </w:r>
            <w:r w:rsidRPr="00767170">
              <w:rPr>
                <w:color w:val="000000"/>
                <w:spacing w:val="1"/>
                <w:szCs w:val="20"/>
                <w:shd w:val="solid" w:color="000000" w:fill="000000"/>
                <w:fitText w:val="330" w:id="-628928767"/>
                <w14:textFill>
                  <w14:solidFill>
                    <w14:srgbClr w14:val="000000">
                      <w14:alpha w14:val="100000"/>
                    </w14:srgbClr>
                  </w14:solidFill>
                </w14:textFill>
              </w:rPr>
              <w:t>|</w:t>
            </w:r>
            <w:r w:rsidR="000F7E07" w:rsidRPr="001E5246">
              <w:rPr>
                <w:szCs w:val="20"/>
                <w:vertAlign w:val="superscript"/>
              </w:rPr>
              <w:t>11</w:t>
            </w:r>
          </w:p>
        </w:tc>
      </w:tr>
      <w:tr w:rsidR="001C1E5A" w:rsidRPr="0061343E" w14:paraId="52E0C802" w14:textId="77777777" w:rsidTr="004B68FB">
        <w:tc>
          <w:tcPr>
            <w:tcW w:w="1177" w:type="pct"/>
            <w:vAlign w:val="center"/>
          </w:tcPr>
          <w:p w14:paraId="592967EF" w14:textId="77777777" w:rsidR="001C1E5A" w:rsidRPr="0061343E" w:rsidRDefault="001C1E5A" w:rsidP="00550072">
            <w:pPr>
              <w:pStyle w:val="TableText0"/>
              <w:keepLines w:val="0"/>
              <w:widowControl w:val="0"/>
              <w:rPr>
                <w:szCs w:val="20"/>
              </w:rPr>
            </w:pPr>
            <w:r w:rsidRPr="0061343E">
              <w:rPr>
                <w:szCs w:val="20"/>
              </w:rPr>
              <w:t xml:space="preserve">Total NEMO prescriptions </w:t>
            </w:r>
            <w:r w:rsidRPr="0061343E">
              <w:rPr>
                <w:szCs w:val="20"/>
                <w:vertAlign w:val="superscript"/>
              </w:rPr>
              <w:t>c</w:t>
            </w:r>
          </w:p>
        </w:tc>
        <w:tc>
          <w:tcPr>
            <w:tcW w:w="637" w:type="pct"/>
            <w:vAlign w:val="center"/>
          </w:tcPr>
          <w:p w14:paraId="248516B7" w14:textId="26458B7C" w:rsidR="001C1E5A" w:rsidRPr="0027628C" w:rsidRDefault="00590FB9" w:rsidP="006D6385">
            <w:pPr>
              <w:pStyle w:val="TableText0"/>
              <w:keepLines w:val="0"/>
              <w:widowControl w:val="0"/>
              <w:rPr>
                <w:szCs w:val="20"/>
                <w:highlight w:val="darkGray"/>
              </w:rPr>
            </w:pPr>
            <w:r w:rsidRPr="00767170">
              <w:rPr>
                <w:color w:val="000000"/>
                <w:spacing w:val="53"/>
                <w:szCs w:val="20"/>
                <w:shd w:val="solid" w:color="000000" w:fill="000000"/>
                <w:fitText w:val="330" w:id="-628928766"/>
                <w14:textFill>
                  <w14:solidFill>
                    <w14:srgbClr w14:val="000000">
                      <w14:alpha w14:val="100000"/>
                    </w14:srgbClr>
                  </w14:solidFill>
                </w14:textFill>
              </w:rPr>
              <w:t>|||</w:t>
            </w:r>
            <w:r w:rsidRPr="00767170">
              <w:rPr>
                <w:color w:val="000000"/>
                <w:spacing w:val="1"/>
                <w:szCs w:val="20"/>
                <w:shd w:val="solid" w:color="000000" w:fill="000000"/>
                <w:fitText w:val="330" w:id="-628928766"/>
                <w14:textFill>
                  <w14:solidFill>
                    <w14:srgbClr w14:val="000000">
                      <w14:alpha w14:val="100000"/>
                    </w14:srgbClr>
                  </w14:solidFill>
                </w14:textFill>
              </w:rPr>
              <w:t>|</w:t>
            </w:r>
            <w:r w:rsidR="002D30A7" w:rsidRPr="006C7BF0">
              <w:rPr>
                <w:szCs w:val="20"/>
                <w:vertAlign w:val="superscript"/>
              </w:rPr>
              <w:t>17</w:t>
            </w:r>
          </w:p>
        </w:tc>
        <w:tc>
          <w:tcPr>
            <w:tcW w:w="637" w:type="pct"/>
            <w:vAlign w:val="center"/>
          </w:tcPr>
          <w:p w14:paraId="20C52A9F" w14:textId="5D8C283A" w:rsidR="001C1E5A" w:rsidRPr="0027628C" w:rsidRDefault="00590FB9" w:rsidP="006D6385">
            <w:pPr>
              <w:pStyle w:val="TableText0"/>
              <w:keepLines w:val="0"/>
              <w:widowControl w:val="0"/>
              <w:rPr>
                <w:szCs w:val="20"/>
                <w:highlight w:val="darkGray"/>
              </w:rPr>
            </w:pPr>
            <w:r w:rsidRPr="00767170">
              <w:rPr>
                <w:color w:val="000000"/>
                <w:spacing w:val="53"/>
                <w:szCs w:val="20"/>
                <w:shd w:val="solid" w:color="000000" w:fill="000000"/>
                <w:fitText w:val="330" w:id="-628928765"/>
                <w14:textFill>
                  <w14:solidFill>
                    <w14:srgbClr w14:val="000000">
                      <w14:alpha w14:val="100000"/>
                    </w14:srgbClr>
                  </w14:solidFill>
                </w14:textFill>
              </w:rPr>
              <w:t>|||</w:t>
            </w:r>
            <w:r w:rsidRPr="00767170">
              <w:rPr>
                <w:color w:val="000000"/>
                <w:spacing w:val="1"/>
                <w:szCs w:val="20"/>
                <w:shd w:val="solid" w:color="000000" w:fill="000000"/>
                <w:fitText w:val="330" w:id="-628928765"/>
                <w14:textFill>
                  <w14:solidFill>
                    <w14:srgbClr w14:val="000000">
                      <w14:alpha w14:val="100000"/>
                    </w14:srgbClr>
                  </w14:solidFill>
                </w14:textFill>
              </w:rPr>
              <w:t>|</w:t>
            </w:r>
            <w:r w:rsidR="00672738" w:rsidRPr="00D11AA7">
              <w:rPr>
                <w:szCs w:val="20"/>
                <w:vertAlign w:val="superscript"/>
              </w:rPr>
              <w:t>12</w:t>
            </w:r>
          </w:p>
        </w:tc>
        <w:tc>
          <w:tcPr>
            <w:tcW w:w="637" w:type="pct"/>
            <w:vAlign w:val="center"/>
          </w:tcPr>
          <w:p w14:paraId="4700DBD2" w14:textId="71DF8BBF" w:rsidR="001C1E5A" w:rsidRPr="0027628C" w:rsidRDefault="00590FB9" w:rsidP="006D6385">
            <w:pPr>
              <w:pStyle w:val="TableText0"/>
              <w:keepLines w:val="0"/>
              <w:widowControl w:val="0"/>
              <w:rPr>
                <w:szCs w:val="20"/>
                <w:highlight w:val="darkGray"/>
              </w:rPr>
            </w:pPr>
            <w:r w:rsidRPr="00767170">
              <w:rPr>
                <w:color w:val="000000"/>
                <w:spacing w:val="53"/>
                <w:szCs w:val="20"/>
                <w:shd w:val="solid" w:color="000000" w:fill="000000"/>
                <w:fitText w:val="330" w:id="-628928764"/>
                <w14:textFill>
                  <w14:solidFill>
                    <w14:srgbClr w14:val="000000">
                      <w14:alpha w14:val="100000"/>
                    </w14:srgbClr>
                  </w14:solidFill>
                </w14:textFill>
              </w:rPr>
              <w:t>|||</w:t>
            </w:r>
            <w:r w:rsidRPr="00767170">
              <w:rPr>
                <w:color w:val="000000"/>
                <w:spacing w:val="1"/>
                <w:szCs w:val="20"/>
                <w:shd w:val="solid" w:color="000000" w:fill="000000"/>
                <w:fitText w:val="330" w:id="-628928764"/>
                <w14:textFill>
                  <w14:solidFill>
                    <w14:srgbClr w14:val="000000">
                      <w14:alpha w14:val="100000"/>
                    </w14:srgbClr>
                  </w14:solidFill>
                </w14:textFill>
              </w:rPr>
              <w:t>|</w:t>
            </w:r>
            <w:r w:rsidR="009042D1" w:rsidRPr="00AB1ED1">
              <w:rPr>
                <w:szCs w:val="20"/>
                <w:vertAlign w:val="superscript"/>
              </w:rPr>
              <w:t>1</w:t>
            </w:r>
          </w:p>
        </w:tc>
        <w:tc>
          <w:tcPr>
            <w:tcW w:w="637" w:type="pct"/>
            <w:vAlign w:val="center"/>
          </w:tcPr>
          <w:p w14:paraId="06FDDAC3" w14:textId="239536D6" w:rsidR="001C1E5A" w:rsidRPr="0027628C" w:rsidRDefault="00590FB9" w:rsidP="006D6385">
            <w:pPr>
              <w:pStyle w:val="TableText0"/>
              <w:keepLines w:val="0"/>
              <w:widowControl w:val="0"/>
              <w:rPr>
                <w:szCs w:val="20"/>
                <w:highlight w:val="darkGray"/>
              </w:rPr>
            </w:pPr>
            <w:r w:rsidRPr="00767170">
              <w:rPr>
                <w:color w:val="000000"/>
                <w:spacing w:val="53"/>
                <w:szCs w:val="20"/>
                <w:shd w:val="solid" w:color="000000" w:fill="000000"/>
                <w:fitText w:val="330" w:id="-628928763"/>
                <w14:textFill>
                  <w14:solidFill>
                    <w14:srgbClr w14:val="000000">
                      <w14:alpha w14:val="100000"/>
                    </w14:srgbClr>
                  </w14:solidFill>
                </w14:textFill>
              </w:rPr>
              <w:t>|||</w:t>
            </w:r>
            <w:r w:rsidRPr="00767170">
              <w:rPr>
                <w:color w:val="000000"/>
                <w:spacing w:val="1"/>
                <w:szCs w:val="20"/>
                <w:shd w:val="solid" w:color="000000" w:fill="000000"/>
                <w:fitText w:val="330" w:id="-628928763"/>
                <w14:textFill>
                  <w14:solidFill>
                    <w14:srgbClr w14:val="000000">
                      <w14:alpha w14:val="100000"/>
                    </w14:srgbClr>
                  </w14:solidFill>
                </w14:textFill>
              </w:rPr>
              <w:t>|</w:t>
            </w:r>
            <w:r w:rsidR="008F1D0B" w:rsidRPr="006D6385">
              <w:rPr>
                <w:szCs w:val="20"/>
                <w:vertAlign w:val="superscript"/>
              </w:rPr>
              <w:t>3</w:t>
            </w:r>
          </w:p>
        </w:tc>
        <w:tc>
          <w:tcPr>
            <w:tcW w:w="637" w:type="pct"/>
            <w:vAlign w:val="center"/>
          </w:tcPr>
          <w:p w14:paraId="53BE2BA7" w14:textId="09F91F50" w:rsidR="001C1E5A" w:rsidRPr="0027628C" w:rsidRDefault="00590FB9" w:rsidP="006D6385">
            <w:pPr>
              <w:pStyle w:val="TableText0"/>
              <w:keepLines w:val="0"/>
              <w:widowControl w:val="0"/>
              <w:rPr>
                <w:szCs w:val="20"/>
                <w:highlight w:val="darkGray"/>
              </w:rPr>
            </w:pPr>
            <w:r w:rsidRPr="00767170">
              <w:rPr>
                <w:color w:val="000000"/>
                <w:spacing w:val="53"/>
                <w:szCs w:val="20"/>
                <w:shd w:val="solid" w:color="000000" w:fill="000000"/>
                <w:fitText w:val="330" w:id="-628928762"/>
                <w14:textFill>
                  <w14:solidFill>
                    <w14:srgbClr w14:val="000000">
                      <w14:alpha w14:val="100000"/>
                    </w14:srgbClr>
                  </w14:solidFill>
                </w14:textFill>
              </w:rPr>
              <w:t>|||</w:t>
            </w:r>
            <w:r w:rsidRPr="00767170">
              <w:rPr>
                <w:color w:val="000000"/>
                <w:spacing w:val="1"/>
                <w:szCs w:val="20"/>
                <w:shd w:val="solid" w:color="000000" w:fill="000000"/>
                <w:fitText w:val="330" w:id="-628928762"/>
                <w14:textFill>
                  <w14:solidFill>
                    <w14:srgbClr w14:val="000000">
                      <w14:alpha w14:val="100000"/>
                    </w14:srgbClr>
                  </w14:solidFill>
                </w14:textFill>
              </w:rPr>
              <w:t>|</w:t>
            </w:r>
            <w:r w:rsidR="00EB1528" w:rsidRPr="00EA1A6D">
              <w:rPr>
                <w:szCs w:val="20"/>
                <w:vertAlign w:val="superscript"/>
              </w:rPr>
              <w:t>5</w:t>
            </w:r>
          </w:p>
        </w:tc>
        <w:tc>
          <w:tcPr>
            <w:tcW w:w="638" w:type="pct"/>
            <w:vAlign w:val="center"/>
          </w:tcPr>
          <w:p w14:paraId="419D8414" w14:textId="02CAE1BD" w:rsidR="001C1E5A" w:rsidRPr="0027628C" w:rsidRDefault="00590FB9" w:rsidP="00550072">
            <w:pPr>
              <w:pStyle w:val="TableText0"/>
              <w:keepLines w:val="0"/>
              <w:widowControl w:val="0"/>
              <w:jc w:val="right"/>
              <w:rPr>
                <w:szCs w:val="20"/>
                <w:highlight w:val="darkGray"/>
              </w:rPr>
            </w:pPr>
            <w:r w:rsidRPr="00767170">
              <w:rPr>
                <w:color w:val="000000"/>
                <w:spacing w:val="53"/>
                <w:szCs w:val="20"/>
                <w:shd w:val="solid" w:color="000000" w:fill="000000"/>
                <w:fitText w:val="330" w:id="-628928761"/>
                <w14:textFill>
                  <w14:solidFill>
                    <w14:srgbClr w14:val="000000">
                      <w14:alpha w14:val="100000"/>
                    </w14:srgbClr>
                  </w14:solidFill>
                </w14:textFill>
              </w:rPr>
              <w:t>|||</w:t>
            </w:r>
            <w:r w:rsidRPr="00767170">
              <w:rPr>
                <w:color w:val="000000"/>
                <w:spacing w:val="1"/>
                <w:szCs w:val="20"/>
                <w:shd w:val="solid" w:color="000000" w:fill="000000"/>
                <w:fitText w:val="330" w:id="-628928761"/>
                <w14:textFill>
                  <w14:solidFill>
                    <w14:srgbClr w14:val="000000">
                      <w14:alpha w14:val="100000"/>
                    </w14:srgbClr>
                  </w14:solidFill>
                </w14:textFill>
              </w:rPr>
              <w:t>|</w:t>
            </w:r>
            <w:r w:rsidR="00FC3746" w:rsidRPr="00EB1528">
              <w:rPr>
                <w:szCs w:val="20"/>
                <w:vertAlign w:val="superscript"/>
              </w:rPr>
              <w:t>6</w:t>
            </w:r>
          </w:p>
        </w:tc>
      </w:tr>
      <w:tr w:rsidR="001C1E5A" w:rsidRPr="0061343E" w14:paraId="55308027" w14:textId="77777777" w:rsidTr="004B68FB">
        <w:tc>
          <w:tcPr>
            <w:tcW w:w="1177" w:type="pct"/>
            <w:vAlign w:val="center"/>
          </w:tcPr>
          <w:p w14:paraId="1465DF47" w14:textId="314761A9" w:rsidR="001C1E5A" w:rsidRPr="0061343E" w:rsidRDefault="001C1E5A" w:rsidP="00550072">
            <w:pPr>
              <w:pStyle w:val="TableText0"/>
              <w:keepLines w:val="0"/>
              <w:widowControl w:val="0"/>
              <w:rPr>
                <w:b/>
                <w:bCs w:val="0"/>
                <w:szCs w:val="20"/>
                <w:vertAlign w:val="superscript"/>
              </w:rPr>
            </w:pPr>
            <w:r w:rsidRPr="0061343E">
              <w:rPr>
                <w:b/>
                <w:bCs w:val="0"/>
                <w:szCs w:val="20"/>
              </w:rPr>
              <w:t>Cost to PBS/RPBS less copayments</w:t>
            </w:r>
            <w:r w:rsidR="006F408E">
              <w:rPr>
                <w:b/>
                <w:bCs w:val="0"/>
                <w:szCs w:val="20"/>
              </w:rPr>
              <w:t xml:space="preserve"> ($)</w:t>
            </w:r>
            <w:r w:rsidRPr="0061343E">
              <w:rPr>
                <w:b/>
                <w:bCs w:val="0"/>
                <w:szCs w:val="20"/>
              </w:rPr>
              <w:t xml:space="preserve"> </w:t>
            </w:r>
            <w:r w:rsidRPr="0061343E">
              <w:rPr>
                <w:b/>
                <w:bCs w:val="0"/>
                <w:szCs w:val="20"/>
                <w:vertAlign w:val="superscript"/>
              </w:rPr>
              <w:t>d</w:t>
            </w:r>
          </w:p>
        </w:tc>
        <w:tc>
          <w:tcPr>
            <w:tcW w:w="637" w:type="pct"/>
            <w:vAlign w:val="center"/>
          </w:tcPr>
          <w:p w14:paraId="74DD7140" w14:textId="63AC26E1" w:rsidR="006F408E" w:rsidRDefault="00590FB9" w:rsidP="006D6385">
            <w:pPr>
              <w:pStyle w:val="TableText0"/>
              <w:keepLines w:val="0"/>
              <w:widowControl w:val="0"/>
              <w:rPr>
                <w:b/>
                <w:bCs w:val="0"/>
              </w:rPr>
            </w:pPr>
            <w:r w:rsidRPr="00767170">
              <w:rPr>
                <w:b/>
                <w:bCs w:val="0"/>
                <w:color w:val="000000"/>
                <w:spacing w:val="58"/>
                <w:shd w:val="solid" w:color="000000" w:fill="000000"/>
                <w:fitText w:val="360" w:id="-628928760"/>
                <w14:textFill>
                  <w14:solidFill>
                    <w14:srgbClr w14:val="000000">
                      <w14:alpha w14:val="100000"/>
                    </w14:srgbClr>
                  </w14:solidFill>
                </w14:textFill>
              </w:rPr>
              <w:t>|||</w:t>
            </w:r>
            <w:r w:rsidRPr="00767170">
              <w:rPr>
                <w:b/>
                <w:bCs w:val="0"/>
                <w:color w:val="000000"/>
                <w:spacing w:val="3"/>
                <w:shd w:val="solid" w:color="000000" w:fill="000000"/>
                <w:fitText w:val="360" w:id="-628928760"/>
                <w14:textFill>
                  <w14:solidFill>
                    <w14:srgbClr w14:val="000000">
                      <w14:alpha w14:val="100000"/>
                    </w14:srgbClr>
                  </w14:solidFill>
                </w14:textFill>
              </w:rPr>
              <w:t>|</w:t>
            </w:r>
          </w:p>
          <w:p w14:paraId="23336583" w14:textId="3D1F4D18" w:rsidR="001C1E5A" w:rsidRPr="0027628C" w:rsidRDefault="00520D19" w:rsidP="006D6385">
            <w:pPr>
              <w:pStyle w:val="TableText0"/>
              <w:keepLines w:val="0"/>
              <w:widowControl w:val="0"/>
              <w:rPr>
                <w:b/>
                <w:bCs w:val="0"/>
                <w:szCs w:val="20"/>
                <w:highlight w:val="darkGray"/>
              </w:rPr>
            </w:pPr>
            <w:r w:rsidRPr="00520D19">
              <w:rPr>
                <w:b/>
                <w:bCs w:val="0"/>
                <w:vertAlign w:val="superscript"/>
              </w:rPr>
              <w:t>18</w:t>
            </w:r>
          </w:p>
        </w:tc>
        <w:tc>
          <w:tcPr>
            <w:tcW w:w="637" w:type="pct"/>
            <w:vAlign w:val="center"/>
          </w:tcPr>
          <w:p w14:paraId="02FBEF3A" w14:textId="0ACB6084" w:rsidR="007C2ED8" w:rsidRDefault="00590FB9" w:rsidP="006D6385">
            <w:pPr>
              <w:pStyle w:val="TableText0"/>
              <w:keepLines w:val="0"/>
              <w:widowControl w:val="0"/>
              <w:rPr>
                <w:b/>
                <w:bCs w:val="0"/>
              </w:rPr>
            </w:pPr>
            <w:r w:rsidRPr="00767170">
              <w:rPr>
                <w:b/>
                <w:bCs w:val="0"/>
                <w:color w:val="000000"/>
                <w:spacing w:val="58"/>
                <w:shd w:val="solid" w:color="000000" w:fill="000000"/>
                <w:fitText w:val="360" w:id="-628928759"/>
                <w14:textFill>
                  <w14:solidFill>
                    <w14:srgbClr w14:val="000000">
                      <w14:alpha w14:val="100000"/>
                    </w14:srgbClr>
                  </w14:solidFill>
                </w14:textFill>
              </w:rPr>
              <w:t>|||</w:t>
            </w:r>
            <w:r w:rsidRPr="00767170">
              <w:rPr>
                <w:b/>
                <w:bCs w:val="0"/>
                <w:color w:val="000000"/>
                <w:spacing w:val="3"/>
                <w:shd w:val="solid" w:color="000000" w:fill="000000"/>
                <w:fitText w:val="360" w:id="-628928759"/>
                <w14:textFill>
                  <w14:solidFill>
                    <w14:srgbClr w14:val="000000">
                      <w14:alpha w14:val="100000"/>
                    </w14:srgbClr>
                  </w14:solidFill>
                </w14:textFill>
              </w:rPr>
              <w:t>|</w:t>
            </w:r>
          </w:p>
          <w:p w14:paraId="05CA0758" w14:textId="5EC33CAF" w:rsidR="001C1E5A" w:rsidRPr="0027628C" w:rsidRDefault="00520D19" w:rsidP="006D6385">
            <w:pPr>
              <w:pStyle w:val="TableText0"/>
              <w:keepLines w:val="0"/>
              <w:widowControl w:val="0"/>
              <w:rPr>
                <w:b/>
                <w:bCs w:val="0"/>
                <w:szCs w:val="20"/>
                <w:highlight w:val="darkGray"/>
              </w:rPr>
            </w:pPr>
            <w:r w:rsidRPr="00520D19">
              <w:rPr>
                <w:b/>
                <w:bCs w:val="0"/>
                <w:vertAlign w:val="superscript"/>
              </w:rPr>
              <w:t>19</w:t>
            </w:r>
          </w:p>
        </w:tc>
        <w:tc>
          <w:tcPr>
            <w:tcW w:w="637" w:type="pct"/>
            <w:vAlign w:val="center"/>
          </w:tcPr>
          <w:p w14:paraId="58455B49" w14:textId="4FB4F8C6" w:rsidR="007C2ED8" w:rsidRDefault="00590FB9" w:rsidP="006D6385">
            <w:pPr>
              <w:pStyle w:val="TableText0"/>
              <w:keepLines w:val="0"/>
              <w:widowControl w:val="0"/>
              <w:rPr>
                <w:b/>
                <w:bCs w:val="0"/>
              </w:rPr>
            </w:pPr>
            <w:r w:rsidRPr="00767170">
              <w:rPr>
                <w:b/>
                <w:bCs w:val="0"/>
                <w:color w:val="000000"/>
                <w:spacing w:val="58"/>
                <w:shd w:val="solid" w:color="000000" w:fill="000000"/>
                <w:fitText w:val="360" w:id="-628928758"/>
                <w14:textFill>
                  <w14:solidFill>
                    <w14:srgbClr w14:val="000000">
                      <w14:alpha w14:val="100000"/>
                    </w14:srgbClr>
                  </w14:solidFill>
                </w14:textFill>
              </w:rPr>
              <w:t>|||</w:t>
            </w:r>
            <w:r w:rsidRPr="00767170">
              <w:rPr>
                <w:b/>
                <w:bCs w:val="0"/>
                <w:color w:val="000000"/>
                <w:spacing w:val="3"/>
                <w:shd w:val="solid" w:color="000000" w:fill="000000"/>
                <w:fitText w:val="360" w:id="-628928758"/>
                <w14:textFill>
                  <w14:solidFill>
                    <w14:srgbClr w14:val="000000">
                      <w14:alpha w14:val="100000"/>
                    </w14:srgbClr>
                  </w14:solidFill>
                </w14:textFill>
              </w:rPr>
              <w:t>|</w:t>
            </w:r>
          </w:p>
          <w:p w14:paraId="328869A6" w14:textId="2A8F5890" w:rsidR="001C1E5A" w:rsidRPr="0027628C" w:rsidRDefault="003822EE" w:rsidP="006D6385">
            <w:pPr>
              <w:pStyle w:val="TableText0"/>
              <w:keepLines w:val="0"/>
              <w:widowControl w:val="0"/>
              <w:rPr>
                <w:b/>
                <w:bCs w:val="0"/>
                <w:szCs w:val="20"/>
                <w:highlight w:val="darkGray"/>
              </w:rPr>
            </w:pPr>
            <w:r w:rsidRPr="00520D19">
              <w:rPr>
                <w:b/>
                <w:bCs w:val="0"/>
                <w:vertAlign w:val="superscript"/>
              </w:rPr>
              <w:t>19</w:t>
            </w:r>
          </w:p>
        </w:tc>
        <w:tc>
          <w:tcPr>
            <w:tcW w:w="637" w:type="pct"/>
            <w:vAlign w:val="center"/>
          </w:tcPr>
          <w:p w14:paraId="49D0A718" w14:textId="21B6B59E" w:rsidR="007C2ED8" w:rsidRDefault="00590FB9" w:rsidP="006D6385">
            <w:pPr>
              <w:pStyle w:val="TableText0"/>
              <w:keepLines w:val="0"/>
              <w:widowControl w:val="0"/>
              <w:rPr>
                <w:b/>
                <w:bCs w:val="0"/>
              </w:rPr>
            </w:pPr>
            <w:r w:rsidRPr="00767170">
              <w:rPr>
                <w:b/>
                <w:bCs w:val="0"/>
                <w:color w:val="000000"/>
                <w:spacing w:val="58"/>
                <w:shd w:val="solid" w:color="000000" w:fill="000000"/>
                <w:fitText w:val="360" w:id="-628928757"/>
                <w14:textFill>
                  <w14:solidFill>
                    <w14:srgbClr w14:val="000000">
                      <w14:alpha w14:val="100000"/>
                    </w14:srgbClr>
                  </w14:solidFill>
                </w14:textFill>
              </w:rPr>
              <w:t>|||</w:t>
            </w:r>
            <w:r w:rsidRPr="00767170">
              <w:rPr>
                <w:b/>
                <w:bCs w:val="0"/>
                <w:color w:val="000000"/>
                <w:spacing w:val="3"/>
                <w:shd w:val="solid" w:color="000000" w:fill="000000"/>
                <w:fitText w:val="360" w:id="-628928757"/>
                <w14:textFill>
                  <w14:solidFill>
                    <w14:srgbClr w14:val="000000">
                      <w14:alpha w14:val="100000"/>
                    </w14:srgbClr>
                  </w14:solidFill>
                </w14:textFill>
              </w:rPr>
              <w:t>|</w:t>
            </w:r>
          </w:p>
          <w:p w14:paraId="3649E55D" w14:textId="5A6402EA" w:rsidR="001C1E5A" w:rsidRPr="0027628C" w:rsidRDefault="003822EE" w:rsidP="006D6385">
            <w:pPr>
              <w:pStyle w:val="TableText0"/>
              <w:keepLines w:val="0"/>
              <w:widowControl w:val="0"/>
              <w:rPr>
                <w:b/>
                <w:bCs w:val="0"/>
                <w:szCs w:val="20"/>
                <w:highlight w:val="darkGray"/>
              </w:rPr>
            </w:pPr>
            <w:r w:rsidRPr="003822EE">
              <w:rPr>
                <w:b/>
                <w:bCs w:val="0"/>
                <w:vertAlign w:val="superscript"/>
              </w:rPr>
              <w:t>20</w:t>
            </w:r>
          </w:p>
        </w:tc>
        <w:tc>
          <w:tcPr>
            <w:tcW w:w="637" w:type="pct"/>
            <w:vAlign w:val="center"/>
          </w:tcPr>
          <w:p w14:paraId="3A826BC8" w14:textId="1FB994BD" w:rsidR="007C2ED8" w:rsidRDefault="00590FB9" w:rsidP="006D6385">
            <w:pPr>
              <w:pStyle w:val="TableText0"/>
              <w:keepLines w:val="0"/>
              <w:widowControl w:val="0"/>
              <w:rPr>
                <w:b/>
                <w:bCs w:val="0"/>
              </w:rPr>
            </w:pPr>
            <w:r w:rsidRPr="00767170">
              <w:rPr>
                <w:b/>
                <w:bCs w:val="0"/>
                <w:color w:val="000000"/>
                <w:spacing w:val="58"/>
                <w:shd w:val="solid" w:color="000000" w:fill="000000"/>
                <w:fitText w:val="360" w:id="-628928756"/>
                <w14:textFill>
                  <w14:solidFill>
                    <w14:srgbClr w14:val="000000">
                      <w14:alpha w14:val="100000"/>
                    </w14:srgbClr>
                  </w14:solidFill>
                </w14:textFill>
              </w:rPr>
              <w:t>|||</w:t>
            </w:r>
            <w:r w:rsidRPr="00767170">
              <w:rPr>
                <w:b/>
                <w:bCs w:val="0"/>
                <w:color w:val="000000"/>
                <w:spacing w:val="3"/>
                <w:shd w:val="solid" w:color="000000" w:fill="000000"/>
                <w:fitText w:val="360" w:id="-628928756"/>
                <w14:textFill>
                  <w14:solidFill>
                    <w14:srgbClr w14:val="000000">
                      <w14:alpha w14:val="100000"/>
                    </w14:srgbClr>
                  </w14:solidFill>
                </w14:textFill>
              </w:rPr>
              <w:t>|</w:t>
            </w:r>
          </w:p>
          <w:p w14:paraId="4BF0F561" w14:textId="761FBC29" w:rsidR="001C1E5A" w:rsidRPr="0027628C" w:rsidRDefault="00F84074" w:rsidP="006D6385">
            <w:pPr>
              <w:pStyle w:val="TableText0"/>
              <w:keepLines w:val="0"/>
              <w:widowControl w:val="0"/>
              <w:rPr>
                <w:b/>
                <w:bCs w:val="0"/>
                <w:szCs w:val="20"/>
                <w:highlight w:val="darkGray"/>
              </w:rPr>
            </w:pPr>
            <w:r w:rsidRPr="00621752">
              <w:rPr>
                <w:b/>
                <w:bCs w:val="0"/>
                <w:vertAlign w:val="superscript"/>
              </w:rPr>
              <w:t>21</w:t>
            </w:r>
          </w:p>
        </w:tc>
        <w:tc>
          <w:tcPr>
            <w:tcW w:w="638" w:type="pct"/>
            <w:vAlign w:val="center"/>
          </w:tcPr>
          <w:p w14:paraId="4AF10E94" w14:textId="788B556B" w:rsidR="007C2ED8" w:rsidRDefault="00590FB9" w:rsidP="00550072">
            <w:pPr>
              <w:pStyle w:val="TableText0"/>
              <w:keepLines w:val="0"/>
              <w:widowControl w:val="0"/>
              <w:jc w:val="right"/>
              <w:rPr>
                <w:b/>
                <w:bCs w:val="0"/>
              </w:rPr>
            </w:pPr>
            <w:r w:rsidRPr="00767170">
              <w:rPr>
                <w:b/>
                <w:bCs w:val="0"/>
                <w:color w:val="000000"/>
                <w:spacing w:val="58"/>
                <w:shd w:val="solid" w:color="000000" w:fill="000000"/>
                <w:fitText w:val="360" w:id="-628928755"/>
                <w14:textFill>
                  <w14:solidFill>
                    <w14:srgbClr w14:val="000000">
                      <w14:alpha w14:val="100000"/>
                    </w14:srgbClr>
                  </w14:solidFill>
                </w14:textFill>
              </w:rPr>
              <w:t>|||</w:t>
            </w:r>
            <w:r w:rsidRPr="00767170">
              <w:rPr>
                <w:b/>
                <w:bCs w:val="0"/>
                <w:color w:val="000000"/>
                <w:spacing w:val="3"/>
                <w:shd w:val="solid" w:color="000000" w:fill="000000"/>
                <w:fitText w:val="360" w:id="-628928755"/>
                <w14:textFill>
                  <w14:solidFill>
                    <w14:srgbClr w14:val="000000">
                      <w14:alpha w14:val="100000"/>
                    </w14:srgbClr>
                  </w14:solidFill>
                </w14:textFill>
              </w:rPr>
              <w:t>|</w:t>
            </w:r>
          </w:p>
          <w:p w14:paraId="760266D9" w14:textId="5FB8ADD1" w:rsidR="001C1E5A" w:rsidRPr="0027628C" w:rsidRDefault="00621752" w:rsidP="00550072">
            <w:pPr>
              <w:pStyle w:val="TableText0"/>
              <w:keepLines w:val="0"/>
              <w:widowControl w:val="0"/>
              <w:jc w:val="right"/>
              <w:rPr>
                <w:b/>
                <w:bCs w:val="0"/>
                <w:szCs w:val="20"/>
                <w:highlight w:val="darkGray"/>
              </w:rPr>
            </w:pPr>
            <w:r w:rsidRPr="00621752">
              <w:rPr>
                <w:b/>
                <w:bCs w:val="0"/>
                <w:vertAlign w:val="superscript"/>
              </w:rPr>
              <w:t>21</w:t>
            </w:r>
          </w:p>
        </w:tc>
      </w:tr>
      <w:tr w:rsidR="001C1E5A" w:rsidRPr="0061343E" w14:paraId="68EF475D" w14:textId="77777777" w:rsidTr="004B68FB">
        <w:tc>
          <w:tcPr>
            <w:tcW w:w="5000" w:type="pct"/>
            <w:gridSpan w:val="7"/>
            <w:vAlign w:val="center"/>
          </w:tcPr>
          <w:p w14:paraId="40B1329B" w14:textId="77777777" w:rsidR="001C1E5A" w:rsidRPr="0061343E" w:rsidRDefault="001C1E5A" w:rsidP="00550072">
            <w:pPr>
              <w:pStyle w:val="TableText0"/>
              <w:keepLines w:val="0"/>
              <w:widowControl w:val="0"/>
              <w:rPr>
                <w:b/>
                <w:bCs w:val="0"/>
                <w:szCs w:val="20"/>
              </w:rPr>
            </w:pPr>
            <w:r w:rsidRPr="0061343E">
              <w:rPr>
                <w:b/>
                <w:bCs w:val="0"/>
                <w:szCs w:val="20"/>
              </w:rPr>
              <w:t xml:space="preserve">Reduction in use of DUPI and UPA  </w:t>
            </w:r>
          </w:p>
        </w:tc>
      </w:tr>
      <w:tr w:rsidR="001C1E5A" w:rsidRPr="0061343E" w14:paraId="396A2AD3" w14:textId="77777777" w:rsidTr="004B68FB">
        <w:tc>
          <w:tcPr>
            <w:tcW w:w="1177" w:type="pct"/>
          </w:tcPr>
          <w:p w14:paraId="3E919992" w14:textId="77777777" w:rsidR="001C1E5A" w:rsidRPr="0061343E" w:rsidRDefault="001C1E5A" w:rsidP="00550072">
            <w:pPr>
              <w:pStyle w:val="TableText0"/>
              <w:keepLines w:val="0"/>
              <w:widowControl w:val="0"/>
              <w:rPr>
                <w:szCs w:val="20"/>
              </w:rPr>
            </w:pPr>
            <w:r w:rsidRPr="0061343E">
              <w:rPr>
                <w:szCs w:val="20"/>
              </w:rPr>
              <w:t>DUPI (200 mg and 300 mg doses) scripts</w:t>
            </w:r>
          </w:p>
        </w:tc>
        <w:tc>
          <w:tcPr>
            <w:tcW w:w="637" w:type="pct"/>
            <w:vAlign w:val="center"/>
          </w:tcPr>
          <w:p w14:paraId="72BD4742" w14:textId="77416258" w:rsidR="001C1E5A" w:rsidRPr="0061343E" w:rsidRDefault="001C1E5A" w:rsidP="006D6385">
            <w:pPr>
              <w:pStyle w:val="TableText0"/>
              <w:keepLines w:val="0"/>
              <w:widowControl w:val="0"/>
              <w:rPr>
                <w:szCs w:val="20"/>
              </w:rPr>
            </w:pPr>
            <w:r w:rsidRPr="0061343E">
              <w:rPr>
                <w:szCs w:val="20"/>
              </w:rPr>
              <w:t>-</w:t>
            </w:r>
            <w:r w:rsidR="00590FB9" w:rsidRPr="00767170">
              <w:rPr>
                <w:color w:val="000000"/>
                <w:spacing w:val="56"/>
                <w:w w:val="95"/>
                <w:szCs w:val="20"/>
                <w:shd w:val="solid" w:color="000000" w:fill="000000"/>
                <w:fitText w:val="330" w:id="-628928754"/>
                <w14:textFill>
                  <w14:solidFill>
                    <w14:srgbClr w14:val="000000">
                      <w14:alpha w14:val="100000"/>
                    </w14:srgbClr>
                  </w14:solidFill>
                </w14:textFill>
              </w:rPr>
              <w:t>|||</w:t>
            </w:r>
            <w:r w:rsidR="00590FB9" w:rsidRPr="00767170">
              <w:rPr>
                <w:color w:val="000000"/>
                <w:spacing w:val="1"/>
                <w:w w:val="95"/>
                <w:szCs w:val="20"/>
                <w:shd w:val="solid" w:color="000000" w:fill="000000"/>
                <w:fitText w:val="330" w:id="-628928754"/>
                <w14:textFill>
                  <w14:solidFill>
                    <w14:srgbClr w14:val="000000">
                      <w14:alpha w14:val="100000"/>
                    </w14:srgbClr>
                  </w14:solidFill>
                </w14:textFill>
              </w:rPr>
              <w:t>|</w:t>
            </w:r>
            <w:r w:rsidR="00672738" w:rsidRPr="00D11AA7">
              <w:rPr>
                <w:szCs w:val="20"/>
                <w:vertAlign w:val="superscript"/>
              </w:rPr>
              <w:t>12</w:t>
            </w:r>
          </w:p>
        </w:tc>
        <w:tc>
          <w:tcPr>
            <w:tcW w:w="637" w:type="pct"/>
            <w:vAlign w:val="center"/>
          </w:tcPr>
          <w:p w14:paraId="6263AB48" w14:textId="683C9C78" w:rsidR="001C1E5A" w:rsidRPr="0061343E" w:rsidRDefault="001C1E5A" w:rsidP="006D6385">
            <w:pPr>
              <w:pStyle w:val="TableText0"/>
              <w:keepLines w:val="0"/>
              <w:widowControl w:val="0"/>
              <w:rPr>
                <w:szCs w:val="20"/>
              </w:rPr>
            </w:pPr>
            <w:r w:rsidRPr="0061343E">
              <w:rPr>
                <w:szCs w:val="20"/>
              </w:rPr>
              <w:t>-</w:t>
            </w:r>
            <w:r w:rsidR="00590FB9" w:rsidRPr="00767170">
              <w:rPr>
                <w:color w:val="000000"/>
                <w:spacing w:val="56"/>
                <w:w w:val="95"/>
                <w:szCs w:val="20"/>
                <w:shd w:val="solid" w:color="000000" w:fill="000000"/>
                <w:fitText w:val="330" w:id="-628928753"/>
                <w14:textFill>
                  <w14:solidFill>
                    <w14:srgbClr w14:val="000000">
                      <w14:alpha w14:val="100000"/>
                    </w14:srgbClr>
                  </w14:solidFill>
                </w14:textFill>
              </w:rPr>
              <w:t>|||</w:t>
            </w:r>
            <w:r w:rsidR="00590FB9" w:rsidRPr="00767170">
              <w:rPr>
                <w:color w:val="000000"/>
                <w:spacing w:val="1"/>
                <w:w w:val="95"/>
                <w:szCs w:val="20"/>
                <w:shd w:val="solid" w:color="000000" w:fill="000000"/>
                <w:fitText w:val="330" w:id="-628928753"/>
                <w14:textFill>
                  <w14:solidFill>
                    <w14:srgbClr w14:val="000000">
                      <w14:alpha w14:val="100000"/>
                    </w14:srgbClr>
                  </w14:solidFill>
                </w14:textFill>
              </w:rPr>
              <w:t>|</w:t>
            </w:r>
            <w:r w:rsidR="0019259D" w:rsidRPr="0019259D">
              <w:rPr>
                <w:szCs w:val="20"/>
                <w:vertAlign w:val="superscript"/>
              </w:rPr>
              <w:t>2</w:t>
            </w:r>
          </w:p>
        </w:tc>
        <w:tc>
          <w:tcPr>
            <w:tcW w:w="637" w:type="pct"/>
            <w:vAlign w:val="center"/>
          </w:tcPr>
          <w:p w14:paraId="24AED02F" w14:textId="74A2FBE3" w:rsidR="001C1E5A" w:rsidRPr="0061343E" w:rsidRDefault="001C1E5A" w:rsidP="006D6385">
            <w:pPr>
              <w:pStyle w:val="TableText0"/>
              <w:keepLines w:val="0"/>
              <w:widowControl w:val="0"/>
              <w:rPr>
                <w:szCs w:val="20"/>
              </w:rPr>
            </w:pPr>
            <w:r w:rsidRPr="0061343E">
              <w:rPr>
                <w:szCs w:val="20"/>
              </w:rPr>
              <w:t>-</w:t>
            </w:r>
            <w:r w:rsidR="00590FB9" w:rsidRPr="00767170">
              <w:rPr>
                <w:color w:val="000000"/>
                <w:spacing w:val="56"/>
                <w:w w:val="95"/>
                <w:szCs w:val="20"/>
                <w:shd w:val="solid" w:color="000000" w:fill="000000"/>
                <w:fitText w:val="330" w:id="-628928752"/>
                <w14:textFill>
                  <w14:solidFill>
                    <w14:srgbClr w14:val="000000">
                      <w14:alpha w14:val="100000"/>
                    </w14:srgbClr>
                  </w14:solidFill>
                </w14:textFill>
              </w:rPr>
              <w:t>|||</w:t>
            </w:r>
            <w:r w:rsidR="00590FB9" w:rsidRPr="00767170">
              <w:rPr>
                <w:color w:val="000000"/>
                <w:spacing w:val="1"/>
                <w:w w:val="95"/>
                <w:szCs w:val="20"/>
                <w:shd w:val="solid" w:color="000000" w:fill="000000"/>
                <w:fitText w:val="330" w:id="-628928752"/>
                <w14:textFill>
                  <w14:solidFill>
                    <w14:srgbClr w14:val="000000">
                      <w14:alpha w14:val="100000"/>
                    </w14:srgbClr>
                  </w14:solidFill>
                </w14:textFill>
              </w:rPr>
              <w:t>|</w:t>
            </w:r>
            <w:r w:rsidR="0064705C" w:rsidRPr="0064705C">
              <w:rPr>
                <w:szCs w:val="20"/>
                <w:vertAlign w:val="superscript"/>
              </w:rPr>
              <w:t>5</w:t>
            </w:r>
          </w:p>
        </w:tc>
        <w:tc>
          <w:tcPr>
            <w:tcW w:w="637" w:type="pct"/>
            <w:vAlign w:val="center"/>
          </w:tcPr>
          <w:p w14:paraId="61756B8C" w14:textId="5DA2072D" w:rsidR="001C1E5A" w:rsidRPr="0061343E" w:rsidRDefault="001C1E5A" w:rsidP="006D6385">
            <w:pPr>
              <w:pStyle w:val="TableText0"/>
              <w:keepLines w:val="0"/>
              <w:widowControl w:val="0"/>
              <w:rPr>
                <w:szCs w:val="20"/>
              </w:rPr>
            </w:pPr>
            <w:r w:rsidRPr="0061343E">
              <w:rPr>
                <w:szCs w:val="20"/>
              </w:rPr>
              <w:t>-</w:t>
            </w:r>
            <w:r w:rsidR="00590FB9" w:rsidRPr="00767170">
              <w:rPr>
                <w:color w:val="000000"/>
                <w:spacing w:val="56"/>
                <w:w w:val="95"/>
                <w:szCs w:val="20"/>
                <w:shd w:val="solid" w:color="000000" w:fill="000000"/>
                <w:fitText w:val="330" w:id="-628928768"/>
                <w14:textFill>
                  <w14:solidFill>
                    <w14:srgbClr w14:val="000000">
                      <w14:alpha w14:val="100000"/>
                    </w14:srgbClr>
                  </w14:solidFill>
                </w14:textFill>
              </w:rPr>
              <w:t>|||</w:t>
            </w:r>
            <w:r w:rsidR="00590FB9" w:rsidRPr="00767170">
              <w:rPr>
                <w:color w:val="000000"/>
                <w:spacing w:val="1"/>
                <w:w w:val="95"/>
                <w:szCs w:val="20"/>
                <w:shd w:val="solid" w:color="000000" w:fill="000000"/>
                <w:fitText w:val="330" w:id="-628928768"/>
                <w14:textFill>
                  <w14:solidFill>
                    <w14:srgbClr w14:val="000000">
                      <w14:alpha w14:val="100000"/>
                    </w14:srgbClr>
                  </w14:solidFill>
                </w14:textFill>
              </w:rPr>
              <w:t>|</w:t>
            </w:r>
            <w:r w:rsidR="0064705C" w:rsidRPr="0064705C">
              <w:rPr>
                <w:szCs w:val="20"/>
                <w:vertAlign w:val="superscript"/>
              </w:rPr>
              <w:t>6</w:t>
            </w:r>
          </w:p>
        </w:tc>
        <w:tc>
          <w:tcPr>
            <w:tcW w:w="637" w:type="pct"/>
            <w:vAlign w:val="center"/>
          </w:tcPr>
          <w:p w14:paraId="70ABB6D8" w14:textId="295B8FFF" w:rsidR="001C1E5A" w:rsidRPr="0061343E" w:rsidRDefault="001C1E5A" w:rsidP="006D6385">
            <w:pPr>
              <w:pStyle w:val="TableText0"/>
              <w:keepLines w:val="0"/>
              <w:widowControl w:val="0"/>
              <w:rPr>
                <w:szCs w:val="20"/>
              </w:rPr>
            </w:pPr>
            <w:r w:rsidRPr="0061343E">
              <w:rPr>
                <w:szCs w:val="20"/>
              </w:rPr>
              <w:t>-</w:t>
            </w:r>
            <w:r w:rsidR="00590FB9" w:rsidRPr="00767170">
              <w:rPr>
                <w:color w:val="000000"/>
                <w:spacing w:val="56"/>
                <w:w w:val="95"/>
                <w:szCs w:val="20"/>
                <w:shd w:val="solid" w:color="000000" w:fill="000000"/>
                <w:fitText w:val="330" w:id="-628928767"/>
                <w14:textFill>
                  <w14:solidFill>
                    <w14:srgbClr w14:val="000000">
                      <w14:alpha w14:val="100000"/>
                    </w14:srgbClr>
                  </w14:solidFill>
                </w14:textFill>
              </w:rPr>
              <w:t>|||</w:t>
            </w:r>
            <w:r w:rsidR="00590FB9" w:rsidRPr="00767170">
              <w:rPr>
                <w:color w:val="000000"/>
                <w:spacing w:val="1"/>
                <w:w w:val="95"/>
                <w:szCs w:val="20"/>
                <w:shd w:val="solid" w:color="000000" w:fill="000000"/>
                <w:fitText w:val="330" w:id="-628928767"/>
                <w14:textFill>
                  <w14:solidFill>
                    <w14:srgbClr w14:val="000000">
                      <w14:alpha w14:val="100000"/>
                    </w14:srgbClr>
                  </w14:solidFill>
                </w14:textFill>
              </w:rPr>
              <w:t>|</w:t>
            </w:r>
            <w:r w:rsidR="0064705C" w:rsidRPr="0064705C">
              <w:rPr>
                <w:szCs w:val="20"/>
                <w:vertAlign w:val="superscript"/>
              </w:rPr>
              <w:t>6</w:t>
            </w:r>
          </w:p>
        </w:tc>
        <w:tc>
          <w:tcPr>
            <w:tcW w:w="638" w:type="pct"/>
            <w:vAlign w:val="center"/>
          </w:tcPr>
          <w:p w14:paraId="06926645" w14:textId="13D5F0D7" w:rsidR="001C1E5A" w:rsidRPr="0061343E" w:rsidRDefault="001C1E5A" w:rsidP="006D6385">
            <w:pPr>
              <w:pStyle w:val="TableText0"/>
              <w:keepLines w:val="0"/>
              <w:widowControl w:val="0"/>
              <w:rPr>
                <w:szCs w:val="20"/>
              </w:rPr>
            </w:pPr>
            <w:r w:rsidRPr="0061343E">
              <w:rPr>
                <w:szCs w:val="20"/>
              </w:rPr>
              <w:t>-</w:t>
            </w:r>
            <w:r w:rsidR="00590FB9" w:rsidRPr="00767170">
              <w:rPr>
                <w:color w:val="000000"/>
                <w:spacing w:val="56"/>
                <w:w w:val="95"/>
                <w:szCs w:val="20"/>
                <w:shd w:val="solid" w:color="000000" w:fill="000000"/>
                <w:fitText w:val="330" w:id="-628928766"/>
                <w14:textFill>
                  <w14:solidFill>
                    <w14:srgbClr w14:val="000000">
                      <w14:alpha w14:val="100000"/>
                    </w14:srgbClr>
                  </w14:solidFill>
                </w14:textFill>
              </w:rPr>
              <w:t>|||</w:t>
            </w:r>
            <w:r w:rsidR="00590FB9" w:rsidRPr="00767170">
              <w:rPr>
                <w:color w:val="000000"/>
                <w:spacing w:val="1"/>
                <w:w w:val="95"/>
                <w:szCs w:val="20"/>
                <w:shd w:val="solid" w:color="000000" w:fill="000000"/>
                <w:fitText w:val="330" w:id="-628928766"/>
                <w14:textFill>
                  <w14:solidFill>
                    <w14:srgbClr w14:val="000000">
                      <w14:alpha w14:val="100000"/>
                    </w14:srgbClr>
                  </w14:solidFill>
                </w14:textFill>
              </w:rPr>
              <w:t>|</w:t>
            </w:r>
            <w:r w:rsidR="0064705C" w:rsidRPr="0064705C">
              <w:rPr>
                <w:szCs w:val="20"/>
                <w:vertAlign w:val="superscript"/>
              </w:rPr>
              <w:t>6</w:t>
            </w:r>
          </w:p>
        </w:tc>
      </w:tr>
      <w:tr w:rsidR="001C1E5A" w:rsidRPr="0061343E" w14:paraId="24578284" w14:textId="77777777" w:rsidTr="004B68FB">
        <w:tc>
          <w:tcPr>
            <w:tcW w:w="1177" w:type="pct"/>
          </w:tcPr>
          <w:p w14:paraId="38F9BE9D" w14:textId="77777777" w:rsidR="001C1E5A" w:rsidRPr="0061343E" w:rsidRDefault="001C1E5A" w:rsidP="00550072">
            <w:pPr>
              <w:pStyle w:val="TableText0"/>
              <w:keepLines w:val="0"/>
              <w:widowControl w:val="0"/>
              <w:rPr>
                <w:szCs w:val="20"/>
              </w:rPr>
            </w:pPr>
            <w:r w:rsidRPr="0061343E">
              <w:rPr>
                <w:szCs w:val="20"/>
              </w:rPr>
              <w:t>UPA (15 g) scripts</w:t>
            </w:r>
          </w:p>
        </w:tc>
        <w:tc>
          <w:tcPr>
            <w:tcW w:w="637" w:type="pct"/>
            <w:vAlign w:val="center"/>
          </w:tcPr>
          <w:p w14:paraId="60125E55" w14:textId="5190D4FE" w:rsidR="001C1E5A" w:rsidRPr="0061343E" w:rsidRDefault="001C1E5A" w:rsidP="006D6385">
            <w:pPr>
              <w:pStyle w:val="TableText0"/>
              <w:keepLines w:val="0"/>
              <w:widowControl w:val="0"/>
              <w:rPr>
                <w:szCs w:val="20"/>
              </w:rPr>
            </w:pPr>
            <w:r w:rsidRPr="0061343E">
              <w:rPr>
                <w:szCs w:val="20"/>
              </w:rPr>
              <w:t>-</w:t>
            </w:r>
            <w:r w:rsidR="00590FB9" w:rsidRPr="00767170">
              <w:rPr>
                <w:color w:val="000000"/>
                <w:spacing w:val="56"/>
                <w:w w:val="95"/>
                <w:szCs w:val="20"/>
                <w:shd w:val="solid" w:color="000000" w:fill="000000"/>
                <w:fitText w:val="330" w:id="-628928765"/>
                <w14:textFill>
                  <w14:solidFill>
                    <w14:srgbClr w14:val="000000">
                      <w14:alpha w14:val="100000"/>
                    </w14:srgbClr>
                  </w14:solidFill>
                </w14:textFill>
              </w:rPr>
              <w:t>|||</w:t>
            </w:r>
            <w:r w:rsidR="00590FB9" w:rsidRPr="00767170">
              <w:rPr>
                <w:color w:val="000000"/>
                <w:spacing w:val="1"/>
                <w:w w:val="95"/>
                <w:szCs w:val="20"/>
                <w:shd w:val="solid" w:color="000000" w:fill="000000"/>
                <w:fitText w:val="330" w:id="-628928765"/>
                <w14:textFill>
                  <w14:solidFill>
                    <w14:srgbClr w14:val="000000">
                      <w14:alpha w14:val="100000"/>
                    </w14:srgbClr>
                  </w14:solidFill>
                </w14:textFill>
              </w:rPr>
              <w:t>|</w:t>
            </w:r>
            <w:r w:rsidR="00325B3E" w:rsidRPr="00B06E42">
              <w:rPr>
                <w:szCs w:val="20"/>
                <w:vertAlign w:val="superscript"/>
              </w:rPr>
              <w:t>16</w:t>
            </w:r>
          </w:p>
        </w:tc>
        <w:tc>
          <w:tcPr>
            <w:tcW w:w="637" w:type="pct"/>
            <w:vAlign w:val="center"/>
          </w:tcPr>
          <w:p w14:paraId="3BB9BFCA" w14:textId="4E4A4EA8" w:rsidR="001C1E5A" w:rsidRPr="0061343E" w:rsidRDefault="001C1E5A" w:rsidP="006D6385">
            <w:pPr>
              <w:pStyle w:val="TableText0"/>
              <w:keepLines w:val="0"/>
              <w:widowControl w:val="0"/>
              <w:rPr>
                <w:szCs w:val="20"/>
              </w:rPr>
            </w:pPr>
            <w:r w:rsidRPr="0061343E">
              <w:rPr>
                <w:szCs w:val="20"/>
              </w:rPr>
              <w:t>-</w:t>
            </w:r>
            <w:r w:rsidR="00590FB9" w:rsidRPr="00767170">
              <w:rPr>
                <w:color w:val="000000"/>
                <w:spacing w:val="56"/>
                <w:w w:val="95"/>
                <w:szCs w:val="20"/>
                <w:shd w:val="solid" w:color="000000" w:fill="000000"/>
                <w:fitText w:val="330" w:id="-628928764"/>
                <w14:textFill>
                  <w14:solidFill>
                    <w14:srgbClr w14:val="000000">
                      <w14:alpha w14:val="100000"/>
                    </w14:srgbClr>
                  </w14:solidFill>
                </w14:textFill>
              </w:rPr>
              <w:t>|||</w:t>
            </w:r>
            <w:r w:rsidR="00590FB9" w:rsidRPr="00767170">
              <w:rPr>
                <w:color w:val="000000"/>
                <w:spacing w:val="1"/>
                <w:w w:val="95"/>
                <w:szCs w:val="20"/>
                <w:shd w:val="solid" w:color="000000" w:fill="000000"/>
                <w:fitText w:val="330" w:id="-628928764"/>
                <w14:textFill>
                  <w14:solidFill>
                    <w14:srgbClr w14:val="000000">
                      <w14:alpha w14:val="100000"/>
                    </w14:srgbClr>
                  </w14:solidFill>
                </w14:textFill>
              </w:rPr>
              <w:t>|</w:t>
            </w:r>
            <w:r w:rsidR="001A0795" w:rsidRPr="005120AA">
              <w:rPr>
                <w:szCs w:val="20"/>
                <w:vertAlign w:val="superscript"/>
              </w:rPr>
              <w:t>10</w:t>
            </w:r>
          </w:p>
        </w:tc>
        <w:tc>
          <w:tcPr>
            <w:tcW w:w="637" w:type="pct"/>
            <w:vAlign w:val="center"/>
          </w:tcPr>
          <w:p w14:paraId="5FFF8B36" w14:textId="0145643A" w:rsidR="001C1E5A" w:rsidRPr="0061343E" w:rsidRDefault="001C1E5A" w:rsidP="006D6385">
            <w:pPr>
              <w:pStyle w:val="TableText0"/>
              <w:keepLines w:val="0"/>
              <w:widowControl w:val="0"/>
              <w:rPr>
                <w:szCs w:val="20"/>
              </w:rPr>
            </w:pPr>
            <w:r w:rsidRPr="0061343E">
              <w:rPr>
                <w:szCs w:val="20"/>
              </w:rPr>
              <w:t>-</w:t>
            </w:r>
            <w:r w:rsidR="00590FB9" w:rsidRPr="00767170">
              <w:rPr>
                <w:color w:val="000000"/>
                <w:spacing w:val="56"/>
                <w:w w:val="95"/>
                <w:szCs w:val="20"/>
                <w:shd w:val="solid" w:color="000000" w:fill="000000"/>
                <w:fitText w:val="330" w:id="-628928763"/>
                <w14:textFill>
                  <w14:solidFill>
                    <w14:srgbClr w14:val="000000">
                      <w14:alpha w14:val="100000"/>
                    </w14:srgbClr>
                  </w14:solidFill>
                </w14:textFill>
              </w:rPr>
              <w:t>|||</w:t>
            </w:r>
            <w:r w:rsidR="00590FB9" w:rsidRPr="00767170">
              <w:rPr>
                <w:color w:val="000000"/>
                <w:spacing w:val="1"/>
                <w:w w:val="95"/>
                <w:szCs w:val="20"/>
                <w:shd w:val="solid" w:color="000000" w:fill="000000"/>
                <w:fitText w:val="330" w:id="-628928763"/>
                <w14:textFill>
                  <w14:solidFill>
                    <w14:srgbClr w14:val="000000">
                      <w14:alpha w14:val="100000"/>
                    </w14:srgbClr>
                  </w14:solidFill>
                </w14:textFill>
              </w:rPr>
              <w:t>|</w:t>
            </w:r>
            <w:r w:rsidR="001A0795" w:rsidRPr="005120AA">
              <w:rPr>
                <w:szCs w:val="20"/>
                <w:vertAlign w:val="superscript"/>
              </w:rPr>
              <w:t>10</w:t>
            </w:r>
          </w:p>
        </w:tc>
        <w:tc>
          <w:tcPr>
            <w:tcW w:w="637" w:type="pct"/>
            <w:vAlign w:val="center"/>
          </w:tcPr>
          <w:p w14:paraId="698C86DC" w14:textId="4A513AAB" w:rsidR="001C1E5A" w:rsidRPr="0061343E" w:rsidRDefault="001C1E5A" w:rsidP="006D6385">
            <w:pPr>
              <w:pStyle w:val="TableText0"/>
              <w:keepLines w:val="0"/>
              <w:widowControl w:val="0"/>
              <w:rPr>
                <w:szCs w:val="20"/>
              </w:rPr>
            </w:pPr>
            <w:r w:rsidRPr="0061343E">
              <w:rPr>
                <w:szCs w:val="20"/>
              </w:rPr>
              <w:t>-</w:t>
            </w:r>
            <w:r w:rsidR="00590FB9" w:rsidRPr="00767170">
              <w:rPr>
                <w:color w:val="000000"/>
                <w:spacing w:val="56"/>
                <w:w w:val="95"/>
                <w:szCs w:val="20"/>
                <w:shd w:val="solid" w:color="000000" w:fill="000000"/>
                <w:fitText w:val="330" w:id="-628928762"/>
                <w14:textFill>
                  <w14:solidFill>
                    <w14:srgbClr w14:val="000000">
                      <w14:alpha w14:val="100000"/>
                    </w14:srgbClr>
                  </w14:solidFill>
                </w14:textFill>
              </w:rPr>
              <w:t>|||</w:t>
            </w:r>
            <w:r w:rsidR="00590FB9" w:rsidRPr="00767170">
              <w:rPr>
                <w:color w:val="000000"/>
                <w:spacing w:val="1"/>
                <w:w w:val="95"/>
                <w:szCs w:val="20"/>
                <w:shd w:val="solid" w:color="000000" w:fill="000000"/>
                <w:fitText w:val="330" w:id="-628928762"/>
                <w14:textFill>
                  <w14:solidFill>
                    <w14:srgbClr w14:val="000000">
                      <w14:alpha w14:val="100000"/>
                    </w14:srgbClr>
                  </w14:solidFill>
                </w14:textFill>
              </w:rPr>
              <w:t>|</w:t>
            </w:r>
            <w:r w:rsidR="00035AFD" w:rsidRPr="001E5246">
              <w:rPr>
                <w:szCs w:val="20"/>
                <w:vertAlign w:val="superscript"/>
              </w:rPr>
              <w:t>11</w:t>
            </w:r>
          </w:p>
        </w:tc>
        <w:tc>
          <w:tcPr>
            <w:tcW w:w="637" w:type="pct"/>
            <w:vAlign w:val="center"/>
          </w:tcPr>
          <w:p w14:paraId="4F1E8382" w14:textId="136EDB85" w:rsidR="001C1E5A" w:rsidRPr="0061343E" w:rsidRDefault="001C1E5A" w:rsidP="006D6385">
            <w:pPr>
              <w:pStyle w:val="TableText0"/>
              <w:keepLines w:val="0"/>
              <w:widowControl w:val="0"/>
              <w:rPr>
                <w:szCs w:val="20"/>
              </w:rPr>
            </w:pPr>
            <w:r w:rsidRPr="0061343E">
              <w:rPr>
                <w:szCs w:val="20"/>
              </w:rPr>
              <w:t>-</w:t>
            </w:r>
            <w:r w:rsidR="00590FB9" w:rsidRPr="00767170">
              <w:rPr>
                <w:color w:val="000000"/>
                <w:spacing w:val="56"/>
                <w:w w:val="95"/>
                <w:szCs w:val="20"/>
                <w:shd w:val="solid" w:color="000000" w:fill="000000"/>
                <w:fitText w:val="330" w:id="-628928761"/>
                <w14:textFill>
                  <w14:solidFill>
                    <w14:srgbClr w14:val="000000">
                      <w14:alpha w14:val="100000"/>
                    </w14:srgbClr>
                  </w14:solidFill>
                </w14:textFill>
              </w:rPr>
              <w:t>|||</w:t>
            </w:r>
            <w:r w:rsidR="00590FB9" w:rsidRPr="00767170">
              <w:rPr>
                <w:color w:val="000000"/>
                <w:spacing w:val="1"/>
                <w:w w:val="95"/>
                <w:szCs w:val="20"/>
                <w:shd w:val="solid" w:color="000000" w:fill="000000"/>
                <w:fitText w:val="330" w:id="-628928761"/>
                <w14:textFill>
                  <w14:solidFill>
                    <w14:srgbClr w14:val="000000">
                      <w14:alpha w14:val="100000"/>
                    </w14:srgbClr>
                  </w14:solidFill>
                </w14:textFill>
              </w:rPr>
              <w:t>|</w:t>
            </w:r>
            <w:r w:rsidR="00035AFD" w:rsidRPr="001E5246">
              <w:rPr>
                <w:szCs w:val="20"/>
                <w:vertAlign w:val="superscript"/>
              </w:rPr>
              <w:t>11</w:t>
            </w:r>
          </w:p>
        </w:tc>
        <w:tc>
          <w:tcPr>
            <w:tcW w:w="638" w:type="pct"/>
            <w:vAlign w:val="center"/>
          </w:tcPr>
          <w:p w14:paraId="60A7E70B" w14:textId="18EEFCBA" w:rsidR="001C1E5A" w:rsidRPr="0061343E" w:rsidRDefault="001C1E5A" w:rsidP="006D6385">
            <w:pPr>
              <w:pStyle w:val="TableText0"/>
              <w:keepLines w:val="0"/>
              <w:widowControl w:val="0"/>
              <w:rPr>
                <w:szCs w:val="20"/>
              </w:rPr>
            </w:pPr>
            <w:r w:rsidRPr="0061343E">
              <w:rPr>
                <w:szCs w:val="20"/>
              </w:rPr>
              <w:t>-</w:t>
            </w:r>
            <w:r w:rsidR="00590FB9" w:rsidRPr="00767170">
              <w:rPr>
                <w:color w:val="000000"/>
                <w:spacing w:val="56"/>
                <w:w w:val="95"/>
                <w:szCs w:val="20"/>
                <w:shd w:val="solid" w:color="000000" w:fill="000000"/>
                <w:fitText w:val="330" w:id="-628928760"/>
                <w14:textFill>
                  <w14:solidFill>
                    <w14:srgbClr w14:val="000000">
                      <w14:alpha w14:val="100000"/>
                    </w14:srgbClr>
                  </w14:solidFill>
                </w14:textFill>
              </w:rPr>
              <w:t>|||</w:t>
            </w:r>
            <w:r w:rsidR="00590FB9" w:rsidRPr="00767170">
              <w:rPr>
                <w:color w:val="000000"/>
                <w:spacing w:val="1"/>
                <w:w w:val="95"/>
                <w:szCs w:val="20"/>
                <w:shd w:val="solid" w:color="000000" w:fill="000000"/>
                <w:fitText w:val="330" w:id="-628928760"/>
                <w14:textFill>
                  <w14:solidFill>
                    <w14:srgbClr w14:val="000000">
                      <w14:alpha w14:val="100000"/>
                    </w14:srgbClr>
                  </w14:solidFill>
                </w14:textFill>
              </w:rPr>
              <w:t>|</w:t>
            </w:r>
            <w:r w:rsidR="00035AFD" w:rsidRPr="001E5246">
              <w:rPr>
                <w:szCs w:val="20"/>
                <w:vertAlign w:val="superscript"/>
              </w:rPr>
              <w:t>11</w:t>
            </w:r>
          </w:p>
        </w:tc>
      </w:tr>
      <w:tr w:rsidR="001C1E5A" w:rsidRPr="0061343E" w14:paraId="1DCDE738" w14:textId="77777777" w:rsidTr="004B68FB">
        <w:tc>
          <w:tcPr>
            <w:tcW w:w="1177" w:type="pct"/>
          </w:tcPr>
          <w:p w14:paraId="4C36BC8C" w14:textId="77777777" w:rsidR="001C1E5A" w:rsidRPr="0061343E" w:rsidRDefault="001C1E5A" w:rsidP="00550072">
            <w:pPr>
              <w:pStyle w:val="TableText0"/>
              <w:keepLines w:val="0"/>
              <w:widowControl w:val="0"/>
              <w:rPr>
                <w:szCs w:val="20"/>
              </w:rPr>
            </w:pPr>
            <w:r w:rsidRPr="0061343E">
              <w:rPr>
                <w:szCs w:val="20"/>
              </w:rPr>
              <w:t xml:space="preserve">UPA (30 g) scripts </w:t>
            </w:r>
          </w:p>
        </w:tc>
        <w:tc>
          <w:tcPr>
            <w:tcW w:w="637" w:type="pct"/>
            <w:vAlign w:val="center"/>
          </w:tcPr>
          <w:p w14:paraId="6AEC2258" w14:textId="0E69083B" w:rsidR="001C1E5A" w:rsidRPr="0061343E" w:rsidRDefault="001C1E5A" w:rsidP="006D6385">
            <w:pPr>
              <w:pStyle w:val="TableText0"/>
              <w:keepLines w:val="0"/>
              <w:widowControl w:val="0"/>
              <w:rPr>
                <w:szCs w:val="20"/>
              </w:rPr>
            </w:pPr>
            <w:r w:rsidRPr="0061343E">
              <w:rPr>
                <w:szCs w:val="20"/>
              </w:rPr>
              <w:t>-</w:t>
            </w:r>
            <w:r w:rsidR="00590FB9" w:rsidRPr="00767170">
              <w:rPr>
                <w:color w:val="000000"/>
                <w:spacing w:val="56"/>
                <w:w w:val="95"/>
                <w:szCs w:val="20"/>
                <w:shd w:val="solid" w:color="000000" w:fill="000000"/>
                <w:fitText w:val="330" w:id="-628928759"/>
                <w14:textFill>
                  <w14:solidFill>
                    <w14:srgbClr w14:val="000000">
                      <w14:alpha w14:val="100000"/>
                    </w14:srgbClr>
                  </w14:solidFill>
                </w14:textFill>
              </w:rPr>
              <w:t>|||</w:t>
            </w:r>
            <w:r w:rsidR="00590FB9" w:rsidRPr="00767170">
              <w:rPr>
                <w:color w:val="000000"/>
                <w:spacing w:val="1"/>
                <w:w w:val="95"/>
                <w:szCs w:val="20"/>
                <w:shd w:val="solid" w:color="000000" w:fill="000000"/>
                <w:fitText w:val="330" w:id="-628928759"/>
                <w14:textFill>
                  <w14:solidFill>
                    <w14:srgbClr w14:val="000000">
                      <w14:alpha w14:val="100000"/>
                    </w14:srgbClr>
                  </w14:solidFill>
                </w14:textFill>
              </w:rPr>
              <w:t>|</w:t>
            </w:r>
            <w:r w:rsidR="00325B3E" w:rsidRPr="00B06E42">
              <w:rPr>
                <w:szCs w:val="20"/>
                <w:vertAlign w:val="superscript"/>
              </w:rPr>
              <w:t>16</w:t>
            </w:r>
          </w:p>
        </w:tc>
        <w:tc>
          <w:tcPr>
            <w:tcW w:w="637" w:type="pct"/>
            <w:vAlign w:val="center"/>
          </w:tcPr>
          <w:p w14:paraId="7FEE81DA" w14:textId="14767CC7" w:rsidR="001C1E5A" w:rsidRPr="0061343E" w:rsidRDefault="001C1E5A" w:rsidP="006D6385">
            <w:pPr>
              <w:pStyle w:val="TableText0"/>
              <w:keepLines w:val="0"/>
              <w:widowControl w:val="0"/>
              <w:rPr>
                <w:szCs w:val="20"/>
              </w:rPr>
            </w:pPr>
            <w:r w:rsidRPr="0061343E">
              <w:rPr>
                <w:szCs w:val="20"/>
              </w:rPr>
              <w:t>-</w:t>
            </w:r>
            <w:r w:rsidR="00590FB9" w:rsidRPr="00767170">
              <w:rPr>
                <w:color w:val="000000"/>
                <w:spacing w:val="56"/>
                <w:w w:val="95"/>
                <w:szCs w:val="20"/>
                <w:shd w:val="solid" w:color="000000" w:fill="000000"/>
                <w:fitText w:val="330" w:id="-628928758"/>
                <w14:textFill>
                  <w14:solidFill>
                    <w14:srgbClr w14:val="000000">
                      <w14:alpha w14:val="100000"/>
                    </w14:srgbClr>
                  </w14:solidFill>
                </w14:textFill>
              </w:rPr>
              <w:t>|||</w:t>
            </w:r>
            <w:r w:rsidR="00590FB9" w:rsidRPr="00767170">
              <w:rPr>
                <w:color w:val="000000"/>
                <w:spacing w:val="1"/>
                <w:w w:val="95"/>
                <w:szCs w:val="20"/>
                <w:shd w:val="solid" w:color="000000" w:fill="000000"/>
                <w:fitText w:val="330" w:id="-628928758"/>
                <w14:textFill>
                  <w14:solidFill>
                    <w14:srgbClr w14:val="000000">
                      <w14:alpha w14:val="100000"/>
                    </w14:srgbClr>
                  </w14:solidFill>
                </w14:textFill>
              </w:rPr>
              <w:t>|</w:t>
            </w:r>
            <w:r w:rsidR="00325B3E" w:rsidRPr="00B06E42">
              <w:rPr>
                <w:szCs w:val="20"/>
                <w:vertAlign w:val="superscript"/>
              </w:rPr>
              <w:t>16</w:t>
            </w:r>
          </w:p>
        </w:tc>
        <w:tc>
          <w:tcPr>
            <w:tcW w:w="637" w:type="pct"/>
            <w:vAlign w:val="center"/>
          </w:tcPr>
          <w:p w14:paraId="7BF87A02" w14:textId="45E5B3C6" w:rsidR="001C1E5A" w:rsidRPr="0061343E" w:rsidRDefault="001C1E5A" w:rsidP="006D6385">
            <w:pPr>
              <w:pStyle w:val="TableText0"/>
              <w:keepLines w:val="0"/>
              <w:widowControl w:val="0"/>
              <w:rPr>
                <w:szCs w:val="20"/>
              </w:rPr>
            </w:pPr>
            <w:r w:rsidRPr="0061343E">
              <w:rPr>
                <w:szCs w:val="20"/>
              </w:rPr>
              <w:t>-</w:t>
            </w:r>
            <w:r w:rsidR="00590FB9" w:rsidRPr="00767170">
              <w:rPr>
                <w:color w:val="000000"/>
                <w:spacing w:val="56"/>
                <w:w w:val="95"/>
                <w:szCs w:val="20"/>
                <w:shd w:val="solid" w:color="000000" w:fill="000000"/>
                <w:fitText w:val="330" w:id="-628928757"/>
                <w14:textFill>
                  <w14:solidFill>
                    <w14:srgbClr w14:val="000000">
                      <w14:alpha w14:val="100000"/>
                    </w14:srgbClr>
                  </w14:solidFill>
                </w14:textFill>
              </w:rPr>
              <w:t>|||</w:t>
            </w:r>
            <w:r w:rsidR="00590FB9" w:rsidRPr="00767170">
              <w:rPr>
                <w:color w:val="000000"/>
                <w:spacing w:val="1"/>
                <w:w w:val="95"/>
                <w:szCs w:val="20"/>
                <w:shd w:val="solid" w:color="000000" w:fill="000000"/>
                <w:fitText w:val="330" w:id="-628928757"/>
                <w14:textFill>
                  <w14:solidFill>
                    <w14:srgbClr w14:val="000000">
                      <w14:alpha w14:val="100000"/>
                    </w14:srgbClr>
                  </w14:solidFill>
                </w14:textFill>
              </w:rPr>
              <w:t>|</w:t>
            </w:r>
            <w:r w:rsidR="001A0795" w:rsidRPr="005120AA">
              <w:rPr>
                <w:szCs w:val="20"/>
                <w:vertAlign w:val="superscript"/>
              </w:rPr>
              <w:t>10</w:t>
            </w:r>
          </w:p>
        </w:tc>
        <w:tc>
          <w:tcPr>
            <w:tcW w:w="637" w:type="pct"/>
            <w:vAlign w:val="center"/>
          </w:tcPr>
          <w:p w14:paraId="066D9BA3" w14:textId="70C98234" w:rsidR="001C1E5A" w:rsidRPr="0061343E" w:rsidRDefault="001C1E5A" w:rsidP="006D6385">
            <w:pPr>
              <w:pStyle w:val="TableText0"/>
              <w:keepLines w:val="0"/>
              <w:widowControl w:val="0"/>
              <w:rPr>
                <w:szCs w:val="20"/>
              </w:rPr>
            </w:pPr>
            <w:r w:rsidRPr="0061343E">
              <w:rPr>
                <w:szCs w:val="20"/>
              </w:rPr>
              <w:t>-</w:t>
            </w:r>
            <w:r w:rsidR="00590FB9" w:rsidRPr="00767170">
              <w:rPr>
                <w:color w:val="000000"/>
                <w:spacing w:val="56"/>
                <w:w w:val="95"/>
                <w:szCs w:val="20"/>
                <w:shd w:val="solid" w:color="000000" w:fill="000000"/>
                <w:fitText w:val="330" w:id="-628928756"/>
                <w14:textFill>
                  <w14:solidFill>
                    <w14:srgbClr w14:val="000000">
                      <w14:alpha w14:val="100000"/>
                    </w14:srgbClr>
                  </w14:solidFill>
                </w14:textFill>
              </w:rPr>
              <w:t>|||</w:t>
            </w:r>
            <w:r w:rsidR="00590FB9" w:rsidRPr="00767170">
              <w:rPr>
                <w:color w:val="000000"/>
                <w:spacing w:val="1"/>
                <w:w w:val="95"/>
                <w:szCs w:val="20"/>
                <w:shd w:val="solid" w:color="000000" w:fill="000000"/>
                <w:fitText w:val="330" w:id="-628928756"/>
                <w14:textFill>
                  <w14:solidFill>
                    <w14:srgbClr w14:val="000000">
                      <w14:alpha w14:val="100000"/>
                    </w14:srgbClr>
                  </w14:solidFill>
                </w14:textFill>
              </w:rPr>
              <w:t>|</w:t>
            </w:r>
            <w:r w:rsidR="001A0795" w:rsidRPr="005120AA">
              <w:rPr>
                <w:szCs w:val="20"/>
                <w:vertAlign w:val="superscript"/>
              </w:rPr>
              <w:t>10</w:t>
            </w:r>
          </w:p>
        </w:tc>
        <w:tc>
          <w:tcPr>
            <w:tcW w:w="637" w:type="pct"/>
            <w:vAlign w:val="center"/>
          </w:tcPr>
          <w:p w14:paraId="35F867E6" w14:textId="554130B6" w:rsidR="001C1E5A" w:rsidRPr="0061343E" w:rsidRDefault="001C1E5A" w:rsidP="006D6385">
            <w:pPr>
              <w:pStyle w:val="TableText0"/>
              <w:keepLines w:val="0"/>
              <w:widowControl w:val="0"/>
              <w:rPr>
                <w:szCs w:val="20"/>
              </w:rPr>
            </w:pPr>
            <w:r w:rsidRPr="0061343E">
              <w:rPr>
                <w:szCs w:val="20"/>
              </w:rPr>
              <w:t>-</w:t>
            </w:r>
            <w:r w:rsidR="00590FB9" w:rsidRPr="00767170">
              <w:rPr>
                <w:color w:val="000000"/>
                <w:spacing w:val="56"/>
                <w:w w:val="95"/>
                <w:szCs w:val="20"/>
                <w:shd w:val="solid" w:color="000000" w:fill="000000"/>
                <w:fitText w:val="330" w:id="-628928755"/>
                <w14:textFill>
                  <w14:solidFill>
                    <w14:srgbClr w14:val="000000">
                      <w14:alpha w14:val="100000"/>
                    </w14:srgbClr>
                  </w14:solidFill>
                </w14:textFill>
              </w:rPr>
              <w:t>|||</w:t>
            </w:r>
            <w:r w:rsidR="00590FB9" w:rsidRPr="00767170">
              <w:rPr>
                <w:color w:val="000000"/>
                <w:spacing w:val="1"/>
                <w:w w:val="95"/>
                <w:szCs w:val="20"/>
                <w:shd w:val="solid" w:color="000000" w:fill="000000"/>
                <w:fitText w:val="330" w:id="-628928755"/>
                <w14:textFill>
                  <w14:solidFill>
                    <w14:srgbClr w14:val="000000">
                      <w14:alpha w14:val="100000"/>
                    </w14:srgbClr>
                  </w14:solidFill>
                </w14:textFill>
              </w:rPr>
              <w:t>|</w:t>
            </w:r>
            <w:r w:rsidR="00035AFD" w:rsidRPr="001E5246">
              <w:rPr>
                <w:szCs w:val="20"/>
                <w:vertAlign w:val="superscript"/>
              </w:rPr>
              <w:t>11</w:t>
            </w:r>
          </w:p>
        </w:tc>
        <w:tc>
          <w:tcPr>
            <w:tcW w:w="638" w:type="pct"/>
            <w:vAlign w:val="center"/>
          </w:tcPr>
          <w:p w14:paraId="15B6B86D" w14:textId="28B91A7F" w:rsidR="001C1E5A" w:rsidRPr="0061343E" w:rsidRDefault="001C1E5A" w:rsidP="006D6385">
            <w:pPr>
              <w:pStyle w:val="TableText0"/>
              <w:keepLines w:val="0"/>
              <w:widowControl w:val="0"/>
              <w:rPr>
                <w:szCs w:val="20"/>
              </w:rPr>
            </w:pPr>
            <w:r w:rsidRPr="0061343E">
              <w:rPr>
                <w:szCs w:val="20"/>
              </w:rPr>
              <w:t>-</w:t>
            </w:r>
            <w:r w:rsidR="00590FB9" w:rsidRPr="00767170">
              <w:rPr>
                <w:color w:val="000000"/>
                <w:spacing w:val="56"/>
                <w:w w:val="95"/>
                <w:szCs w:val="20"/>
                <w:shd w:val="solid" w:color="000000" w:fill="000000"/>
                <w:fitText w:val="330" w:id="-628928754"/>
                <w14:textFill>
                  <w14:solidFill>
                    <w14:srgbClr w14:val="000000">
                      <w14:alpha w14:val="100000"/>
                    </w14:srgbClr>
                  </w14:solidFill>
                </w14:textFill>
              </w:rPr>
              <w:t>|||</w:t>
            </w:r>
            <w:r w:rsidR="00590FB9" w:rsidRPr="00767170">
              <w:rPr>
                <w:color w:val="000000"/>
                <w:spacing w:val="1"/>
                <w:w w:val="95"/>
                <w:szCs w:val="20"/>
                <w:shd w:val="solid" w:color="000000" w:fill="000000"/>
                <w:fitText w:val="330" w:id="-628928754"/>
                <w14:textFill>
                  <w14:solidFill>
                    <w14:srgbClr w14:val="000000">
                      <w14:alpha w14:val="100000"/>
                    </w14:srgbClr>
                  </w14:solidFill>
                </w14:textFill>
              </w:rPr>
              <w:t>|</w:t>
            </w:r>
            <w:r w:rsidR="00035AFD" w:rsidRPr="001E5246">
              <w:rPr>
                <w:szCs w:val="20"/>
                <w:vertAlign w:val="superscript"/>
              </w:rPr>
              <w:t>11</w:t>
            </w:r>
          </w:p>
        </w:tc>
      </w:tr>
      <w:tr w:rsidR="001C1E5A" w:rsidRPr="0061343E" w14:paraId="053037B5" w14:textId="77777777" w:rsidTr="004B68FB">
        <w:tc>
          <w:tcPr>
            <w:tcW w:w="1177" w:type="pct"/>
          </w:tcPr>
          <w:p w14:paraId="7F2C1CF7" w14:textId="77777777" w:rsidR="001C1E5A" w:rsidRPr="0061343E" w:rsidRDefault="001C1E5A" w:rsidP="00550072">
            <w:pPr>
              <w:pStyle w:val="TableText0"/>
              <w:keepLines w:val="0"/>
              <w:widowControl w:val="0"/>
              <w:rPr>
                <w:bCs w:val="0"/>
                <w:szCs w:val="20"/>
              </w:rPr>
            </w:pPr>
            <w:r w:rsidRPr="0061343E">
              <w:rPr>
                <w:bCs w:val="0"/>
                <w:szCs w:val="20"/>
              </w:rPr>
              <w:t xml:space="preserve">Total reduction in scripts </w:t>
            </w:r>
          </w:p>
        </w:tc>
        <w:tc>
          <w:tcPr>
            <w:tcW w:w="637" w:type="pct"/>
            <w:vAlign w:val="center"/>
          </w:tcPr>
          <w:p w14:paraId="5A6036D3" w14:textId="4E2F1753" w:rsidR="001C1E5A" w:rsidRPr="0061343E" w:rsidRDefault="001C1E5A" w:rsidP="006D6385">
            <w:pPr>
              <w:pStyle w:val="TableText0"/>
              <w:keepLines w:val="0"/>
              <w:widowControl w:val="0"/>
              <w:rPr>
                <w:bCs w:val="0"/>
                <w:szCs w:val="20"/>
              </w:rPr>
            </w:pPr>
            <w:r w:rsidRPr="0061343E">
              <w:rPr>
                <w:rFonts w:cs="Arial"/>
                <w:bCs w:val="0"/>
                <w:color w:val="000000"/>
                <w:szCs w:val="20"/>
              </w:rPr>
              <w:t>-</w:t>
            </w:r>
            <w:r w:rsidR="00590FB9" w:rsidRPr="00767170">
              <w:rPr>
                <w:rFonts w:cs="Arial"/>
                <w:bCs w:val="0"/>
                <w:color w:val="000000"/>
                <w:spacing w:val="56"/>
                <w:w w:val="95"/>
                <w:szCs w:val="20"/>
                <w:shd w:val="solid" w:color="000000" w:fill="000000"/>
                <w:fitText w:val="330" w:id="-628928753"/>
                <w14:textFill>
                  <w14:solidFill>
                    <w14:srgbClr w14:val="000000">
                      <w14:alpha w14:val="100000"/>
                    </w14:srgbClr>
                  </w14:solidFill>
                </w14:textFill>
              </w:rPr>
              <w:t>|||</w:t>
            </w:r>
            <w:r w:rsidR="00590FB9" w:rsidRPr="00767170">
              <w:rPr>
                <w:rFonts w:cs="Arial"/>
                <w:bCs w:val="0"/>
                <w:color w:val="000000"/>
                <w:spacing w:val="1"/>
                <w:w w:val="95"/>
                <w:szCs w:val="20"/>
                <w:shd w:val="solid" w:color="000000" w:fill="000000"/>
                <w:fitText w:val="330" w:id="-628928753"/>
                <w14:textFill>
                  <w14:solidFill>
                    <w14:srgbClr w14:val="000000">
                      <w14:alpha w14:val="100000"/>
                    </w14:srgbClr>
                  </w14:solidFill>
                </w14:textFill>
              </w:rPr>
              <w:t>|</w:t>
            </w:r>
            <w:r w:rsidR="002449CC" w:rsidRPr="00C624C1">
              <w:rPr>
                <w:szCs w:val="20"/>
                <w:vertAlign w:val="superscript"/>
              </w:rPr>
              <w:t>13</w:t>
            </w:r>
          </w:p>
        </w:tc>
        <w:tc>
          <w:tcPr>
            <w:tcW w:w="637" w:type="pct"/>
            <w:vAlign w:val="center"/>
          </w:tcPr>
          <w:p w14:paraId="382429AC" w14:textId="5C8AB5DF" w:rsidR="001C1E5A" w:rsidRPr="0061343E" w:rsidRDefault="001C1E5A" w:rsidP="006D6385">
            <w:pPr>
              <w:pStyle w:val="TableText0"/>
              <w:keepLines w:val="0"/>
              <w:widowControl w:val="0"/>
              <w:rPr>
                <w:bCs w:val="0"/>
                <w:szCs w:val="20"/>
              </w:rPr>
            </w:pPr>
            <w:r w:rsidRPr="0061343E">
              <w:rPr>
                <w:rFonts w:cs="Arial"/>
                <w:bCs w:val="0"/>
                <w:color w:val="000000"/>
                <w:szCs w:val="20"/>
              </w:rPr>
              <w:t>-</w:t>
            </w:r>
            <w:r w:rsidR="00590FB9" w:rsidRPr="00767170">
              <w:rPr>
                <w:rFonts w:cs="Arial"/>
                <w:bCs w:val="0"/>
                <w:color w:val="000000"/>
                <w:spacing w:val="56"/>
                <w:w w:val="95"/>
                <w:szCs w:val="20"/>
                <w:shd w:val="solid" w:color="000000" w:fill="000000"/>
                <w:fitText w:val="330" w:id="-628928752"/>
                <w14:textFill>
                  <w14:solidFill>
                    <w14:srgbClr w14:val="000000">
                      <w14:alpha w14:val="100000"/>
                    </w14:srgbClr>
                  </w14:solidFill>
                </w14:textFill>
              </w:rPr>
              <w:t>|||</w:t>
            </w:r>
            <w:r w:rsidR="00590FB9" w:rsidRPr="00767170">
              <w:rPr>
                <w:rFonts w:cs="Arial"/>
                <w:bCs w:val="0"/>
                <w:color w:val="000000"/>
                <w:spacing w:val="1"/>
                <w:w w:val="95"/>
                <w:szCs w:val="20"/>
                <w:shd w:val="solid" w:color="000000" w:fill="000000"/>
                <w:fitText w:val="330" w:id="-628928752"/>
                <w14:textFill>
                  <w14:solidFill>
                    <w14:srgbClr w14:val="000000">
                      <w14:alpha w14:val="100000"/>
                    </w14:srgbClr>
                  </w14:solidFill>
                </w14:textFill>
              </w:rPr>
              <w:t>|</w:t>
            </w:r>
            <w:r w:rsidR="006504EB" w:rsidRPr="006D6385">
              <w:rPr>
                <w:szCs w:val="20"/>
                <w:vertAlign w:val="superscript"/>
              </w:rPr>
              <w:t>3</w:t>
            </w:r>
          </w:p>
        </w:tc>
        <w:tc>
          <w:tcPr>
            <w:tcW w:w="637" w:type="pct"/>
            <w:vAlign w:val="center"/>
          </w:tcPr>
          <w:p w14:paraId="5E5F9056" w14:textId="46D2D528" w:rsidR="001C1E5A" w:rsidRPr="0061343E" w:rsidRDefault="001C1E5A" w:rsidP="006D6385">
            <w:pPr>
              <w:pStyle w:val="TableText0"/>
              <w:keepLines w:val="0"/>
              <w:widowControl w:val="0"/>
              <w:rPr>
                <w:bCs w:val="0"/>
                <w:szCs w:val="20"/>
              </w:rPr>
            </w:pPr>
            <w:r w:rsidRPr="0061343E">
              <w:rPr>
                <w:rFonts w:cs="Arial"/>
                <w:bCs w:val="0"/>
                <w:color w:val="000000"/>
                <w:szCs w:val="20"/>
              </w:rPr>
              <w:t>-</w:t>
            </w:r>
            <w:r w:rsidR="00590FB9" w:rsidRPr="00767170">
              <w:rPr>
                <w:rFonts w:cs="Arial"/>
                <w:bCs w:val="0"/>
                <w:color w:val="000000"/>
                <w:spacing w:val="56"/>
                <w:w w:val="95"/>
                <w:szCs w:val="20"/>
                <w:shd w:val="solid" w:color="000000" w:fill="000000"/>
                <w:fitText w:val="330" w:id="-628928768"/>
                <w14:textFill>
                  <w14:solidFill>
                    <w14:srgbClr w14:val="000000">
                      <w14:alpha w14:val="100000"/>
                    </w14:srgbClr>
                  </w14:solidFill>
                </w14:textFill>
              </w:rPr>
              <w:t>|||</w:t>
            </w:r>
            <w:r w:rsidR="00590FB9" w:rsidRPr="00767170">
              <w:rPr>
                <w:rFonts w:cs="Arial"/>
                <w:bCs w:val="0"/>
                <w:color w:val="000000"/>
                <w:spacing w:val="1"/>
                <w:w w:val="95"/>
                <w:szCs w:val="20"/>
                <w:shd w:val="solid" w:color="000000" w:fill="000000"/>
                <w:fitText w:val="330" w:id="-628928768"/>
                <w14:textFill>
                  <w14:solidFill>
                    <w14:srgbClr w14:val="000000">
                      <w14:alpha w14:val="100000"/>
                    </w14:srgbClr>
                  </w14:solidFill>
                </w14:textFill>
              </w:rPr>
              <w:t>|</w:t>
            </w:r>
            <w:r w:rsidR="0064705C" w:rsidRPr="0064705C">
              <w:rPr>
                <w:szCs w:val="20"/>
                <w:vertAlign w:val="superscript"/>
              </w:rPr>
              <w:t>6</w:t>
            </w:r>
          </w:p>
        </w:tc>
        <w:tc>
          <w:tcPr>
            <w:tcW w:w="637" w:type="pct"/>
            <w:vAlign w:val="center"/>
          </w:tcPr>
          <w:p w14:paraId="13311FD1" w14:textId="698C56DC" w:rsidR="001C1E5A" w:rsidRPr="0061343E" w:rsidRDefault="001C1E5A" w:rsidP="006D6385">
            <w:pPr>
              <w:pStyle w:val="TableText0"/>
              <w:keepLines w:val="0"/>
              <w:widowControl w:val="0"/>
              <w:rPr>
                <w:bCs w:val="0"/>
                <w:szCs w:val="20"/>
              </w:rPr>
            </w:pPr>
            <w:r w:rsidRPr="0061343E">
              <w:rPr>
                <w:rFonts w:cs="Arial"/>
                <w:bCs w:val="0"/>
                <w:color w:val="000000"/>
                <w:szCs w:val="20"/>
              </w:rPr>
              <w:t>-</w:t>
            </w:r>
            <w:r w:rsidR="00590FB9" w:rsidRPr="00767170">
              <w:rPr>
                <w:rFonts w:cs="Arial"/>
                <w:bCs w:val="0"/>
                <w:color w:val="000000"/>
                <w:spacing w:val="56"/>
                <w:w w:val="95"/>
                <w:szCs w:val="20"/>
                <w:shd w:val="solid" w:color="000000" w:fill="000000"/>
                <w:fitText w:val="330" w:id="-628928767"/>
                <w14:textFill>
                  <w14:solidFill>
                    <w14:srgbClr w14:val="000000">
                      <w14:alpha w14:val="100000"/>
                    </w14:srgbClr>
                  </w14:solidFill>
                </w14:textFill>
              </w:rPr>
              <w:t>|||</w:t>
            </w:r>
            <w:r w:rsidR="00590FB9" w:rsidRPr="00767170">
              <w:rPr>
                <w:rFonts w:cs="Arial"/>
                <w:bCs w:val="0"/>
                <w:color w:val="000000"/>
                <w:spacing w:val="1"/>
                <w:w w:val="95"/>
                <w:szCs w:val="20"/>
                <w:shd w:val="solid" w:color="000000" w:fill="000000"/>
                <w:fitText w:val="330" w:id="-628928767"/>
                <w14:textFill>
                  <w14:solidFill>
                    <w14:srgbClr w14:val="000000">
                      <w14:alpha w14:val="100000"/>
                    </w14:srgbClr>
                  </w14:solidFill>
                </w14:textFill>
              </w:rPr>
              <w:t>|</w:t>
            </w:r>
            <w:r w:rsidR="0064705C" w:rsidRPr="0064705C">
              <w:rPr>
                <w:szCs w:val="20"/>
                <w:vertAlign w:val="superscript"/>
              </w:rPr>
              <w:t>6</w:t>
            </w:r>
          </w:p>
        </w:tc>
        <w:tc>
          <w:tcPr>
            <w:tcW w:w="637" w:type="pct"/>
            <w:vAlign w:val="center"/>
          </w:tcPr>
          <w:p w14:paraId="5E9E4FF8" w14:textId="51189F56" w:rsidR="001C1E5A" w:rsidRPr="0061343E" w:rsidRDefault="001C1E5A" w:rsidP="006D6385">
            <w:pPr>
              <w:pStyle w:val="TableText0"/>
              <w:keepLines w:val="0"/>
              <w:widowControl w:val="0"/>
              <w:rPr>
                <w:bCs w:val="0"/>
                <w:szCs w:val="20"/>
              </w:rPr>
            </w:pPr>
            <w:r w:rsidRPr="0061343E">
              <w:rPr>
                <w:rFonts w:cs="Arial"/>
                <w:bCs w:val="0"/>
                <w:color w:val="000000"/>
                <w:szCs w:val="20"/>
              </w:rPr>
              <w:t>-</w:t>
            </w:r>
            <w:r w:rsidR="00590FB9" w:rsidRPr="00767170">
              <w:rPr>
                <w:rFonts w:cs="Arial"/>
                <w:bCs w:val="0"/>
                <w:color w:val="000000"/>
                <w:spacing w:val="56"/>
                <w:w w:val="95"/>
                <w:szCs w:val="20"/>
                <w:shd w:val="solid" w:color="000000" w:fill="000000"/>
                <w:fitText w:val="330" w:id="-628928766"/>
                <w14:textFill>
                  <w14:solidFill>
                    <w14:srgbClr w14:val="000000">
                      <w14:alpha w14:val="100000"/>
                    </w14:srgbClr>
                  </w14:solidFill>
                </w14:textFill>
              </w:rPr>
              <w:t>|||</w:t>
            </w:r>
            <w:r w:rsidR="00590FB9" w:rsidRPr="00767170">
              <w:rPr>
                <w:rFonts w:cs="Arial"/>
                <w:bCs w:val="0"/>
                <w:color w:val="000000"/>
                <w:spacing w:val="1"/>
                <w:w w:val="95"/>
                <w:szCs w:val="20"/>
                <w:shd w:val="solid" w:color="000000" w:fill="000000"/>
                <w:fitText w:val="330" w:id="-628928766"/>
                <w14:textFill>
                  <w14:solidFill>
                    <w14:srgbClr w14:val="000000">
                      <w14:alpha w14:val="100000"/>
                    </w14:srgbClr>
                  </w14:solidFill>
                </w14:textFill>
              </w:rPr>
              <w:t>|</w:t>
            </w:r>
            <w:r w:rsidR="0064705C" w:rsidRPr="0064705C">
              <w:rPr>
                <w:szCs w:val="20"/>
                <w:vertAlign w:val="superscript"/>
              </w:rPr>
              <w:t>6</w:t>
            </w:r>
          </w:p>
        </w:tc>
        <w:tc>
          <w:tcPr>
            <w:tcW w:w="638" w:type="pct"/>
            <w:vAlign w:val="center"/>
          </w:tcPr>
          <w:p w14:paraId="7A6EBC06" w14:textId="6DDA659F" w:rsidR="001C1E5A" w:rsidRPr="0061343E" w:rsidRDefault="001C1E5A" w:rsidP="006D6385">
            <w:pPr>
              <w:pStyle w:val="TableText0"/>
              <w:keepLines w:val="0"/>
              <w:widowControl w:val="0"/>
              <w:rPr>
                <w:bCs w:val="0"/>
                <w:szCs w:val="20"/>
              </w:rPr>
            </w:pPr>
            <w:r w:rsidRPr="0061343E">
              <w:rPr>
                <w:rFonts w:cs="Arial"/>
                <w:bCs w:val="0"/>
                <w:color w:val="000000"/>
                <w:szCs w:val="20"/>
              </w:rPr>
              <w:t>-</w:t>
            </w:r>
            <w:r w:rsidR="00590FB9" w:rsidRPr="00767170">
              <w:rPr>
                <w:rFonts w:cs="Arial"/>
                <w:bCs w:val="0"/>
                <w:color w:val="000000"/>
                <w:spacing w:val="56"/>
                <w:w w:val="95"/>
                <w:szCs w:val="20"/>
                <w:shd w:val="solid" w:color="000000" w:fill="000000"/>
                <w:fitText w:val="330" w:id="-628928765"/>
                <w14:textFill>
                  <w14:solidFill>
                    <w14:srgbClr w14:val="000000">
                      <w14:alpha w14:val="100000"/>
                    </w14:srgbClr>
                  </w14:solidFill>
                </w14:textFill>
              </w:rPr>
              <w:t>|||</w:t>
            </w:r>
            <w:r w:rsidR="00590FB9" w:rsidRPr="00767170">
              <w:rPr>
                <w:rFonts w:cs="Arial"/>
                <w:bCs w:val="0"/>
                <w:color w:val="000000"/>
                <w:spacing w:val="1"/>
                <w:w w:val="95"/>
                <w:szCs w:val="20"/>
                <w:shd w:val="solid" w:color="000000" w:fill="000000"/>
                <w:fitText w:val="330" w:id="-628928765"/>
                <w14:textFill>
                  <w14:solidFill>
                    <w14:srgbClr w14:val="000000">
                      <w14:alpha w14:val="100000"/>
                    </w14:srgbClr>
                  </w14:solidFill>
                </w14:textFill>
              </w:rPr>
              <w:t>|</w:t>
            </w:r>
            <w:r w:rsidR="00EC68B0" w:rsidRPr="00EC68B0">
              <w:rPr>
                <w:rFonts w:cs="Arial"/>
                <w:bCs w:val="0"/>
                <w:color w:val="000000"/>
                <w:szCs w:val="20"/>
                <w:vertAlign w:val="superscript"/>
              </w:rPr>
              <w:t>7</w:t>
            </w:r>
          </w:p>
        </w:tc>
      </w:tr>
      <w:tr w:rsidR="001C1E5A" w:rsidRPr="0061343E" w14:paraId="15D2398D" w14:textId="77777777" w:rsidTr="004B68FB">
        <w:tc>
          <w:tcPr>
            <w:tcW w:w="1177" w:type="pct"/>
            <w:vAlign w:val="center"/>
          </w:tcPr>
          <w:p w14:paraId="25D5C23E" w14:textId="718038F9" w:rsidR="001C1E5A" w:rsidRPr="0061343E" w:rsidRDefault="001C1E5A" w:rsidP="00550072">
            <w:pPr>
              <w:pStyle w:val="TableText0"/>
              <w:keepLines w:val="0"/>
              <w:widowControl w:val="0"/>
              <w:rPr>
                <w:b/>
                <w:bCs w:val="0"/>
                <w:szCs w:val="20"/>
                <w:vertAlign w:val="superscript"/>
              </w:rPr>
            </w:pPr>
            <w:r w:rsidRPr="0061343E">
              <w:rPr>
                <w:b/>
                <w:bCs w:val="0"/>
                <w:szCs w:val="20"/>
              </w:rPr>
              <w:t>Reduction in cost to PBS/RPBS less copayments</w:t>
            </w:r>
            <w:r w:rsidR="00D25039">
              <w:rPr>
                <w:b/>
                <w:bCs w:val="0"/>
                <w:szCs w:val="20"/>
              </w:rPr>
              <w:t xml:space="preserve"> (-$)</w:t>
            </w:r>
            <w:r w:rsidRPr="0061343E">
              <w:rPr>
                <w:b/>
                <w:bCs w:val="0"/>
                <w:szCs w:val="20"/>
              </w:rPr>
              <w:t xml:space="preserve"> </w:t>
            </w:r>
            <w:r w:rsidRPr="0061343E">
              <w:rPr>
                <w:b/>
                <w:bCs w:val="0"/>
                <w:szCs w:val="20"/>
                <w:vertAlign w:val="superscript"/>
              </w:rPr>
              <w:t>e</w:t>
            </w:r>
          </w:p>
        </w:tc>
        <w:tc>
          <w:tcPr>
            <w:tcW w:w="637" w:type="pct"/>
            <w:vAlign w:val="center"/>
          </w:tcPr>
          <w:p w14:paraId="553286A0" w14:textId="33EF2EA4" w:rsidR="00D25039" w:rsidRDefault="00590FB9" w:rsidP="006D6385">
            <w:pPr>
              <w:pStyle w:val="TableText0"/>
              <w:keepLines w:val="0"/>
              <w:widowControl w:val="0"/>
              <w:rPr>
                <w:b/>
                <w:szCs w:val="20"/>
              </w:rPr>
            </w:pPr>
            <w:r w:rsidRPr="00767170">
              <w:rPr>
                <w:b/>
                <w:color w:val="000000"/>
                <w:spacing w:val="58"/>
                <w:szCs w:val="20"/>
                <w:shd w:val="solid" w:color="000000" w:fill="000000"/>
                <w:fitText w:val="360" w:id="-628928764"/>
                <w14:textFill>
                  <w14:solidFill>
                    <w14:srgbClr w14:val="000000">
                      <w14:alpha w14:val="100000"/>
                    </w14:srgbClr>
                  </w14:solidFill>
                </w14:textFill>
              </w:rPr>
              <w:t>|||</w:t>
            </w:r>
            <w:r w:rsidRPr="00767170">
              <w:rPr>
                <w:b/>
                <w:color w:val="000000"/>
                <w:spacing w:val="3"/>
                <w:szCs w:val="20"/>
                <w:shd w:val="solid" w:color="000000" w:fill="000000"/>
                <w:fitText w:val="360" w:id="-628928764"/>
                <w14:textFill>
                  <w14:solidFill>
                    <w14:srgbClr w14:val="000000">
                      <w14:alpha w14:val="100000"/>
                    </w14:srgbClr>
                  </w14:solidFill>
                </w14:textFill>
              </w:rPr>
              <w:t>|</w:t>
            </w:r>
          </w:p>
          <w:p w14:paraId="148993CD" w14:textId="3EB8DE3C" w:rsidR="001C1E5A" w:rsidRPr="0027628C" w:rsidRDefault="000E1CA5" w:rsidP="006D6385">
            <w:pPr>
              <w:pStyle w:val="TableText0"/>
              <w:keepLines w:val="0"/>
              <w:widowControl w:val="0"/>
              <w:rPr>
                <w:szCs w:val="20"/>
                <w:highlight w:val="darkGray"/>
              </w:rPr>
            </w:pPr>
            <w:r w:rsidRPr="000E1CA5">
              <w:rPr>
                <w:b/>
                <w:szCs w:val="20"/>
                <w:vertAlign w:val="superscript"/>
              </w:rPr>
              <w:t>22</w:t>
            </w:r>
          </w:p>
        </w:tc>
        <w:tc>
          <w:tcPr>
            <w:tcW w:w="637" w:type="pct"/>
            <w:vAlign w:val="center"/>
          </w:tcPr>
          <w:p w14:paraId="6833B0F6" w14:textId="2CADADF3" w:rsidR="00D25039" w:rsidRDefault="00590FB9" w:rsidP="006D6385">
            <w:pPr>
              <w:pStyle w:val="TableText0"/>
              <w:keepLines w:val="0"/>
              <w:widowControl w:val="0"/>
              <w:rPr>
                <w:b/>
                <w:szCs w:val="20"/>
              </w:rPr>
            </w:pPr>
            <w:r w:rsidRPr="00767170">
              <w:rPr>
                <w:b/>
                <w:color w:val="000000"/>
                <w:spacing w:val="58"/>
                <w:szCs w:val="20"/>
                <w:shd w:val="solid" w:color="000000" w:fill="000000"/>
                <w:fitText w:val="360" w:id="-628928763"/>
                <w14:textFill>
                  <w14:solidFill>
                    <w14:srgbClr w14:val="000000">
                      <w14:alpha w14:val="100000"/>
                    </w14:srgbClr>
                  </w14:solidFill>
                </w14:textFill>
              </w:rPr>
              <w:t>|||</w:t>
            </w:r>
            <w:r w:rsidRPr="00767170">
              <w:rPr>
                <w:b/>
                <w:color w:val="000000"/>
                <w:spacing w:val="3"/>
                <w:szCs w:val="20"/>
                <w:shd w:val="solid" w:color="000000" w:fill="000000"/>
                <w:fitText w:val="360" w:id="-628928763"/>
                <w14:textFill>
                  <w14:solidFill>
                    <w14:srgbClr w14:val="000000">
                      <w14:alpha w14:val="100000"/>
                    </w14:srgbClr>
                  </w14:solidFill>
                </w14:textFill>
              </w:rPr>
              <w:t>|</w:t>
            </w:r>
          </w:p>
          <w:p w14:paraId="7CF7D9B0" w14:textId="42FFBE48" w:rsidR="001C1E5A" w:rsidRPr="0027628C" w:rsidRDefault="000E1CA5" w:rsidP="006D6385">
            <w:pPr>
              <w:pStyle w:val="TableText0"/>
              <w:keepLines w:val="0"/>
              <w:widowControl w:val="0"/>
              <w:rPr>
                <w:szCs w:val="20"/>
                <w:highlight w:val="darkGray"/>
              </w:rPr>
            </w:pPr>
            <w:r w:rsidRPr="000E1CA5">
              <w:rPr>
                <w:b/>
                <w:szCs w:val="20"/>
                <w:vertAlign w:val="superscript"/>
              </w:rPr>
              <w:t>22</w:t>
            </w:r>
          </w:p>
        </w:tc>
        <w:tc>
          <w:tcPr>
            <w:tcW w:w="637" w:type="pct"/>
            <w:vAlign w:val="center"/>
          </w:tcPr>
          <w:p w14:paraId="7A545A30" w14:textId="1D09383C" w:rsidR="00D25039" w:rsidRDefault="00590FB9" w:rsidP="006D6385">
            <w:pPr>
              <w:pStyle w:val="TableText0"/>
              <w:keepLines w:val="0"/>
              <w:widowControl w:val="0"/>
              <w:rPr>
                <w:b/>
                <w:szCs w:val="20"/>
              </w:rPr>
            </w:pPr>
            <w:r w:rsidRPr="00767170">
              <w:rPr>
                <w:b/>
                <w:color w:val="000000"/>
                <w:spacing w:val="58"/>
                <w:szCs w:val="20"/>
                <w:shd w:val="solid" w:color="000000" w:fill="000000"/>
                <w:fitText w:val="360" w:id="-628928762"/>
                <w14:textFill>
                  <w14:solidFill>
                    <w14:srgbClr w14:val="000000">
                      <w14:alpha w14:val="100000"/>
                    </w14:srgbClr>
                  </w14:solidFill>
                </w14:textFill>
              </w:rPr>
              <w:t>|||</w:t>
            </w:r>
            <w:r w:rsidRPr="00767170">
              <w:rPr>
                <w:b/>
                <w:color w:val="000000"/>
                <w:spacing w:val="3"/>
                <w:szCs w:val="20"/>
                <w:shd w:val="solid" w:color="000000" w:fill="000000"/>
                <w:fitText w:val="360" w:id="-628928762"/>
                <w14:textFill>
                  <w14:solidFill>
                    <w14:srgbClr w14:val="000000">
                      <w14:alpha w14:val="100000"/>
                    </w14:srgbClr>
                  </w14:solidFill>
                </w14:textFill>
              </w:rPr>
              <w:t>|</w:t>
            </w:r>
          </w:p>
          <w:p w14:paraId="4B673A4F" w14:textId="3272D4A4" w:rsidR="001C1E5A" w:rsidRPr="0027628C" w:rsidRDefault="000E1CA5" w:rsidP="006D6385">
            <w:pPr>
              <w:pStyle w:val="TableText0"/>
              <w:keepLines w:val="0"/>
              <w:widowControl w:val="0"/>
              <w:rPr>
                <w:szCs w:val="20"/>
                <w:highlight w:val="darkGray"/>
              </w:rPr>
            </w:pPr>
            <w:r w:rsidRPr="000E1CA5">
              <w:rPr>
                <w:b/>
                <w:szCs w:val="20"/>
                <w:vertAlign w:val="superscript"/>
              </w:rPr>
              <w:t>22</w:t>
            </w:r>
          </w:p>
        </w:tc>
        <w:tc>
          <w:tcPr>
            <w:tcW w:w="637" w:type="pct"/>
            <w:vAlign w:val="center"/>
          </w:tcPr>
          <w:p w14:paraId="28B76539" w14:textId="5CAD268A" w:rsidR="00D25039" w:rsidRDefault="00590FB9" w:rsidP="006D6385">
            <w:pPr>
              <w:pStyle w:val="TableText0"/>
              <w:keepLines w:val="0"/>
              <w:widowControl w:val="0"/>
              <w:rPr>
                <w:b/>
                <w:szCs w:val="20"/>
              </w:rPr>
            </w:pPr>
            <w:r w:rsidRPr="00767170">
              <w:rPr>
                <w:b/>
                <w:color w:val="000000"/>
                <w:spacing w:val="58"/>
                <w:szCs w:val="20"/>
                <w:shd w:val="solid" w:color="000000" w:fill="000000"/>
                <w:fitText w:val="360" w:id="-628928761"/>
                <w14:textFill>
                  <w14:solidFill>
                    <w14:srgbClr w14:val="000000">
                      <w14:alpha w14:val="100000"/>
                    </w14:srgbClr>
                  </w14:solidFill>
                </w14:textFill>
              </w:rPr>
              <w:t>|||</w:t>
            </w:r>
            <w:r w:rsidRPr="00767170">
              <w:rPr>
                <w:b/>
                <w:color w:val="000000"/>
                <w:spacing w:val="3"/>
                <w:szCs w:val="20"/>
                <w:shd w:val="solid" w:color="000000" w:fill="000000"/>
                <w:fitText w:val="360" w:id="-628928761"/>
                <w14:textFill>
                  <w14:solidFill>
                    <w14:srgbClr w14:val="000000">
                      <w14:alpha w14:val="100000"/>
                    </w14:srgbClr>
                  </w14:solidFill>
                </w14:textFill>
              </w:rPr>
              <w:t>|</w:t>
            </w:r>
          </w:p>
          <w:p w14:paraId="5234CED3" w14:textId="7567C32C" w:rsidR="001C1E5A" w:rsidRPr="0027628C" w:rsidRDefault="000E1CA5" w:rsidP="006D6385">
            <w:pPr>
              <w:pStyle w:val="TableText0"/>
              <w:keepLines w:val="0"/>
              <w:widowControl w:val="0"/>
              <w:rPr>
                <w:szCs w:val="20"/>
                <w:highlight w:val="darkGray"/>
              </w:rPr>
            </w:pPr>
            <w:r w:rsidRPr="000E1CA5">
              <w:rPr>
                <w:b/>
                <w:szCs w:val="20"/>
                <w:vertAlign w:val="superscript"/>
              </w:rPr>
              <w:t>22</w:t>
            </w:r>
          </w:p>
        </w:tc>
        <w:tc>
          <w:tcPr>
            <w:tcW w:w="637" w:type="pct"/>
            <w:vAlign w:val="center"/>
          </w:tcPr>
          <w:p w14:paraId="1E95694D" w14:textId="4474B662" w:rsidR="00D25039" w:rsidRDefault="00590FB9" w:rsidP="006D6385">
            <w:pPr>
              <w:pStyle w:val="TableText0"/>
              <w:keepLines w:val="0"/>
              <w:widowControl w:val="0"/>
              <w:rPr>
                <w:b/>
                <w:szCs w:val="20"/>
              </w:rPr>
            </w:pPr>
            <w:r w:rsidRPr="00767170">
              <w:rPr>
                <w:b/>
                <w:color w:val="000000"/>
                <w:spacing w:val="58"/>
                <w:szCs w:val="20"/>
                <w:shd w:val="solid" w:color="000000" w:fill="000000"/>
                <w:fitText w:val="360" w:id="-628928760"/>
                <w14:textFill>
                  <w14:solidFill>
                    <w14:srgbClr w14:val="000000">
                      <w14:alpha w14:val="100000"/>
                    </w14:srgbClr>
                  </w14:solidFill>
                </w14:textFill>
              </w:rPr>
              <w:t>|||</w:t>
            </w:r>
            <w:r w:rsidRPr="00767170">
              <w:rPr>
                <w:b/>
                <w:color w:val="000000"/>
                <w:spacing w:val="3"/>
                <w:szCs w:val="20"/>
                <w:shd w:val="solid" w:color="000000" w:fill="000000"/>
                <w:fitText w:val="360" w:id="-628928760"/>
                <w14:textFill>
                  <w14:solidFill>
                    <w14:srgbClr w14:val="000000">
                      <w14:alpha w14:val="100000"/>
                    </w14:srgbClr>
                  </w14:solidFill>
                </w14:textFill>
              </w:rPr>
              <w:t>|</w:t>
            </w:r>
          </w:p>
          <w:p w14:paraId="4EEF6498" w14:textId="0AA2B20E" w:rsidR="001C1E5A" w:rsidRPr="0027628C" w:rsidRDefault="000E1CA5" w:rsidP="006D6385">
            <w:pPr>
              <w:pStyle w:val="TableText0"/>
              <w:keepLines w:val="0"/>
              <w:widowControl w:val="0"/>
              <w:rPr>
                <w:szCs w:val="20"/>
                <w:highlight w:val="darkGray"/>
              </w:rPr>
            </w:pPr>
            <w:r w:rsidRPr="000E1CA5">
              <w:rPr>
                <w:b/>
                <w:szCs w:val="20"/>
                <w:vertAlign w:val="superscript"/>
              </w:rPr>
              <w:t>22</w:t>
            </w:r>
          </w:p>
        </w:tc>
        <w:tc>
          <w:tcPr>
            <w:tcW w:w="638" w:type="pct"/>
            <w:vAlign w:val="center"/>
          </w:tcPr>
          <w:p w14:paraId="694FB1C0" w14:textId="53D4A301" w:rsidR="00D25039" w:rsidRDefault="00590FB9" w:rsidP="006D6385">
            <w:pPr>
              <w:pStyle w:val="TableText0"/>
              <w:keepLines w:val="0"/>
              <w:widowControl w:val="0"/>
              <w:rPr>
                <w:b/>
                <w:szCs w:val="20"/>
              </w:rPr>
            </w:pPr>
            <w:r w:rsidRPr="00767170">
              <w:rPr>
                <w:b/>
                <w:color w:val="000000"/>
                <w:spacing w:val="58"/>
                <w:szCs w:val="20"/>
                <w:shd w:val="solid" w:color="000000" w:fill="000000"/>
                <w:fitText w:val="360" w:id="-628928759"/>
                <w14:textFill>
                  <w14:solidFill>
                    <w14:srgbClr w14:val="000000">
                      <w14:alpha w14:val="100000"/>
                    </w14:srgbClr>
                  </w14:solidFill>
                </w14:textFill>
              </w:rPr>
              <w:t>|||</w:t>
            </w:r>
            <w:r w:rsidRPr="00767170">
              <w:rPr>
                <w:b/>
                <w:color w:val="000000"/>
                <w:spacing w:val="3"/>
                <w:szCs w:val="20"/>
                <w:shd w:val="solid" w:color="000000" w:fill="000000"/>
                <w:fitText w:val="360" w:id="-628928759"/>
                <w14:textFill>
                  <w14:solidFill>
                    <w14:srgbClr w14:val="000000">
                      <w14:alpha w14:val="100000"/>
                    </w14:srgbClr>
                  </w14:solidFill>
                </w14:textFill>
              </w:rPr>
              <w:t>|</w:t>
            </w:r>
          </w:p>
          <w:p w14:paraId="50F3034B" w14:textId="6A3AB571" w:rsidR="001C1E5A" w:rsidRPr="0027628C" w:rsidRDefault="000E1CA5" w:rsidP="006D6385">
            <w:pPr>
              <w:pStyle w:val="TableText0"/>
              <w:keepLines w:val="0"/>
              <w:widowControl w:val="0"/>
              <w:rPr>
                <w:szCs w:val="20"/>
                <w:highlight w:val="darkGray"/>
              </w:rPr>
            </w:pPr>
            <w:r w:rsidRPr="000E1CA5">
              <w:rPr>
                <w:b/>
                <w:szCs w:val="20"/>
                <w:vertAlign w:val="superscript"/>
              </w:rPr>
              <w:t>22</w:t>
            </w:r>
          </w:p>
        </w:tc>
      </w:tr>
      <w:tr w:rsidR="001C1E5A" w:rsidRPr="0061343E" w14:paraId="5C60436B" w14:textId="77777777" w:rsidTr="004B68FB">
        <w:tc>
          <w:tcPr>
            <w:tcW w:w="5000" w:type="pct"/>
            <w:gridSpan w:val="7"/>
            <w:vAlign w:val="center"/>
          </w:tcPr>
          <w:p w14:paraId="3CF69FE1" w14:textId="77777777" w:rsidR="001C1E5A" w:rsidRPr="0061343E" w:rsidRDefault="001C1E5A" w:rsidP="00550072">
            <w:pPr>
              <w:pStyle w:val="TableText0"/>
              <w:keepLines w:val="0"/>
              <w:widowControl w:val="0"/>
              <w:rPr>
                <w:szCs w:val="20"/>
              </w:rPr>
            </w:pPr>
            <w:r w:rsidRPr="0061343E">
              <w:rPr>
                <w:b/>
                <w:bCs w:val="0"/>
                <w:szCs w:val="20"/>
              </w:rPr>
              <w:t>Net financial implications</w:t>
            </w:r>
            <w:r w:rsidRPr="0061343E">
              <w:rPr>
                <w:color w:val="4BACC6" w:themeColor="accent5"/>
                <w:szCs w:val="20"/>
              </w:rPr>
              <w:t xml:space="preserve"> </w:t>
            </w:r>
          </w:p>
        </w:tc>
      </w:tr>
      <w:tr w:rsidR="001C1E5A" w:rsidRPr="0061343E" w14:paraId="565745CC" w14:textId="77777777" w:rsidTr="0022530D">
        <w:tc>
          <w:tcPr>
            <w:tcW w:w="1177" w:type="pct"/>
            <w:tcBorders>
              <w:bottom w:val="single" w:sz="4" w:space="0" w:color="auto"/>
            </w:tcBorders>
            <w:vAlign w:val="center"/>
          </w:tcPr>
          <w:p w14:paraId="7407410D" w14:textId="24A41B93" w:rsidR="001C1E5A" w:rsidRPr="0061343E" w:rsidRDefault="001C1E5A" w:rsidP="00550072">
            <w:pPr>
              <w:pStyle w:val="TableText0"/>
              <w:keepLines w:val="0"/>
              <w:widowControl w:val="0"/>
              <w:rPr>
                <w:b/>
                <w:bCs w:val="0"/>
                <w:szCs w:val="20"/>
              </w:rPr>
            </w:pPr>
            <w:r w:rsidRPr="0061343E">
              <w:rPr>
                <w:b/>
                <w:bCs w:val="0"/>
                <w:szCs w:val="20"/>
              </w:rPr>
              <w:t>Net cost to PBS/RPBS</w:t>
            </w:r>
            <w:r w:rsidR="00D25039">
              <w:rPr>
                <w:b/>
                <w:bCs w:val="0"/>
                <w:szCs w:val="20"/>
              </w:rPr>
              <w:t xml:space="preserve"> (-$)</w:t>
            </w:r>
          </w:p>
        </w:tc>
        <w:tc>
          <w:tcPr>
            <w:tcW w:w="637" w:type="pct"/>
            <w:tcBorders>
              <w:bottom w:val="single" w:sz="4" w:space="0" w:color="auto"/>
            </w:tcBorders>
          </w:tcPr>
          <w:p w14:paraId="6CC414CA" w14:textId="56482876" w:rsidR="00D25039" w:rsidRDefault="00590FB9" w:rsidP="006D6385">
            <w:pPr>
              <w:pStyle w:val="TableText0"/>
              <w:keepLines w:val="0"/>
              <w:widowControl w:val="0"/>
              <w:rPr>
                <w:b/>
                <w:bCs w:val="0"/>
              </w:rPr>
            </w:pPr>
            <w:r w:rsidRPr="00767170">
              <w:rPr>
                <w:b/>
                <w:bCs w:val="0"/>
                <w:color w:val="000000"/>
                <w:spacing w:val="58"/>
                <w:shd w:val="solid" w:color="000000" w:fill="000000"/>
                <w:fitText w:val="360" w:id="-628928758"/>
                <w14:textFill>
                  <w14:solidFill>
                    <w14:srgbClr w14:val="000000">
                      <w14:alpha w14:val="100000"/>
                    </w14:srgbClr>
                  </w14:solidFill>
                </w14:textFill>
              </w:rPr>
              <w:t>|||</w:t>
            </w:r>
            <w:r w:rsidRPr="00767170">
              <w:rPr>
                <w:b/>
                <w:bCs w:val="0"/>
                <w:color w:val="000000"/>
                <w:spacing w:val="3"/>
                <w:shd w:val="solid" w:color="000000" w:fill="000000"/>
                <w:fitText w:val="360" w:id="-628928758"/>
                <w14:textFill>
                  <w14:solidFill>
                    <w14:srgbClr w14:val="000000">
                      <w14:alpha w14:val="100000"/>
                    </w14:srgbClr>
                  </w14:solidFill>
                </w14:textFill>
              </w:rPr>
              <w:t>|</w:t>
            </w:r>
          </w:p>
          <w:p w14:paraId="5557801D" w14:textId="45085C27" w:rsidR="001C1E5A" w:rsidRPr="0027628C" w:rsidRDefault="000E1CA5" w:rsidP="006D6385">
            <w:pPr>
              <w:pStyle w:val="TableText0"/>
              <w:keepLines w:val="0"/>
              <w:widowControl w:val="0"/>
              <w:rPr>
                <w:b/>
                <w:bCs w:val="0"/>
                <w:szCs w:val="20"/>
                <w:highlight w:val="darkGray"/>
              </w:rPr>
            </w:pPr>
            <w:r w:rsidRPr="000E1CA5">
              <w:rPr>
                <w:b/>
                <w:szCs w:val="20"/>
                <w:vertAlign w:val="superscript"/>
              </w:rPr>
              <w:t>22</w:t>
            </w:r>
          </w:p>
        </w:tc>
        <w:tc>
          <w:tcPr>
            <w:tcW w:w="637" w:type="pct"/>
            <w:tcBorders>
              <w:bottom w:val="single" w:sz="4" w:space="0" w:color="auto"/>
            </w:tcBorders>
          </w:tcPr>
          <w:p w14:paraId="44FC6B29" w14:textId="52A535ED" w:rsidR="00D25039" w:rsidRDefault="00590FB9" w:rsidP="006D6385">
            <w:pPr>
              <w:pStyle w:val="TableText0"/>
              <w:keepLines w:val="0"/>
              <w:widowControl w:val="0"/>
              <w:rPr>
                <w:b/>
                <w:bCs w:val="0"/>
              </w:rPr>
            </w:pPr>
            <w:r w:rsidRPr="00767170">
              <w:rPr>
                <w:b/>
                <w:bCs w:val="0"/>
                <w:color w:val="000000"/>
                <w:spacing w:val="58"/>
                <w:shd w:val="solid" w:color="000000" w:fill="000000"/>
                <w:fitText w:val="360" w:id="-628928757"/>
                <w14:textFill>
                  <w14:solidFill>
                    <w14:srgbClr w14:val="000000">
                      <w14:alpha w14:val="100000"/>
                    </w14:srgbClr>
                  </w14:solidFill>
                </w14:textFill>
              </w:rPr>
              <w:t>|||</w:t>
            </w:r>
            <w:r w:rsidRPr="00767170">
              <w:rPr>
                <w:b/>
                <w:bCs w:val="0"/>
                <w:color w:val="000000"/>
                <w:spacing w:val="3"/>
                <w:shd w:val="solid" w:color="000000" w:fill="000000"/>
                <w:fitText w:val="360" w:id="-628928757"/>
                <w14:textFill>
                  <w14:solidFill>
                    <w14:srgbClr w14:val="000000">
                      <w14:alpha w14:val="100000"/>
                    </w14:srgbClr>
                  </w14:solidFill>
                </w14:textFill>
              </w:rPr>
              <w:t>|</w:t>
            </w:r>
          </w:p>
          <w:p w14:paraId="18DAC40F" w14:textId="34C6AD8B" w:rsidR="001C1E5A" w:rsidRPr="0027628C" w:rsidRDefault="000E1CA5" w:rsidP="006D6385">
            <w:pPr>
              <w:pStyle w:val="TableText0"/>
              <w:keepLines w:val="0"/>
              <w:widowControl w:val="0"/>
              <w:rPr>
                <w:b/>
                <w:bCs w:val="0"/>
                <w:szCs w:val="20"/>
                <w:highlight w:val="darkGray"/>
              </w:rPr>
            </w:pPr>
            <w:r w:rsidRPr="000E1CA5">
              <w:rPr>
                <w:b/>
                <w:szCs w:val="20"/>
                <w:vertAlign w:val="superscript"/>
              </w:rPr>
              <w:t>22</w:t>
            </w:r>
          </w:p>
        </w:tc>
        <w:tc>
          <w:tcPr>
            <w:tcW w:w="637" w:type="pct"/>
            <w:tcBorders>
              <w:bottom w:val="single" w:sz="4" w:space="0" w:color="auto"/>
            </w:tcBorders>
          </w:tcPr>
          <w:p w14:paraId="69F57B15" w14:textId="4BC21E99" w:rsidR="00D25039" w:rsidRDefault="00590FB9" w:rsidP="006D6385">
            <w:pPr>
              <w:pStyle w:val="TableText0"/>
              <w:keepLines w:val="0"/>
              <w:widowControl w:val="0"/>
              <w:rPr>
                <w:b/>
                <w:bCs w:val="0"/>
              </w:rPr>
            </w:pPr>
            <w:r w:rsidRPr="00767170">
              <w:rPr>
                <w:b/>
                <w:bCs w:val="0"/>
                <w:color w:val="000000"/>
                <w:spacing w:val="58"/>
                <w:shd w:val="solid" w:color="000000" w:fill="000000"/>
                <w:fitText w:val="360" w:id="-628928756"/>
                <w14:textFill>
                  <w14:solidFill>
                    <w14:srgbClr w14:val="000000">
                      <w14:alpha w14:val="100000"/>
                    </w14:srgbClr>
                  </w14:solidFill>
                </w14:textFill>
              </w:rPr>
              <w:t>|||</w:t>
            </w:r>
            <w:r w:rsidRPr="00767170">
              <w:rPr>
                <w:b/>
                <w:bCs w:val="0"/>
                <w:color w:val="000000"/>
                <w:spacing w:val="3"/>
                <w:shd w:val="solid" w:color="000000" w:fill="000000"/>
                <w:fitText w:val="360" w:id="-628928756"/>
                <w14:textFill>
                  <w14:solidFill>
                    <w14:srgbClr w14:val="000000">
                      <w14:alpha w14:val="100000"/>
                    </w14:srgbClr>
                  </w14:solidFill>
                </w14:textFill>
              </w:rPr>
              <w:t>|</w:t>
            </w:r>
          </w:p>
          <w:p w14:paraId="1BA04007" w14:textId="3B669882" w:rsidR="001C1E5A" w:rsidRPr="0027628C" w:rsidRDefault="000E1CA5" w:rsidP="006D6385">
            <w:pPr>
              <w:pStyle w:val="TableText0"/>
              <w:keepLines w:val="0"/>
              <w:widowControl w:val="0"/>
              <w:rPr>
                <w:b/>
                <w:bCs w:val="0"/>
                <w:szCs w:val="20"/>
                <w:highlight w:val="darkGray"/>
              </w:rPr>
            </w:pPr>
            <w:r w:rsidRPr="000E1CA5">
              <w:rPr>
                <w:b/>
                <w:szCs w:val="20"/>
                <w:vertAlign w:val="superscript"/>
              </w:rPr>
              <w:t>22</w:t>
            </w:r>
          </w:p>
        </w:tc>
        <w:tc>
          <w:tcPr>
            <w:tcW w:w="637" w:type="pct"/>
            <w:tcBorders>
              <w:bottom w:val="single" w:sz="4" w:space="0" w:color="auto"/>
            </w:tcBorders>
          </w:tcPr>
          <w:p w14:paraId="6313BA84" w14:textId="0533936D" w:rsidR="00D25039" w:rsidRDefault="00590FB9" w:rsidP="006D6385">
            <w:pPr>
              <w:pStyle w:val="TableText0"/>
              <w:keepLines w:val="0"/>
              <w:widowControl w:val="0"/>
              <w:rPr>
                <w:b/>
                <w:bCs w:val="0"/>
              </w:rPr>
            </w:pPr>
            <w:r w:rsidRPr="00767170">
              <w:rPr>
                <w:b/>
                <w:bCs w:val="0"/>
                <w:color w:val="000000"/>
                <w:spacing w:val="58"/>
                <w:shd w:val="solid" w:color="000000" w:fill="000000"/>
                <w:fitText w:val="360" w:id="-628928755"/>
                <w14:textFill>
                  <w14:solidFill>
                    <w14:srgbClr w14:val="000000">
                      <w14:alpha w14:val="100000"/>
                    </w14:srgbClr>
                  </w14:solidFill>
                </w14:textFill>
              </w:rPr>
              <w:t>|||</w:t>
            </w:r>
            <w:r w:rsidRPr="00767170">
              <w:rPr>
                <w:b/>
                <w:bCs w:val="0"/>
                <w:color w:val="000000"/>
                <w:spacing w:val="3"/>
                <w:shd w:val="solid" w:color="000000" w:fill="000000"/>
                <w:fitText w:val="360" w:id="-628928755"/>
                <w14:textFill>
                  <w14:solidFill>
                    <w14:srgbClr w14:val="000000">
                      <w14:alpha w14:val="100000"/>
                    </w14:srgbClr>
                  </w14:solidFill>
                </w14:textFill>
              </w:rPr>
              <w:t>|</w:t>
            </w:r>
          </w:p>
          <w:p w14:paraId="6DC51871" w14:textId="3232D4A0" w:rsidR="001C1E5A" w:rsidRPr="0027628C" w:rsidRDefault="000E1CA5" w:rsidP="006D6385">
            <w:pPr>
              <w:pStyle w:val="TableText0"/>
              <w:keepLines w:val="0"/>
              <w:widowControl w:val="0"/>
              <w:rPr>
                <w:b/>
                <w:bCs w:val="0"/>
                <w:szCs w:val="20"/>
                <w:highlight w:val="darkGray"/>
              </w:rPr>
            </w:pPr>
            <w:r w:rsidRPr="000E1CA5">
              <w:rPr>
                <w:b/>
                <w:szCs w:val="20"/>
                <w:vertAlign w:val="superscript"/>
              </w:rPr>
              <w:t>22</w:t>
            </w:r>
          </w:p>
        </w:tc>
        <w:tc>
          <w:tcPr>
            <w:tcW w:w="637" w:type="pct"/>
            <w:tcBorders>
              <w:bottom w:val="single" w:sz="4" w:space="0" w:color="auto"/>
            </w:tcBorders>
          </w:tcPr>
          <w:p w14:paraId="4EA07C69" w14:textId="63D52765" w:rsidR="00D25039" w:rsidRDefault="00590FB9" w:rsidP="006D6385">
            <w:pPr>
              <w:pStyle w:val="TableText0"/>
              <w:keepLines w:val="0"/>
              <w:widowControl w:val="0"/>
              <w:rPr>
                <w:b/>
                <w:bCs w:val="0"/>
              </w:rPr>
            </w:pPr>
            <w:r w:rsidRPr="00767170">
              <w:rPr>
                <w:b/>
                <w:bCs w:val="0"/>
                <w:color w:val="000000"/>
                <w:spacing w:val="58"/>
                <w:shd w:val="solid" w:color="000000" w:fill="000000"/>
                <w:fitText w:val="360" w:id="-628928754"/>
                <w14:textFill>
                  <w14:solidFill>
                    <w14:srgbClr w14:val="000000">
                      <w14:alpha w14:val="100000"/>
                    </w14:srgbClr>
                  </w14:solidFill>
                </w14:textFill>
              </w:rPr>
              <w:t>|||</w:t>
            </w:r>
            <w:r w:rsidRPr="00767170">
              <w:rPr>
                <w:b/>
                <w:bCs w:val="0"/>
                <w:color w:val="000000"/>
                <w:spacing w:val="3"/>
                <w:shd w:val="solid" w:color="000000" w:fill="000000"/>
                <w:fitText w:val="360" w:id="-628928754"/>
                <w14:textFill>
                  <w14:solidFill>
                    <w14:srgbClr w14:val="000000">
                      <w14:alpha w14:val="100000"/>
                    </w14:srgbClr>
                  </w14:solidFill>
                </w14:textFill>
              </w:rPr>
              <w:t>|</w:t>
            </w:r>
          </w:p>
          <w:p w14:paraId="3D47A754" w14:textId="2994DAF4" w:rsidR="001C1E5A" w:rsidRPr="0027628C" w:rsidRDefault="000E1CA5" w:rsidP="006D6385">
            <w:pPr>
              <w:pStyle w:val="TableText0"/>
              <w:keepLines w:val="0"/>
              <w:widowControl w:val="0"/>
              <w:rPr>
                <w:b/>
                <w:bCs w:val="0"/>
                <w:szCs w:val="20"/>
                <w:highlight w:val="darkGray"/>
              </w:rPr>
            </w:pPr>
            <w:r w:rsidRPr="000E1CA5">
              <w:rPr>
                <w:b/>
                <w:szCs w:val="20"/>
                <w:vertAlign w:val="superscript"/>
              </w:rPr>
              <w:t>22</w:t>
            </w:r>
          </w:p>
        </w:tc>
        <w:tc>
          <w:tcPr>
            <w:tcW w:w="638" w:type="pct"/>
            <w:tcBorders>
              <w:bottom w:val="single" w:sz="4" w:space="0" w:color="auto"/>
            </w:tcBorders>
          </w:tcPr>
          <w:p w14:paraId="5B29176A" w14:textId="4ED68501" w:rsidR="00D25039" w:rsidRDefault="00590FB9" w:rsidP="006D6385">
            <w:pPr>
              <w:pStyle w:val="TableText0"/>
              <w:keepLines w:val="0"/>
              <w:widowControl w:val="0"/>
              <w:rPr>
                <w:b/>
                <w:bCs w:val="0"/>
              </w:rPr>
            </w:pPr>
            <w:r w:rsidRPr="00767170">
              <w:rPr>
                <w:b/>
                <w:bCs w:val="0"/>
                <w:color w:val="000000"/>
                <w:spacing w:val="58"/>
                <w:shd w:val="solid" w:color="000000" w:fill="000000"/>
                <w:fitText w:val="360" w:id="-628928753"/>
                <w14:textFill>
                  <w14:solidFill>
                    <w14:srgbClr w14:val="000000">
                      <w14:alpha w14:val="100000"/>
                    </w14:srgbClr>
                  </w14:solidFill>
                </w14:textFill>
              </w:rPr>
              <w:t>|||</w:t>
            </w:r>
            <w:r w:rsidRPr="00767170">
              <w:rPr>
                <w:b/>
                <w:bCs w:val="0"/>
                <w:color w:val="000000"/>
                <w:spacing w:val="3"/>
                <w:shd w:val="solid" w:color="000000" w:fill="000000"/>
                <w:fitText w:val="360" w:id="-628928753"/>
                <w14:textFill>
                  <w14:solidFill>
                    <w14:srgbClr w14:val="000000">
                      <w14:alpha w14:val="100000"/>
                    </w14:srgbClr>
                  </w14:solidFill>
                </w14:textFill>
              </w:rPr>
              <w:t>|</w:t>
            </w:r>
          </w:p>
          <w:p w14:paraId="00EB1A29" w14:textId="699D85F6" w:rsidR="001C1E5A" w:rsidRPr="0027628C" w:rsidRDefault="000E1CA5" w:rsidP="006D6385">
            <w:pPr>
              <w:pStyle w:val="TableText0"/>
              <w:keepLines w:val="0"/>
              <w:widowControl w:val="0"/>
              <w:rPr>
                <w:b/>
                <w:bCs w:val="0"/>
                <w:szCs w:val="20"/>
                <w:highlight w:val="darkGray"/>
              </w:rPr>
            </w:pPr>
            <w:r w:rsidRPr="000E1CA5">
              <w:rPr>
                <w:b/>
                <w:szCs w:val="20"/>
                <w:vertAlign w:val="superscript"/>
              </w:rPr>
              <w:t>22</w:t>
            </w:r>
          </w:p>
        </w:tc>
      </w:tr>
      <w:tr w:rsidR="0022530D" w:rsidRPr="0061343E" w14:paraId="1FBA74E4" w14:textId="77777777" w:rsidTr="0022530D">
        <w:tc>
          <w:tcPr>
            <w:tcW w:w="1177" w:type="pct"/>
            <w:tcBorders>
              <w:top w:val="nil"/>
            </w:tcBorders>
            <w:vAlign w:val="center"/>
          </w:tcPr>
          <w:p w14:paraId="2059C697" w14:textId="4D462CDC" w:rsidR="0022530D" w:rsidRPr="0061343E" w:rsidRDefault="00C8312A" w:rsidP="00550072">
            <w:pPr>
              <w:pStyle w:val="TableText0"/>
              <w:keepLines w:val="0"/>
              <w:widowControl w:val="0"/>
              <w:rPr>
                <w:szCs w:val="20"/>
                <w:vertAlign w:val="superscript"/>
              </w:rPr>
            </w:pPr>
            <w:r w:rsidRPr="0061343E">
              <w:rPr>
                <w:szCs w:val="20"/>
              </w:rPr>
              <w:t>Net cost to MBS (r</w:t>
            </w:r>
            <w:r w:rsidR="0022530D" w:rsidRPr="0061343E">
              <w:rPr>
                <w:szCs w:val="20"/>
              </w:rPr>
              <w:t>evised</w:t>
            </w:r>
            <w:r w:rsidRPr="0061343E">
              <w:rPr>
                <w:szCs w:val="20"/>
              </w:rPr>
              <w:t>)</w:t>
            </w:r>
            <w:r w:rsidR="00643B00">
              <w:rPr>
                <w:szCs w:val="20"/>
              </w:rPr>
              <w:t>($)</w:t>
            </w:r>
            <w:r w:rsidR="0022530D" w:rsidRPr="0061343E">
              <w:rPr>
                <w:szCs w:val="20"/>
              </w:rPr>
              <w:t xml:space="preserve"> </w:t>
            </w:r>
            <w:r w:rsidR="0022530D" w:rsidRPr="0061343E">
              <w:rPr>
                <w:szCs w:val="20"/>
                <w:vertAlign w:val="superscript"/>
              </w:rPr>
              <w:t>f</w:t>
            </w:r>
          </w:p>
        </w:tc>
        <w:tc>
          <w:tcPr>
            <w:tcW w:w="637" w:type="pct"/>
            <w:tcBorders>
              <w:top w:val="nil"/>
            </w:tcBorders>
            <w:vAlign w:val="center"/>
          </w:tcPr>
          <w:p w14:paraId="2F244388" w14:textId="6ABEA0E9" w:rsidR="0022530D" w:rsidRPr="009C239E" w:rsidRDefault="00590FB9" w:rsidP="006D6385">
            <w:pPr>
              <w:pStyle w:val="TableText0"/>
              <w:keepLines w:val="0"/>
              <w:widowControl w:val="0"/>
              <w:rPr>
                <w:szCs w:val="20"/>
                <w:highlight w:val="darkGray"/>
              </w:rPr>
            </w:pPr>
            <w:r w:rsidRPr="00767170">
              <w:rPr>
                <w:color w:val="000000"/>
                <w:spacing w:val="53"/>
                <w:szCs w:val="20"/>
                <w:shd w:val="solid" w:color="000000" w:fill="000000"/>
                <w:fitText w:val="330" w:id="-628928752"/>
                <w14:textFill>
                  <w14:solidFill>
                    <w14:srgbClr w14:val="000000">
                      <w14:alpha w14:val="100000"/>
                    </w14:srgbClr>
                  </w14:solidFill>
                </w14:textFill>
              </w:rPr>
              <w:t>|||</w:t>
            </w:r>
            <w:r w:rsidRPr="00767170">
              <w:rPr>
                <w:color w:val="000000"/>
                <w:spacing w:val="1"/>
                <w:szCs w:val="20"/>
                <w:shd w:val="solid" w:color="000000" w:fill="000000"/>
                <w:fitText w:val="330" w:id="-628928752"/>
                <w14:textFill>
                  <w14:solidFill>
                    <w14:srgbClr w14:val="000000">
                      <w14:alpha w14:val="100000"/>
                    </w14:srgbClr>
                  </w14:solidFill>
                </w14:textFill>
              </w:rPr>
              <w:t>|</w:t>
            </w:r>
            <w:r w:rsidR="00E166B1" w:rsidRPr="00E166B1">
              <w:rPr>
                <w:szCs w:val="20"/>
                <w:vertAlign w:val="superscript"/>
              </w:rPr>
              <w:t>23</w:t>
            </w:r>
          </w:p>
        </w:tc>
        <w:tc>
          <w:tcPr>
            <w:tcW w:w="637" w:type="pct"/>
            <w:tcBorders>
              <w:top w:val="nil"/>
            </w:tcBorders>
            <w:vAlign w:val="center"/>
          </w:tcPr>
          <w:p w14:paraId="1D3F867C" w14:textId="06890E89" w:rsidR="0022530D" w:rsidRPr="009C239E" w:rsidRDefault="00590FB9" w:rsidP="006D6385">
            <w:pPr>
              <w:pStyle w:val="TableText0"/>
              <w:keepLines w:val="0"/>
              <w:widowControl w:val="0"/>
              <w:rPr>
                <w:szCs w:val="20"/>
                <w:highlight w:val="darkGray"/>
              </w:rPr>
            </w:pPr>
            <w:r w:rsidRPr="00767170">
              <w:rPr>
                <w:color w:val="000000"/>
                <w:spacing w:val="53"/>
                <w:szCs w:val="20"/>
                <w:shd w:val="solid" w:color="000000" w:fill="000000"/>
                <w:fitText w:val="330" w:id="-628928768"/>
                <w14:textFill>
                  <w14:solidFill>
                    <w14:srgbClr w14:val="000000">
                      <w14:alpha w14:val="100000"/>
                    </w14:srgbClr>
                  </w14:solidFill>
                </w14:textFill>
              </w:rPr>
              <w:t>|||</w:t>
            </w:r>
            <w:r w:rsidRPr="00767170">
              <w:rPr>
                <w:color w:val="000000"/>
                <w:spacing w:val="1"/>
                <w:szCs w:val="20"/>
                <w:shd w:val="solid" w:color="000000" w:fill="000000"/>
                <w:fitText w:val="330" w:id="-628928768"/>
                <w14:textFill>
                  <w14:solidFill>
                    <w14:srgbClr w14:val="000000">
                      <w14:alpha w14:val="100000"/>
                    </w14:srgbClr>
                  </w14:solidFill>
                </w14:textFill>
              </w:rPr>
              <w:t>|</w:t>
            </w:r>
            <w:r w:rsidR="00E166B1" w:rsidRPr="00E166B1">
              <w:rPr>
                <w:szCs w:val="20"/>
                <w:vertAlign w:val="superscript"/>
              </w:rPr>
              <w:t>23</w:t>
            </w:r>
          </w:p>
        </w:tc>
        <w:tc>
          <w:tcPr>
            <w:tcW w:w="637" w:type="pct"/>
            <w:tcBorders>
              <w:top w:val="nil"/>
            </w:tcBorders>
            <w:vAlign w:val="center"/>
          </w:tcPr>
          <w:p w14:paraId="291700DD" w14:textId="50495587" w:rsidR="0022530D" w:rsidRPr="009C239E" w:rsidRDefault="00590FB9" w:rsidP="006D6385">
            <w:pPr>
              <w:pStyle w:val="TableText0"/>
              <w:keepLines w:val="0"/>
              <w:widowControl w:val="0"/>
              <w:rPr>
                <w:szCs w:val="20"/>
                <w:highlight w:val="darkGray"/>
              </w:rPr>
            </w:pPr>
            <w:r w:rsidRPr="00767170">
              <w:rPr>
                <w:color w:val="000000"/>
                <w:spacing w:val="53"/>
                <w:szCs w:val="20"/>
                <w:shd w:val="solid" w:color="000000" w:fill="000000"/>
                <w:fitText w:val="330" w:id="-628928767"/>
                <w14:textFill>
                  <w14:solidFill>
                    <w14:srgbClr w14:val="000000">
                      <w14:alpha w14:val="100000"/>
                    </w14:srgbClr>
                  </w14:solidFill>
                </w14:textFill>
              </w:rPr>
              <w:t>|||</w:t>
            </w:r>
            <w:r w:rsidRPr="00767170">
              <w:rPr>
                <w:color w:val="000000"/>
                <w:spacing w:val="1"/>
                <w:szCs w:val="20"/>
                <w:shd w:val="solid" w:color="000000" w:fill="000000"/>
                <w:fitText w:val="330" w:id="-628928767"/>
                <w14:textFill>
                  <w14:solidFill>
                    <w14:srgbClr w14:val="000000">
                      <w14:alpha w14:val="100000"/>
                    </w14:srgbClr>
                  </w14:solidFill>
                </w14:textFill>
              </w:rPr>
              <w:t>|</w:t>
            </w:r>
            <w:r w:rsidR="00E166B1" w:rsidRPr="00E166B1">
              <w:rPr>
                <w:szCs w:val="20"/>
                <w:vertAlign w:val="superscript"/>
              </w:rPr>
              <w:t>23</w:t>
            </w:r>
          </w:p>
        </w:tc>
        <w:tc>
          <w:tcPr>
            <w:tcW w:w="637" w:type="pct"/>
            <w:tcBorders>
              <w:top w:val="nil"/>
            </w:tcBorders>
            <w:vAlign w:val="center"/>
          </w:tcPr>
          <w:p w14:paraId="7288F280" w14:textId="19CC9162" w:rsidR="0022530D" w:rsidRPr="009C239E" w:rsidRDefault="00590FB9" w:rsidP="006D6385">
            <w:pPr>
              <w:pStyle w:val="TableText0"/>
              <w:keepLines w:val="0"/>
              <w:widowControl w:val="0"/>
              <w:rPr>
                <w:szCs w:val="20"/>
                <w:highlight w:val="darkGray"/>
              </w:rPr>
            </w:pPr>
            <w:r w:rsidRPr="00767170">
              <w:rPr>
                <w:color w:val="000000"/>
                <w:spacing w:val="53"/>
                <w:szCs w:val="20"/>
                <w:shd w:val="solid" w:color="000000" w:fill="000000"/>
                <w:fitText w:val="330" w:id="-628928766"/>
                <w14:textFill>
                  <w14:solidFill>
                    <w14:srgbClr w14:val="000000">
                      <w14:alpha w14:val="100000"/>
                    </w14:srgbClr>
                  </w14:solidFill>
                </w14:textFill>
              </w:rPr>
              <w:t>|||</w:t>
            </w:r>
            <w:r w:rsidRPr="00767170">
              <w:rPr>
                <w:color w:val="000000"/>
                <w:spacing w:val="1"/>
                <w:szCs w:val="20"/>
                <w:shd w:val="solid" w:color="000000" w:fill="000000"/>
                <w:fitText w:val="330" w:id="-628928766"/>
                <w14:textFill>
                  <w14:solidFill>
                    <w14:srgbClr w14:val="000000">
                      <w14:alpha w14:val="100000"/>
                    </w14:srgbClr>
                  </w14:solidFill>
                </w14:textFill>
              </w:rPr>
              <w:t>|</w:t>
            </w:r>
            <w:r w:rsidR="00E166B1" w:rsidRPr="00E166B1">
              <w:rPr>
                <w:szCs w:val="20"/>
                <w:vertAlign w:val="superscript"/>
              </w:rPr>
              <w:t>23</w:t>
            </w:r>
          </w:p>
        </w:tc>
        <w:tc>
          <w:tcPr>
            <w:tcW w:w="637" w:type="pct"/>
            <w:tcBorders>
              <w:top w:val="nil"/>
            </w:tcBorders>
            <w:vAlign w:val="center"/>
          </w:tcPr>
          <w:p w14:paraId="0ACC1F00" w14:textId="7AC3A0B8" w:rsidR="0022530D" w:rsidRPr="009C239E" w:rsidRDefault="00590FB9" w:rsidP="006D6385">
            <w:pPr>
              <w:pStyle w:val="TableText0"/>
              <w:keepLines w:val="0"/>
              <w:widowControl w:val="0"/>
              <w:rPr>
                <w:szCs w:val="20"/>
                <w:highlight w:val="darkGray"/>
              </w:rPr>
            </w:pPr>
            <w:r w:rsidRPr="00767170">
              <w:rPr>
                <w:color w:val="000000"/>
                <w:spacing w:val="53"/>
                <w:szCs w:val="20"/>
                <w:shd w:val="solid" w:color="000000" w:fill="000000"/>
                <w:fitText w:val="330" w:id="-628928765"/>
                <w14:textFill>
                  <w14:solidFill>
                    <w14:srgbClr w14:val="000000">
                      <w14:alpha w14:val="100000"/>
                    </w14:srgbClr>
                  </w14:solidFill>
                </w14:textFill>
              </w:rPr>
              <w:t>|||</w:t>
            </w:r>
            <w:r w:rsidRPr="00767170">
              <w:rPr>
                <w:color w:val="000000"/>
                <w:spacing w:val="1"/>
                <w:szCs w:val="20"/>
                <w:shd w:val="solid" w:color="000000" w:fill="000000"/>
                <w:fitText w:val="330" w:id="-628928765"/>
                <w14:textFill>
                  <w14:solidFill>
                    <w14:srgbClr w14:val="000000">
                      <w14:alpha w14:val="100000"/>
                    </w14:srgbClr>
                  </w14:solidFill>
                </w14:textFill>
              </w:rPr>
              <w:t>|</w:t>
            </w:r>
            <w:r w:rsidR="00E166B1" w:rsidRPr="00E166B1">
              <w:rPr>
                <w:szCs w:val="20"/>
                <w:vertAlign w:val="superscript"/>
              </w:rPr>
              <w:t>23</w:t>
            </w:r>
          </w:p>
        </w:tc>
        <w:tc>
          <w:tcPr>
            <w:tcW w:w="638" w:type="pct"/>
            <w:tcBorders>
              <w:top w:val="nil"/>
            </w:tcBorders>
            <w:vAlign w:val="center"/>
          </w:tcPr>
          <w:p w14:paraId="53CDF846" w14:textId="5764072C" w:rsidR="0022530D" w:rsidRPr="009C239E" w:rsidRDefault="00590FB9" w:rsidP="006D6385">
            <w:pPr>
              <w:pStyle w:val="TableText0"/>
              <w:keepLines w:val="0"/>
              <w:widowControl w:val="0"/>
              <w:rPr>
                <w:szCs w:val="20"/>
                <w:highlight w:val="darkGray"/>
              </w:rPr>
            </w:pPr>
            <w:r w:rsidRPr="00767170">
              <w:rPr>
                <w:color w:val="000000"/>
                <w:spacing w:val="53"/>
                <w:szCs w:val="20"/>
                <w:shd w:val="solid" w:color="000000" w:fill="000000"/>
                <w:fitText w:val="330" w:id="-628928764"/>
                <w14:textFill>
                  <w14:solidFill>
                    <w14:srgbClr w14:val="000000">
                      <w14:alpha w14:val="100000"/>
                    </w14:srgbClr>
                  </w14:solidFill>
                </w14:textFill>
              </w:rPr>
              <w:t>|||</w:t>
            </w:r>
            <w:r w:rsidRPr="00767170">
              <w:rPr>
                <w:color w:val="000000"/>
                <w:spacing w:val="1"/>
                <w:szCs w:val="20"/>
                <w:shd w:val="solid" w:color="000000" w:fill="000000"/>
                <w:fitText w:val="330" w:id="-628928764"/>
                <w14:textFill>
                  <w14:solidFill>
                    <w14:srgbClr w14:val="000000">
                      <w14:alpha w14:val="100000"/>
                    </w14:srgbClr>
                  </w14:solidFill>
                </w14:textFill>
              </w:rPr>
              <w:t>|</w:t>
            </w:r>
            <w:r w:rsidR="00E166B1" w:rsidRPr="00E166B1">
              <w:rPr>
                <w:szCs w:val="20"/>
                <w:vertAlign w:val="superscript"/>
              </w:rPr>
              <w:t>23</w:t>
            </w:r>
          </w:p>
        </w:tc>
      </w:tr>
      <w:tr w:rsidR="001C1E5A" w:rsidRPr="0061343E" w14:paraId="4E8341CE" w14:textId="77777777" w:rsidTr="006B5EA9">
        <w:tc>
          <w:tcPr>
            <w:tcW w:w="1177" w:type="pct"/>
            <w:vAlign w:val="center"/>
          </w:tcPr>
          <w:p w14:paraId="1A9ABDA8" w14:textId="1AB5FFC1" w:rsidR="001C1E5A" w:rsidRPr="0061343E" w:rsidRDefault="001C1E5A" w:rsidP="00550072">
            <w:pPr>
              <w:pStyle w:val="TableText0"/>
              <w:keepLines w:val="0"/>
              <w:widowControl w:val="0"/>
              <w:rPr>
                <w:b/>
                <w:bCs w:val="0"/>
                <w:szCs w:val="20"/>
                <w:vertAlign w:val="superscript"/>
              </w:rPr>
            </w:pPr>
            <w:r w:rsidRPr="0061343E">
              <w:rPr>
                <w:b/>
                <w:bCs w:val="0"/>
                <w:szCs w:val="20"/>
              </w:rPr>
              <w:t xml:space="preserve">Net cost to PBS/RPBS/MBS </w:t>
            </w:r>
            <w:r w:rsidR="00D25039">
              <w:rPr>
                <w:b/>
                <w:bCs w:val="0"/>
                <w:szCs w:val="20"/>
              </w:rPr>
              <w:t>(-$)</w:t>
            </w:r>
          </w:p>
        </w:tc>
        <w:tc>
          <w:tcPr>
            <w:tcW w:w="637" w:type="pct"/>
            <w:vAlign w:val="center"/>
          </w:tcPr>
          <w:p w14:paraId="3D6A9EC9" w14:textId="63542388" w:rsidR="001C1E5A" w:rsidRPr="0027628C" w:rsidRDefault="00590FB9" w:rsidP="006D6385">
            <w:pPr>
              <w:pStyle w:val="TableText0"/>
              <w:keepLines w:val="0"/>
              <w:widowControl w:val="0"/>
              <w:rPr>
                <w:b/>
                <w:bCs w:val="0"/>
                <w:szCs w:val="20"/>
                <w:highlight w:val="darkGray"/>
              </w:rPr>
            </w:pPr>
            <w:r w:rsidRPr="00767170">
              <w:rPr>
                <w:b/>
                <w:bCs w:val="0"/>
                <w:color w:val="000000"/>
                <w:spacing w:val="58"/>
                <w:shd w:val="solid" w:color="000000" w:fill="000000"/>
                <w:fitText w:val="360" w:id="-628928763"/>
                <w14:textFill>
                  <w14:solidFill>
                    <w14:srgbClr w14:val="000000">
                      <w14:alpha w14:val="100000"/>
                    </w14:srgbClr>
                  </w14:solidFill>
                </w14:textFill>
              </w:rPr>
              <w:t>|||</w:t>
            </w:r>
            <w:r w:rsidRPr="00767170">
              <w:rPr>
                <w:b/>
                <w:bCs w:val="0"/>
                <w:color w:val="000000"/>
                <w:spacing w:val="3"/>
                <w:shd w:val="solid" w:color="000000" w:fill="000000"/>
                <w:fitText w:val="360" w:id="-628928763"/>
                <w14:textFill>
                  <w14:solidFill>
                    <w14:srgbClr w14:val="000000">
                      <w14:alpha w14:val="100000"/>
                    </w14:srgbClr>
                  </w14:solidFill>
                </w14:textFill>
              </w:rPr>
              <w:t>|</w:t>
            </w:r>
            <w:r w:rsidR="000E1CA5" w:rsidRPr="000E1CA5">
              <w:rPr>
                <w:b/>
                <w:szCs w:val="20"/>
                <w:vertAlign w:val="superscript"/>
              </w:rPr>
              <w:t>22</w:t>
            </w:r>
          </w:p>
        </w:tc>
        <w:tc>
          <w:tcPr>
            <w:tcW w:w="637" w:type="pct"/>
            <w:vAlign w:val="center"/>
          </w:tcPr>
          <w:p w14:paraId="3E5A6D2C" w14:textId="3E96085F" w:rsidR="001C1E5A" w:rsidRPr="0027628C" w:rsidRDefault="00590FB9" w:rsidP="006D6385">
            <w:pPr>
              <w:pStyle w:val="TableText0"/>
              <w:keepLines w:val="0"/>
              <w:widowControl w:val="0"/>
              <w:rPr>
                <w:b/>
                <w:bCs w:val="0"/>
                <w:szCs w:val="20"/>
                <w:highlight w:val="darkGray"/>
              </w:rPr>
            </w:pPr>
            <w:r w:rsidRPr="00767170">
              <w:rPr>
                <w:b/>
                <w:bCs w:val="0"/>
                <w:color w:val="000000"/>
                <w:spacing w:val="58"/>
                <w:shd w:val="solid" w:color="000000" w:fill="000000"/>
                <w:fitText w:val="360" w:id="-628928762"/>
                <w14:textFill>
                  <w14:solidFill>
                    <w14:srgbClr w14:val="000000">
                      <w14:alpha w14:val="100000"/>
                    </w14:srgbClr>
                  </w14:solidFill>
                </w14:textFill>
              </w:rPr>
              <w:t>|||</w:t>
            </w:r>
            <w:r w:rsidRPr="00767170">
              <w:rPr>
                <w:b/>
                <w:bCs w:val="0"/>
                <w:color w:val="000000"/>
                <w:spacing w:val="3"/>
                <w:shd w:val="solid" w:color="000000" w:fill="000000"/>
                <w:fitText w:val="360" w:id="-628928762"/>
                <w14:textFill>
                  <w14:solidFill>
                    <w14:srgbClr w14:val="000000">
                      <w14:alpha w14:val="100000"/>
                    </w14:srgbClr>
                  </w14:solidFill>
                </w14:textFill>
              </w:rPr>
              <w:t>|</w:t>
            </w:r>
            <w:r w:rsidR="000E1CA5" w:rsidRPr="000E1CA5">
              <w:rPr>
                <w:b/>
                <w:szCs w:val="20"/>
                <w:vertAlign w:val="superscript"/>
              </w:rPr>
              <w:t>22</w:t>
            </w:r>
          </w:p>
        </w:tc>
        <w:tc>
          <w:tcPr>
            <w:tcW w:w="637" w:type="pct"/>
            <w:vAlign w:val="center"/>
          </w:tcPr>
          <w:p w14:paraId="2E1AF6E5" w14:textId="18F0BA9A" w:rsidR="001C1E5A" w:rsidRPr="0027628C" w:rsidRDefault="00590FB9" w:rsidP="006D6385">
            <w:pPr>
              <w:pStyle w:val="TableText0"/>
              <w:keepLines w:val="0"/>
              <w:widowControl w:val="0"/>
              <w:rPr>
                <w:b/>
                <w:bCs w:val="0"/>
                <w:szCs w:val="20"/>
                <w:highlight w:val="darkGray"/>
              </w:rPr>
            </w:pPr>
            <w:r w:rsidRPr="00767170">
              <w:rPr>
                <w:b/>
                <w:bCs w:val="0"/>
                <w:color w:val="000000"/>
                <w:spacing w:val="58"/>
                <w:shd w:val="solid" w:color="000000" w:fill="000000"/>
                <w:fitText w:val="360" w:id="-628928761"/>
                <w14:textFill>
                  <w14:solidFill>
                    <w14:srgbClr w14:val="000000">
                      <w14:alpha w14:val="100000"/>
                    </w14:srgbClr>
                  </w14:solidFill>
                </w14:textFill>
              </w:rPr>
              <w:t>|||</w:t>
            </w:r>
            <w:r w:rsidRPr="00767170">
              <w:rPr>
                <w:b/>
                <w:bCs w:val="0"/>
                <w:color w:val="000000"/>
                <w:spacing w:val="3"/>
                <w:shd w:val="solid" w:color="000000" w:fill="000000"/>
                <w:fitText w:val="360" w:id="-628928761"/>
                <w14:textFill>
                  <w14:solidFill>
                    <w14:srgbClr w14:val="000000">
                      <w14:alpha w14:val="100000"/>
                    </w14:srgbClr>
                  </w14:solidFill>
                </w14:textFill>
              </w:rPr>
              <w:t>|</w:t>
            </w:r>
            <w:r w:rsidR="000E1CA5" w:rsidRPr="000E1CA5">
              <w:rPr>
                <w:b/>
                <w:szCs w:val="20"/>
                <w:vertAlign w:val="superscript"/>
              </w:rPr>
              <w:t>22</w:t>
            </w:r>
          </w:p>
        </w:tc>
        <w:tc>
          <w:tcPr>
            <w:tcW w:w="637" w:type="pct"/>
            <w:vAlign w:val="center"/>
          </w:tcPr>
          <w:p w14:paraId="5B7E74B9" w14:textId="3C43962F" w:rsidR="001C1E5A" w:rsidRPr="0027628C" w:rsidRDefault="00590FB9" w:rsidP="006D6385">
            <w:pPr>
              <w:pStyle w:val="TableText0"/>
              <w:keepLines w:val="0"/>
              <w:widowControl w:val="0"/>
              <w:rPr>
                <w:b/>
                <w:bCs w:val="0"/>
                <w:szCs w:val="20"/>
                <w:highlight w:val="darkGray"/>
              </w:rPr>
            </w:pPr>
            <w:r w:rsidRPr="00767170">
              <w:rPr>
                <w:b/>
                <w:bCs w:val="0"/>
                <w:color w:val="000000"/>
                <w:spacing w:val="58"/>
                <w:shd w:val="solid" w:color="000000" w:fill="000000"/>
                <w:fitText w:val="360" w:id="-628928760"/>
                <w14:textFill>
                  <w14:solidFill>
                    <w14:srgbClr w14:val="000000">
                      <w14:alpha w14:val="100000"/>
                    </w14:srgbClr>
                  </w14:solidFill>
                </w14:textFill>
              </w:rPr>
              <w:t>|||</w:t>
            </w:r>
            <w:r w:rsidRPr="00767170">
              <w:rPr>
                <w:b/>
                <w:bCs w:val="0"/>
                <w:color w:val="000000"/>
                <w:spacing w:val="3"/>
                <w:shd w:val="solid" w:color="000000" w:fill="000000"/>
                <w:fitText w:val="360" w:id="-628928760"/>
                <w14:textFill>
                  <w14:solidFill>
                    <w14:srgbClr w14:val="000000">
                      <w14:alpha w14:val="100000"/>
                    </w14:srgbClr>
                  </w14:solidFill>
                </w14:textFill>
              </w:rPr>
              <w:t>|</w:t>
            </w:r>
            <w:r w:rsidR="000E1CA5" w:rsidRPr="000E1CA5">
              <w:rPr>
                <w:b/>
                <w:szCs w:val="20"/>
                <w:vertAlign w:val="superscript"/>
              </w:rPr>
              <w:t>22</w:t>
            </w:r>
          </w:p>
        </w:tc>
        <w:tc>
          <w:tcPr>
            <w:tcW w:w="637" w:type="pct"/>
            <w:vAlign w:val="center"/>
          </w:tcPr>
          <w:p w14:paraId="1D50CCA1" w14:textId="46685FA3" w:rsidR="001C1E5A" w:rsidRPr="0027628C" w:rsidRDefault="00590FB9" w:rsidP="006D6385">
            <w:pPr>
              <w:pStyle w:val="TableText0"/>
              <w:keepLines w:val="0"/>
              <w:widowControl w:val="0"/>
              <w:rPr>
                <w:b/>
                <w:bCs w:val="0"/>
                <w:szCs w:val="20"/>
                <w:highlight w:val="darkGray"/>
              </w:rPr>
            </w:pPr>
            <w:r w:rsidRPr="00767170">
              <w:rPr>
                <w:b/>
                <w:bCs w:val="0"/>
                <w:color w:val="000000"/>
                <w:spacing w:val="58"/>
                <w:shd w:val="solid" w:color="000000" w:fill="000000"/>
                <w:fitText w:val="360" w:id="-628928759"/>
                <w14:textFill>
                  <w14:solidFill>
                    <w14:srgbClr w14:val="000000">
                      <w14:alpha w14:val="100000"/>
                    </w14:srgbClr>
                  </w14:solidFill>
                </w14:textFill>
              </w:rPr>
              <w:t>|||</w:t>
            </w:r>
            <w:r w:rsidRPr="00767170">
              <w:rPr>
                <w:b/>
                <w:bCs w:val="0"/>
                <w:color w:val="000000"/>
                <w:spacing w:val="3"/>
                <w:shd w:val="solid" w:color="000000" w:fill="000000"/>
                <w:fitText w:val="360" w:id="-628928759"/>
                <w14:textFill>
                  <w14:solidFill>
                    <w14:srgbClr w14:val="000000">
                      <w14:alpha w14:val="100000"/>
                    </w14:srgbClr>
                  </w14:solidFill>
                </w14:textFill>
              </w:rPr>
              <w:t>|</w:t>
            </w:r>
            <w:r w:rsidR="000E1CA5" w:rsidRPr="000E1CA5">
              <w:rPr>
                <w:b/>
                <w:szCs w:val="20"/>
                <w:vertAlign w:val="superscript"/>
              </w:rPr>
              <w:t>22</w:t>
            </w:r>
          </w:p>
        </w:tc>
        <w:tc>
          <w:tcPr>
            <w:tcW w:w="638" w:type="pct"/>
            <w:vAlign w:val="center"/>
          </w:tcPr>
          <w:p w14:paraId="3FC6F3C9" w14:textId="567EDD2C" w:rsidR="001C1E5A" w:rsidRPr="0027628C" w:rsidRDefault="00590FB9" w:rsidP="006D6385">
            <w:pPr>
              <w:pStyle w:val="TableText0"/>
              <w:keepLines w:val="0"/>
              <w:widowControl w:val="0"/>
              <w:rPr>
                <w:b/>
                <w:bCs w:val="0"/>
                <w:szCs w:val="20"/>
                <w:highlight w:val="darkGray"/>
              </w:rPr>
            </w:pPr>
            <w:r w:rsidRPr="00767170">
              <w:rPr>
                <w:b/>
                <w:bCs w:val="0"/>
                <w:color w:val="000000"/>
                <w:spacing w:val="58"/>
                <w:shd w:val="solid" w:color="000000" w:fill="000000"/>
                <w:fitText w:val="360" w:id="-628928758"/>
                <w14:textFill>
                  <w14:solidFill>
                    <w14:srgbClr w14:val="000000">
                      <w14:alpha w14:val="100000"/>
                    </w14:srgbClr>
                  </w14:solidFill>
                </w14:textFill>
              </w:rPr>
              <w:t>|||</w:t>
            </w:r>
            <w:r w:rsidRPr="00767170">
              <w:rPr>
                <w:b/>
                <w:bCs w:val="0"/>
                <w:color w:val="000000"/>
                <w:spacing w:val="3"/>
                <w:shd w:val="solid" w:color="000000" w:fill="000000"/>
                <w:fitText w:val="360" w:id="-628928758"/>
                <w14:textFill>
                  <w14:solidFill>
                    <w14:srgbClr w14:val="000000">
                      <w14:alpha w14:val="100000"/>
                    </w14:srgbClr>
                  </w14:solidFill>
                </w14:textFill>
              </w:rPr>
              <w:t>|</w:t>
            </w:r>
            <w:r w:rsidR="000E1CA5" w:rsidRPr="000E1CA5">
              <w:rPr>
                <w:b/>
                <w:szCs w:val="20"/>
                <w:vertAlign w:val="superscript"/>
              </w:rPr>
              <w:t>22</w:t>
            </w:r>
          </w:p>
        </w:tc>
      </w:tr>
    </w:tbl>
    <w:p w14:paraId="1C80693C" w14:textId="77777777" w:rsidR="001C1E5A" w:rsidRPr="0061343E" w:rsidRDefault="001C1E5A" w:rsidP="001C1E5A">
      <w:pPr>
        <w:pStyle w:val="TableFigureFooter"/>
      </w:pPr>
      <w:r w:rsidRPr="0061343E">
        <w:t xml:space="preserve">Source: tabulated during the evaluation. </w:t>
      </w:r>
    </w:p>
    <w:p w14:paraId="0551DDC5" w14:textId="77777777" w:rsidR="001C1E5A" w:rsidRPr="0061343E" w:rsidRDefault="001C1E5A" w:rsidP="001C1E5A">
      <w:pPr>
        <w:pStyle w:val="TableFigureFooter"/>
        <w:rPr>
          <w:rStyle w:val="CommentReference"/>
        </w:rPr>
      </w:pPr>
      <w:r w:rsidRPr="0061343E">
        <w:t>DUPI = dupilumab; MBS = Medicare Benefits Schedule; NEMO = nemolizumab; PBS = Pharmaceutical Benefits Scheme; RPBS = Repatriation Pharmaceutical Benefits Scheme; UPA = upadacitinib</w:t>
      </w:r>
    </w:p>
    <w:p w14:paraId="30B5802C" w14:textId="77777777" w:rsidR="001C1E5A" w:rsidRPr="0061343E" w:rsidRDefault="001C1E5A" w:rsidP="001C1E5A">
      <w:pPr>
        <w:pStyle w:val="TableFigureFooter"/>
      </w:pPr>
      <w:r w:rsidRPr="0061343E">
        <w:rPr>
          <w:vertAlign w:val="superscript"/>
        </w:rPr>
        <w:t>a</w:t>
      </w:r>
      <w:r w:rsidRPr="0061343E">
        <w:t xml:space="preserve"> Assuming 18.5% of all DUPI scripts are for initial treatment. </w:t>
      </w:r>
    </w:p>
    <w:p w14:paraId="3E02D4E7" w14:textId="1982AC46" w:rsidR="001C1E5A" w:rsidRPr="0061343E" w:rsidRDefault="001C1E5A" w:rsidP="001C1E5A">
      <w:pPr>
        <w:pStyle w:val="TableFigureFooter"/>
      </w:pPr>
      <w:r w:rsidRPr="0061343E">
        <w:rPr>
          <w:vertAlign w:val="superscript"/>
        </w:rPr>
        <w:t xml:space="preserve">b </w:t>
      </w:r>
      <w:r w:rsidRPr="0061343E">
        <w:t xml:space="preserve">Based on PBS utilisation statistics for </w:t>
      </w:r>
      <w:r w:rsidR="00DC787A" w:rsidRPr="0061343E">
        <w:t>upadacitinib</w:t>
      </w:r>
      <w:r w:rsidRPr="0061343E">
        <w:t xml:space="preserve"> PBS services. </w:t>
      </w:r>
    </w:p>
    <w:p w14:paraId="0DAE6F3F" w14:textId="77777777" w:rsidR="001C1E5A" w:rsidRPr="0061343E" w:rsidRDefault="001C1E5A" w:rsidP="001C1E5A">
      <w:pPr>
        <w:pStyle w:val="TableFigureFooter"/>
      </w:pPr>
      <w:r w:rsidRPr="0061343E">
        <w:rPr>
          <w:vertAlign w:val="superscript"/>
        </w:rPr>
        <w:t xml:space="preserve">c </w:t>
      </w:r>
      <w:r w:rsidRPr="0061343E">
        <w:t xml:space="preserve">Based on proposed market share and substitution rates of 0.60 for DUPI initial scripts, 0.45 for DUPI continuing scripts, 0.75 for UPA initial scripts and 0.45 for UPA continuing scripts. </w:t>
      </w:r>
    </w:p>
    <w:p w14:paraId="77EE88BE" w14:textId="77777777" w:rsidR="001C1E5A" w:rsidRPr="0061343E" w:rsidRDefault="001C1E5A" w:rsidP="001C1E5A">
      <w:pPr>
        <w:pStyle w:val="TableFigureFooter"/>
      </w:pPr>
      <w:r w:rsidRPr="0061343E">
        <w:rPr>
          <w:vertAlign w:val="superscript"/>
        </w:rPr>
        <w:t xml:space="preserve">d </w:t>
      </w:r>
      <w:r w:rsidRPr="0061343E">
        <w:t>Based on DPMQs of $</w:t>
      </w:r>
      <w:r w:rsidRPr="00402D22">
        <w:t>5,504.50 for initial scripts, $2,833.50 for continuing scripts</w:t>
      </w:r>
      <w:r w:rsidRPr="0061343E">
        <w:t xml:space="preserve">; and a PBS/RPBS split of 99.39% and 0.61%. </w:t>
      </w:r>
    </w:p>
    <w:p w14:paraId="1500DE75" w14:textId="77777777" w:rsidR="001C1E5A" w:rsidRPr="0061343E" w:rsidRDefault="001C1E5A" w:rsidP="001C1E5A">
      <w:pPr>
        <w:pStyle w:val="TableFigureFooter"/>
      </w:pPr>
      <w:r w:rsidRPr="0061343E">
        <w:rPr>
          <w:vertAlign w:val="superscript"/>
        </w:rPr>
        <w:t xml:space="preserve">e </w:t>
      </w:r>
      <w:r w:rsidRPr="0061343E">
        <w:t xml:space="preserve">Based on DPMQs of $1,755.66 for DUPI (200 mg and 300 mg doses), $1,272.78 for UPA 15 g scripts and $2,077.76 for UPA 30 g scripts. </w:t>
      </w:r>
    </w:p>
    <w:p w14:paraId="3046F315" w14:textId="77777777" w:rsidR="00AB1ED1" w:rsidRDefault="001C1E5A" w:rsidP="00307F24">
      <w:pPr>
        <w:pStyle w:val="TableFigureFooter"/>
        <w:spacing w:after="120"/>
      </w:pPr>
      <w:r w:rsidRPr="0061343E">
        <w:rPr>
          <w:vertAlign w:val="superscript"/>
        </w:rPr>
        <w:t xml:space="preserve">f </w:t>
      </w:r>
      <w:r w:rsidR="0022530D" w:rsidRPr="0061343E">
        <w:t>MBS offsets revised</w:t>
      </w:r>
      <w:r w:rsidR="00BA6475" w:rsidRPr="0061343E">
        <w:t xml:space="preserve"> during evaluation</w:t>
      </w:r>
      <w:r w:rsidR="0022530D" w:rsidRPr="0061343E">
        <w:t xml:space="preserve"> to $0 as cost offsets associated with GP and specialist visits are unlikely to be realised in clinical practice. </w:t>
      </w:r>
    </w:p>
    <w:p w14:paraId="3FF93385" w14:textId="2042731D" w:rsidR="00307F24" w:rsidRPr="00402D22" w:rsidRDefault="00307F24" w:rsidP="00307F24">
      <w:pPr>
        <w:pStyle w:val="TableFigureFooter"/>
        <w:spacing w:after="120"/>
        <w:rPr>
          <w:i/>
          <w:iCs/>
        </w:rPr>
      </w:pPr>
      <w:r w:rsidRPr="00402D22">
        <w:rPr>
          <w:i/>
          <w:iCs/>
        </w:rPr>
        <w:t xml:space="preserve">The redacted values correspond to the following ranges:  </w:t>
      </w:r>
    </w:p>
    <w:p w14:paraId="469000DD" w14:textId="77777777" w:rsidR="002C495C" w:rsidRPr="00402D22" w:rsidRDefault="00307F24" w:rsidP="002C495C">
      <w:pPr>
        <w:pStyle w:val="TableFigureFooter"/>
        <w:spacing w:after="120"/>
        <w:rPr>
          <w:i/>
          <w:iCs/>
        </w:rPr>
      </w:pPr>
      <w:r w:rsidRPr="00402D22">
        <w:rPr>
          <w:i/>
          <w:iCs/>
          <w:vertAlign w:val="superscript"/>
        </w:rPr>
        <w:t>1</w:t>
      </w:r>
      <w:r w:rsidRPr="00402D22">
        <w:rPr>
          <w:i/>
          <w:iCs/>
        </w:rPr>
        <w:t xml:space="preserve"> </w:t>
      </w:r>
      <w:r w:rsidR="00E207F7" w:rsidRPr="00402D22">
        <w:rPr>
          <w:i/>
          <w:iCs/>
        </w:rPr>
        <w:t>50,000 to &lt; 60,000</w:t>
      </w:r>
      <w:r w:rsidR="002C495C" w:rsidRPr="00402D22">
        <w:rPr>
          <w:i/>
          <w:iCs/>
        </w:rPr>
        <w:t xml:space="preserve"> </w:t>
      </w:r>
    </w:p>
    <w:p w14:paraId="4FF4AFEE" w14:textId="50CB7F5B" w:rsidR="002C495C" w:rsidRPr="00402D22" w:rsidRDefault="002C495C" w:rsidP="002C495C">
      <w:pPr>
        <w:pStyle w:val="TableFigureFooter"/>
        <w:spacing w:after="120"/>
        <w:rPr>
          <w:i/>
          <w:iCs/>
        </w:rPr>
      </w:pPr>
      <w:r w:rsidRPr="00402D22">
        <w:rPr>
          <w:i/>
          <w:iCs/>
          <w:vertAlign w:val="superscript"/>
        </w:rPr>
        <w:t>2</w:t>
      </w:r>
      <w:r w:rsidRPr="00402D22">
        <w:rPr>
          <w:i/>
          <w:iCs/>
        </w:rPr>
        <w:t xml:space="preserve"> 60,000 to &lt; 70,000</w:t>
      </w:r>
    </w:p>
    <w:p w14:paraId="790E17D2" w14:textId="033624EF" w:rsidR="002C495C" w:rsidRPr="00402D22" w:rsidRDefault="002C495C" w:rsidP="002C495C">
      <w:pPr>
        <w:pStyle w:val="TableFigureFooter"/>
        <w:spacing w:after="120"/>
        <w:rPr>
          <w:i/>
          <w:iCs/>
        </w:rPr>
      </w:pPr>
      <w:r w:rsidRPr="00402D22">
        <w:rPr>
          <w:i/>
          <w:iCs/>
          <w:vertAlign w:val="superscript"/>
        </w:rPr>
        <w:t>3</w:t>
      </w:r>
      <w:r w:rsidRPr="00402D22">
        <w:rPr>
          <w:i/>
          <w:iCs/>
        </w:rPr>
        <w:t xml:space="preserve"> 70,000 to &lt; 80,000</w:t>
      </w:r>
    </w:p>
    <w:p w14:paraId="0253AD58" w14:textId="77777777" w:rsidR="006C68D3" w:rsidRPr="00402D22" w:rsidRDefault="002C495C" w:rsidP="006C68D3">
      <w:pPr>
        <w:pStyle w:val="TableFigureFooter"/>
        <w:spacing w:after="120"/>
        <w:rPr>
          <w:i/>
          <w:iCs/>
        </w:rPr>
      </w:pPr>
      <w:r w:rsidRPr="00402D22">
        <w:rPr>
          <w:i/>
          <w:iCs/>
          <w:vertAlign w:val="superscript"/>
        </w:rPr>
        <w:t xml:space="preserve">4 </w:t>
      </w:r>
      <w:r w:rsidRPr="00402D22">
        <w:rPr>
          <w:i/>
          <w:iCs/>
        </w:rPr>
        <w:t>80,000 to &lt; 90,000</w:t>
      </w:r>
      <w:r w:rsidR="006C68D3" w:rsidRPr="00402D22">
        <w:rPr>
          <w:i/>
          <w:iCs/>
        </w:rPr>
        <w:t xml:space="preserve"> </w:t>
      </w:r>
    </w:p>
    <w:p w14:paraId="5BB4D1AC" w14:textId="4B11BB85" w:rsidR="006C68D3" w:rsidRPr="00402D22" w:rsidRDefault="006C68D3" w:rsidP="006C68D3">
      <w:pPr>
        <w:pStyle w:val="TableFigureFooter"/>
        <w:spacing w:after="120"/>
        <w:rPr>
          <w:i/>
          <w:iCs/>
        </w:rPr>
      </w:pPr>
      <w:r w:rsidRPr="00402D22">
        <w:rPr>
          <w:i/>
          <w:iCs/>
          <w:vertAlign w:val="superscript"/>
        </w:rPr>
        <w:t>5</w:t>
      </w:r>
      <w:r w:rsidRPr="00402D22">
        <w:rPr>
          <w:i/>
          <w:iCs/>
        </w:rPr>
        <w:t xml:space="preserve"> 90,000 to &lt; 100,000</w:t>
      </w:r>
    </w:p>
    <w:p w14:paraId="1D55912A" w14:textId="77777777" w:rsidR="00875A0B" w:rsidRPr="00402D22" w:rsidRDefault="0086397E" w:rsidP="00875A0B">
      <w:pPr>
        <w:pStyle w:val="TableFigureFooter"/>
        <w:spacing w:after="120"/>
        <w:rPr>
          <w:i/>
          <w:iCs/>
        </w:rPr>
      </w:pPr>
      <w:r w:rsidRPr="00402D22">
        <w:rPr>
          <w:i/>
          <w:iCs/>
          <w:vertAlign w:val="superscript"/>
        </w:rPr>
        <w:t>6</w:t>
      </w:r>
      <w:r w:rsidRPr="00402D22">
        <w:rPr>
          <w:i/>
          <w:iCs/>
        </w:rPr>
        <w:t xml:space="preserve"> </w:t>
      </w:r>
      <w:r w:rsidR="006C68D3" w:rsidRPr="00402D22">
        <w:rPr>
          <w:i/>
          <w:iCs/>
        </w:rPr>
        <w:t>100,000 to &lt; 200,000</w:t>
      </w:r>
      <w:r w:rsidR="00875A0B" w:rsidRPr="00402D22">
        <w:rPr>
          <w:i/>
          <w:iCs/>
        </w:rPr>
        <w:t xml:space="preserve"> </w:t>
      </w:r>
    </w:p>
    <w:p w14:paraId="64A60DBD" w14:textId="77777777" w:rsidR="006B6A2E" w:rsidRPr="00402D22" w:rsidRDefault="00875A0B" w:rsidP="006B6A2E">
      <w:pPr>
        <w:pStyle w:val="TableFigureFooter"/>
        <w:spacing w:after="120"/>
        <w:rPr>
          <w:i/>
          <w:iCs/>
        </w:rPr>
      </w:pPr>
      <w:r w:rsidRPr="00402D22">
        <w:rPr>
          <w:i/>
          <w:iCs/>
          <w:vertAlign w:val="superscript"/>
        </w:rPr>
        <w:t>7</w:t>
      </w:r>
      <w:r w:rsidRPr="00402D22">
        <w:rPr>
          <w:i/>
          <w:iCs/>
        </w:rPr>
        <w:t xml:space="preserve"> 200,000 to &lt; 300,000</w:t>
      </w:r>
      <w:r w:rsidR="006B6A2E" w:rsidRPr="00402D22">
        <w:rPr>
          <w:i/>
          <w:iCs/>
        </w:rPr>
        <w:t xml:space="preserve"> </w:t>
      </w:r>
    </w:p>
    <w:p w14:paraId="3D795FFB" w14:textId="52320992" w:rsidR="006B6A2E" w:rsidRPr="00402D22" w:rsidRDefault="006B6A2E" w:rsidP="006B6A2E">
      <w:pPr>
        <w:pStyle w:val="TableFigureFooter"/>
        <w:spacing w:after="120"/>
        <w:rPr>
          <w:i/>
          <w:iCs/>
        </w:rPr>
      </w:pPr>
      <w:r w:rsidRPr="00402D22">
        <w:rPr>
          <w:i/>
          <w:iCs/>
          <w:vertAlign w:val="superscript"/>
        </w:rPr>
        <w:t>8</w:t>
      </w:r>
      <w:r w:rsidRPr="00402D22">
        <w:rPr>
          <w:i/>
          <w:iCs/>
        </w:rPr>
        <w:t xml:space="preserve"> 300,000 to &lt; 400,000</w:t>
      </w:r>
    </w:p>
    <w:p w14:paraId="38CF3458" w14:textId="1F5AA574" w:rsidR="00875A0B" w:rsidRPr="00402D22" w:rsidRDefault="009F625A" w:rsidP="006B6A2E">
      <w:pPr>
        <w:pStyle w:val="TableFigureFooter"/>
        <w:spacing w:after="120"/>
        <w:rPr>
          <w:i/>
          <w:iCs/>
        </w:rPr>
      </w:pPr>
      <w:r w:rsidRPr="00402D22">
        <w:rPr>
          <w:i/>
          <w:iCs/>
          <w:vertAlign w:val="superscript"/>
        </w:rPr>
        <w:t>9</w:t>
      </w:r>
      <w:r w:rsidRPr="00402D22">
        <w:rPr>
          <w:i/>
          <w:iCs/>
        </w:rPr>
        <w:t xml:space="preserve"> </w:t>
      </w:r>
      <w:r w:rsidR="006B6A2E" w:rsidRPr="00402D22">
        <w:rPr>
          <w:i/>
          <w:iCs/>
        </w:rPr>
        <w:t>400,000 to &lt; 500,000</w:t>
      </w:r>
    </w:p>
    <w:p w14:paraId="053A9D5C" w14:textId="7E831C51" w:rsidR="005640AF" w:rsidRPr="00402D22" w:rsidRDefault="0037199A" w:rsidP="005640AF">
      <w:pPr>
        <w:pStyle w:val="TableFigureFooter"/>
        <w:spacing w:after="120"/>
        <w:rPr>
          <w:i/>
          <w:iCs/>
        </w:rPr>
      </w:pPr>
      <w:r w:rsidRPr="00402D22">
        <w:rPr>
          <w:i/>
          <w:iCs/>
          <w:vertAlign w:val="superscript"/>
        </w:rPr>
        <w:t>10</w:t>
      </w:r>
      <w:r w:rsidRPr="00402D22">
        <w:rPr>
          <w:i/>
          <w:iCs/>
        </w:rPr>
        <w:t xml:space="preserve"> </w:t>
      </w:r>
      <w:r w:rsidR="005640AF" w:rsidRPr="00402D22">
        <w:rPr>
          <w:i/>
          <w:iCs/>
        </w:rPr>
        <w:t>5,000 to &lt; 10,000</w:t>
      </w:r>
    </w:p>
    <w:p w14:paraId="34B37604" w14:textId="58F3FE46" w:rsidR="005640AF" w:rsidRPr="00402D22" w:rsidRDefault="001A0795" w:rsidP="005640AF">
      <w:pPr>
        <w:pStyle w:val="TableFigureFooter"/>
        <w:spacing w:after="120"/>
        <w:rPr>
          <w:i/>
          <w:iCs/>
        </w:rPr>
      </w:pPr>
      <w:r w:rsidRPr="00402D22">
        <w:rPr>
          <w:i/>
          <w:iCs/>
          <w:vertAlign w:val="superscript"/>
        </w:rPr>
        <w:t>11</w:t>
      </w:r>
      <w:r w:rsidRPr="00402D22">
        <w:rPr>
          <w:i/>
          <w:iCs/>
        </w:rPr>
        <w:t xml:space="preserve"> </w:t>
      </w:r>
      <w:r w:rsidR="005640AF" w:rsidRPr="00402D22">
        <w:rPr>
          <w:i/>
          <w:iCs/>
        </w:rPr>
        <w:t>10,000 to &lt; 20,000</w:t>
      </w:r>
    </w:p>
    <w:p w14:paraId="7B9D0519" w14:textId="77777777" w:rsidR="00993889" w:rsidRPr="00402D22" w:rsidRDefault="00214B64" w:rsidP="00993889">
      <w:pPr>
        <w:pStyle w:val="TableFigureFooter"/>
        <w:spacing w:after="120"/>
        <w:rPr>
          <w:i/>
          <w:iCs/>
        </w:rPr>
      </w:pPr>
      <w:r w:rsidRPr="00402D22">
        <w:rPr>
          <w:i/>
          <w:iCs/>
          <w:vertAlign w:val="superscript"/>
        </w:rPr>
        <w:t>12</w:t>
      </w:r>
      <w:r w:rsidRPr="00402D22">
        <w:rPr>
          <w:i/>
          <w:iCs/>
        </w:rPr>
        <w:t xml:space="preserve"> </w:t>
      </w:r>
      <w:r w:rsidR="00C624C1" w:rsidRPr="00402D22">
        <w:rPr>
          <w:i/>
          <w:iCs/>
        </w:rPr>
        <w:t>30,000 to &lt; 40,000</w:t>
      </w:r>
      <w:r w:rsidR="003B4606" w:rsidRPr="00402D22">
        <w:rPr>
          <w:i/>
          <w:iCs/>
        </w:rPr>
        <w:t xml:space="preserve"> </w:t>
      </w:r>
    </w:p>
    <w:p w14:paraId="5532983B" w14:textId="36412108" w:rsidR="00993889" w:rsidRPr="00402D22" w:rsidRDefault="003B4606" w:rsidP="00993889">
      <w:pPr>
        <w:pStyle w:val="TableFigureFooter"/>
        <w:spacing w:after="120"/>
        <w:rPr>
          <w:i/>
          <w:iCs/>
        </w:rPr>
      </w:pPr>
      <w:r w:rsidRPr="00402D22">
        <w:rPr>
          <w:i/>
          <w:iCs/>
        </w:rPr>
        <w:t xml:space="preserve">13 </w:t>
      </w:r>
      <w:r w:rsidR="00993889" w:rsidRPr="00402D22">
        <w:rPr>
          <w:i/>
          <w:iCs/>
        </w:rPr>
        <w:t>40,000 to &lt; 50,000</w:t>
      </w:r>
    </w:p>
    <w:p w14:paraId="3E8088F5" w14:textId="77777777" w:rsidR="00E34970" w:rsidRPr="00402D22" w:rsidRDefault="00993889" w:rsidP="00993889">
      <w:pPr>
        <w:pStyle w:val="TableFigureFooter"/>
        <w:spacing w:after="120"/>
        <w:rPr>
          <w:i/>
          <w:iCs/>
        </w:rPr>
      </w:pPr>
      <w:r w:rsidRPr="00402D22">
        <w:rPr>
          <w:i/>
          <w:iCs/>
          <w:vertAlign w:val="superscript"/>
        </w:rPr>
        <w:lastRenderedPageBreak/>
        <w:t>14</w:t>
      </w:r>
      <w:r w:rsidRPr="00402D22">
        <w:rPr>
          <w:i/>
          <w:iCs/>
        </w:rPr>
        <w:t xml:space="preserve"> </w:t>
      </w:r>
      <w:r w:rsidR="00BE5B3A" w:rsidRPr="00402D22">
        <w:rPr>
          <w:i/>
          <w:iCs/>
        </w:rPr>
        <w:t>500,000 to &lt; 600,000</w:t>
      </w:r>
      <w:r w:rsidR="00E34970" w:rsidRPr="00402D22">
        <w:rPr>
          <w:i/>
          <w:iCs/>
        </w:rPr>
        <w:t xml:space="preserve"> </w:t>
      </w:r>
    </w:p>
    <w:p w14:paraId="107FFE0E" w14:textId="77777777" w:rsidR="00D82B1D" w:rsidRPr="00402D22" w:rsidRDefault="00E34970" w:rsidP="00993889">
      <w:pPr>
        <w:pStyle w:val="TableFigureFooter"/>
        <w:spacing w:after="120"/>
        <w:rPr>
          <w:i/>
          <w:iCs/>
        </w:rPr>
      </w:pPr>
      <w:r w:rsidRPr="00402D22">
        <w:rPr>
          <w:i/>
          <w:iCs/>
          <w:vertAlign w:val="superscript"/>
        </w:rPr>
        <w:t>15</w:t>
      </w:r>
      <w:r w:rsidRPr="00402D22">
        <w:rPr>
          <w:i/>
          <w:iCs/>
        </w:rPr>
        <w:t xml:space="preserve"> 600,000 to &lt; 700,000</w:t>
      </w:r>
      <w:r w:rsidR="00D82B1D" w:rsidRPr="00402D22">
        <w:rPr>
          <w:i/>
          <w:iCs/>
        </w:rPr>
        <w:t xml:space="preserve"> </w:t>
      </w:r>
    </w:p>
    <w:p w14:paraId="3C618074" w14:textId="2F92096A" w:rsidR="00BE5B3A" w:rsidRPr="00402D22" w:rsidRDefault="00D82B1D" w:rsidP="00993889">
      <w:pPr>
        <w:pStyle w:val="TableFigureFooter"/>
        <w:spacing w:after="120"/>
        <w:rPr>
          <w:i/>
          <w:iCs/>
        </w:rPr>
      </w:pPr>
      <w:r w:rsidRPr="00402D22">
        <w:rPr>
          <w:i/>
          <w:iCs/>
          <w:vertAlign w:val="superscript"/>
        </w:rPr>
        <w:t>16</w:t>
      </w:r>
      <w:r w:rsidRPr="00402D22">
        <w:rPr>
          <w:i/>
          <w:iCs/>
        </w:rPr>
        <w:t xml:space="preserve"> 500 to &lt; 5,000  </w:t>
      </w:r>
    </w:p>
    <w:p w14:paraId="5D1227B4" w14:textId="77777777" w:rsidR="00520D19" w:rsidRPr="00402D22" w:rsidRDefault="00D82B1D" w:rsidP="00993889">
      <w:pPr>
        <w:pStyle w:val="TableFigureFooter"/>
        <w:spacing w:after="120"/>
        <w:rPr>
          <w:i/>
          <w:iCs/>
        </w:rPr>
      </w:pPr>
      <w:r w:rsidRPr="00402D22">
        <w:rPr>
          <w:i/>
          <w:iCs/>
          <w:vertAlign w:val="superscript"/>
        </w:rPr>
        <w:t>17</w:t>
      </w:r>
      <w:r w:rsidRPr="00402D22">
        <w:rPr>
          <w:i/>
          <w:iCs/>
        </w:rPr>
        <w:t xml:space="preserve"> 20,000 to &lt; 30,000</w:t>
      </w:r>
      <w:r w:rsidR="00F237DE" w:rsidRPr="00402D22">
        <w:rPr>
          <w:i/>
          <w:iCs/>
        </w:rPr>
        <w:t xml:space="preserve"> </w:t>
      </w:r>
    </w:p>
    <w:p w14:paraId="344C05DD" w14:textId="77777777" w:rsidR="00941898" w:rsidRPr="00402D22" w:rsidRDefault="00F237DE" w:rsidP="00993889">
      <w:pPr>
        <w:pStyle w:val="TableFigureFooter"/>
        <w:spacing w:after="120"/>
        <w:rPr>
          <w:i/>
          <w:iCs/>
        </w:rPr>
      </w:pPr>
      <w:r w:rsidRPr="00402D22">
        <w:rPr>
          <w:i/>
          <w:iCs/>
          <w:vertAlign w:val="superscript"/>
        </w:rPr>
        <w:t>18</w:t>
      </w:r>
      <w:r w:rsidRPr="00402D22">
        <w:rPr>
          <w:i/>
          <w:iCs/>
        </w:rPr>
        <w:t xml:space="preserve"> $70 million to &lt; $80 million</w:t>
      </w:r>
    </w:p>
    <w:p w14:paraId="0CCE622D" w14:textId="77777777" w:rsidR="00F84074" w:rsidRPr="00402D22" w:rsidRDefault="00941898" w:rsidP="00993889">
      <w:pPr>
        <w:pStyle w:val="TableFigureFooter"/>
        <w:spacing w:after="120"/>
        <w:rPr>
          <w:i/>
          <w:iCs/>
        </w:rPr>
      </w:pPr>
      <w:r w:rsidRPr="00402D22">
        <w:rPr>
          <w:i/>
          <w:iCs/>
          <w:vertAlign w:val="superscript"/>
        </w:rPr>
        <w:t>19</w:t>
      </w:r>
      <w:r w:rsidRPr="00402D22">
        <w:rPr>
          <w:i/>
          <w:iCs/>
        </w:rPr>
        <w:t xml:space="preserve"> $100 million to &lt; $200 million</w:t>
      </w:r>
      <w:r w:rsidR="00F84074" w:rsidRPr="00402D22">
        <w:rPr>
          <w:i/>
          <w:iCs/>
        </w:rPr>
        <w:t xml:space="preserve"> </w:t>
      </w:r>
    </w:p>
    <w:p w14:paraId="292E70F4" w14:textId="77777777" w:rsidR="00875AA9" w:rsidRPr="00402D22" w:rsidRDefault="00F84074" w:rsidP="00993889">
      <w:pPr>
        <w:pStyle w:val="TableFigureFooter"/>
        <w:spacing w:after="120"/>
        <w:rPr>
          <w:i/>
          <w:iCs/>
        </w:rPr>
      </w:pPr>
      <w:r w:rsidRPr="00402D22">
        <w:rPr>
          <w:i/>
          <w:iCs/>
          <w:vertAlign w:val="superscript"/>
        </w:rPr>
        <w:t>20</w:t>
      </w:r>
      <w:r w:rsidRPr="00402D22">
        <w:rPr>
          <w:i/>
          <w:iCs/>
        </w:rPr>
        <w:t xml:space="preserve"> $200 million to &lt; $300 million</w:t>
      </w:r>
      <w:r w:rsidR="00875AA9" w:rsidRPr="00402D22">
        <w:rPr>
          <w:i/>
          <w:iCs/>
        </w:rPr>
        <w:t xml:space="preserve"> </w:t>
      </w:r>
    </w:p>
    <w:p w14:paraId="5EF1BCBF" w14:textId="43AABACC" w:rsidR="00592E62" w:rsidRPr="00402D22" w:rsidRDefault="00875AA9" w:rsidP="00993889">
      <w:pPr>
        <w:pStyle w:val="TableFigureFooter"/>
        <w:spacing w:after="120"/>
        <w:rPr>
          <w:i/>
          <w:iCs/>
        </w:rPr>
      </w:pPr>
      <w:r w:rsidRPr="00402D22">
        <w:rPr>
          <w:i/>
          <w:iCs/>
          <w:vertAlign w:val="superscript"/>
        </w:rPr>
        <w:t>21</w:t>
      </w:r>
      <w:r w:rsidR="00CC3ADF" w:rsidRPr="00402D22">
        <w:rPr>
          <w:i/>
          <w:iCs/>
        </w:rPr>
        <w:t xml:space="preserve"> </w:t>
      </w:r>
      <w:r w:rsidRPr="00402D22">
        <w:rPr>
          <w:i/>
          <w:iCs/>
        </w:rPr>
        <w:t xml:space="preserve">$300 million to &lt; $400 million </w:t>
      </w:r>
    </w:p>
    <w:p w14:paraId="4318BC53" w14:textId="5C5202F7" w:rsidR="00C60C18" w:rsidRPr="00402D22" w:rsidRDefault="00592E62" w:rsidP="00993889">
      <w:pPr>
        <w:pStyle w:val="TableFigureFooter"/>
        <w:spacing w:after="120"/>
        <w:rPr>
          <w:i/>
          <w:iCs/>
        </w:rPr>
      </w:pPr>
      <w:r w:rsidRPr="00402D22">
        <w:rPr>
          <w:i/>
          <w:iCs/>
          <w:vertAlign w:val="superscript"/>
        </w:rPr>
        <w:t>2</w:t>
      </w:r>
      <w:r w:rsidR="00CC3ADF" w:rsidRPr="00402D22">
        <w:rPr>
          <w:i/>
          <w:iCs/>
          <w:vertAlign w:val="superscript"/>
        </w:rPr>
        <w:t>2</w:t>
      </w:r>
      <w:r w:rsidRPr="00402D22">
        <w:rPr>
          <w:i/>
          <w:iCs/>
        </w:rPr>
        <w:t xml:space="preserve"> net cost saving</w:t>
      </w:r>
    </w:p>
    <w:p w14:paraId="6F55B67C" w14:textId="01BCCD33" w:rsidR="00D82B1D" w:rsidRPr="00402D22" w:rsidRDefault="00C60C18" w:rsidP="00993889">
      <w:pPr>
        <w:pStyle w:val="TableFigureFooter"/>
        <w:spacing w:after="120"/>
        <w:rPr>
          <w:i/>
          <w:iCs/>
        </w:rPr>
      </w:pPr>
      <w:r w:rsidRPr="00402D22">
        <w:rPr>
          <w:i/>
          <w:iCs/>
          <w:vertAlign w:val="superscript"/>
        </w:rPr>
        <w:t>23</w:t>
      </w:r>
      <w:r w:rsidRPr="00402D22">
        <w:rPr>
          <w:i/>
          <w:iCs/>
        </w:rPr>
        <w:t xml:space="preserve"> $0 to &lt; $10 million </w:t>
      </w:r>
    </w:p>
    <w:p w14:paraId="20E5DBB3" w14:textId="2EEDA9DE" w:rsidR="002D0F62" w:rsidRPr="0061343E" w:rsidRDefault="00A45DF1" w:rsidP="00A45DF1">
      <w:pPr>
        <w:pStyle w:val="3-BodyText"/>
      </w:pPr>
      <w:r w:rsidRPr="0061343E">
        <w:t xml:space="preserve">The submission estimated cost savings </w:t>
      </w:r>
      <w:r w:rsidR="00005E55" w:rsidRPr="0061343E">
        <w:t xml:space="preserve">to the PBS/RPBS </w:t>
      </w:r>
      <w:r w:rsidRPr="0061343E">
        <w:t xml:space="preserve">of </w:t>
      </w:r>
      <w:r w:rsidR="00132FC1" w:rsidRPr="00132FC1">
        <w:t xml:space="preserve">$0 to &lt; $10 million </w:t>
      </w:r>
      <w:r w:rsidR="00CC3ADF">
        <w:t xml:space="preserve"> </w:t>
      </w:r>
      <w:r w:rsidRPr="0061343E">
        <w:t xml:space="preserve">in </w:t>
      </w:r>
      <w:r w:rsidR="00005E55" w:rsidRPr="0061343E">
        <w:t>Y</w:t>
      </w:r>
      <w:r w:rsidRPr="0061343E">
        <w:t xml:space="preserve">ear 1, increasing to </w:t>
      </w:r>
      <w:r w:rsidR="00E66F8A" w:rsidRPr="00E66F8A">
        <w:t>$10 million to &lt; $20 million</w:t>
      </w:r>
      <w:r w:rsidR="00CC3ADF">
        <w:t xml:space="preserve"> </w:t>
      </w:r>
      <w:r w:rsidRPr="0061343E">
        <w:t xml:space="preserve">in </w:t>
      </w:r>
      <w:r w:rsidR="00005E55" w:rsidRPr="0061343E">
        <w:t>Y</w:t>
      </w:r>
      <w:r w:rsidRPr="0061343E">
        <w:t xml:space="preserve">ear 6, and </w:t>
      </w:r>
      <w:r w:rsidR="00005E55" w:rsidRPr="0061343E">
        <w:t>totalling</w:t>
      </w:r>
      <w:r w:rsidRPr="0061343E">
        <w:t xml:space="preserve"> </w:t>
      </w:r>
      <w:r w:rsidR="00085324" w:rsidRPr="00085324">
        <w:t>$40 million to &lt; $50 million</w:t>
      </w:r>
      <w:r w:rsidR="00CC3ADF">
        <w:t xml:space="preserve"> </w:t>
      </w:r>
      <w:r w:rsidRPr="0061343E">
        <w:t xml:space="preserve">across the first 6 years. </w:t>
      </w:r>
    </w:p>
    <w:p w14:paraId="09F25981" w14:textId="46649538" w:rsidR="00A45DF1" w:rsidRPr="0061343E" w:rsidRDefault="00A45DF1" w:rsidP="001C1E5A">
      <w:pPr>
        <w:pStyle w:val="3-BodyText"/>
      </w:pPr>
      <w:r w:rsidRPr="0061343E">
        <w:t xml:space="preserve">The financial estimates </w:t>
      </w:r>
      <w:r w:rsidR="002D0F62" w:rsidRPr="0061343E">
        <w:t xml:space="preserve">presented in the submission </w:t>
      </w:r>
      <w:r w:rsidRPr="0061343E">
        <w:t xml:space="preserve">included a reduction in costs to the MBS due to reduction in the number of eye complications associated with DUPI treatment. Costs for GP visits and specialist visits, using MBS items 23 and 106, were included. </w:t>
      </w:r>
      <w:r w:rsidR="002D0F62" w:rsidRPr="0061343E">
        <w:t>As c</w:t>
      </w:r>
      <w:r w:rsidRPr="0061343E">
        <w:t xml:space="preserve">ost offsets associated with GP and specialist visits </w:t>
      </w:r>
      <w:r w:rsidR="002D0F62" w:rsidRPr="0061343E">
        <w:t>un</w:t>
      </w:r>
      <w:r w:rsidRPr="0061343E">
        <w:t>likely to be realised</w:t>
      </w:r>
      <w:r w:rsidR="004B0CF5" w:rsidRPr="0061343E">
        <w:t>, they were excluded from the calculations above</w:t>
      </w:r>
      <w:r w:rsidR="0022530D" w:rsidRPr="0061343E">
        <w:t xml:space="preserve">. </w:t>
      </w:r>
    </w:p>
    <w:p w14:paraId="664404CD" w14:textId="77777777" w:rsidR="001C1E5A" w:rsidRPr="00D86D87" w:rsidRDefault="001C1E5A" w:rsidP="001C1E5A">
      <w:pPr>
        <w:pStyle w:val="4-SubsectionHeading"/>
      </w:pPr>
      <w:bookmarkStart w:id="79" w:name="_Toc22897649"/>
      <w:bookmarkStart w:id="80" w:name="_Toc198648781"/>
      <w:r w:rsidRPr="00D86D87">
        <w:t>Financial Management – Risk Sharing Arrangements</w:t>
      </w:r>
      <w:bookmarkEnd w:id="79"/>
      <w:bookmarkEnd w:id="80"/>
    </w:p>
    <w:p w14:paraId="5A7912E6" w14:textId="7D6197AA" w:rsidR="001C1E5A" w:rsidRDefault="001C1E5A" w:rsidP="001C1E5A">
      <w:pPr>
        <w:pStyle w:val="3-BodyText"/>
      </w:pPr>
      <w:r w:rsidRPr="000409F2">
        <w:t>The submission did not propose a risk-sharing arrangement</w:t>
      </w:r>
      <w:r w:rsidR="00DC787A" w:rsidRPr="000409F2">
        <w:t xml:space="preserve"> (RSA)</w:t>
      </w:r>
      <w:r w:rsidRPr="000409F2">
        <w:t xml:space="preserve">. </w:t>
      </w:r>
      <w:r w:rsidR="00B73681">
        <w:t xml:space="preserve">An </w:t>
      </w:r>
      <w:r w:rsidRPr="000409F2">
        <w:t xml:space="preserve">RSA </w:t>
      </w:r>
      <w:r w:rsidR="00B73681">
        <w:t>is</w:t>
      </w:r>
      <w:r w:rsidR="00B73681" w:rsidRPr="000409F2">
        <w:t xml:space="preserve"> </w:t>
      </w:r>
      <w:r w:rsidRPr="000409F2">
        <w:t xml:space="preserve">currently in place for </w:t>
      </w:r>
      <w:r w:rsidR="00000FD0" w:rsidRPr="000409F2">
        <w:t>DUPI</w:t>
      </w:r>
      <w:r w:rsidRPr="000409F2">
        <w:t xml:space="preserve"> and </w:t>
      </w:r>
      <w:r w:rsidR="00DC787A" w:rsidRPr="000409F2">
        <w:t>UPA</w:t>
      </w:r>
      <w:r w:rsidRPr="000409F2">
        <w:t xml:space="preserve">. </w:t>
      </w:r>
    </w:p>
    <w:p w14:paraId="6AC29427" w14:textId="77777777" w:rsidR="005A755E" w:rsidRPr="00C33D30" w:rsidRDefault="005A755E" w:rsidP="005A755E">
      <w:pPr>
        <w:ind w:firstLine="709"/>
        <w:rPr>
          <w:rFonts w:asciiTheme="minorHAnsi" w:hAnsiTheme="minorHAnsi"/>
          <w:i/>
        </w:rPr>
      </w:pPr>
      <w:r w:rsidRPr="00C33D30">
        <w:rPr>
          <w:rFonts w:asciiTheme="minorHAnsi" w:hAnsiTheme="minorHAnsi"/>
          <w:i/>
        </w:rPr>
        <w:t>For more detail on PBAC’s view, see section 7 PBAC outcome.</w:t>
      </w:r>
    </w:p>
    <w:p w14:paraId="0E89061C" w14:textId="77777777" w:rsidR="00B1265B" w:rsidRPr="0090150D" w:rsidRDefault="00B1265B" w:rsidP="00B1265B">
      <w:pPr>
        <w:pStyle w:val="2-SectionHeading"/>
        <w:numPr>
          <w:ilvl w:val="0"/>
          <w:numId w:val="1"/>
        </w:numPr>
      </w:pPr>
      <w:bookmarkStart w:id="81" w:name="_Hlk76381249"/>
      <w:r w:rsidRPr="0090150D">
        <w:t>PBAC Outcome</w:t>
      </w:r>
    </w:p>
    <w:p w14:paraId="71F878D1" w14:textId="5971672A" w:rsidR="0049603A" w:rsidRPr="00AD7BB5" w:rsidRDefault="00B1265B" w:rsidP="000E4C4B">
      <w:pPr>
        <w:pStyle w:val="3-BodyText"/>
      </w:pPr>
      <w:r w:rsidRPr="00CE42B4">
        <w:rPr>
          <w:snapToGrid w:val="0"/>
          <w:lang w:val="en-GB"/>
        </w:rPr>
        <w:t>The PBAC did not recommend</w:t>
      </w:r>
      <w:r w:rsidR="00660081">
        <w:rPr>
          <w:snapToGrid w:val="0"/>
          <w:lang w:val="en-GB"/>
        </w:rPr>
        <w:t xml:space="preserve"> </w:t>
      </w:r>
      <w:r w:rsidR="007357E0">
        <w:rPr>
          <w:snapToGrid w:val="0"/>
          <w:lang w:val="en-GB"/>
        </w:rPr>
        <w:t>the</w:t>
      </w:r>
      <w:r w:rsidR="00660081" w:rsidRPr="00660081">
        <w:rPr>
          <w:snapToGrid w:val="0"/>
          <w:lang w:val="en-GB"/>
        </w:rPr>
        <w:t xml:space="preserve"> General Schedule</w:t>
      </w:r>
      <w:r w:rsidR="007357E0">
        <w:rPr>
          <w:snapToGrid w:val="0"/>
          <w:lang w:val="en-GB"/>
        </w:rPr>
        <w:t>,</w:t>
      </w:r>
      <w:r w:rsidR="00660081" w:rsidRPr="00660081">
        <w:rPr>
          <w:snapToGrid w:val="0"/>
          <w:lang w:val="en-GB"/>
        </w:rPr>
        <w:t xml:space="preserve"> Authority Required (Telephone/Online) listing of nemolizumab </w:t>
      </w:r>
      <w:r w:rsidR="003C107B">
        <w:rPr>
          <w:snapToGrid w:val="0"/>
          <w:lang w:val="en-GB"/>
        </w:rPr>
        <w:t>(NEMO)</w:t>
      </w:r>
      <w:r w:rsidR="00660081" w:rsidRPr="00660081">
        <w:rPr>
          <w:snapToGrid w:val="0"/>
          <w:lang w:val="en-GB"/>
        </w:rPr>
        <w:t xml:space="preserve"> for the treatment of patients with severe atopic dermatitis</w:t>
      </w:r>
      <w:r w:rsidR="00F9117D">
        <w:rPr>
          <w:snapToGrid w:val="0"/>
          <w:lang w:val="en-GB"/>
        </w:rPr>
        <w:t xml:space="preserve"> (AD)</w:t>
      </w:r>
      <w:r w:rsidR="00660081" w:rsidRPr="00660081">
        <w:rPr>
          <w:snapToGrid w:val="0"/>
          <w:lang w:val="en-GB"/>
        </w:rPr>
        <w:t xml:space="preserve"> affecting the </w:t>
      </w:r>
      <w:r w:rsidR="00660081" w:rsidRPr="00512AF5">
        <w:rPr>
          <w:snapToGrid w:val="0"/>
          <w:lang w:val="en-GB"/>
        </w:rPr>
        <w:t xml:space="preserve">whole body, face, and/or hands. </w:t>
      </w:r>
      <w:r w:rsidR="0049603A" w:rsidRPr="00512AF5">
        <w:rPr>
          <w:snapToGrid w:val="0"/>
          <w:lang w:val="en-GB"/>
        </w:rPr>
        <w:t xml:space="preserve">The PBAC considered the submission’s clinical claim of non-inferior effectiveness of </w:t>
      </w:r>
      <w:r w:rsidR="00AF4637" w:rsidRPr="00512AF5">
        <w:rPr>
          <w:snapToGrid w:val="0"/>
          <w:lang w:val="en-GB"/>
        </w:rPr>
        <w:t xml:space="preserve">NEMO </w:t>
      </w:r>
      <w:r w:rsidR="0049603A" w:rsidRPr="00512AF5">
        <w:rPr>
          <w:snapToGrid w:val="0"/>
          <w:lang w:val="en-GB"/>
        </w:rPr>
        <w:t xml:space="preserve">to </w:t>
      </w:r>
      <w:r w:rsidR="00AF4637" w:rsidRPr="00512AF5">
        <w:rPr>
          <w:snapToGrid w:val="0"/>
          <w:lang w:val="en-GB"/>
        </w:rPr>
        <w:t xml:space="preserve">dupilumab </w:t>
      </w:r>
      <w:r w:rsidR="00390A6D" w:rsidRPr="00512AF5">
        <w:rPr>
          <w:snapToGrid w:val="0"/>
          <w:lang w:val="en-GB"/>
        </w:rPr>
        <w:t xml:space="preserve">(DUPI) </w:t>
      </w:r>
      <w:r w:rsidR="00564DEC">
        <w:rPr>
          <w:snapToGrid w:val="0"/>
          <w:lang w:val="en-GB"/>
        </w:rPr>
        <w:t>was</w:t>
      </w:r>
      <w:r w:rsidR="00564DEC" w:rsidRPr="00512AF5">
        <w:rPr>
          <w:snapToGrid w:val="0"/>
          <w:lang w:val="en-GB"/>
        </w:rPr>
        <w:t xml:space="preserve"> </w:t>
      </w:r>
      <w:r w:rsidR="00C92153">
        <w:rPr>
          <w:snapToGrid w:val="0"/>
          <w:lang w:val="en-GB"/>
        </w:rPr>
        <w:t>not adequately supported</w:t>
      </w:r>
      <w:r w:rsidR="007357E0">
        <w:rPr>
          <w:snapToGrid w:val="0"/>
          <w:lang w:val="en-GB"/>
        </w:rPr>
        <w:t xml:space="preserve"> </w:t>
      </w:r>
      <w:r w:rsidR="007F43B3">
        <w:rPr>
          <w:snapToGrid w:val="0"/>
          <w:lang w:val="en-GB"/>
        </w:rPr>
        <w:t xml:space="preserve">with </w:t>
      </w:r>
      <w:r w:rsidR="007357E0">
        <w:rPr>
          <w:snapToGrid w:val="0"/>
          <w:lang w:val="en-GB"/>
        </w:rPr>
        <w:t xml:space="preserve">the primary </w:t>
      </w:r>
      <w:r w:rsidR="00F90A39">
        <w:rPr>
          <w:snapToGrid w:val="0"/>
          <w:lang w:val="en-GB"/>
        </w:rPr>
        <w:t xml:space="preserve">indirect </w:t>
      </w:r>
      <w:r w:rsidR="00867E1C">
        <w:rPr>
          <w:snapToGrid w:val="0"/>
          <w:lang w:val="en-GB"/>
        </w:rPr>
        <w:t xml:space="preserve">comparison </w:t>
      </w:r>
      <w:r w:rsidR="007357E0">
        <w:rPr>
          <w:snapToGrid w:val="0"/>
          <w:lang w:val="en-GB"/>
        </w:rPr>
        <w:t>presented at</w:t>
      </w:r>
      <w:r w:rsidR="007F5903">
        <w:rPr>
          <w:snapToGrid w:val="0"/>
          <w:lang w:val="en-GB"/>
        </w:rPr>
        <w:t xml:space="preserve"> 16 weeks </w:t>
      </w:r>
      <w:r w:rsidR="0084482C">
        <w:rPr>
          <w:snapToGrid w:val="0"/>
          <w:lang w:val="en-GB"/>
        </w:rPr>
        <w:t>indicating</w:t>
      </w:r>
      <w:r w:rsidR="001C7D8B">
        <w:rPr>
          <w:snapToGrid w:val="0"/>
          <w:lang w:val="en-GB"/>
        </w:rPr>
        <w:t xml:space="preserve"> NEMO </w:t>
      </w:r>
      <w:r w:rsidR="0084482C">
        <w:rPr>
          <w:snapToGrid w:val="0"/>
          <w:lang w:val="en-GB"/>
        </w:rPr>
        <w:t>is likely</w:t>
      </w:r>
      <w:r w:rsidR="001C7D8B">
        <w:rPr>
          <w:snapToGrid w:val="0"/>
          <w:lang w:val="en-GB"/>
        </w:rPr>
        <w:t xml:space="preserve"> inferior to DUPI. </w:t>
      </w:r>
      <w:r w:rsidR="001C7D8B" w:rsidRPr="00467FAF">
        <w:rPr>
          <w:snapToGrid w:val="0"/>
          <w:lang w:val="en-GB"/>
        </w:rPr>
        <w:t xml:space="preserve">The Committee noted </w:t>
      </w:r>
      <w:r w:rsidR="0054459F" w:rsidRPr="00467FAF">
        <w:rPr>
          <w:snapToGrid w:val="0"/>
          <w:lang w:val="en-GB"/>
        </w:rPr>
        <w:t xml:space="preserve">the </w:t>
      </w:r>
      <w:r w:rsidR="001C7D8B" w:rsidRPr="00467FAF">
        <w:rPr>
          <w:snapToGrid w:val="0"/>
          <w:lang w:val="en-GB"/>
        </w:rPr>
        <w:t xml:space="preserve">additional clinical data on </w:t>
      </w:r>
      <w:r w:rsidR="00C17BBC" w:rsidRPr="00467FAF">
        <w:rPr>
          <w:snapToGrid w:val="0"/>
          <w:lang w:val="en-GB"/>
        </w:rPr>
        <w:t xml:space="preserve">improved </w:t>
      </w:r>
      <w:r w:rsidR="001C7D8B" w:rsidRPr="00467FAF">
        <w:rPr>
          <w:snapToGrid w:val="0"/>
          <w:lang w:val="en-GB"/>
        </w:rPr>
        <w:t xml:space="preserve">patient outcomes with an extended induction period out to 24 weeks presented in the </w:t>
      </w:r>
      <w:proofErr w:type="gramStart"/>
      <w:r w:rsidR="001C7D8B" w:rsidRPr="00467FAF">
        <w:rPr>
          <w:snapToGrid w:val="0"/>
          <w:lang w:val="en-GB"/>
        </w:rPr>
        <w:t xml:space="preserve">PSCR, </w:t>
      </w:r>
      <w:r w:rsidR="00442916" w:rsidRPr="00467FAF">
        <w:rPr>
          <w:snapToGrid w:val="0"/>
          <w:lang w:val="en-GB"/>
        </w:rPr>
        <w:t>but</w:t>
      </w:r>
      <w:proofErr w:type="gramEnd"/>
      <w:r w:rsidR="00442916" w:rsidRPr="00467FAF">
        <w:rPr>
          <w:snapToGrid w:val="0"/>
          <w:lang w:val="en-GB"/>
        </w:rPr>
        <w:t xml:space="preserve"> </w:t>
      </w:r>
      <w:r w:rsidR="00D4450C">
        <w:rPr>
          <w:snapToGrid w:val="0"/>
          <w:lang w:val="en-GB"/>
        </w:rPr>
        <w:t>consid</w:t>
      </w:r>
      <w:r w:rsidR="00A35B30">
        <w:rPr>
          <w:snapToGrid w:val="0"/>
          <w:lang w:val="en-GB"/>
        </w:rPr>
        <w:t>er</w:t>
      </w:r>
      <w:r w:rsidR="00371577">
        <w:rPr>
          <w:snapToGrid w:val="0"/>
          <w:lang w:val="en-GB"/>
        </w:rPr>
        <w:t>ed</w:t>
      </w:r>
      <w:r w:rsidR="00A35B30">
        <w:rPr>
          <w:snapToGrid w:val="0"/>
          <w:lang w:val="en-GB"/>
        </w:rPr>
        <w:t xml:space="preserve"> this dosing regimen </w:t>
      </w:r>
      <w:r w:rsidR="00AD7BB5">
        <w:rPr>
          <w:snapToGrid w:val="0"/>
          <w:lang w:val="en-GB"/>
        </w:rPr>
        <w:t xml:space="preserve">is not consistent with </w:t>
      </w:r>
      <w:r w:rsidR="00371577" w:rsidRPr="00AD7BB5">
        <w:rPr>
          <w:snapToGrid w:val="0"/>
          <w:lang w:val="en-GB"/>
        </w:rPr>
        <w:t xml:space="preserve">the </w:t>
      </w:r>
      <w:r w:rsidR="00F45C50" w:rsidRPr="00AD7BB5">
        <w:rPr>
          <w:snapToGrid w:val="0"/>
          <w:lang w:val="en-GB"/>
        </w:rPr>
        <w:t>TGA Product Information (PI)</w:t>
      </w:r>
      <w:r w:rsidR="000E4C4B">
        <w:rPr>
          <w:snapToGrid w:val="0"/>
          <w:lang w:val="en-GB"/>
        </w:rPr>
        <w:t xml:space="preserve">, and as such cannot be considered </w:t>
      </w:r>
      <w:r w:rsidR="005223A7" w:rsidRPr="00AD7BB5">
        <w:rPr>
          <w:snapToGrid w:val="0"/>
          <w:lang w:val="en-GB"/>
        </w:rPr>
        <w:t>as part of the PBS listing</w:t>
      </w:r>
      <w:r w:rsidR="0049603A" w:rsidRPr="00AD7BB5">
        <w:rPr>
          <w:snapToGrid w:val="0"/>
          <w:lang w:val="en-GB"/>
        </w:rPr>
        <w:t>. </w:t>
      </w:r>
      <w:r w:rsidR="0049603A" w:rsidRPr="00AD7BB5">
        <w:rPr>
          <w:color w:val="FF0000"/>
        </w:rPr>
        <w:t xml:space="preserve"> </w:t>
      </w:r>
    </w:p>
    <w:p w14:paraId="643FCC88" w14:textId="77777777" w:rsidR="0049603A" w:rsidRPr="00D83C26" w:rsidRDefault="0049603A" w:rsidP="0049603A">
      <w:pPr>
        <w:pStyle w:val="3-BodyText"/>
        <w:rPr>
          <w:snapToGrid w:val="0"/>
          <w:lang w:val="en-GB"/>
        </w:rPr>
      </w:pPr>
      <w:r w:rsidRPr="00D83C26">
        <w:t>The primary reason for this outcome was due to the comparative clinical evidence.</w:t>
      </w:r>
    </w:p>
    <w:p w14:paraId="7E9658BE" w14:textId="1BAAF649" w:rsidR="0049603A" w:rsidRPr="0049603A" w:rsidRDefault="00D83C26" w:rsidP="0049603A">
      <w:pPr>
        <w:pStyle w:val="3-BodyText"/>
        <w:rPr>
          <w:snapToGrid w:val="0"/>
          <w:color w:val="FF0000"/>
          <w:lang w:val="en-GB"/>
        </w:rPr>
      </w:pPr>
      <w:r w:rsidRPr="00836F75">
        <w:rPr>
          <w:snapToGrid w:val="0"/>
        </w:rPr>
        <w:t>The PBAC noted</w:t>
      </w:r>
      <w:r w:rsidR="005E549E">
        <w:rPr>
          <w:snapToGrid w:val="0"/>
        </w:rPr>
        <w:t xml:space="preserve"> the sponsor hearing and the</w:t>
      </w:r>
      <w:r w:rsidRPr="00836F75">
        <w:rPr>
          <w:snapToGrid w:val="0"/>
        </w:rPr>
        <w:t xml:space="preserve"> </w:t>
      </w:r>
      <w:r>
        <w:rPr>
          <w:snapToGrid w:val="0"/>
        </w:rPr>
        <w:t xml:space="preserve">inputs </w:t>
      </w:r>
      <w:r w:rsidRPr="00836F75">
        <w:rPr>
          <w:snapToGrid w:val="0"/>
        </w:rPr>
        <w:t>received from</w:t>
      </w:r>
      <w:r>
        <w:rPr>
          <w:snapToGrid w:val="0"/>
        </w:rPr>
        <w:t xml:space="preserve"> the </w:t>
      </w:r>
      <w:r w:rsidRPr="00BB7D9A">
        <w:rPr>
          <w:rFonts w:eastAsia="Times New Roman" w:cs="Arial"/>
          <w:snapToGrid w:val="0"/>
          <w:szCs w:val="24"/>
        </w:rPr>
        <w:t>Australasian College of Dermatologists (ACD)</w:t>
      </w:r>
      <w:r>
        <w:rPr>
          <w:snapToGrid w:val="0"/>
        </w:rPr>
        <w:t xml:space="preserve">, </w:t>
      </w:r>
      <w:r w:rsidRPr="00BB7D9A">
        <w:rPr>
          <w:rFonts w:eastAsia="Times New Roman" w:cs="Arial"/>
          <w:snapToGrid w:val="0"/>
          <w:szCs w:val="24"/>
        </w:rPr>
        <w:t>Eczema Support Australia</w:t>
      </w:r>
      <w:r>
        <w:rPr>
          <w:snapToGrid w:val="0"/>
        </w:rPr>
        <w:t xml:space="preserve"> and a joint submission between </w:t>
      </w:r>
      <w:r w:rsidRPr="00BB7D9A">
        <w:rPr>
          <w:rFonts w:eastAsia="Times New Roman" w:cs="Arial"/>
          <w:snapToGrid w:val="0"/>
          <w:szCs w:val="24"/>
        </w:rPr>
        <w:t>Allergy</w:t>
      </w:r>
      <w:r>
        <w:rPr>
          <w:rFonts w:eastAsia="Times New Roman" w:cs="Arial"/>
          <w:snapToGrid w:val="0"/>
          <w:szCs w:val="24"/>
        </w:rPr>
        <w:t xml:space="preserve"> </w:t>
      </w:r>
      <w:r w:rsidRPr="00BB7D9A">
        <w:rPr>
          <w:rFonts w:eastAsia="Times New Roman" w:cs="Arial"/>
          <w:snapToGrid w:val="0"/>
          <w:szCs w:val="24"/>
        </w:rPr>
        <w:t xml:space="preserve">&amp; Anaphylaxis Australia, Australasian Society of Clinical Immunology and Allergy (ASCIA) and </w:t>
      </w:r>
      <w:r>
        <w:rPr>
          <w:rFonts w:eastAsia="Times New Roman" w:cs="Arial"/>
          <w:snapToGrid w:val="0"/>
          <w:szCs w:val="24"/>
        </w:rPr>
        <w:t xml:space="preserve">the </w:t>
      </w:r>
      <w:r w:rsidRPr="00BB7D9A">
        <w:rPr>
          <w:rFonts w:eastAsia="Times New Roman" w:cs="Arial"/>
          <w:snapToGrid w:val="0"/>
          <w:szCs w:val="24"/>
        </w:rPr>
        <w:t xml:space="preserve">National </w:t>
      </w:r>
      <w:r w:rsidRPr="00AF4637">
        <w:rPr>
          <w:rFonts w:eastAsia="Times New Roman" w:cs="Arial"/>
          <w:snapToGrid w:val="0"/>
          <w:szCs w:val="24"/>
        </w:rPr>
        <w:t xml:space="preserve">Allergy Council, were all in support of listing </w:t>
      </w:r>
      <w:r w:rsidR="00BC4523">
        <w:rPr>
          <w:rFonts w:eastAsia="Times New Roman" w:cs="Arial"/>
          <w:snapToGrid w:val="0"/>
          <w:szCs w:val="24"/>
        </w:rPr>
        <w:t>NEMO</w:t>
      </w:r>
      <w:r w:rsidR="00BC4523" w:rsidRPr="00AF4637">
        <w:rPr>
          <w:rFonts w:eastAsia="Times New Roman" w:cs="Arial"/>
          <w:snapToGrid w:val="0"/>
          <w:szCs w:val="24"/>
        </w:rPr>
        <w:t xml:space="preserve"> </w:t>
      </w:r>
      <w:r w:rsidRPr="00AF4637">
        <w:rPr>
          <w:rFonts w:eastAsia="Times New Roman" w:cs="Arial"/>
          <w:snapToGrid w:val="0"/>
          <w:szCs w:val="24"/>
        </w:rPr>
        <w:t>on the PBS</w:t>
      </w:r>
      <w:r w:rsidR="00520EFA" w:rsidRPr="00AF4637">
        <w:rPr>
          <w:rFonts w:eastAsia="Times New Roman" w:cs="Arial"/>
          <w:snapToGrid w:val="0"/>
          <w:szCs w:val="24"/>
        </w:rPr>
        <w:t xml:space="preserve"> for </w:t>
      </w:r>
      <w:r w:rsidR="007A63AB">
        <w:rPr>
          <w:rFonts w:eastAsia="Times New Roman" w:cs="Arial"/>
          <w:snapToGrid w:val="0"/>
          <w:szCs w:val="24"/>
        </w:rPr>
        <w:t>AD</w:t>
      </w:r>
      <w:r w:rsidRPr="00AF4637">
        <w:rPr>
          <w:snapToGrid w:val="0"/>
        </w:rPr>
        <w:t xml:space="preserve">. </w:t>
      </w:r>
      <w:r w:rsidR="0049603A" w:rsidRPr="00AF4637">
        <w:rPr>
          <w:bCs/>
          <w:snapToGrid w:val="0"/>
        </w:rPr>
        <w:t xml:space="preserve">The PBAC </w:t>
      </w:r>
      <w:r w:rsidR="00CD15A5">
        <w:rPr>
          <w:bCs/>
          <w:snapToGrid w:val="0"/>
        </w:rPr>
        <w:t xml:space="preserve">acknowledged </w:t>
      </w:r>
      <w:r w:rsidR="0049603A" w:rsidRPr="00AF4637">
        <w:rPr>
          <w:bCs/>
          <w:snapToGrid w:val="0"/>
        </w:rPr>
        <w:t xml:space="preserve">that </w:t>
      </w:r>
      <w:r w:rsidR="0014553E">
        <w:rPr>
          <w:bCs/>
          <w:snapToGrid w:val="0"/>
        </w:rPr>
        <w:t xml:space="preserve">although the current treatments </w:t>
      </w:r>
      <w:r w:rsidR="007745AF">
        <w:rPr>
          <w:bCs/>
          <w:snapToGrid w:val="0"/>
        </w:rPr>
        <w:t xml:space="preserve">for </w:t>
      </w:r>
      <w:r w:rsidR="007A63AB">
        <w:rPr>
          <w:bCs/>
          <w:snapToGrid w:val="0"/>
        </w:rPr>
        <w:t xml:space="preserve">AD </w:t>
      </w:r>
      <w:r w:rsidR="007745AF">
        <w:rPr>
          <w:bCs/>
          <w:snapToGrid w:val="0"/>
        </w:rPr>
        <w:t xml:space="preserve">have had significant </w:t>
      </w:r>
      <w:r w:rsidR="00E91339">
        <w:rPr>
          <w:bCs/>
          <w:snapToGrid w:val="0"/>
        </w:rPr>
        <w:t xml:space="preserve">benefits for patients, </w:t>
      </w:r>
      <w:r w:rsidR="009E7FE0" w:rsidRPr="00AF4637">
        <w:rPr>
          <w:bCs/>
          <w:snapToGrid w:val="0"/>
        </w:rPr>
        <w:t xml:space="preserve">there </w:t>
      </w:r>
      <w:r w:rsidR="00E91339">
        <w:rPr>
          <w:bCs/>
          <w:snapToGrid w:val="0"/>
        </w:rPr>
        <w:t xml:space="preserve">is still </w:t>
      </w:r>
      <w:r w:rsidR="009E7FE0" w:rsidRPr="00AF4637">
        <w:rPr>
          <w:bCs/>
          <w:snapToGrid w:val="0"/>
        </w:rPr>
        <w:t xml:space="preserve">a need </w:t>
      </w:r>
      <w:r w:rsidR="0049603A" w:rsidRPr="00AF4637">
        <w:rPr>
          <w:bCs/>
          <w:snapToGrid w:val="0"/>
        </w:rPr>
        <w:t>to have alternative treatments</w:t>
      </w:r>
      <w:r w:rsidR="004B52C5">
        <w:rPr>
          <w:bCs/>
          <w:snapToGrid w:val="0"/>
        </w:rPr>
        <w:t xml:space="preserve"> available</w:t>
      </w:r>
      <w:r w:rsidR="00D7205A">
        <w:rPr>
          <w:bCs/>
          <w:snapToGrid w:val="0"/>
        </w:rPr>
        <w:t xml:space="preserve"> on the PBS</w:t>
      </w:r>
      <w:r w:rsidR="004B52C5">
        <w:rPr>
          <w:bCs/>
          <w:snapToGrid w:val="0"/>
        </w:rPr>
        <w:t xml:space="preserve">, especially </w:t>
      </w:r>
      <w:r w:rsidR="00D7205A">
        <w:rPr>
          <w:bCs/>
          <w:snapToGrid w:val="0"/>
        </w:rPr>
        <w:t xml:space="preserve">those with different mechanisms of action. </w:t>
      </w:r>
      <w:r w:rsidR="002A0F85">
        <w:rPr>
          <w:bCs/>
          <w:snapToGrid w:val="0"/>
        </w:rPr>
        <w:t xml:space="preserve"> </w:t>
      </w:r>
    </w:p>
    <w:p w14:paraId="6A7DAA3B" w14:textId="0529B882" w:rsidR="0049603A" w:rsidRPr="00B27A94" w:rsidRDefault="00961ADD" w:rsidP="00B1265B">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lastRenderedPageBreak/>
        <w:t xml:space="preserve">The PBAC considered the submission’s </w:t>
      </w:r>
      <w:r>
        <w:t>nominated main comparator, DUPI, was appropriate</w:t>
      </w:r>
      <w:r w:rsidR="00101E6E">
        <w:t xml:space="preserve"> as it </w:t>
      </w:r>
      <w:r w:rsidR="00101E6E" w:rsidRPr="002054D3">
        <w:t xml:space="preserve">is the most utilised targeted therapy for treating severe AD in clinical practice </w:t>
      </w:r>
      <w:r w:rsidR="00101E6E">
        <w:t>and is the therapy</w:t>
      </w:r>
      <w:r w:rsidR="00101E6E" w:rsidRPr="002054D3">
        <w:t xml:space="preserve"> most likely to be replaced by NEMO should </w:t>
      </w:r>
      <w:r w:rsidR="0053697F">
        <w:t xml:space="preserve">it be listed. </w:t>
      </w:r>
    </w:p>
    <w:p w14:paraId="33BAF30B" w14:textId="4B7CC5B5" w:rsidR="00115097" w:rsidRPr="002E39F5" w:rsidRDefault="00B27A94">
      <w:pPr>
        <w:widowControl w:val="0"/>
        <w:numPr>
          <w:ilvl w:val="1"/>
          <w:numId w:val="1"/>
        </w:numPr>
        <w:spacing w:after="120"/>
      </w:pPr>
      <w:r w:rsidRPr="387F6B83">
        <w:rPr>
          <w:rFonts w:asciiTheme="minorHAnsi" w:hAnsiTheme="minorHAnsi"/>
          <w:snapToGrid w:val="0"/>
          <w:lang w:val="en-GB"/>
        </w:rPr>
        <w:t xml:space="preserve">The PBAC noted the submission was supported by </w:t>
      </w:r>
      <w:r w:rsidR="00F9117D" w:rsidRPr="387F6B83">
        <w:rPr>
          <w:rFonts w:asciiTheme="minorHAnsi" w:hAnsiTheme="minorHAnsi"/>
          <w:snapToGrid w:val="0"/>
          <w:lang w:val="en-GB"/>
        </w:rPr>
        <w:t>four NEMO trials (ARCADIA 1/2, ARCADIA CYLO and Study 114322) and three DUPI trials (CAFE, CHRONOS and JADE COMPARE), which were all randomised controlled trials with a low risk of bias (Table 3).</w:t>
      </w:r>
      <w:r w:rsidR="00A86712" w:rsidRPr="387F6B83">
        <w:rPr>
          <w:rFonts w:asciiTheme="minorHAnsi" w:hAnsiTheme="minorHAnsi"/>
          <w:snapToGrid w:val="0"/>
          <w:lang w:val="en-GB"/>
        </w:rPr>
        <w:t xml:space="preserve"> </w:t>
      </w:r>
      <w:r w:rsidR="00E14D2A" w:rsidRPr="00EF575D">
        <w:rPr>
          <w:snapToGrid w:val="0"/>
          <w:lang w:val="en-GB"/>
        </w:rPr>
        <w:t xml:space="preserve">The PBAC noted that the primary efficacy and safety evidence presented in the submission </w:t>
      </w:r>
      <w:r w:rsidR="007345E8" w:rsidRPr="00EF575D">
        <w:rPr>
          <w:snapToGrid w:val="0"/>
          <w:lang w:val="en-GB"/>
        </w:rPr>
        <w:t>were indirect treatment comparisons (ITCs)</w:t>
      </w:r>
      <w:r w:rsidR="00EC3EC4" w:rsidRPr="00EF575D">
        <w:rPr>
          <w:snapToGrid w:val="0"/>
          <w:lang w:val="en-GB"/>
        </w:rPr>
        <w:t xml:space="preserve"> of NEMO and DUPI</w:t>
      </w:r>
      <w:r w:rsidR="007345E8" w:rsidRPr="00EF575D">
        <w:rPr>
          <w:snapToGrid w:val="0"/>
          <w:lang w:val="en-GB"/>
        </w:rPr>
        <w:t>, using the Bucher methodology via placebo</w:t>
      </w:r>
      <w:r w:rsidR="00B92F76" w:rsidRPr="00EF575D">
        <w:rPr>
          <w:snapToGrid w:val="0"/>
          <w:lang w:val="en-GB"/>
        </w:rPr>
        <w:t>.</w:t>
      </w:r>
      <w:r w:rsidR="00F9117D" w:rsidRPr="00EF575D">
        <w:rPr>
          <w:snapToGrid w:val="0"/>
          <w:lang w:val="en-GB"/>
        </w:rPr>
        <w:t xml:space="preserve"> </w:t>
      </w:r>
      <w:r w:rsidR="00B961EB" w:rsidRPr="00EF575D">
        <w:rPr>
          <w:snapToGrid w:val="0"/>
          <w:lang w:val="en-GB"/>
        </w:rPr>
        <w:t xml:space="preserve">The PBAC noted the submission described NEMO as non-inferior in terms of effectiveness compared with DUPI. </w:t>
      </w:r>
      <w:r w:rsidR="00D36390">
        <w:t xml:space="preserve"> </w:t>
      </w:r>
      <w:r w:rsidR="00550CE3">
        <w:t>T</w:t>
      </w:r>
      <w:r w:rsidR="00D36390">
        <w:t xml:space="preserve">he PBAC noted </w:t>
      </w:r>
      <w:r w:rsidR="000A47F7">
        <w:t xml:space="preserve">for </w:t>
      </w:r>
      <w:r w:rsidR="00D36390">
        <w:t>the ITCs presented</w:t>
      </w:r>
      <w:r w:rsidR="00B40393">
        <w:t xml:space="preserve"> </w:t>
      </w:r>
      <w:r w:rsidR="00920A4C">
        <w:t>compari</w:t>
      </w:r>
      <w:r w:rsidR="00B40393">
        <w:t>ng</w:t>
      </w:r>
      <w:r w:rsidR="00920A4C">
        <w:t xml:space="preserve"> NEMO and DUPI at 16 weeks in patients with moderate and severe disease</w:t>
      </w:r>
      <w:r w:rsidR="00BB03E9">
        <w:t>,</w:t>
      </w:r>
      <w:r w:rsidR="00D36390">
        <w:t xml:space="preserve"> </w:t>
      </w:r>
      <w:r w:rsidR="00C67DC3">
        <w:t xml:space="preserve">the results </w:t>
      </w:r>
      <w:r w:rsidR="00D5668D">
        <w:t xml:space="preserve">were </w:t>
      </w:r>
      <w:r w:rsidR="00D5668D" w:rsidRPr="0061343E">
        <w:t>in</w:t>
      </w:r>
      <w:r w:rsidR="00BC0F58" w:rsidRPr="0061343E">
        <w:t xml:space="preserve"> favour of DUPI</w:t>
      </w:r>
      <w:r w:rsidR="00BC0F58" w:rsidRPr="00EF575D">
        <w:rPr>
          <w:rStyle w:val="CommentReference"/>
          <w:rFonts w:cs="Times New Roman"/>
        </w:rPr>
        <w:t xml:space="preserve"> </w:t>
      </w:r>
      <w:r w:rsidR="00BC0F58" w:rsidRPr="0061343E">
        <w:t>for</w:t>
      </w:r>
      <w:r w:rsidR="00D36390">
        <w:t xml:space="preserve"> the co-primary endpoints </w:t>
      </w:r>
      <w:r w:rsidR="002246C5">
        <w:t>of</w:t>
      </w:r>
      <w:r w:rsidR="00BC0F58" w:rsidRPr="0061343E">
        <w:t xml:space="preserve"> EASI-75 (RR = 0.61; 95% CI: 0.41, 0.89) and IGA success (RR = 0.49; 95% CI: 0.34, 0.69)</w:t>
      </w:r>
      <w:r w:rsidR="002246C5">
        <w:t xml:space="preserve">. </w:t>
      </w:r>
      <w:r w:rsidR="00BC0F58" w:rsidRPr="0061343E">
        <w:t xml:space="preserve"> </w:t>
      </w:r>
      <w:r w:rsidR="00321A96">
        <w:t xml:space="preserve">Additionally, </w:t>
      </w:r>
      <w:r w:rsidR="00115097" w:rsidRPr="00767B59">
        <w:t xml:space="preserve">the PBAC noted the submission did not present ITCs of NEMO versus DUPI in the proposed target population of patients with </w:t>
      </w:r>
      <w:r w:rsidR="00115097" w:rsidRPr="002E39F5">
        <w:t>severe AD.</w:t>
      </w:r>
      <w:r w:rsidR="00115097" w:rsidRPr="00767B59">
        <w:t xml:space="preserve"> Instead, the submission provided post-hoc subgroup analyses for patients with severe AD from the NEMO trials</w:t>
      </w:r>
      <w:r w:rsidR="0001292A" w:rsidRPr="00767B59">
        <w:t xml:space="preserve"> only</w:t>
      </w:r>
      <w:r w:rsidR="00115097" w:rsidRPr="00767B59">
        <w:t xml:space="preserve">. </w:t>
      </w:r>
    </w:p>
    <w:p w14:paraId="4E91063C" w14:textId="3555F5EB" w:rsidR="00997738" w:rsidRPr="00997738" w:rsidRDefault="00346B8A" w:rsidP="00997738">
      <w:pPr>
        <w:pStyle w:val="3-BodyText"/>
        <w:rPr>
          <w:rFonts w:eastAsia="Times New Roman" w:cs="Arial"/>
          <w:snapToGrid w:val="0"/>
          <w:szCs w:val="24"/>
          <w:lang w:val="en-GB"/>
        </w:rPr>
      </w:pPr>
      <w:r>
        <w:rPr>
          <w:rFonts w:eastAsia="Times New Roman" w:cs="Arial"/>
          <w:snapToGrid w:val="0"/>
          <w:szCs w:val="24"/>
          <w:lang w:val="en-GB"/>
        </w:rPr>
        <w:t>The PBAC noted the</w:t>
      </w:r>
      <w:r w:rsidR="001A6E8E">
        <w:rPr>
          <w:rFonts w:eastAsia="Times New Roman" w:cs="Arial"/>
          <w:snapToGrid w:val="0"/>
          <w:szCs w:val="24"/>
          <w:lang w:val="en-GB"/>
        </w:rPr>
        <w:t xml:space="preserve"> PSCR presented </w:t>
      </w:r>
      <w:r w:rsidR="00997738" w:rsidRPr="00997738">
        <w:rPr>
          <w:rFonts w:eastAsia="Times New Roman" w:cs="Arial"/>
          <w:snapToGrid w:val="0"/>
          <w:szCs w:val="24"/>
          <w:lang w:val="en-GB"/>
        </w:rPr>
        <w:t xml:space="preserve">additional analyses of the </w:t>
      </w:r>
      <w:r w:rsidR="00235541">
        <w:rPr>
          <w:rFonts w:eastAsia="Times New Roman" w:cs="Arial"/>
          <w:snapToGrid w:val="0"/>
          <w:szCs w:val="24"/>
          <w:lang w:val="en-GB"/>
        </w:rPr>
        <w:t>long-term</w:t>
      </w:r>
      <w:r w:rsidR="000614B3">
        <w:rPr>
          <w:rFonts w:eastAsia="Times New Roman" w:cs="Arial"/>
          <w:snapToGrid w:val="0"/>
          <w:szCs w:val="24"/>
          <w:lang w:val="en-GB"/>
        </w:rPr>
        <w:t xml:space="preserve"> extension</w:t>
      </w:r>
      <w:r w:rsidR="000B0D33">
        <w:rPr>
          <w:rFonts w:eastAsia="Times New Roman" w:cs="Arial"/>
          <w:snapToGrid w:val="0"/>
          <w:szCs w:val="24"/>
          <w:lang w:val="en-GB"/>
        </w:rPr>
        <w:t xml:space="preserve"> phases of ARCADIA 1/2</w:t>
      </w:r>
      <w:r w:rsidR="001A6E8E">
        <w:rPr>
          <w:rFonts w:eastAsia="Times New Roman" w:cs="Arial"/>
          <w:snapToGrid w:val="0"/>
          <w:szCs w:val="24"/>
          <w:lang w:val="en-GB"/>
        </w:rPr>
        <w:t xml:space="preserve"> to support </w:t>
      </w:r>
      <w:r w:rsidR="00D80A2E">
        <w:rPr>
          <w:rFonts w:eastAsia="Times New Roman" w:cs="Arial"/>
          <w:snapToGrid w:val="0"/>
          <w:szCs w:val="24"/>
          <w:lang w:val="en-GB"/>
        </w:rPr>
        <w:t>a</w:t>
      </w:r>
      <w:r w:rsidR="003D4CD5">
        <w:rPr>
          <w:rFonts w:eastAsia="Times New Roman" w:cs="Arial"/>
          <w:snapToGrid w:val="0"/>
          <w:szCs w:val="24"/>
          <w:lang w:val="en-GB"/>
        </w:rPr>
        <w:t>n extended</w:t>
      </w:r>
      <w:r w:rsidR="00D80A2E">
        <w:rPr>
          <w:rFonts w:eastAsia="Times New Roman" w:cs="Arial"/>
          <w:snapToGrid w:val="0"/>
          <w:szCs w:val="24"/>
          <w:lang w:val="en-GB"/>
        </w:rPr>
        <w:t xml:space="preserve"> </w:t>
      </w:r>
      <w:r w:rsidR="00D80A2E" w:rsidRPr="00997738">
        <w:rPr>
          <w:rFonts w:eastAsia="Times New Roman" w:cs="Arial"/>
          <w:snapToGrid w:val="0"/>
          <w:szCs w:val="24"/>
          <w:lang w:val="en-GB"/>
        </w:rPr>
        <w:t xml:space="preserve">induction </w:t>
      </w:r>
      <w:r w:rsidR="00D80A2E">
        <w:rPr>
          <w:rFonts w:eastAsia="Times New Roman" w:cs="Arial"/>
          <w:snapToGrid w:val="0"/>
          <w:szCs w:val="24"/>
          <w:lang w:val="en-GB"/>
        </w:rPr>
        <w:t xml:space="preserve">period </w:t>
      </w:r>
      <w:r w:rsidR="00F0363C" w:rsidRPr="00F0363C">
        <w:rPr>
          <w:rFonts w:eastAsia="Times New Roman" w:cs="Arial"/>
          <w:snapToGrid w:val="0"/>
          <w:szCs w:val="24"/>
          <w:lang w:val="en-GB"/>
        </w:rPr>
        <w:t>to allow patients an additional 8 weeks of four weekly</w:t>
      </w:r>
      <w:r w:rsidR="00C12B95">
        <w:rPr>
          <w:rFonts w:eastAsia="Times New Roman" w:cs="Arial"/>
          <w:snapToGrid w:val="0"/>
          <w:szCs w:val="24"/>
          <w:lang w:val="en-GB"/>
        </w:rPr>
        <w:t xml:space="preserve"> (Q4W)</w:t>
      </w:r>
      <w:r w:rsidR="00F0363C" w:rsidRPr="00F0363C">
        <w:rPr>
          <w:rFonts w:eastAsia="Times New Roman" w:cs="Arial"/>
          <w:snapToGrid w:val="0"/>
          <w:szCs w:val="24"/>
          <w:lang w:val="en-GB"/>
        </w:rPr>
        <w:t xml:space="preserve"> treatment if they have not responded at Week 16</w:t>
      </w:r>
      <w:r w:rsidR="00F0363C">
        <w:rPr>
          <w:rFonts w:eastAsia="Times New Roman" w:cs="Arial"/>
          <w:snapToGrid w:val="0"/>
          <w:szCs w:val="24"/>
          <w:lang w:val="en-GB"/>
        </w:rPr>
        <w:t xml:space="preserve"> </w:t>
      </w:r>
      <w:r w:rsidR="00D80A2E">
        <w:rPr>
          <w:rFonts w:eastAsia="Times New Roman" w:cs="Arial"/>
          <w:snapToGrid w:val="0"/>
          <w:szCs w:val="24"/>
          <w:lang w:val="en-GB"/>
        </w:rPr>
        <w:t xml:space="preserve">with NEMO </w:t>
      </w:r>
      <w:r w:rsidR="00F0363C">
        <w:rPr>
          <w:rFonts w:eastAsia="Times New Roman" w:cs="Arial"/>
          <w:snapToGrid w:val="0"/>
          <w:szCs w:val="24"/>
          <w:lang w:val="en-GB"/>
        </w:rPr>
        <w:t>treatment</w:t>
      </w:r>
      <w:r w:rsidR="00D80A2E">
        <w:rPr>
          <w:rFonts w:eastAsia="Times New Roman" w:cs="Arial"/>
          <w:snapToGrid w:val="0"/>
          <w:szCs w:val="24"/>
          <w:lang w:val="en-GB"/>
        </w:rPr>
        <w:t xml:space="preserve">. The PBAC noted the results </w:t>
      </w:r>
      <w:r w:rsidR="003668E1">
        <w:rPr>
          <w:rFonts w:eastAsia="Times New Roman" w:cs="Arial"/>
          <w:snapToGrid w:val="0"/>
          <w:szCs w:val="24"/>
          <w:lang w:val="en-GB"/>
        </w:rPr>
        <w:t>presented</w:t>
      </w:r>
      <w:r w:rsidR="003668E1" w:rsidRPr="00997738">
        <w:rPr>
          <w:rFonts w:eastAsia="Times New Roman" w:cs="Arial"/>
          <w:snapToGrid w:val="0"/>
          <w:szCs w:val="24"/>
          <w:lang w:val="en-GB"/>
        </w:rPr>
        <w:t xml:space="preserve"> </w:t>
      </w:r>
      <w:r w:rsidR="003668E1">
        <w:rPr>
          <w:rFonts w:eastAsia="Times New Roman" w:cs="Arial"/>
          <w:snapToGrid w:val="0"/>
          <w:szCs w:val="24"/>
          <w:lang w:val="en-GB"/>
        </w:rPr>
        <w:t>for</w:t>
      </w:r>
      <w:r w:rsidR="00997738" w:rsidRPr="00997738">
        <w:rPr>
          <w:rFonts w:eastAsia="Times New Roman" w:cs="Arial"/>
          <w:snapToGrid w:val="0"/>
          <w:szCs w:val="24"/>
          <w:lang w:val="en-GB"/>
        </w:rPr>
        <w:t xml:space="preserve"> the ITT population</w:t>
      </w:r>
      <w:r w:rsidR="000B0D33">
        <w:rPr>
          <w:rFonts w:eastAsia="Times New Roman" w:cs="Arial"/>
          <w:snapToGrid w:val="0"/>
          <w:szCs w:val="24"/>
          <w:lang w:val="en-GB"/>
        </w:rPr>
        <w:t xml:space="preserve"> </w:t>
      </w:r>
      <w:r w:rsidR="000F328F">
        <w:rPr>
          <w:rFonts w:eastAsia="Times New Roman" w:cs="Arial"/>
          <w:snapToGrid w:val="0"/>
          <w:szCs w:val="24"/>
          <w:lang w:val="en-GB"/>
        </w:rPr>
        <w:t xml:space="preserve">indicated </w:t>
      </w:r>
      <w:r w:rsidR="000B0D33">
        <w:rPr>
          <w:rFonts w:eastAsia="Times New Roman" w:cs="Arial"/>
          <w:snapToGrid w:val="0"/>
          <w:szCs w:val="24"/>
          <w:lang w:val="en-GB"/>
        </w:rPr>
        <w:t>an additional</w:t>
      </w:r>
      <w:r w:rsidR="00997738" w:rsidRPr="00997738">
        <w:rPr>
          <w:rFonts w:eastAsia="Times New Roman" w:cs="Arial"/>
          <w:snapToGrid w:val="0"/>
          <w:szCs w:val="24"/>
          <w:lang w:val="en-GB"/>
        </w:rPr>
        <w:t xml:space="preserve"> 30.1% </w:t>
      </w:r>
      <w:r w:rsidR="000B0D33">
        <w:rPr>
          <w:rFonts w:eastAsia="Times New Roman" w:cs="Arial"/>
          <w:snapToGrid w:val="0"/>
          <w:szCs w:val="24"/>
          <w:lang w:val="en-GB"/>
        </w:rPr>
        <w:t>of</w:t>
      </w:r>
      <w:r w:rsidR="000B0D33" w:rsidRPr="00997738">
        <w:rPr>
          <w:rFonts w:eastAsia="Times New Roman" w:cs="Arial"/>
          <w:snapToGrid w:val="0"/>
          <w:szCs w:val="24"/>
          <w:lang w:val="en-GB"/>
        </w:rPr>
        <w:t xml:space="preserve"> </w:t>
      </w:r>
      <w:r w:rsidR="00997738" w:rsidRPr="00997738">
        <w:rPr>
          <w:rFonts w:eastAsia="Times New Roman" w:cs="Arial"/>
          <w:snapToGrid w:val="0"/>
          <w:szCs w:val="24"/>
          <w:lang w:val="en-GB"/>
        </w:rPr>
        <w:t xml:space="preserve">patients had a positive EASI-75 response, and 9.6% </w:t>
      </w:r>
      <w:r w:rsidR="0053241A">
        <w:rPr>
          <w:rFonts w:eastAsia="Times New Roman" w:cs="Arial"/>
          <w:snapToGrid w:val="0"/>
          <w:szCs w:val="24"/>
          <w:lang w:val="en-GB"/>
        </w:rPr>
        <w:t xml:space="preserve">more </w:t>
      </w:r>
      <w:r w:rsidR="00997738" w:rsidRPr="00997738">
        <w:rPr>
          <w:rFonts w:eastAsia="Times New Roman" w:cs="Arial"/>
          <w:snapToGrid w:val="0"/>
          <w:szCs w:val="24"/>
          <w:lang w:val="en-GB"/>
        </w:rPr>
        <w:t>had a positive IGA response after 8 weeks additional Q4W NEMO (i.e. after 24 weeks induction)</w:t>
      </w:r>
      <w:r w:rsidR="00605107">
        <w:rPr>
          <w:rFonts w:eastAsia="Times New Roman" w:cs="Arial"/>
          <w:snapToGrid w:val="0"/>
          <w:szCs w:val="24"/>
          <w:lang w:val="en-GB"/>
        </w:rPr>
        <w:t>.</w:t>
      </w:r>
      <w:r w:rsidR="00997738" w:rsidRPr="00997738">
        <w:rPr>
          <w:rFonts w:eastAsia="Times New Roman" w:cs="Arial"/>
          <w:snapToGrid w:val="0"/>
          <w:szCs w:val="24"/>
          <w:lang w:val="en-GB"/>
        </w:rPr>
        <w:t xml:space="preserve"> The </w:t>
      </w:r>
      <w:r w:rsidR="00B76095">
        <w:rPr>
          <w:rFonts w:eastAsia="Times New Roman" w:cs="Arial"/>
          <w:snapToGrid w:val="0"/>
          <w:szCs w:val="24"/>
          <w:lang w:val="en-GB"/>
        </w:rPr>
        <w:t xml:space="preserve">PBAC noted </w:t>
      </w:r>
      <w:r w:rsidR="00997738" w:rsidRPr="00997738">
        <w:rPr>
          <w:rFonts w:eastAsia="Times New Roman" w:cs="Arial"/>
          <w:snapToGrid w:val="0"/>
          <w:szCs w:val="24"/>
          <w:lang w:val="en-GB"/>
        </w:rPr>
        <w:t>the</w:t>
      </w:r>
      <w:r w:rsidR="00605107">
        <w:rPr>
          <w:rFonts w:eastAsia="Times New Roman" w:cs="Arial"/>
          <w:snapToGrid w:val="0"/>
          <w:szCs w:val="24"/>
          <w:lang w:val="en-GB"/>
        </w:rPr>
        <w:t xml:space="preserve"> information presented, whilst </w:t>
      </w:r>
      <w:r w:rsidR="004E4E55">
        <w:rPr>
          <w:rFonts w:eastAsia="Times New Roman" w:cs="Arial"/>
          <w:snapToGrid w:val="0"/>
          <w:szCs w:val="24"/>
          <w:lang w:val="en-GB"/>
        </w:rPr>
        <w:t xml:space="preserve">presented in PSCR and </w:t>
      </w:r>
      <w:r w:rsidR="00605107">
        <w:rPr>
          <w:rFonts w:eastAsia="Times New Roman" w:cs="Arial"/>
          <w:snapToGrid w:val="0"/>
          <w:szCs w:val="24"/>
          <w:lang w:val="en-GB"/>
        </w:rPr>
        <w:t xml:space="preserve">not independently evaluated, </w:t>
      </w:r>
      <w:r w:rsidR="00F915B8">
        <w:rPr>
          <w:rFonts w:eastAsia="Times New Roman" w:cs="Arial"/>
          <w:snapToGrid w:val="0"/>
          <w:szCs w:val="24"/>
          <w:lang w:val="en-GB"/>
        </w:rPr>
        <w:t>indicated that some additional patients will likely achieve an adequate response with a longer</w:t>
      </w:r>
      <w:r w:rsidR="00913FC0">
        <w:rPr>
          <w:rFonts w:eastAsia="Times New Roman" w:cs="Arial"/>
          <w:snapToGrid w:val="0"/>
          <w:szCs w:val="24"/>
          <w:lang w:val="en-GB"/>
        </w:rPr>
        <w:t xml:space="preserve"> Q4W</w:t>
      </w:r>
      <w:r w:rsidR="00F915B8">
        <w:rPr>
          <w:rFonts w:eastAsia="Times New Roman" w:cs="Arial"/>
          <w:snapToGrid w:val="0"/>
          <w:szCs w:val="24"/>
          <w:lang w:val="en-GB"/>
        </w:rPr>
        <w:t xml:space="preserve"> induction period out to 24 weeks. </w:t>
      </w:r>
      <w:r w:rsidR="00997738" w:rsidRPr="00997738">
        <w:rPr>
          <w:rFonts w:eastAsia="Times New Roman" w:cs="Arial"/>
          <w:snapToGrid w:val="0"/>
          <w:szCs w:val="24"/>
          <w:lang w:val="en-GB"/>
        </w:rPr>
        <w:t xml:space="preserve">However, </w:t>
      </w:r>
      <w:r w:rsidR="00913FC0">
        <w:rPr>
          <w:rFonts w:eastAsia="Times New Roman" w:cs="Arial"/>
          <w:snapToGrid w:val="0"/>
          <w:szCs w:val="24"/>
          <w:lang w:val="en-GB"/>
        </w:rPr>
        <w:t>the Committee</w:t>
      </w:r>
      <w:r w:rsidR="00B76095">
        <w:rPr>
          <w:rFonts w:eastAsia="Times New Roman" w:cs="Arial"/>
          <w:snapToGrid w:val="0"/>
          <w:szCs w:val="24"/>
          <w:lang w:val="en-GB"/>
        </w:rPr>
        <w:t xml:space="preserve"> agreed with </w:t>
      </w:r>
      <w:r w:rsidR="00997738" w:rsidRPr="00997738">
        <w:rPr>
          <w:rFonts w:eastAsia="Times New Roman" w:cs="Arial"/>
          <w:snapToGrid w:val="0"/>
          <w:szCs w:val="24"/>
          <w:lang w:val="en-GB"/>
        </w:rPr>
        <w:t xml:space="preserve">the ESC </w:t>
      </w:r>
      <w:r w:rsidR="00B76095">
        <w:rPr>
          <w:rFonts w:eastAsia="Times New Roman" w:cs="Arial"/>
          <w:snapToGrid w:val="0"/>
          <w:szCs w:val="24"/>
          <w:lang w:val="en-GB"/>
        </w:rPr>
        <w:t xml:space="preserve">that </w:t>
      </w:r>
      <w:r w:rsidR="00997738" w:rsidRPr="00997738">
        <w:rPr>
          <w:rFonts w:eastAsia="Times New Roman" w:cs="Arial"/>
          <w:snapToGrid w:val="0"/>
          <w:szCs w:val="24"/>
          <w:lang w:val="en-GB"/>
        </w:rPr>
        <w:t xml:space="preserve">that the results </w:t>
      </w:r>
      <w:r w:rsidR="00BF1B73">
        <w:rPr>
          <w:rFonts w:eastAsia="Times New Roman" w:cs="Arial"/>
          <w:snapToGrid w:val="0"/>
          <w:szCs w:val="24"/>
          <w:lang w:val="en-GB"/>
        </w:rPr>
        <w:t>provided limited additional</w:t>
      </w:r>
      <w:r w:rsidR="00913FC0">
        <w:rPr>
          <w:rFonts w:eastAsia="Times New Roman" w:cs="Arial"/>
          <w:snapToGrid w:val="0"/>
          <w:szCs w:val="24"/>
          <w:lang w:val="en-GB"/>
        </w:rPr>
        <w:t xml:space="preserve"> </w:t>
      </w:r>
      <w:r w:rsidR="00997738" w:rsidRPr="00997738">
        <w:rPr>
          <w:rFonts w:eastAsia="Times New Roman" w:cs="Arial"/>
          <w:snapToGrid w:val="0"/>
          <w:szCs w:val="24"/>
          <w:lang w:val="en-GB"/>
        </w:rPr>
        <w:t>support to the submission</w:t>
      </w:r>
      <w:r w:rsidR="00F23AA8">
        <w:rPr>
          <w:rFonts w:eastAsia="Times New Roman" w:cs="Arial"/>
          <w:snapToGrid w:val="0"/>
          <w:szCs w:val="24"/>
          <w:lang w:val="en-GB"/>
        </w:rPr>
        <w:t>’s</w:t>
      </w:r>
      <w:r w:rsidR="00997738" w:rsidRPr="00997738">
        <w:rPr>
          <w:rFonts w:eastAsia="Times New Roman" w:cs="Arial"/>
          <w:snapToGrid w:val="0"/>
          <w:szCs w:val="24"/>
          <w:lang w:val="en-GB"/>
        </w:rPr>
        <w:t xml:space="preserve"> claim of non-inferior effectiveness versus DUPI</w:t>
      </w:r>
      <w:r w:rsidR="00DC0969">
        <w:rPr>
          <w:rFonts w:eastAsia="Times New Roman" w:cs="Arial"/>
          <w:snapToGrid w:val="0"/>
          <w:szCs w:val="24"/>
          <w:lang w:val="en-GB"/>
        </w:rPr>
        <w:t xml:space="preserve"> because of underlying uncertainties in the comparisons arising from </w:t>
      </w:r>
      <w:r w:rsidR="001D223B">
        <w:rPr>
          <w:rFonts w:eastAsia="Times New Roman" w:cs="Arial"/>
          <w:snapToGrid w:val="0"/>
          <w:szCs w:val="24"/>
          <w:lang w:val="en-GB"/>
        </w:rPr>
        <w:t>it being indirect</w:t>
      </w:r>
      <w:r w:rsidR="00BF1B73">
        <w:rPr>
          <w:rFonts w:eastAsia="Times New Roman" w:cs="Arial"/>
          <w:snapToGrid w:val="0"/>
          <w:szCs w:val="24"/>
          <w:lang w:val="en-GB"/>
        </w:rPr>
        <w:t xml:space="preserve"> and </w:t>
      </w:r>
      <w:r w:rsidR="00340AB2">
        <w:rPr>
          <w:rFonts w:eastAsia="Times New Roman" w:cs="Arial"/>
          <w:snapToGrid w:val="0"/>
          <w:szCs w:val="24"/>
          <w:lang w:val="en-GB"/>
        </w:rPr>
        <w:t>post-hoc</w:t>
      </w:r>
      <w:r w:rsidR="003D3B3B">
        <w:rPr>
          <w:rFonts w:eastAsia="Times New Roman" w:cs="Arial"/>
          <w:snapToGrid w:val="0"/>
          <w:szCs w:val="24"/>
          <w:lang w:val="en-GB"/>
        </w:rPr>
        <w:t xml:space="preserve">. </w:t>
      </w:r>
      <w:r w:rsidR="00AF7B09" w:rsidRPr="0079245E">
        <w:t xml:space="preserve">The PBAC </w:t>
      </w:r>
      <w:r w:rsidR="00AF7B09">
        <w:t>recalled</w:t>
      </w:r>
      <w:r w:rsidR="009C6341">
        <w:t xml:space="preserve"> </w:t>
      </w:r>
      <w:r w:rsidR="00AF7B09">
        <w:t>it had previously</w:t>
      </w:r>
      <w:r w:rsidR="00AF7B09" w:rsidRPr="0079245E">
        <w:t xml:space="preserve"> noted that, in general, clinical practice with biologicals is moving towards a more extended induction period for assessment of response</w:t>
      </w:r>
      <w:r w:rsidR="00AF7B09">
        <w:t xml:space="preserve"> </w:t>
      </w:r>
      <w:r w:rsidR="00AF7B09" w:rsidRPr="0079245E">
        <w:t>(paragraph 3.3, lebrikizumab PSD, March 2024 PBAC meeting)</w:t>
      </w:r>
      <w:r w:rsidR="00203750">
        <w:t xml:space="preserve">, </w:t>
      </w:r>
      <w:r w:rsidR="009C6341">
        <w:t xml:space="preserve">however </w:t>
      </w:r>
      <w:r w:rsidR="00203750">
        <w:t>the</w:t>
      </w:r>
      <w:r w:rsidR="00E129DA">
        <w:t xml:space="preserve"> proposed</w:t>
      </w:r>
      <w:r w:rsidR="00203750">
        <w:t xml:space="preserve"> </w:t>
      </w:r>
      <w:r w:rsidR="007C2F52">
        <w:t xml:space="preserve">extended </w:t>
      </w:r>
      <w:r w:rsidR="00167674">
        <w:t>induction dosing regimen</w:t>
      </w:r>
      <w:r w:rsidR="00E129DA">
        <w:t xml:space="preserve"> for NEMO</w:t>
      </w:r>
      <w:r w:rsidR="00167674">
        <w:t xml:space="preserve"> </w:t>
      </w:r>
      <w:r w:rsidR="00116096">
        <w:t xml:space="preserve">is not included in the draft TGA PI for AD. </w:t>
      </w:r>
      <w:r w:rsidR="00BF0D39">
        <w:t xml:space="preserve"> Overall, the PBAC considered NEMO was likely to be of inferior comparative effectiveness to DUPI, based on 16 weeks’ treatment for both </w:t>
      </w:r>
      <w:r w:rsidR="00991391">
        <w:t>therapies, and the additional NEMO data out to 24 weeks</w:t>
      </w:r>
      <w:r w:rsidR="00327C21">
        <w:t xml:space="preserve"> had not been evaluated and </w:t>
      </w:r>
      <w:r w:rsidR="00252F68">
        <w:t>was not supported by the PI</w:t>
      </w:r>
      <w:r w:rsidR="00991391">
        <w:t>.</w:t>
      </w:r>
      <w:r w:rsidR="00B633F3">
        <w:t xml:space="preserve"> </w:t>
      </w:r>
    </w:p>
    <w:p w14:paraId="77B6152E" w14:textId="4D112B45" w:rsidR="00B036A7" w:rsidRPr="00B036A7" w:rsidRDefault="00BC0F58" w:rsidP="00B036A7">
      <w:pPr>
        <w:pStyle w:val="3-BodyText"/>
        <w:rPr>
          <w:rFonts w:eastAsia="Times New Roman" w:cs="Arial"/>
          <w:snapToGrid w:val="0"/>
          <w:szCs w:val="24"/>
          <w:lang w:val="en-GB"/>
        </w:rPr>
      </w:pPr>
      <w:r>
        <w:rPr>
          <w:snapToGrid w:val="0"/>
          <w:lang w:val="en-GB"/>
        </w:rPr>
        <w:t>The PBAC noted t</w:t>
      </w:r>
      <w:r w:rsidRPr="00BC0F58">
        <w:rPr>
          <w:snapToGrid w:val="0"/>
          <w:lang w:val="en-GB"/>
        </w:rPr>
        <w:t>he submission described NEMO as non-inferior in terms of safety compared to DUPI</w:t>
      </w:r>
      <w:r w:rsidR="0088739D">
        <w:rPr>
          <w:snapToGrid w:val="0"/>
          <w:lang w:val="en-GB"/>
        </w:rPr>
        <w:t xml:space="preserve">. </w:t>
      </w:r>
      <w:r w:rsidR="00DE2BE5" w:rsidRPr="00B036A7">
        <w:rPr>
          <w:rFonts w:eastAsia="Times New Roman" w:cs="Arial"/>
          <w:snapToGrid w:val="0"/>
          <w:szCs w:val="24"/>
          <w:lang w:val="en-GB"/>
        </w:rPr>
        <w:t xml:space="preserve">The </w:t>
      </w:r>
      <w:r w:rsidR="00DE2BE5">
        <w:rPr>
          <w:rFonts w:eastAsia="Times New Roman" w:cs="Arial"/>
          <w:snapToGrid w:val="0"/>
          <w:szCs w:val="24"/>
          <w:lang w:val="en-GB"/>
        </w:rPr>
        <w:t xml:space="preserve">PBAC agreed with the </w:t>
      </w:r>
      <w:r w:rsidR="00DE2BE5" w:rsidRPr="00B036A7">
        <w:rPr>
          <w:rFonts w:eastAsia="Times New Roman" w:cs="Arial"/>
          <w:snapToGrid w:val="0"/>
          <w:szCs w:val="24"/>
          <w:lang w:val="en-GB"/>
        </w:rPr>
        <w:t>ESC</w:t>
      </w:r>
      <w:r w:rsidR="00DE2BE5">
        <w:rPr>
          <w:rFonts w:eastAsia="Times New Roman" w:cs="Arial"/>
          <w:snapToGrid w:val="0"/>
          <w:szCs w:val="24"/>
          <w:lang w:val="en-GB"/>
        </w:rPr>
        <w:t xml:space="preserve"> </w:t>
      </w:r>
      <w:r w:rsidR="00DE2BE5" w:rsidRPr="00B036A7">
        <w:rPr>
          <w:rFonts w:eastAsia="Times New Roman" w:cs="Arial"/>
          <w:snapToGrid w:val="0"/>
          <w:szCs w:val="24"/>
          <w:lang w:val="en-GB"/>
        </w:rPr>
        <w:t xml:space="preserve">that the therapeutic conclusion of non-inferior safety was uncertain. </w:t>
      </w:r>
      <w:r w:rsidR="00F74636">
        <w:rPr>
          <w:rFonts w:eastAsia="Times New Roman" w:cs="Arial"/>
          <w:snapToGrid w:val="0"/>
          <w:szCs w:val="24"/>
          <w:lang w:val="en-GB"/>
        </w:rPr>
        <w:t>The PBAC noted that a</w:t>
      </w:r>
      <w:r w:rsidR="00F74636" w:rsidRPr="00B036A7">
        <w:rPr>
          <w:rFonts w:eastAsia="Times New Roman" w:cs="Arial"/>
          <w:snapToGrid w:val="0"/>
          <w:szCs w:val="24"/>
          <w:lang w:val="en-GB"/>
        </w:rPr>
        <w:t xml:space="preserve">lthough the ITC showed similar safety of NEMO and DUPI in terms of TEAEs, the ITCs for serious TEAEs and TEAEs leading to discontinuation were statistically underpowered, indicated by the </w:t>
      </w:r>
      <w:r w:rsidR="00F74636" w:rsidRPr="00B036A7">
        <w:rPr>
          <w:rFonts w:eastAsia="Times New Roman" w:cs="Arial"/>
          <w:snapToGrid w:val="0"/>
          <w:szCs w:val="24"/>
          <w:lang w:val="en-GB"/>
        </w:rPr>
        <w:lastRenderedPageBreak/>
        <w:t xml:space="preserve">wide 95% confidence intervals of the indirect results. In addition, </w:t>
      </w:r>
      <w:r w:rsidR="00E22CB2">
        <w:rPr>
          <w:rFonts w:eastAsia="Times New Roman" w:cs="Arial"/>
          <w:snapToGrid w:val="0"/>
          <w:szCs w:val="24"/>
          <w:lang w:val="en-GB"/>
        </w:rPr>
        <w:t xml:space="preserve">the PBAC noted </w:t>
      </w:r>
      <w:r w:rsidR="00F74636" w:rsidRPr="00B036A7">
        <w:rPr>
          <w:rFonts w:eastAsia="Times New Roman" w:cs="Arial"/>
          <w:snapToGrid w:val="0"/>
          <w:szCs w:val="24"/>
          <w:lang w:val="en-GB"/>
        </w:rPr>
        <w:t xml:space="preserve">the selected safety outcomes in the ITCs, namely any TEAEs, serious TEAEs, TEAEs leading to discontinuation, may not allow for a meaningful comparison of NEMO and DUPI as they do not capture individual AEs that may be important. </w:t>
      </w:r>
    </w:p>
    <w:p w14:paraId="58DAB8A8" w14:textId="21A20482" w:rsidR="0075208A" w:rsidRDefault="0075208A" w:rsidP="0025098D">
      <w:pPr>
        <w:widowControl w:val="0"/>
        <w:numPr>
          <w:ilvl w:val="1"/>
          <w:numId w:val="6"/>
        </w:numPr>
        <w:spacing w:after="120"/>
        <w:rPr>
          <w:rFonts w:asciiTheme="minorHAnsi" w:hAnsiTheme="minorHAnsi"/>
          <w:bCs/>
          <w:snapToGrid w:val="0"/>
          <w:lang w:val="en-GB"/>
        </w:rPr>
      </w:pPr>
      <w:r>
        <w:rPr>
          <w:rFonts w:asciiTheme="minorHAnsi" w:hAnsiTheme="minorHAnsi"/>
          <w:bCs/>
          <w:snapToGrid w:val="0"/>
          <w:lang w:val="en-GB"/>
        </w:rPr>
        <w:t>The PBAC noted the submission presented a cost minimisation approach</w:t>
      </w:r>
      <w:r w:rsidR="00991391">
        <w:rPr>
          <w:rFonts w:asciiTheme="minorHAnsi" w:hAnsiTheme="minorHAnsi"/>
          <w:bCs/>
          <w:snapToGrid w:val="0"/>
          <w:lang w:val="en-GB"/>
        </w:rPr>
        <w:t xml:space="preserve"> (CMA)</w:t>
      </w:r>
      <w:r>
        <w:rPr>
          <w:rFonts w:asciiTheme="minorHAnsi" w:hAnsiTheme="minorHAnsi"/>
          <w:bCs/>
          <w:snapToGrid w:val="0"/>
          <w:lang w:val="en-GB"/>
        </w:rPr>
        <w:t xml:space="preserve"> for NEMO and DUPI based on the claims of non-inferior comparative effectiveness and safety. </w:t>
      </w:r>
      <w:r w:rsidR="00BF0D39">
        <w:rPr>
          <w:rFonts w:asciiTheme="minorHAnsi" w:hAnsiTheme="minorHAnsi"/>
          <w:bCs/>
          <w:snapToGrid w:val="0"/>
          <w:lang w:val="en-GB"/>
        </w:rPr>
        <w:t xml:space="preserve">However, given its </w:t>
      </w:r>
      <w:r w:rsidR="00991391">
        <w:rPr>
          <w:rFonts w:asciiTheme="minorHAnsi" w:hAnsiTheme="minorHAnsi"/>
          <w:bCs/>
          <w:snapToGrid w:val="0"/>
          <w:lang w:val="en-GB"/>
        </w:rPr>
        <w:t xml:space="preserve">view that these claims were not supported, </w:t>
      </w:r>
      <w:r w:rsidR="004956D3">
        <w:rPr>
          <w:rFonts w:asciiTheme="minorHAnsi" w:hAnsiTheme="minorHAnsi"/>
          <w:bCs/>
          <w:snapToGrid w:val="0"/>
          <w:lang w:val="en-GB"/>
        </w:rPr>
        <w:t xml:space="preserve">the PBAC </w:t>
      </w:r>
      <w:r w:rsidR="00991391">
        <w:rPr>
          <w:rFonts w:asciiTheme="minorHAnsi" w:hAnsiTheme="minorHAnsi"/>
          <w:bCs/>
          <w:snapToGrid w:val="0"/>
          <w:lang w:val="en-GB"/>
        </w:rPr>
        <w:t xml:space="preserve">considered a CMA was not an appropriate approach to the economic evaluation of NEMO and DUPI. </w:t>
      </w:r>
      <w:r w:rsidR="0065072E">
        <w:rPr>
          <w:rFonts w:asciiTheme="minorHAnsi" w:hAnsiTheme="minorHAnsi"/>
          <w:bCs/>
          <w:snapToGrid w:val="0"/>
          <w:lang w:val="en-GB"/>
        </w:rPr>
        <w:t xml:space="preserve">The Committee considered an economic evaluation approach that considered the likely inferiority of NEMO to DUPI </w:t>
      </w:r>
      <w:r w:rsidR="00622AC7">
        <w:rPr>
          <w:rFonts w:asciiTheme="minorHAnsi" w:hAnsiTheme="minorHAnsi"/>
          <w:bCs/>
          <w:snapToGrid w:val="0"/>
          <w:lang w:val="en-GB"/>
        </w:rPr>
        <w:t>was more appropriate, however given the approach taken in the submission,</w:t>
      </w:r>
      <w:r w:rsidR="00536634">
        <w:rPr>
          <w:rFonts w:asciiTheme="minorHAnsi" w:hAnsiTheme="minorHAnsi"/>
          <w:bCs/>
          <w:snapToGrid w:val="0"/>
          <w:lang w:val="en-GB"/>
        </w:rPr>
        <w:t xml:space="preserve"> cost effectiveness was unable to be assessed. </w:t>
      </w:r>
    </w:p>
    <w:p w14:paraId="184D92E3" w14:textId="54BAE168" w:rsidR="00F16EC3" w:rsidRPr="00D72649" w:rsidRDefault="00F16EC3" w:rsidP="00F16EC3">
      <w:pPr>
        <w:pStyle w:val="3-BodyText"/>
        <w:rPr>
          <w:color w:val="000000" w:themeColor="text1"/>
        </w:rPr>
      </w:pPr>
      <w:r w:rsidRPr="0F52BB56">
        <w:rPr>
          <w:color w:val="000000" w:themeColor="text1"/>
        </w:rPr>
        <w:t xml:space="preserve">The PBAC considered the uptake rates applied to the financial estimates in the submission were uncertain and likely overestimated, given </w:t>
      </w:r>
      <w:r w:rsidR="004465CE" w:rsidRPr="0F52BB56">
        <w:rPr>
          <w:color w:val="000000" w:themeColor="text1"/>
        </w:rPr>
        <w:t>the evidence suggests</w:t>
      </w:r>
      <w:r w:rsidRPr="0F52BB56">
        <w:rPr>
          <w:color w:val="000000" w:themeColor="text1"/>
        </w:rPr>
        <w:t xml:space="preserve"> that NEMO </w:t>
      </w:r>
      <w:r w:rsidR="004465CE" w:rsidRPr="0F52BB56">
        <w:rPr>
          <w:color w:val="000000" w:themeColor="text1"/>
        </w:rPr>
        <w:t>i</w:t>
      </w:r>
      <w:r w:rsidRPr="0F52BB56">
        <w:rPr>
          <w:color w:val="000000" w:themeColor="text1"/>
        </w:rPr>
        <w:t xml:space="preserve">s inferior compared to DUPI in terms of effectiveness. </w:t>
      </w:r>
      <w:r w:rsidR="00E45E73" w:rsidRPr="0F52BB56">
        <w:rPr>
          <w:color w:val="000000" w:themeColor="text1"/>
        </w:rPr>
        <w:t xml:space="preserve">Overall, </w:t>
      </w:r>
      <w:r w:rsidR="00EA67FD" w:rsidRPr="0F52BB56">
        <w:rPr>
          <w:color w:val="000000" w:themeColor="text1"/>
        </w:rPr>
        <w:t xml:space="preserve">the PBAC considered </w:t>
      </w:r>
      <w:r w:rsidRPr="0F52BB56">
        <w:rPr>
          <w:color w:val="000000" w:themeColor="text1"/>
        </w:rPr>
        <w:t xml:space="preserve">the estimated savings to the PBS/RPBS associated with the listing of NEMO are likely overestimated and unlikely to be realised. </w:t>
      </w:r>
    </w:p>
    <w:p w14:paraId="55D9ABE2" w14:textId="606862F7" w:rsidR="005F2B59" w:rsidRPr="005F2B59" w:rsidRDefault="005F2B59" w:rsidP="005F2B59">
      <w:pPr>
        <w:pStyle w:val="3-BodyText"/>
        <w:rPr>
          <w:rFonts w:eastAsia="Times New Roman" w:cs="Arial"/>
          <w:bCs/>
          <w:snapToGrid w:val="0"/>
          <w:szCs w:val="24"/>
          <w:lang w:val="en-GB"/>
        </w:rPr>
      </w:pPr>
      <w:r w:rsidRPr="005F2B59">
        <w:rPr>
          <w:rFonts w:eastAsia="Times New Roman" w:cs="Arial"/>
          <w:bCs/>
          <w:snapToGrid w:val="0"/>
          <w:szCs w:val="24"/>
          <w:lang w:val="en-GB"/>
        </w:rPr>
        <w:t xml:space="preserve">The PBAC considered there may be two possible approaches to any resubmission, which should take the form of a standard re-entry submission: </w:t>
      </w:r>
    </w:p>
    <w:p w14:paraId="1C3CF8EC" w14:textId="3B8B4FB6" w:rsidR="005F2B59" w:rsidRPr="005F2B59" w:rsidRDefault="005F2B59" w:rsidP="00BB30A7">
      <w:pPr>
        <w:pStyle w:val="3-BodyText"/>
        <w:numPr>
          <w:ilvl w:val="0"/>
          <w:numId w:val="37"/>
        </w:numPr>
        <w:ind w:left="1134"/>
        <w:rPr>
          <w:rFonts w:eastAsia="Times New Roman" w:cs="Arial"/>
          <w:bCs/>
          <w:snapToGrid w:val="0"/>
          <w:szCs w:val="24"/>
          <w:lang w:val="en-GB"/>
        </w:rPr>
      </w:pPr>
      <w:r w:rsidRPr="005F2B59">
        <w:rPr>
          <w:rFonts w:eastAsia="Times New Roman" w:cs="Arial"/>
          <w:bCs/>
          <w:snapToGrid w:val="0"/>
          <w:szCs w:val="24"/>
          <w:lang w:val="en-GB"/>
        </w:rPr>
        <w:t>A re-submission based on a claim of inferior comparative effectiveness of NEMO to DUPI and include an appropriate economic evaluation that results in a lower price for NEMO commensurate with the reduced level of benefit; or</w:t>
      </w:r>
    </w:p>
    <w:p w14:paraId="7CB6A202" w14:textId="77777777" w:rsidR="00B42A0A" w:rsidRPr="00790E3B" w:rsidRDefault="005F2B59" w:rsidP="00B42A0A">
      <w:pPr>
        <w:pStyle w:val="3-BodyText"/>
        <w:numPr>
          <w:ilvl w:val="0"/>
          <w:numId w:val="37"/>
        </w:numPr>
        <w:ind w:left="1134"/>
        <w:rPr>
          <w:bCs/>
          <w:snapToGrid w:val="0"/>
          <w:lang w:val="en-GB"/>
        </w:rPr>
      </w:pPr>
      <w:r w:rsidRPr="005F2B59">
        <w:rPr>
          <w:rFonts w:eastAsia="Times New Roman" w:cs="Arial"/>
          <w:bCs/>
          <w:snapToGrid w:val="0"/>
          <w:szCs w:val="24"/>
          <w:lang w:val="en-GB"/>
        </w:rPr>
        <w:t xml:space="preserve">A re-submission based on some patients accessing an extended induction period out to 24 weeks for NEMO with additional clinical comparisons and economic evaluation based on that information. The PBAC advised that any re-submission based on this approach would </w:t>
      </w:r>
      <w:r w:rsidR="00B42A0A" w:rsidRPr="005F2B59">
        <w:rPr>
          <w:rFonts w:eastAsia="Times New Roman" w:cs="Arial"/>
          <w:bCs/>
          <w:snapToGrid w:val="0"/>
          <w:szCs w:val="24"/>
          <w:lang w:val="en-GB"/>
        </w:rPr>
        <w:t>require</w:t>
      </w:r>
      <w:r w:rsidR="00B42A0A">
        <w:rPr>
          <w:rFonts w:eastAsia="Times New Roman" w:cs="Arial"/>
          <w:bCs/>
          <w:snapToGrid w:val="0"/>
          <w:szCs w:val="24"/>
          <w:lang w:val="en-GB"/>
        </w:rPr>
        <w:t xml:space="preserve"> both:</w:t>
      </w:r>
    </w:p>
    <w:p w14:paraId="05722848" w14:textId="05BDEA51" w:rsidR="00B42A0A" w:rsidRPr="00790E3B" w:rsidRDefault="00B42A0A" w:rsidP="00B42A0A">
      <w:pPr>
        <w:pStyle w:val="3-BodyText"/>
        <w:numPr>
          <w:ilvl w:val="1"/>
          <w:numId w:val="37"/>
        </w:numPr>
        <w:rPr>
          <w:bCs/>
          <w:snapToGrid w:val="0"/>
          <w:lang w:val="en-GB"/>
        </w:rPr>
      </w:pPr>
      <w:r w:rsidRPr="005F2B59">
        <w:rPr>
          <w:rFonts w:eastAsia="Times New Roman" w:cs="Arial"/>
          <w:bCs/>
          <w:snapToGrid w:val="0"/>
          <w:szCs w:val="24"/>
          <w:lang w:val="en-GB"/>
        </w:rPr>
        <w:t xml:space="preserve">the TGA to </w:t>
      </w:r>
      <w:r>
        <w:rPr>
          <w:rFonts w:eastAsia="Times New Roman" w:cs="Arial"/>
          <w:bCs/>
          <w:snapToGrid w:val="0"/>
          <w:szCs w:val="24"/>
          <w:lang w:val="en-GB"/>
        </w:rPr>
        <w:t xml:space="preserve">approve </w:t>
      </w:r>
      <w:r w:rsidRPr="005F2B59">
        <w:rPr>
          <w:rFonts w:eastAsia="Times New Roman" w:cs="Arial"/>
          <w:bCs/>
          <w:snapToGrid w:val="0"/>
          <w:szCs w:val="24"/>
          <w:lang w:val="en-GB"/>
        </w:rPr>
        <w:t>the optional 24-week induction period and</w:t>
      </w:r>
    </w:p>
    <w:p w14:paraId="42905311" w14:textId="61D2C951" w:rsidR="00F16EC3" w:rsidRPr="00BD56A7" w:rsidRDefault="00B42A0A" w:rsidP="00BD56A7">
      <w:pPr>
        <w:pStyle w:val="3-BodyText"/>
        <w:numPr>
          <w:ilvl w:val="1"/>
          <w:numId w:val="37"/>
        </w:numPr>
        <w:rPr>
          <w:bCs/>
          <w:snapToGrid w:val="0"/>
          <w:lang w:val="en-GB"/>
        </w:rPr>
      </w:pPr>
      <w:r w:rsidRPr="005F2B59">
        <w:rPr>
          <w:rFonts w:eastAsia="Times New Roman" w:cs="Arial"/>
          <w:bCs/>
          <w:snapToGrid w:val="0"/>
          <w:szCs w:val="24"/>
          <w:lang w:val="en-GB"/>
        </w:rPr>
        <w:t>to address the uncertainties in the comparative clinical evidence discussed in the preceding paragraphs.</w:t>
      </w:r>
      <w:r w:rsidR="005F2B59" w:rsidRPr="00BD56A7">
        <w:rPr>
          <w:rFonts w:eastAsia="Times New Roman" w:cs="Arial"/>
          <w:bCs/>
          <w:snapToGrid w:val="0"/>
          <w:szCs w:val="24"/>
          <w:lang w:val="en-GB"/>
        </w:rPr>
        <w:t xml:space="preserve">  </w:t>
      </w:r>
    </w:p>
    <w:p w14:paraId="67D20291" w14:textId="1C8ACB9E" w:rsidR="00C379B2" w:rsidRPr="00525B39" w:rsidRDefault="00B1265B" w:rsidP="00C379B2">
      <w:pPr>
        <w:widowControl w:val="0"/>
        <w:numPr>
          <w:ilvl w:val="1"/>
          <w:numId w:val="1"/>
        </w:numPr>
        <w:spacing w:after="120"/>
        <w:rPr>
          <w:rFonts w:asciiTheme="minorHAnsi" w:hAnsiTheme="minorHAnsi"/>
          <w:bCs/>
          <w:snapToGrid w:val="0"/>
          <w:lang w:val="en-GB"/>
        </w:rPr>
      </w:pPr>
      <w:r w:rsidRPr="00525B39">
        <w:rPr>
          <w:rFonts w:asciiTheme="minorHAnsi" w:hAnsiTheme="minorHAnsi"/>
          <w:bCs/>
          <w:snapToGrid w:val="0"/>
          <w:lang w:val="en-GB"/>
        </w:rPr>
        <w:t xml:space="preserve">The PBAC noted that this submission is eligible for an Independent Review. </w:t>
      </w:r>
    </w:p>
    <w:p w14:paraId="45EA76E1" w14:textId="77777777" w:rsidR="00B1265B" w:rsidRPr="00525B39" w:rsidRDefault="00B1265B" w:rsidP="00B1265B">
      <w:pPr>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4EDF5E7E" w14:textId="780564B1" w:rsidR="00B1265B" w:rsidRPr="00525B39" w:rsidRDefault="00B1265B" w:rsidP="00B1265B">
      <w:pPr>
        <w:rPr>
          <w:rFonts w:asciiTheme="minorHAnsi" w:hAnsiTheme="minorHAnsi"/>
          <w:bCs/>
          <w:snapToGrid w:val="0"/>
          <w:lang w:val="en-GB"/>
        </w:rPr>
      </w:pPr>
      <w:r>
        <w:rPr>
          <w:rFonts w:asciiTheme="minorHAnsi" w:hAnsiTheme="minorHAnsi"/>
          <w:bCs/>
          <w:snapToGrid w:val="0"/>
          <w:lang w:val="en-GB"/>
        </w:rPr>
        <w:t>Not recommended</w:t>
      </w:r>
    </w:p>
    <w:p w14:paraId="37B84D56" w14:textId="77777777" w:rsidR="00D22557" w:rsidRDefault="00D22557">
      <w:pPr>
        <w:jc w:val="left"/>
        <w:rPr>
          <w:rFonts w:asciiTheme="minorHAnsi" w:hAnsiTheme="minorHAnsi"/>
          <w:b/>
          <w:snapToGrid w:val="0"/>
          <w:sz w:val="32"/>
          <w:szCs w:val="32"/>
        </w:rPr>
      </w:pPr>
      <w:bookmarkStart w:id="82" w:name="_Ref205990978"/>
      <w:bookmarkEnd w:id="81"/>
      <w:r>
        <w:br w:type="page"/>
      </w:r>
    </w:p>
    <w:p w14:paraId="38F57EEC" w14:textId="4C717592" w:rsidR="00482BFD" w:rsidRDefault="00482BFD" w:rsidP="00D51433">
      <w:pPr>
        <w:pStyle w:val="2-SectionHeading"/>
        <w:numPr>
          <w:ilvl w:val="0"/>
          <w:numId w:val="0"/>
        </w:numPr>
        <w:ind w:left="720" w:hanging="720"/>
      </w:pPr>
      <w:r>
        <w:lastRenderedPageBreak/>
        <w:t xml:space="preserve">Appendix A: </w:t>
      </w:r>
      <w:r w:rsidRPr="00761A71">
        <w:t>Proposed</w:t>
      </w:r>
      <w:r>
        <w:t xml:space="preserve"> Restrictions</w:t>
      </w:r>
      <w:bookmarkEnd w:id="82"/>
    </w:p>
    <w:p w14:paraId="1D181C42" w14:textId="10AB4C12" w:rsidR="00482BFD" w:rsidRDefault="00C76E46" w:rsidP="00C76E46">
      <w:pPr>
        <w:pStyle w:val="3-BodyText"/>
        <w:numPr>
          <w:ilvl w:val="0"/>
          <w:numId w:val="0"/>
        </w:numPr>
        <w:spacing w:before="120" w:after="120"/>
      </w:pPr>
      <w:r w:rsidRPr="005C203C">
        <w:t xml:space="preserve">Suggested additions </w:t>
      </w:r>
      <w:r>
        <w:t xml:space="preserve">proposed by the Secretariat </w:t>
      </w:r>
      <w:r w:rsidRPr="005C203C">
        <w:t xml:space="preserve">are </w:t>
      </w:r>
      <w:r>
        <w:t xml:space="preserve">added </w:t>
      </w:r>
      <w:r w:rsidRPr="005C203C">
        <w:t xml:space="preserve">in </w:t>
      </w:r>
      <w:r w:rsidRPr="006F2D92">
        <w:t>italics</w:t>
      </w:r>
      <w:r w:rsidRPr="005C203C">
        <w:t xml:space="preserve"> and </w:t>
      </w:r>
      <w:r>
        <w:t xml:space="preserve">suggested </w:t>
      </w:r>
      <w:r w:rsidRPr="005C203C">
        <w:t xml:space="preserve">deletions are </w:t>
      </w:r>
      <w:r>
        <w:t xml:space="preserve">crossed out with </w:t>
      </w:r>
      <w:r w:rsidRPr="00555F48">
        <w:t>strikethrough</w:t>
      </w:r>
      <w:r w:rsidRPr="005C203C">
        <w:t>.</w:t>
      </w:r>
    </w:p>
    <w:p w14:paraId="54F4DBF5" w14:textId="77777777" w:rsidR="00482BFD" w:rsidRPr="00891FE5" w:rsidRDefault="00482BFD" w:rsidP="00482BFD">
      <w:pPr>
        <w:pStyle w:val="3-BodyText"/>
        <w:numPr>
          <w:ilvl w:val="0"/>
          <w:numId w:val="0"/>
        </w:numPr>
        <w:rPr>
          <w:b/>
          <w:bCs/>
        </w:rPr>
      </w:pPr>
      <w:r w:rsidRPr="00891FE5">
        <w:rPr>
          <w:b/>
          <w:bCs/>
        </w:rPr>
        <w:t>Initial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2"/>
        <w:gridCol w:w="2668"/>
        <w:gridCol w:w="811"/>
        <w:gridCol w:w="812"/>
        <w:gridCol w:w="811"/>
        <w:gridCol w:w="812"/>
        <w:gridCol w:w="1831"/>
      </w:tblGrid>
      <w:tr w:rsidR="00482BFD" w:rsidRPr="00446E53" w14:paraId="00A77F3F" w14:textId="77777777">
        <w:trPr>
          <w:cantSplit/>
          <w:trHeight w:val="20"/>
        </w:trPr>
        <w:tc>
          <w:tcPr>
            <w:tcW w:w="3940" w:type="dxa"/>
            <w:gridSpan w:val="2"/>
            <w:vAlign w:val="center"/>
          </w:tcPr>
          <w:p w14:paraId="50A71A73" w14:textId="77777777" w:rsidR="00482BFD" w:rsidRPr="00446E53" w:rsidRDefault="00482BFD">
            <w:pPr>
              <w:keepLines/>
              <w:rPr>
                <w:rFonts w:ascii="Arial Narrow" w:hAnsi="Arial Narrow"/>
                <w:b/>
                <w:bCs/>
                <w:sz w:val="20"/>
                <w:szCs w:val="20"/>
              </w:rPr>
            </w:pPr>
            <w:r w:rsidRPr="00446E53">
              <w:rPr>
                <w:rFonts w:ascii="Arial Narrow" w:hAnsi="Arial Narrow"/>
                <w:b/>
                <w:bCs/>
                <w:sz w:val="20"/>
                <w:szCs w:val="20"/>
              </w:rPr>
              <w:t>MEDICINAL PRODUCT</w:t>
            </w:r>
          </w:p>
          <w:p w14:paraId="35AE7C74" w14:textId="77777777" w:rsidR="00482BFD" w:rsidRPr="00446E53" w:rsidRDefault="00482BFD">
            <w:pPr>
              <w:keepLines/>
              <w:rPr>
                <w:rFonts w:ascii="Arial Narrow" w:hAnsi="Arial Narrow"/>
                <w:b/>
                <w:sz w:val="20"/>
                <w:szCs w:val="20"/>
              </w:rPr>
            </w:pPr>
            <w:r w:rsidRPr="00446E53">
              <w:rPr>
                <w:rFonts w:ascii="Arial Narrow" w:hAnsi="Arial Narrow"/>
                <w:b/>
                <w:bCs/>
                <w:sz w:val="20"/>
                <w:szCs w:val="20"/>
              </w:rPr>
              <w:t>medicinal product pack</w:t>
            </w:r>
          </w:p>
        </w:tc>
        <w:tc>
          <w:tcPr>
            <w:tcW w:w="811" w:type="dxa"/>
            <w:vAlign w:val="center"/>
          </w:tcPr>
          <w:p w14:paraId="01E93D58" w14:textId="77777777" w:rsidR="00482BFD" w:rsidRPr="00446E53" w:rsidRDefault="00482BFD">
            <w:pPr>
              <w:keepLines/>
              <w:jc w:val="center"/>
              <w:rPr>
                <w:rFonts w:ascii="Arial Narrow" w:hAnsi="Arial Narrow"/>
                <w:b/>
                <w:sz w:val="20"/>
                <w:szCs w:val="20"/>
              </w:rPr>
            </w:pPr>
            <w:r w:rsidRPr="00446E53">
              <w:rPr>
                <w:rFonts w:ascii="Arial Narrow" w:hAnsi="Arial Narrow"/>
                <w:b/>
                <w:sz w:val="20"/>
                <w:szCs w:val="20"/>
              </w:rPr>
              <w:t>PBS item code</w:t>
            </w:r>
          </w:p>
        </w:tc>
        <w:tc>
          <w:tcPr>
            <w:tcW w:w="812" w:type="dxa"/>
            <w:vAlign w:val="center"/>
          </w:tcPr>
          <w:p w14:paraId="6BE30C38" w14:textId="77777777" w:rsidR="00482BFD" w:rsidRPr="00446E53" w:rsidRDefault="00482BFD">
            <w:pPr>
              <w:keepLines/>
              <w:jc w:val="center"/>
              <w:rPr>
                <w:rFonts w:ascii="Arial Narrow" w:hAnsi="Arial Narrow"/>
                <w:b/>
                <w:sz w:val="20"/>
                <w:szCs w:val="20"/>
              </w:rPr>
            </w:pPr>
            <w:r w:rsidRPr="00446E53">
              <w:rPr>
                <w:rFonts w:ascii="Arial Narrow" w:hAnsi="Arial Narrow"/>
                <w:b/>
                <w:sz w:val="20"/>
                <w:szCs w:val="20"/>
              </w:rPr>
              <w:t>Max. qty packs</w:t>
            </w:r>
          </w:p>
        </w:tc>
        <w:tc>
          <w:tcPr>
            <w:tcW w:w="811" w:type="dxa"/>
            <w:vAlign w:val="center"/>
          </w:tcPr>
          <w:p w14:paraId="0058A37B" w14:textId="77777777" w:rsidR="00482BFD" w:rsidRPr="00446E53" w:rsidRDefault="00482BFD">
            <w:pPr>
              <w:keepLines/>
              <w:jc w:val="center"/>
              <w:rPr>
                <w:rFonts w:ascii="Arial Narrow" w:hAnsi="Arial Narrow"/>
                <w:b/>
                <w:sz w:val="20"/>
                <w:szCs w:val="20"/>
              </w:rPr>
            </w:pPr>
            <w:r w:rsidRPr="00446E53">
              <w:rPr>
                <w:rFonts w:ascii="Arial Narrow" w:hAnsi="Arial Narrow"/>
                <w:b/>
                <w:sz w:val="20"/>
                <w:szCs w:val="20"/>
              </w:rPr>
              <w:t>Max. qty units</w:t>
            </w:r>
          </w:p>
        </w:tc>
        <w:tc>
          <w:tcPr>
            <w:tcW w:w="812" w:type="dxa"/>
            <w:vAlign w:val="center"/>
          </w:tcPr>
          <w:p w14:paraId="638455B6" w14:textId="77777777" w:rsidR="00482BFD" w:rsidRPr="00446E53" w:rsidRDefault="00482BFD">
            <w:pPr>
              <w:keepLines/>
              <w:jc w:val="center"/>
              <w:rPr>
                <w:rFonts w:ascii="Arial Narrow" w:hAnsi="Arial Narrow"/>
                <w:b/>
                <w:sz w:val="20"/>
                <w:szCs w:val="20"/>
              </w:rPr>
            </w:pPr>
            <w:r w:rsidRPr="00446E53">
              <w:rPr>
                <w:rFonts w:ascii="Arial Narrow" w:hAnsi="Arial Narrow"/>
                <w:b/>
                <w:sz w:val="20"/>
                <w:szCs w:val="20"/>
              </w:rPr>
              <w:t>№.of</w:t>
            </w:r>
          </w:p>
          <w:p w14:paraId="66D91184" w14:textId="77777777" w:rsidR="00482BFD" w:rsidRPr="00446E53" w:rsidRDefault="00482BFD">
            <w:pPr>
              <w:keepLines/>
              <w:jc w:val="center"/>
              <w:rPr>
                <w:rFonts w:ascii="Arial Narrow" w:hAnsi="Arial Narrow"/>
                <w:b/>
                <w:sz w:val="20"/>
                <w:szCs w:val="20"/>
              </w:rPr>
            </w:pPr>
            <w:r w:rsidRPr="00446E53">
              <w:rPr>
                <w:rFonts w:ascii="Arial Narrow" w:hAnsi="Arial Narrow"/>
                <w:b/>
                <w:sz w:val="20"/>
                <w:szCs w:val="20"/>
              </w:rPr>
              <w:t>Rpts</w:t>
            </w:r>
          </w:p>
        </w:tc>
        <w:tc>
          <w:tcPr>
            <w:tcW w:w="1831" w:type="dxa"/>
            <w:vAlign w:val="center"/>
          </w:tcPr>
          <w:p w14:paraId="3081DA7B" w14:textId="77777777" w:rsidR="00482BFD" w:rsidRPr="00446E53" w:rsidRDefault="00482BFD">
            <w:pPr>
              <w:keepLines/>
              <w:rPr>
                <w:rFonts w:ascii="Arial Narrow" w:hAnsi="Arial Narrow"/>
                <w:b/>
                <w:sz w:val="20"/>
                <w:szCs w:val="20"/>
                <w:lang w:val="fr-FR"/>
              </w:rPr>
            </w:pPr>
            <w:r w:rsidRPr="00446E53">
              <w:rPr>
                <w:rFonts w:ascii="Arial Narrow" w:hAnsi="Arial Narrow"/>
                <w:b/>
                <w:sz w:val="20"/>
                <w:szCs w:val="20"/>
              </w:rPr>
              <w:t>Available brands</w:t>
            </w:r>
          </w:p>
        </w:tc>
      </w:tr>
      <w:tr w:rsidR="00482BFD" w:rsidRPr="00446E53" w14:paraId="2A16BD33" w14:textId="77777777">
        <w:trPr>
          <w:cantSplit/>
          <w:trHeight w:val="20"/>
        </w:trPr>
        <w:tc>
          <w:tcPr>
            <w:tcW w:w="9017" w:type="dxa"/>
            <w:gridSpan w:val="7"/>
            <w:vAlign w:val="center"/>
          </w:tcPr>
          <w:p w14:paraId="34C95034" w14:textId="77777777" w:rsidR="00482BFD" w:rsidRPr="00446E53" w:rsidRDefault="00482BFD">
            <w:pPr>
              <w:keepLines/>
              <w:rPr>
                <w:rFonts w:ascii="Arial Narrow" w:hAnsi="Arial Narrow"/>
                <w:sz w:val="20"/>
                <w:szCs w:val="20"/>
              </w:rPr>
            </w:pPr>
            <w:r>
              <w:rPr>
                <w:rFonts w:ascii="Arial Narrow" w:hAnsi="Arial Narrow"/>
                <w:sz w:val="20"/>
                <w:szCs w:val="20"/>
              </w:rPr>
              <w:t>NEMOLIZUMAB</w:t>
            </w:r>
          </w:p>
        </w:tc>
      </w:tr>
      <w:tr w:rsidR="00482BFD" w:rsidRPr="00446E53" w14:paraId="51F67ABE" w14:textId="77777777">
        <w:trPr>
          <w:cantSplit/>
          <w:trHeight w:val="20"/>
        </w:trPr>
        <w:tc>
          <w:tcPr>
            <w:tcW w:w="3940" w:type="dxa"/>
            <w:gridSpan w:val="2"/>
            <w:vAlign w:val="center"/>
          </w:tcPr>
          <w:p w14:paraId="4565187E" w14:textId="77777777" w:rsidR="00482BFD" w:rsidRDefault="00482BFD">
            <w:pPr>
              <w:keepLines/>
              <w:rPr>
                <w:rFonts w:ascii="Arial Narrow" w:hAnsi="Arial Narrow"/>
                <w:i/>
                <w:iCs/>
                <w:strike/>
                <w:sz w:val="20"/>
                <w:szCs w:val="20"/>
              </w:rPr>
            </w:pPr>
            <w:r w:rsidRPr="009C0970">
              <w:rPr>
                <w:rFonts w:ascii="Arial Narrow" w:hAnsi="Arial Narrow"/>
                <w:strike/>
                <w:sz w:val="20"/>
                <w:szCs w:val="20"/>
              </w:rPr>
              <w:t xml:space="preserve">nemolizumab 30 mg/0.49 mL injection, 1 x 0.49 mL pen device </w:t>
            </w:r>
          </w:p>
          <w:p w14:paraId="52697C7E" w14:textId="77777777" w:rsidR="00482BFD" w:rsidRPr="0063126F" w:rsidRDefault="00482BFD">
            <w:pPr>
              <w:keepLines/>
              <w:rPr>
                <w:rFonts w:ascii="Arial Narrow" w:hAnsi="Arial Narrow"/>
                <w:i/>
                <w:iCs/>
                <w:sz w:val="20"/>
                <w:szCs w:val="20"/>
              </w:rPr>
            </w:pPr>
            <w:r>
              <w:rPr>
                <w:rFonts w:ascii="Arial Narrow" w:hAnsi="Arial Narrow"/>
                <w:i/>
                <w:iCs/>
                <w:sz w:val="20"/>
                <w:szCs w:val="20"/>
              </w:rPr>
              <w:t xml:space="preserve">Nemolizumab 30 mg injection [1 chamber] (&amp;) inert substance diluent [1 chamber], 1 dual chamber pen device </w:t>
            </w:r>
          </w:p>
        </w:tc>
        <w:tc>
          <w:tcPr>
            <w:tcW w:w="811" w:type="dxa"/>
            <w:vAlign w:val="center"/>
          </w:tcPr>
          <w:p w14:paraId="33D9C058" w14:textId="77777777" w:rsidR="00482BFD" w:rsidRPr="00E168B8" w:rsidRDefault="00482BFD">
            <w:pPr>
              <w:keepLines/>
              <w:jc w:val="center"/>
              <w:rPr>
                <w:rFonts w:ascii="Arial Narrow" w:hAnsi="Arial Narrow"/>
                <w:sz w:val="20"/>
                <w:szCs w:val="20"/>
              </w:rPr>
            </w:pPr>
            <w:r w:rsidRPr="00E168B8">
              <w:rPr>
                <w:rFonts w:ascii="Arial Narrow" w:hAnsi="Arial Narrow"/>
                <w:sz w:val="20"/>
                <w:szCs w:val="20"/>
              </w:rPr>
              <w:t>NEW</w:t>
            </w:r>
          </w:p>
        </w:tc>
        <w:tc>
          <w:tcPr>
            <w:tcW w:w="812" w:type="dxa"/>
            <w:vAlign w:val="center"/>
          </w:tcPr>
          <w:p w14:paraId="43B4D040" w14:textId="77777777" w:rsidR="00482BFD" w:rsidRPr="00E168B8" w:rsidRDefault="00482BFD">
            <w:pPr>
              <w:keepLines/>
              <w:jc w:val="center"/>
              <w:rPr>
                <w:rFonts w:ascii="Arial Narrow" w:hAnsi="Arial Narrow"/>
                <w:sz w:val="20"/>
                <w:szCs w:val="20"/>
              </w:rPr>
            </w:pPr>
            <w:r w:rsidRPr="00E168B8">
              <w:rPr>
                <w:rFonts w:ascii="Arial Narrow" w:hAnsi="Arial Narrow"/>
                <w:sz w:val="20"/>
                <w:szCs w:val="20"/>
              </w:rPr>
              <w:t>2</w:t>
            </w:r>
          </w:p>
        </w:tc>
        <w:tc>
          <w:tcPr>
            <w:tcW w:w="811" w:type="dxa"/>
            <w:vAlign w:val="center"/>
          </w:tcPr>
          <w:p w14:paraId="0AA610C1" w14:textId="77777777" w:rsidR="00482BFD" w:rsidRPr="00E168B8" w:rsidRDefault="00482BFD">
            <w:pPr>
              <w:keepLines/>
              <w:jc w:val="center"/>
              <w:rPr>
                <w:rFonts w:ascii="Arial Narrow" w:hAnsi="Arial Narrow"/>
                <w:sz w:val="20"/>
                <w:szCs w:val="20"/>
              </w:rPr>
            </w:pPr>
            <w:r w:rsidRPr="00E168B8">
              <w:rPr>
                <w:rFonts w:ascii="Arial Narrow" w:hAnsi="Arial Narrow"/>
                <w:sz w:val="20"/>
                <w:szCs w:val="20"/>
              </w:rPr>
              <w:t>2</w:t>
            </w:r>
          </w:p>
        </w:tc>
        <w:tc>
          <w:tcPr>
            <w:tcW w:w="812" w:type="dxa"/>
            <w:vAlign w:val="center"/>
          </w:tcPr>
          <w:p w14:paraId="1FDD6600" w14:textId="77777777" w:rsidR="00482BFD" w:rsidRPr="00E168B8" w:rsidRDefault="00482BFD">
            <w:pPr>
              <w:keepLines/>
              <w:jc w:val="center"/>
              <w:rPr>
                <w:rFonts w:ascii="Arial Narrow" w:hAnsi="Arial Narrow"/>
                <w:sz w:val="20"/>
                <w:szCs w:val="20"/>
              </w:rPr>
            </w:pPr>
            <w:r w:rsidRPr="00E168B8">
              <w:rPr>
                <w:rFonts w:ascii="Arial Narrow" w:hAnsi="Arial Narrow"/>
                <w:sz w:val="20"/>
                <w:szCs w:val="20"/>
              </w:rPr>
              <w:t>2</w:t>
            </w:r>
          </w:p>
        </w:tc>
        <w:tc>
          <w:tcPr>
            <w:tcW w:w="1831" w:type="dxa"/>
            <w:vAlign w:val="center"/>
          </w:tcPr>
          <w:p w14:paraId="0B9ED616" w14:textId="77777777" w:rsidR="00482BFD" w:rsidRPr="00E168B8" w:rsidRDefault="00482BFD">
            <w:pPr>
              <w:keepLines/>
              <w:jc w:val="center"/>
              <w:rPr>
                <w:rFonts w:ascii="Arial Narrow" w:hAnsi="Arial Narrow"/>
                <w:sz w:val="20"/>
                <w:szCs w:val="20"/>
              </w:rPr>
            </w:pPr>
          </w:p>
          <w:p w14:paraId="6787B36D" w14:textId="77777777" w:rsidR="00482BFD" w:rsidRPr="00E168B8" w:rsidRDefault="00482BFD">
            <w:pPr>
              <w:keepLines/>
              <w:jc w:val="center"/>
              <w:rPr>
                <w:rFonts w:ascii="Arial Narrow" w:hAnsi="Arial Narrow"/>
                <w:sz w:val="20"/>
                <w:szCs w:val="20"/>
              </w:rPr>
            </w:pPr>
            <w:proofErr w:type="spellStart"/>
            <w:r w:rsidRPr="00E168B8">
              <w:rPr>
                <w:rFonts w:ascii="Arial Narrow" w:hAnsi="Arial Narrow"/>
                <w:sz w:val="20"/>
                <w:szCs w:val="20"/>
              </w:rPr>
              <w:t>Nemluvio</w:t>
            </w:r>
            <w:proofErr w:type="spellEnd"/>
          </w:p>
          <w:p w14:paraId="5BFB4798" w14:textId="77777777" w:rsidR="00482BFD" w:rsidRPr="00E168B8" w:rsidRDefault="00482BFD">
            <w:pPr>
              <w:keepLines/>
              <w:rPr>
                <w:rFonts w:ascii="Arial Narrow" w:hAnsi="Arial Narrow"/>
                <w:sz w:val="20"/>
                <w:szCs w:val="20"/>
              </w:rPr>
            </w:pPr>
          </w:p>
        </w:tc>
      </w:tr>
      <w:tr w:rsidR="00482BFD" w:rsidRPr="00446E53" w14:paraId="76308A38" w14:textId="77777777">
        <w:tblPrEx>
          <w:tblCellMar>
            <w:top w:w="15" w:type="dxa"/>
            <w:bottom w:w="15" w:type="dxa"/>
          </w:tblCellMar>
          <w:tblLook w:val="04A0" w:firstRow="1" w:lastRow="0" w:firstColumn="1" w:lastColumn="0" w:noHBand="0" w:noVBand="1"/>
        </w:tblPrEx>
        <w:trPr>
          <w:trHeight w:val="20"/>
        </w:trPr>
        <w:tc>
          <w:tcPr>
            <w:tcW w:w="9017" w:type="dxa"/>
            <w:gridSpan w:val="7"/>
            <w:tcBorders>
              <w:top w:val="single" w:sz="4" w:space="0" w:color="auto"/>
              <w:left w:val="single" w:sz="4" w:space="0" w:color="auto"/>
              <w:right w:val="single" w:sz="4" w:space="0" w:color="auto"/>
            </w:tcBorders>
            <w:vAlign w:val="center"/>
          </w:tcPr>
          <w:p w14:paraId="77CFB3C5" w14:textId="77777777" w:rsidR="00482BFD" w:rsidRPr="00E168B8" w:rsidRDefault="00482BFD">
            <w:pPr>
              <w:rPr>
                <w:rFonts w:ascii="Arial Narrow" w:hAnsi="Arial Narrow"/>
                <w:sz w:val="20"/>
                <w:szCs w:val="20"/>
              </w:rPr>
            </w:pPr>
          </w:p>
        </w:tc>
      </w:tr>
      <w:tr w:rsidR="00482BFD" w:rsidRPr="00446E53" w14:paraId="29F09E14" w14:textId="77777777">
        <w:tblPrEx>
          <w:tblCellMar>
            <w:top w:w="15" w:type="dxa"/>
            <w:bottom w:w="15" w:type="dxa"/>
          </w:tblCellMar>
          <w:tblLook w:val="04A0" w:firstRow="1" w:lastRow="0" w:firstColumn="1" w:lastColumn="0" w:noHBand="0" w:noVBand="1"/>
        </w:tblPrEx>
        <w:trPr>
          <w:trHeight w:val="20"/>
        </w:trPr>
        <w:tc>
          <w:tcPr>
            <w:tcW w:w="1272" w:type="dxa"/>
            <w:vMerge w:val="restart"/>
            <w:tcBorders>
              <w:top w:val="single" w:sz="4" w:space="0" w:color="auto"/>
              <w:left w:val="single" w:sz="4" w:space="0" w:color="auto"/>
              <w:right w:val="single" w:sz="4" w:space="0" w:color="auto"/>
            </w:tcBorders>
          </w:tcPr>
          <w:p w14:paraId="3F3377B6" w14:textId="77777777" w:rsidR="00482BFD" w:rsidRPr="00446E53" w:rsidRDefault="00482BFD">
            <w:pPr>
              <w:jc w:val="center"/>
              <w:rPr>
                <w:rFonts w:ascii="Arial Narrow" w:hAnsi="Arial Narrow"/>
                <w:sz w:val="20"/>
                <w:szCs w:val="20"/>
              </w:rPr>
            </w:pPr>
            <w:r w:rsidRPr="00446E53">
              <w:rPr>
                <w:rFonts w:ascii="Arial Narrow" w:hAnsi="Arial Narrow"/>
                <w:b/>
                <w:sz w:val="20"/>
                <w:szCs w:val="20"/>
              </w:rPr>
              <w:t>Concept ID</w:t>
            </w:r>
          </w:p>
          <w:p w14:paraId="34845437" w14:textId="77777777" w:rsidR="00482BFD" w:rsidRPr="00446E53" w:rsidRDefault="00482BFD">
            <w:pPr>
              <w:jc w:val="center"/>
              <w:rPr>
                <w:rFonts w:ascii="Arial Narrow" w:hAnsi="Arial Narrow"/>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539F8650" w14:textId="77777777" w:rsidR="00482BFD" w:rsidRPr="00E168B8" w:rsidRDefault="00482BFD">
            <w:pPr>
              <w:keepLines/>
              <w:jc w:val="left"/>
              <w:rPr>
                <w:rFonts w:ascii="Arial Narrow" w:hAnsi="Arial Narrow"/>
                <w:sz w:val="20"/>
                <w:szCs w:val="20"/>
              </w:rPr>
            </w:pPr>
            <w:r w:rsidRPr="00E168B8">
              <w:rPr>
                <w:rFonts w:ascii="Arial Narrow" w:hAnsi="Arial Narrow"/>
                <w:b/>
                <w:sz w:val="20"/>
                <w:szCs w:val="20"/>
              </w:rPr>
              <w:t>Category / Program:</w:t>
            </w:r>
            <w:r w:rsidRPr="00E168B8">
              <w:rPr>
                <w:rFonts w:ascii="Arial Narrow" w:hAnsi="Arial Narrow"/>
                <w:sz w:val="20"/>
                <w:szCs w:val="20"/>
              </w:rPr>
              <w:t xml:space="preserve"> </w:t>
            </w:r>
            <w:r w:rsidRPr="00E168B8">
              <w:rPr>
                <w:rFonts w:ascii="Arial Narrow" w:hAnsi="Arial Narrow"/>
                <w:sz w:val="20"/>
                <w:szCs w:val="20"/>
              </w:rPr>
              <w:fldChar w:fldCharType="begin">
                <w:ffData>
                  <w:name w:val=""/>
                  <w:enabled/>
                  <w:calcOnExit w:val="0"/>
                  <w:checkBox>
                    <w:sizeAuto/>
                    <w:default w:val="1"/>
                  </w:checkBox>
                </w:ffData>
              </w:fldChar>
            </w:r>
            <w:r w:rsidRPr="00E168B8">
              <w:rPr>
                <w:rFonts w:ascii="Arial Narrow" w:hAnsi="Arial Narrow"/>
                <w:sz w:val="20"/>
                <w:szCs w:val="20"/>
              </w:rPr>
              <w:instrText xml:space="preserve"> FORMCHECKBOX </w:instrText>
            </w:r>
            <w:r w:rsidRPr="00E168B8">
              <w:rPr>
                <w:rFonts w:ascii="Arial Narrow" w:hAnsi="Arial Narrow"/>
                <w:sz w:val="20"/>
                <w:szCs w:val="20"/>
              </w:rPr>
            </w:r>
            <w:r w:rsidRPr="00E168B8">
              <w:rPr>
                <w:rFonts w:ascii="Arial Narrow" w:hAnsi="Arial Narrow"/>
                <w:sz w:val="20"/>
                <w:szCs w:val="20"/>
              </w:rPr>
              <w:fldChar w:fldCharType="separate"/>
            </w:r>
            <w:r w:rsidRPr="00E168B8">
              <w:rPr>
                <w:rFonts w:ascii="Arial Narrow" w:hAnsi="Arial Narrow"/>
                <w:sz w:val="20"/>
                <w:szCs w:val="20"/>
              </w:rPr>
              <w:fldChar w:fldCharType="end"/>
            </w:r>
            <w:r w:rsidRPr="00E168B8">
              <w:rPr>
                <w:rFonts w:ascii="Arial Narrow" w:hAnsi="Arial Narrow"/>
                <w:sz w:val="20"/>
                <w:szCs w:val="20"/>
              </w:rPr>
              <w:t xml:space="preserve"> </w:t>
            </w:r>
            <w:r w:rsidRPr="00E168B8">
              <w:rPr>
                <w:rFonts w:ascii="Arial Narrow" w:eastAsia="Calibri" w:hAnsi="Arial Narrow"/>
                <w:sz w:val="20"/>
                <w:szCs w:val="20"/>
              </w:rPr>
              <w:t xml:space="preserve">GENERAL - General Schedule (Code GE) </w:t>
            </w:r>
          </w:p>
        </w:tc>
      </w:tr>
      <w:tr w:rsidR="00482BFD" w:rsidRPr="00446E53" w14:paraId="4242903E" w14:textId="77777777">
        <w:tblPrEx>
          <w:tblCellMar>
            <w:top w:w="15" w:type="dxa"/>
            <w:bottom w:w="15" w:type="dxa"/>
          </w:tblCellMar>
          <w:tblLook w:val="04A0" w:firstRow="1" w:lastRow="0" w:firstColumn="1" w:lastColumn="0" w:noHBand="0" w:noVBand="1"/>
        </w:tblPrEx>
        <w:trPr>
          <w:trHeight w:val="20"/>
        </w:trPr>
        <w:tc>
          <w:tcPr>
            <w:tcW w:w="1272" w:type="dxa"/>
            <w:vMerge/>
            <w:tcBorders>
              <w:left w:val="single" w:sz="4" w:space="0" w:color="auto"/>
              <w:right w:val="single" w:sz="4" w:space="0" w:color="auto"/>
            </w:tcBorders>
          </w:tcPr>
          <w:p w14:paraId="0EED3824" w14:textId="77777777" w:rsidR="00482BFD" w:rsidRPr="00446E53" w:rsidRDefault="00482BFD">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3D8F6C82" w14:textId="77777777" w:rsidR="00482BFD" w:rsidRPr="00E168B8" w:rsidRDefault="00482BFD">
            <w:pPr>
              <w:keepLines/>
              <w:jc w:val="left"/>
              <w:rPr>
                <w:rFonts w:ascii="Arial Narrow" w:hAnsi="Arial Narrow"/>
                <w:b/>
                <w:sz w:val="20"/>
                <w:szCs w:val="20"/>
              </w:rPr>
            </w:pPr>
            <w:r w:rsidRPr="00E168B8">
              <w:rPr>
                <w:rFonts w:ascii="Arial Narrow" w:hAnsi="Arial Narrow"/>
                <w:b/>
                <w:sz w:val="20"/>
                <w:szCs w:val="20"/>
              </w:rPr>
              <w:t xml:space="preserve">Prescriber type: </w:t>
            </w:r>
            <w:r w:rsidRPr="00E168B8">
              <w:rPr>
                <w:rFonts w:ascii="Arial Narrow" w:hAnsi="Arial Narrow"/>
                <w:sz w:val="20"/>
                <w:szCs w:val="20"/>
              </w:rPr>
              <w:fldChar w:fldCharType="begin">
                <w:ffData>
                  <w:name w:val=""/>
                  <w:enabled/>
                  <w:calcOnExit w:val="0"/>
                  <w:checkBox>
                    <w:sizeAuto/>
                    <w:default w:val="1"/>
                  </w:checkBox>
                </w:ffData>
              </w:fldChar>
            </w:r>
            <w:r w:rsidRPr="00E168B8">
              <w:rPr>
                <w:rFonts w:ascii="Arial Narrow" w:hAnsi="Arial Narrow"/>
                <w:sz w:val="20"/>
                <w:szCs w:val="20"/>
              </w:rPr>
              <w:instrText xml:space="preserve"> FORMCHECKBOX </w:instrText>
            </w:r>
            <w:r w:rsidRPr="00E168B8">
              <w:rPr>
                <w:rFonts w:ascii="Arial Narrow" w:hAnsi="Arial Narrow"/>
                <w:sz w:val="20"/>
                <w:szCs w:val="20"/>
              </w:rPr>
            </w:r>
            <w:r w:rsidRPr="00E168B8">
              <w:rPr>
                <w:rFonts w:ascii="Arial Narrow" w:hAnsi="Arial Narrow"/>
                <w:sz w:val="20"/>
                <w:szCs w:val="20"/>
              </w:rPr>
              <w:fldChar w:fldCharType="separate"/>
            </w:r>
            <w:r w:rsidRPr="00E168B8">
              <w:rPr>
                <w:rFonts w:ascii="Arial Narrow" w:hAnsi="Arial Narrow"/>
                <w:sz w:val="20"/>
                <w:szCs w:val="20"/>
              </w:rPr>
              <w:fldChar w:fldCharType="end"/>
            </w:r>
            <w:r w:rsidRPr="00E168B8">
              <w:rPr>
                <w:rFonts w:ascii="Arial Narrow" w:hAnsi="Arial Narrow"/>
                <w:sz w:val="20"/>
                <w:szCs w:val="20"/>
              </w:rPr>
              <w:t xml:space="preserve"> Medical Practitioners </w:t>
            </w:r>
          </w:p>
        </w:tc>
      </w:tr>
      <w:tr w:rsidR="00482BFD" w:rsidRPr="00446E53" w14:paraId="5B8AE6B3" w14:textId="77777777">
        <w:tblPrEx>
          <w:tblCellMar>
            <w:top w:w="15" w:type="dxa"/>
            <w:bottom w:w="15" w:type="dxa"/>
          </w:tblCellMar>
          <w:tblLook w:val="04A0" w:firstRow="1" w:lastRow="0" w:firstColumn="1" w:lastColumn="0" w:noHBand="0" w:noVBand="1"/>
        </w:tblPrEx>
        <w:trPr>
          <w:trHeight w:val="20"/>
        </w:trPr>
        <w:tc>
          <w:tcPr>
            <w:tcW w:w="1272" w:type="dxa"/>
            <w:vMerge/>
            <w:tcBorders>
              <w:left w:val="single" w:sz="4" w:space="0" w:color="auto"/>
              <w:right w:val="single" w:sz="4" w:space="0" w:color="auto"/>
            </w:tcBorders>
          </w:tcPr>
          <w:p w14:paraId="0EA46C46" w14:textId="77777777" w:rsidR="00482BFD" w:rsidRPr="00446E53" w:rsidRDefault="00482BFD">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54DA736C" w14:textId="77777777" w:rsidR="00482BFD" w:rsidRPr="00E168B8" w:rsidRDefault="00482BFD">
            <w:pPr>
              <w:keepLines/>
              <w:jc w:val="left"/>
              <w:rPr>
                <w:rFonts w:ascii="Arial Narrow" w:hAnsi="Arial Narrow"/>
                <w:sz w:val="20"/>
                <w:szCs w:val="20"/>
              </w:rPr>
            </w:pPr>
            <w:r w:rsidRPr="00E168B8">
              <w:rPr>
                <w:rFonts w:ascii="Arial Narrow" w:hAnsi="Arial Narrow"/>
                <w:b/>
                <w:sz w:val="20"/>
                <w:szCs w:val="20"/>
              </w:rPr>
              <w:t xml:space="preserve">Benefit type: </w:t>
            </w:r>
            <w:r w:rsidRPr="00E168B8">
              <w:rPr>
                <w:rFonts w:ascii="Arial Narrow" w:hAnsi="Arial Narrow"/>
                <w:sz w:val="20"/>
                <w:szCs w:val="20"/>
              </w:rPr>
              <w:fldChar w:fldCharType="begin">
                <w:ffData>
                  <w:name w:val=""/>
                  <w:enabled/>
                  <w:calcOnExit w:val="0"/>
                  <w:checkBox>
                    <w:sizeAuto/>
                    <w:default w:val="1"/>
                  </w:checkBox>
                </w:ffData>
              </w:fldChar>
            </w:r>
            <w:r w:rsidRPr="00E168B8">
              <w:rPr>
                <w:rFonts w:ascii="Arial Narrow" w:hAnsi="Arial Narrow"/>
                <w:sz w:val="20"/>
                <w:szCs w:val="20"/>
              </w:rPr>
              <w:instrText xml:space="preserve"> FORMCHECKBOX </w:instrText>
            </w:r>
            <w:r w:rsidRPr="00E168B8">
              <w:rPr>
                <w:rFonts w:ascii="Arial Narrow" w:hAnsi="Arial Narrow"/>
                <w:sz w:val="20"/>
                <w:szCs w:val="20"/>
              </w:rPr>
            </w:r>
            <w:r w:rsidRPr="00E168B8">
              <w:rPr>
                <w:rFonts w:ascii="Arial Narrow" w:hAnsi="Arial Narrow"/>
                <w:sz w:val="20"/>
                <w:szCs w:val="20"/>
              </w:rPr>
              <w:fldChar w:fldCharType="separate"/>
            </w:r>
            <w:r w:rsidRPr="00E168B8">
              <w:rPr>
                <w:rFonts w:ascii="Arial Narrow" w:hAnsi="Arial Narrow"/>
                <w:sz w:val="20"/>
                <w:szCs w:val="20"/>
              </w:rPr>
              <w:fldChar w:fldCharType="end"/>
            </w:r>
            <w:r w:rsidRPr="00E168B8">
              <w:rPr>
                <w:rFonts w:ascii="Arial Narrow" w:hAnsi="Arial Narrow"/>
                <w:sz w:val="20"/>
                <w:szCs w:val="20"/>
              </w:rPr>
              <w:t xml:space="preserve"> </w:t>
            </w:r>
            <w:r w:rsidRPr="00E168B8">
              <w:rPr>
                <w:rFonts w:ascii="Arial Narrow" w:eastAsia="Calibri" w:hAnsi="Arial Narrow"/>
                <w:sz w:val="20"/>
                <w:szCs w:val="20"/>
              </w:rPr>
              <w:t>Authority Required (</w:t>
            </w:r>
            <w:r>
              <w:rPr>
                <w:rFonts w:ascii="Arial Narrow" w:eastAsia="Calibri" w:hAnsi="Arial Narrow"/>
                <w:sz w:val="20"/>
                <w:szCs w:val="20"/>
              </w:rPr>
              <w:t xml:space="preserve">telephone/electronic) </w:t>
            </w:r>
          </w:p>
        </w:tc>
      </w:tr>
      <w:tr w:rsidR="00482BFD" w:rsidRPr="00446E53" w14:paraId="5A21C148" w14:textId="77777777">
        <w:tblPrEx>
          <w:tblCellMar>
            <w:top w:w="15" w:type="dxa"/>
            <w:bottom w:w="15" w:type="dxa"/>
          </w:tblCellMar>
          <w:tblLook w:val="04A0" w:firstRow="1" w:lastRow="0" w:firstColumn="1" w:lastColumn="0" w:noHBand="0" w:noVBand="1"/>
        </w:tblPrEx>
        <w:trPr>
          <w:trHeight w:val="184"/>
        </w:trPr>
        <w:tc>
          <w:tcPr>
            <w:tcW w:w="1272" w:type="dxa"/>
            <w:tcBorders>
              <w:left w:val="single" w:sz="4" w:space="0" w:color="auto"/>
              <w:bottom w:val="single" w:sz="4" w:space="0" w:color="auto"/>
              <w:right w:val="single" w:sz="4" w:space="0" w:color="auto"/>
            </w:tcBorders>
          </w:tcPr>
          <w:p w14:paraId="7AC15384" w14:textId="77777777" w:rsidR="00482BFD" w:rsidRPr="00446E53" w:rsidRDefault="00482BFD">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65ADDDC5" w14:textId="77777777" w:rsidR="00482BFD" w:rsidRPr="00446E53" w:rsidRDefault="00482BFD">
            <w:pPr>
              <w:pStyle w:val="pf0"/>
              <w:spacing w:before="0" w:beforeAutospacing="0" w:after="0" w:afterAutospacing="0"/>
              <w:rPr>
                <w:rFonts w:ascii="Arial Narrow" w:hAnsi="Arial Narrow" w:cs="Arial"/>
                <w:b/>
                <w:sz w:val="20"/>
                <w:szCs w:val="20"/>
              </w:rPr>
            </w:pPr>
            <w:r w:rsidRPr="00446E53">
              <w:rPr>
                <w:rFonts w:ascii="Arial Narrow" w:hAnsi="Arial Narrow" w:cs="Arial"/>
                <w:b/>
                <w:sz w:val="20"/>
                <w:szCs w:val="20"/>
              </w:rPr>
              <w:t xml:space="preserve">Prescribing rule level:  </w:t>
            </w:r>
          </w:p>
        </w:tc>
      </w:tr>
      <w:tr w:rsidR="00482BFD" w:rsidRPr="00446E53" w14:paraId="5A27F21C" w14:textId="77777777">
        <w:tblPrEx>
          <w:tblCellMar>
            <w:top w:w="15" w:type="dxa"/>
            <w:bottom w:w="15" w:type="dxa"/>
          </w:tblCellMar>
          <w:tblLook w:val="04A0" w:firstRow="1" w:lastRow="0" w:firstColumn="1" w:lastColumn="0" w:noHBand="0" w:noVBand="1"/>
        </w:tblPrEx>
        <w:trPr>
          <w:trHeight w:val="184"/>
        </w:trPr>
        <w:tc>
          <w:tcPr>
            <w:tcW w:w="1272" w:type="dxa"/>
            <w:tcBorders>
              <w:left w:val="single" w:sz="4" w:space="0" w:color="auto"/>
              <w:bottom w:val="single" w:sz="4" w:space="0" w:color="auto"/>
              <w:right w:val="single" w:sz="4" w:space="0" w:color="auto"/>
            </w:tcBorders>
          </w:tcPr>
          <w:p w14:paraId="5C00C484" w14:textId="6E9A709A" w:rsidR="00482BFD" w:rsidRPr="00446E53" w:rsidRDefault="00482BFD">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47FE23B" w14:textId="77777777" w:rsidR="00482BFD" w:rsidRDefault="00482BFD">
            <w:pPr>
              <w:rPr>
                <w:rFonts w:ascii="Arial Narrow" w:hAnsi="Arial Narrow"/>
                <w:b/>
                <w:bCs/>
                <w:color w:val="333333"/>
                <w:sz w:val="20"/>
                <w:szCs w:val="20"/>
              </w:rPr>
            </w:pPr>
            <w:r w:rsidRPr="00446E53">
              <w:rPr>
                <w:rFonts w:ascii="Arial Narrow" w:hAnsi="Arial Narrow"/>
                <w:b/>
                <w:bCs/>
                <w:color w:val="333333"/>
                <w:sz w:val="20"/>
                <w:szCs w:val="20"/>
              </w:rPr>
              <w:t>Administrative Advice:</w:t>
            </w:r>
          </w:p>
          <w:p w14:paraId="5916C8F3" w14:textId="77777777" w:rsidR="00482BFD" w:rsidRPr="00446E53" w:rsidRDefault="00482BFD">
            <w:pPr>
              <w:pStyle w:val="pf0"/>
              <w:spacing w:before="0" w:beforeAutospacing="0" w:after="0" w:afterAutospacing="0"/>
              <w:rPr>
                <w:rFonts w:ascii="Arial Narrow" w:hAnsi="Arial Narrow" w:cs="Arial"/>
                <w:b/>
                <w:sz w:val="20"/>
                <w:szCs w:val="20"/>
              </w:rPr>
            </w:pPr>
            <w:r w:rsidRPr="008903D2">
              <w:rPr>
                <w:rFonts w:ascii="Arial Narrow" w:eastAsia="Calibri" w:hAnsi="Arial Narrow" w:cs="Arial"/>
                <w:sz w:val="20"/>
                <w:szCs w:val="20"/>
                <w14:ligatures w14:val="standardContextual"/>
              </w:rPr>
              <w:t>No increase in the maximum quantity or number of units may be authorised.</w:t>
            </w:r>
          </w:p>
        </w:tc>
      </w:tr>
      <w:tr w:rsidR="00482BFD" w:rsidRPr="00446E53" w14:paraId="3FEF72B6" w14:textId="77777777">
        <w:tblPrEx>
          <w:tblCellMar>
            <w:top w:w="15" w:type="dxa"/>
            <w:bottom w:w="15" w:type="dxa"/>
          </w:tblCellMar>
          <w:tblLook w:val="04A0" w:firstRow="1" w:lastRow="0" w:firstColumn="1" w:lastColumn="0" w:noHBand="0" w:noVBand="1"/>
        </w:tblPrEx>
        <w:trPr>
          <w:trHeight w:val="184"/>
        </w:trPr>
        <w:tc>
          <w:tcPr>
            <w:tcW w:w="1272" w:type="dxa"/>
            <w:tcBorders>
              <w:left w:val="single" w:sz="4" w:space="0" w:color="auto"/>
              <w:bottom w:val="single" w:sz="4" w:space="0" w:color="auto"/>
              <w:right w:val="single" w:sz="4" w:space="0" w:color="auto"/>
            </w:tcBorders>
          </w:tcPr>
          <w:p w14:paraId="49800239" w14:textId="35DEC4AC" w:rsidR="00482BFD" w:rsidRPr="00446E53" w:rsidRDefault="00482BFD">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EE22DAE" w14:textId="77777777" w:rsidR="00482BFD" w:rsidRPr="001D4E34" w:rsidRDefault="00482BFD">
            <w:pPr>
              <w:rPr>
                <w:rFonts w:ascii="Arial Narrow" w:eastAsia="Calibri" w:hAnsi="Arial Narrow"/>
                <w:b/>
                <w:bCs/>
                <w:sz w:val="20"/>
                <w:szCs w:val="20"/>
              </w:rPr>
            </w:pPr>
            <w:r w:rsidRPr="001D4E34">
              <w:rPr>
                <w:rFonts w:ascii="Arial Narrow" w:eastAsia="Calibri" w:hAnsi="Arial Narrow"/>
                <w:b/>
                <w:bCs/>
                <w:sz w:val="20"/>
                <w:szCs w:val="20"/>
              </w:rPr>
              <w:t>Administrative Advice:</w:t>
            </w:r>
          </w:p>
          <w:p w14:paraId="55FF5868" w14:textId="77777777" w:rsidR="00482BFD" w:rsidRPr="00E60AF3" w:rsidRDefault="00482BFD">
            <w:pPr>
              <w:pStyle w:val="pf0"/>
              <w:spacing w:before="0" w:beforeAutospacing="0" w:after="0" w:afterAutospacing="0"/>
              <w:rPr>
                <w:rFonts w:ascii="Arial Narrow" w:eastAsia="Calibri" w:hAnsi="Arial Narrow" w:cs="Arial"/>
                <w:sz w:val="20"/>
                <w:szCs w:val="20"/>
                <w14:ligatures w14:val="standardContextual"/>
              </w:rPr>
            </w:pPr>
            <w:r w:rsidRPr="00E60AF3">
              <w:rPr>
                <w:rFonts w:ascii="Arial Narrow" w:eastAsia="Calibri" w:hAnsi="Arial Narrow" w:cs="Arial"/>
                <w:sz w:val="20"/>
                <w:szCs w:val="20"/>
                <w14:ligatures w14:val="standardContextual"/>
              </w:rPr>
              <w:t>No increase in the maximum number of repeats may be authorised.</w:t>
            </w:r>
          </w:p>
        </w:tc>
      </w:tr>
      <w:tr w:rsidR="00482BFD" w:rsidRPr="00446E53" w14:paraId="25D5631F" w14:textId="77777777">
        <w:tblPrEx>
          <w:tblCellMar>
            <w:top w:w="15" w:type="dxa"/>
            <w:bottom w:w="15" w:type="dxa"/>
          </w:tblCellMar>
          <w:tblLook w:val="04A0" w:firstRow="1" w:lastRow="0" w:firstColumn="1" w:lastColumn="0" w:noHBand="0" w:noVBand="1"/>
        </w:tblPrEx>
        <w:trPr>
          <w:trHeight w:val="184"/>
        </w:trPr>
        <w:tc>
          <w:tcPr>
            <w:tcW w:w="1272" w:type="dxa"/>
            <w:tcBorders>
              <w:left w:val="single" w:sz="4" w:space="0" w:color="auto"/>
              <w:bottom w:val="single" w:sz="4" w:space="0" w:color="auto"/>
              <w:right w:val="single" w:sz="4" w:space="0" w:color="auto"/>
            </w:tcBorders>
          </w:tcPr>
          <w:p w14:paraId="60107D4B" w14:textId="3E2BD6B9" w:rsidR="00482BFD" w:rsidRPr="00446E53" w:rsidRDefault="00482BFD">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3A38387" w14:textId="77777777" w:rsidR="00482BFD" w:rsidRPr="001D4E34" w:rsidRDefault="00482BFD">
            <w:pPr>
              <w:rPr>
                <w:rFonts w:ascii="Arial Narrow" w:eastAsia="Calibri" w:hAnsi="Arial Narrow"/>
                <w:b/>
                <w:bCs/>
                <w:sz w:val="20"/>
                <w:szCs w:val="20"/>
              </w:rPr>
            </w:pPr>
            <w:r w:rsidRPr="001D4E34">
              <w:rPr>
                <w:rFonts w:ascii="Arial Narrow" w:eastAsia="Calibri" w:hAnsi="Arial Narrow"/>
                <w:b/>
                <w:bCs/>
                <w:sz w:val="20"/>
                <w:szCs w:val="20"/>
              </w:rPr>
              <w:t>Administrative Advice:</w:t>
            </w:r>
          </w:p>
          <w:p w14:paraId="62F9D7B7" w14:textId="77777777" w:rsidR="00482BFD" w:rsidRPr="001D4E34" w:rsidRDefault="00482BFD">
            <w:pPr>
              <w:pStyle w:val="pf0"/>
              <w:spacing w:before="0" w:beforeAutospacing="0" w:after="0" w:afterAutospacing="0"/>
              <w:rPr>
                <w:rFonts w:ascii="Arial Narrow" w:eastAsia="Calibri" w:hAnsi="Arial Narrow" w:cs="Arial"/>
                <w:sz w:val="20"/>
                <w:szCs w:val="20"/>
                <w14:ligatures w14:val="standardContextual"/>
              </w:rPr>
            </w:pPr>
            <w:r w:rsidRPr="001D4E34">
              <w:rPr>
                <w:rFonts w:ascii="Arial Narrow" w:eastAsia="Calibri" w:hAnsi="Arial Narrow" w:cs="Arial"/>
                <w:sz w:val="20"/>
                <w:szCs w:val="20"/>
                <w14:ligatures w14:val="standardContextual"/>
              </w:rPr>
              <w:t>Special Pricing Arrangements apply.</w:t>
            </w:r>
          </w:p>
        </w:tc>
      </w:tr>
      <w:tr w:rsidR="00482BFD" w:rsidRPr="00446E53" w14:paraId="2E482CF7" w14:textId="77777777">
        <w:tblPrEx>
          <w:tblCellMar>
            <w:top w:w="15" w:type="dxa"/>
            <w:bottom w:w="15" w:type="dxa"/>
          </w:tblCellMar>
          <w:tblLook w:val="04A0" w:firstRow="1" w:lastRow="0" w:firstColumn="1" w:lastColumn="0" w:noHBand="0" w:noVBand="1"/>
        </w:tblPrEx>
        <w:trPr>
          <w:trHeight w:val="20"/>
        </w:trPr>
        <w:tc>
          <w:tcPr>
            <w:tcW w:w="1272" w:type="dxa"/>
            <w:tcBorders>
              <w:left w:val="single" w:sz="4" w:space="0" w:color="auto"/>
              <w:bottom w:val="single" w:sz="4" w:space="0" w:color="auto"/>
              <w:right w:val="single" w:sz="4" w:space="0" w:color="auto"/>
            </w:tcBorders>
          </w:tcPr>
          <w:p w14:paraId="0648555C" w14:textId="32D941B0" w:rsidR="00482BFD" w:rsidRPr="002A0B70" w:rsidRDefault="00482BFD">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1FFF6DA3" w14:textId="77777777" w:rsidR="00482BFD" w:rsidRPr="002A0B70" w:rsidRDefault="00482BFD">
            <w:pPr>
              <w:rPr>
                <w:rFonts w:ascii="Arial Narrow" w:hAnsi="Arial Narrow"/>
                <w:b/>
                <w:bCs/>
                <w:color w:val="333333"/>
                <w:sz w:val="20"/>
                <w:szCs w:val="20"/>
              </w:rPr>
            </w:pPr>
            <w:r w:rsidRPr="002A0B70">
              <w:rPr>
                <w:rFonts w:ascii="Arial Narrow" w:hAnsi="Arial Narrow"/>
                <w:b/>
                <w:bCs/>
                <w:color w:val="333333"/>
                <w:sz w:val="20"/>
                <w:szCs w:val="20"/>
              </w:rPr>
              <w:t>Administrative Advice:</w:t>
            </w:r>
          </w:p>
          <w:p w14:paraId="251DB712" w14:textId="77777777" w:rsidR="00482BFD" w:rsidRPr="002A0B70" w:rsidRDefault="00482BFD">
            <w:pPr>
              <w:pStyle w:val="TableCentre"/>
              <w:jc w:val="left"/>
              <w:rPr>
                <w:rFonts w:ascii="Arial Narrow" w:eastAsia="Calibri" w:hAnsi="Arial Narrow" w:cs="Arial"/>
                <w:sz w:val="20"/>
                <w:szCs w:val="20"/>
                <w:lang w:eastAsia="en-AU" w:bidi="ar-SA"/>
                <w14:ligatures w14:val="standardContextual"/>
              </w:rPr>
            </w:pPr>
            <w:r w:rsidRPr="002A0B70">
              <w:rPr>
                <w:rFonts w:ascii="Arial Narrow" w:eastAsia="Calibri" w:hAnsi="Arial Narrow" w:cs="Arial"/>
                <w:sz w:val="20"/>
                <w:szCs w:val="20"/>
                <w:lang w:eastAsia="en-AU" w:bidi="ar-SA"/>
                <w14:ligatures w14:val="standardContextual"/>
              </w:rPr>
              <w:t>The Eczema Area and Severity Index (EASI) referenced in this restriction is that described in the following literature publications:</w:t>
            </w:r>
          </w:p>
          <w:p w14:paraId="0004F181" w14:textId="77777777" w:rsidR="00482BFD" w:rsidRPr="002A0B70" w:rsidRDefault="00482BFD">
            <w:pPr>
              <w:pStyle w:val="TableCentre"/>
              <w:jc w:val="left"/>
              <w:rPr>
                <w:rFonts w:ascii="Arial Narrow" w:eastAsia="Calibri" w:hAnsi="Arial Narrow" w:cs="Arial"/>
                <w:sz w:val="20"/>
                <w:szCs w:val="20"/>
                <w:lang w:eastAsia="en-AU" w:bidi="ar-SA"/>
                <w14:ligatures w14:val="standardContextual"/>
              </w:rPr>
            </w:pPr>
            <w:r w:rsidRPr="002A0B70">
              <w:rPr>
                <w:rFonts w:ascii="Arial Narrow" w:eastAsia="Calibri" w:hAnsi="Arial Narrow" w:cs="Arial"/>
                <w:sz w:val="20"/>
                <w:szCs w:val="20"/>
                <w:lang w:eastAsia="en-AU" w:bidi="ar-SA"/>
                <w14:ligatures w14:val="standardContextual"/>
              </w:rPr>
              <w:t>Chalmers JR et al. Report from the third international consensus meeting to harmonise core outcome measures for atopic eczema/dermatitis clinical trials (HOME). </w:t>
            </w:r>
            <w:r w:rsidRPr="002A0B70">
              <w:rPr>
                <w:rFonts w:ascii="Arial Narrow" w:eastAsia="Calibri" w:hAnsi="Arial Narrow" w:cs="Arial"/>
                <w:i/>
                <w:iCs/>
                <w:sz w:val="20"/>
                <w:szCs w:val="20"/>
                <w:lang w:eastAsia="en-AU" w:bidi="ar-SA"/>
                <w14:ligatures w14:val="standardContextual"/>
              </w:rPr>
              <w:t>British Journal of Dermatology</w:t>
            </w:r>
            <w:r w:rsidRPr="002A0B70">
              <w:rPr>
                <w:rFonts w:ascii="Arial Narrow" w:eastAsia="Calibri" w:hAnsi="Arial Narrow" w:cs="Arial"/>
                <w:sz w:val="20"/>
                <w:szCs w:val="20"/>
                <w:lang w:eastAsia="en-AU" w:bidi="ar-SA"/>
                <w14:ligatures w14:val="standardContextual"/>
              </w:rPr>
              <w:t> 2014 December;171(6):1318-25.</w:t>
            </w:r>
          </w:p>
          <w:p w14:paraId="58B18BAC" w14:textId="77777777" w:rsidR="00482BFD" w:rsidRPr="002A0B70" w:rsidRDefault="00482BFD">
            <w:pPr>
              <w:rPr>
                <w:rFonts w:ascii="Arial Narrow" w:hAnsi="Arial Narrow"/>
                <w:color w:val="333333"/>
                <w:sz w:val="20"/>
                <w:szCs w:val="20"/>
              </w:rPr>
            </w:pPr>
            <w:r w:rsidRPr="002A0B70">
              <w:rPr>
                <w:rFonts w:ascii="Arial Narrow" w:eastAsia="Calibri" w:hAnsi="Arial Narrow"/>
                <w:sz w:val="20"/>
                <w:szCs w:val="20"/>
              </w:rPr>
              <w:t>Schmitt J et al. HOME initiative collaborators. The Harmonising Outcome Measures for Eczema (HOME) statement to assess clinical signs of atopic eczema in trials. </w:t>
            </w:r>
            <w:r w:rsidRPr="002A0B70">
              <w:rPr>
                <w:rFonts w:ascii="Arial Narrow" w:eastAsia="Calibri" w:hAnsi="Arial Narrow"/>
                <w:i/>
                <w:iCs/>
                <w:sz w:val="20"/>
                <w:szCs w:val="20"/>
              </w:rPr>
              <w:t>The Journal of Allergy and Clinical Immunology</w:t>
            </w:r>
            <w:r w:rsidRPr="002A0B70">
              <w:rPr>
                <w:rFonts w:ascii="Arial Narrow" w:eastAsia="Calibri" w:hAnsi="Arial Narrow"/>
                <w:sz w:val="20"/>
                <w:szCs w:val="20"/>
              </w:rPr>
              <w:t> 2014 October;134(4):800-7</w:t>
            </w:r>
          </w:p>
        </w:tc>
      </w:tr>
      <w:tr w:rsidR="00482BFD" w:rsidRPr="00446E53" w14:paraId="622F5920" w14:textId="77777777">
        <w:tblPrEx>
          <w:tblCellMar>
            <w:top w:w="15" w:type="dxa"/>
            <w:bottom w:w="15" w:type="dxa"/>
          </w:tblCellMar>
          <w:tblLook w:val="04A0" w:firstRow="1" w:lastRow="0" w:firstColumn="1" w:lastColumn="0" w:noHBand="0" w:noVBand="1"/>
        </w:tblPrEx>
        <w:trPr>
          <w:trHeight w:val="20"/>
        </w:trPr>
        <w:tc>
          <w:tcPr>
            <w:tcW w:w="1272" w:type="dxa"/>
            <w:tcBorders>
              <w:left w:val="single" w:sz="4" w:space="0" w:color="auto"/>
              <w:bottom w:val="single" w:sz="4" w:space="0" w:color="auto"/>
              <w:right w:val="single" w:sz="4" w:space="0" w:color="auto"/>
            </w:tcBorders>
          </w:tcPr>
          <w:p w14:paraId="21F1BB27" w14:textId="53B9C58B" w:rsidR="00482BFD" w:rsidRPr="00446E53" w:rsidRDefault="00482BFD">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51A57C37" w14:textId="77777777" w:rsidR="00482BFD" w:rsidRDefault="00482BFD">
            <w:pPr>
              <w:keepLines/>
              <w:rPr>
                <w:rFonts w:ascii="Arial Narrow" w:hAnsi="Arial Narrow"/>
                <w:b/>
                <w:bCs/>
                <w:color w:val="333333"/>
                <w:sz w:val="20"/>
                <w:szCs w:val="20"/>
              </w:rPr>
            </w:pPr>
            <w:r w:rsidRPr="00446E53">
              <w:rPr>
                <w:rFonts w:ascii="Arial Narrow" w:hAnsi="Arial Narrow"/>
                <w:b/>
                <w:bCs/>
                <w:color w:val="333333"/>
                <w:sz w:val="20"/>
                <w:szCs w:val="20"/>
              </w:rPr>
              <w:t>Administrative Advice:</w:t>
            </w:r>
          </w:p>
          <w:p w14:paraId="549B3AE5" w14:textId="77777777" w:rsidR="00482BFD" w:rsidRPr="00446E53" w:rsidRDefault="00482BFD">
            <w:pPr>
              <w:keepLines/>
              <w:rPr>
                <w:rFonts w:ascii="Arial Narrow" w:hAnsi="Arial Narrow"/>
                <w:b/>
                <w:sz w:val="20"/>
                <w:szCs w:val="20"/>
              </w:rPr>
            </w:pPr>
            <w:r w:rsidRPr="00D32CAA">
              <w:rPr>
                <w:rFonts w:ascii="Arial Narrow" w:eastAsia="Calibri" w:hAnsi="Arial Narrow"/>
                <w:sz w:val="20"/>
                <w:szCs w:val="20"/>
              </w:rPr>
              <w:t>Instructions on the use of the Dermatology Life Quality Index and copyright details can be found here:</w:t>
            </w:r>
            <w:r w:rsidRPr="004D2E67">
              <w:rPr>
                <w:rFonts w:ascii="Arial Narrow" w:eastAsia="Calibri" w:hAnsi="Arial Narrow"/>
                <w:strike/>
                <w:sz w:val="20"/>
                <w:szCs w:val="20"/>
              </w:rPr>
              <w:t>,</w:t>
            </w:r>
            <w:r w:rsidRPr="00D32CAA">
              <w:rPr>
                <w:rFonts w:ascii="Arial Narrow" w:eastAsia="Calibri" w:hAnsi="Arial Narrow"/>
                <w:sz w:val="20"/>
                <w:szCs w:val="20"/>
              </w:rPr>
              <w:t xml:space="preserve"> </w:t>
            </w:r>
            <w:hyperlink r:id="rId14" w:history="1">
              <w:r w:rsidRPr="00D32CAA">
                <w:rPr>
                  <w:rFonts w:ascii="Arial Narrow" w:eastAsia="Calibri" w:hAnsi="Arial Narrow"/>
                  <w:sz w:val="20"/>
                  <w:szCs w:val="20"/>
                </w:rPr>
                <w:t>https://www.cardiff.ac.uk/medicine/resources/quality-of-life-questionnaires/dermatology-life-quality-index</w:t>
              </w:r>
            </w:hyperlink>
            <w:r>
              <w:rPr>
                <w:rFonts w:ascii="Arial Narrow" w:eastAsia="Calibri" w:hAnsi="Arial Narrow"/>
                <w:sz w:val="20"/>
                <w:szCs w:val="20"/>
              </w:rPr>
              <w:t xml:space="preserve">  </w:t>
            </w:r>
            <w:r w:rsidRPr="00E82BEE">
              <w:t xml:space="preserve">  </w:t>
            </w:r>
          </w:p>
        </w:tc>
      </w:tr>
      <w:tr w:rsidR="00482BFD" w:rsidRPr="00446E53" w14:paraId="0493F7F4" w14:textId="77777777">
        <w:tblPrEx>
          <w:tblCellMar>
            <w:top w:w="15" w:type="dxa"/>
            <w:bottom w:w="15" w:type="dxa"/>
          </w:tblCellMar>
          <w:tblLook w:val="04A0" w:firstRow="1" w:lastRow="0" w:firstColumn="1" w:lastColumn="0" w:noHBand="0" w:noVBand="1"/>
        </w:tblPrEx>
        <w:trPr>
          <w:trHeight w:val="20"/>
        </w:trPr>
        <w:tc>
          <w:tcPr>
            <w:tcW w:w="1272" w:type="dxa"/>
            <w:tcBorders>
              <w:left w:val="single" w:sz="4" w:space="0" w:color="auto"/>
              <w:bottom w:val="single" w:sz="4" w:space="0" w:color="auto"/>
              <w:right w:val="single" w:sz="4" w:space="0" w:color="auto"/>
            </w:tcBorders>
          </w:tcPr>
          <w:p w14:paraId="4D7B1D15" w14:textId="18DC3FB6" w:rsidR="00482BFD" w:rsidRPr="002C1179" w:rsidRDefault="00482BFD">
            <w:pPr>
              <w:jc w:val="center"/>
              <w:rPr>
                <w:rFonts w:ascii="Arial Narrow" w:hAnsi="Arial Narrow"/>
                <w:color w:val="333333"/>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7177D28" w14:textId="77777777" w:rsidR="00482BFD" w:rsidRPr="002C1179" w:rsidRDefault="00482BFD">
            <w:pPr>
              <w:keepLines/>
              <w:rPr>
                <w:rFonts w:ascii="Arial Narrow" w:hAnsi="Arial Narrow"/>
                <w:b/>
                <w:bCs/>
                <w:color w:val="333333"/>
                <w:sz w:val="20"/>
                <w:szCs w:val="20"/>
              </w:rPr>
            </w:pPr>
            <w:r w:rsidRPr="002C1179">
              <w:rPr>
                <w:rFonts w:ascii="Arial Narrow" w:hAnsi="Arial Narrow"/>
                <w:b/>
                <w:bCs/>
                <w:color w:val="333333"/>
                <w:sz w:val="20"/>
                <w:szCs w:val="20"/>
              </w:rPr>
              <w:t>Administrative Advice:</w:t>
            </w:r>
          </w:p>
          <w:p w14:paraId="2B2928CC" w14:textId="77777777" w:rsidR="00482BFD" w:rsidRPr="002C1179" w:rsidRDefault="00482BFD">
            <w:pPr>
              <w:pStyle w:val="TableCentre"/>
              <w:jc w:val="left"/>
              <w:rPr>
                <w:rFonts w:ascii="Arial Narrow" w:eastAsia="Calibri" w:hAnsi="Arial Narrow" w:cs="Arial"/>
                <w:sz w:val="20"/>
                <w:szCs w:val="20"/>
                <w:lang w:eastAsia="en-AU" w:bidi="ar-SA"/>
                <w14:ligatures w14:val="standardContextual"/>
              </w:rPr>
            </w:pPr>
            <w:r w:rsidRPr="002C1179">
              <w:rPr>
                <w:rFonts w:ascii="Arial Narrow" w:eastAsia="Calibri" w:hAnsi="Arial Narrow" w:cs="Arial"/>
                <w:sz w:val="20"/>
                <w:szCs w:val="20"/>
                <w:lang w:eastAsia="en-AU" w:bidi="ar-SA"/>
                <w14:ligatures w14:val="standardContextual"/>
              </w:rPr>
              <w:t>The Physician's Global Assessment (5-point scale) referenced in this restriction is that described in the following literature publication:</w:t>
            </w:r>
          </w:p>
          <w:p w14:paraId="650ED59A" w14:textId="77777777" w:rsidR="00482BFD" w:rsidRPr="002C1179" w:rsidRDefault="00482BFD">
            <w:pPr>
              <w:pStyle w:val="TableCentre"/>
              <w:jc w:val="left"/>
              <w:rPr>
                <w:rFonts w:ascii="Arial Narrow" w:eastAsia="Calibri" w:hAnsi="Arial Narrow" w:cs="Arial"/>
                <w:sz w:val="20"/>
                <w:szCs w:val="20"/>
                <w:lang w:eastAsia="en-AU" w:bidi="ar-SA"/>
                <w14:ligatures w14:val="standardContextual"/>
              </w:rPr>
            </w:pPr>
            <w:proofErr w:type="spellStart"/>
            <w:r w:rsidRPr="002C1179">
              <w:rPr>
                <w:rFonts w:ascii="Arial Narrow" w:eastAsia="Calibri" w:hAnsi="Arial Narrow" w:cs="Arial"/>
                <w:sz w:val="20"/>
                <w:szCs w:val="20"/>
                <w:lang w:eastAsia="en-AU" w:bidi="ar-SA"/>
                <w14:ligatures w14:val="standardContextual"/>
              </w:rPr>
              <w:t>Fatumura</w:t>
            </w:r>
            <w:proofErr w:type="spellEnd"/>
            <w:r w:rsidRPr="002C1179">
              <w:rPr>
                <w:rFonts w:ascii="Arial Narrow" w:eastAsia="Calibri" w:hAnsi="Arial Narrow" w:cs="Arial"/>
                <w:sz w:val="20"/>
                <w:szCs w:val="20"/>
                <w:lang w:eastAsia="en-AU" w:bidi="ar-SA"/>
                <w14:ligatures w14:val="standardContextual"/>
              </w:rPr>
              <w:t xml:space="preserve"> M et al. A systematic review of Investigator Global Assessment (IGA) in atopic dermatitis (AD) trials: Many options, no standards Journal of the American Academy of Dermatology 2016; 674(2): 288-94 </w:t>
            </w:r>
          </w:p>
          <w:p w14:paraId="05255754" w14:textId="77777777" w:rsidR="00482BFD" w:rsidRPr="002C1179" w:rsidRDefault="00482BFD">
            <w:pPr>
              <w:keepLines/>
              <w:rPr>
                <w:rFonts w:ascii="Arial Narrow" w:hAnsi="Arial Narrow"/>
                <w:b/>
                <w:bCs/>
                <w:color w:val="333333"/>
                <w:sz w:val="20"/>
                <w:szCs w:val="20"/>
              </w:rPr>
            </w:pPr>
            <w:r w:rsidRPr="002C1179">
              <w:rPr>
                <w:rFonts w:ascii="Arial Narrow" w:eastAsia="Calibri" w:hAnsi="Arial Narrow"/>
                <w:sz w:val="20"/>
                <w:szCs w:val="20"/>
              </w:rPr>
              <w:t>The overall appearance of dermatitis lesions is rated as 4 (severe) if the lesions are best described as featuring: deep/dark red erythema, with marked and extensive induration/papulation; excoriation and oozing/crusting are present.</w:t>
            </w:r>
          </w:p>
        </w:tc>
      </w:tr>
      <w:tr w:rsidR="00482BFD" w:rsidRPr="00446E53" w14:paraId="59E94C6B" w14:textId="77777777">
        <w:tblPrEx>
          <w:tblCellMar>
            <w:top w:w="15" w:type="dxa"/>
            <w:bottom w:w="15" w:type="dxa"/>
          </w:tblCellMar>
          <w:tblLook w:val="04A0" w:firstRow="1" w:lastRow="0" w:firstColumn="1" w:lastColumn="0" w:noHBand="0" w:noVBand="1"/>
        </w:tblPrEx>
        <w:trPr>
          <w:trHeight w:val="20"/>
        </w:trPr>
        <w:tc>
          <w:tcPr>
            <w:tcW w:w="1272" w:type="dxa"/>
            <w:tcBorders>
              <w:left w:val="single" w:sz="4" w:space="0" w:color="auto"/>
              <w:bottom w:val="single" w:sz="4" w:space="0" w:color="auto"/>
              <w:right w:val="single" w:sz="4" w:space="0" w:color="auto"/>
            </w:tcBorders>
          </w:tcPr>
          <w:p w14:paraId="3B9BF53A" w14:textId="5484F744" w:rsidR="00482BFD" w:rsidRPr="00446E53" w:rsidRDefault="00482BFD">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691B84A4" w14:textId="77777777" w:rsidR="00482BFD" w:rsidRDefault="00482BFD">
            <w:pPr>
              <w:keepLines/>
              <w:rPr>
                <w:rFonts w:ascii="Arial Narrow" w:hAnsi="Arial Narrow"/>
                <w:b/>
                <w:bCs/>
                <w:color w:val="333333"/>
                <w:sz w:val="20"/>
                <w:szCs w:val="20"/>
              </w:rPr>
            </w:pPr>
            <w:r w:rsidRPr="00446E53">
              <w:rPr>
                <w:rFonts w:ascii="Arial Narrow" w:hAnsi="Arial Narrow"/>
                <w:b/>
                <w:bCs/>
                <w:color w:val="333333"/>
                <w:sz w:val="20"/>
                <w:szCs w:val="20"/>
              </w:rPr>
              <w:t>Administrative Advice:</w:t>
            </w:r>
          </w:p>
          <w:p w14:paraId="5FBC67DC" w14:textId="77777777" w:rsidR="00482BFD" w:rsidRPr="00446E53" w:rsidRDefault="00482BFD">
            <w:pPr>
              <w:keepLines/>
              <w:rPr>
                <w:rFonts w:ascii="Arial Narrow" w:hAnsi="Arial Narrow"/>
                <w:b/>
                <w:sz w:val="20"/>
                <w:szCs w:val="20"/>
              </w:rPr>
            </w:pPr>
            <w:r w:rsidRPr="003D23AA">
              <w:rPr>
                <w:rFonts w:ascii="Arial Narrow" w:eastAsia="Calibri" w:hAnsi="Arial Narrow"/>
                <w:sz w:val="20"/>
                <w:szCs w:val="20"/>
              </w:rPr>
              <w:t>Applications for authorisation under this restriction may be made in real time using the Online PBS Authorities system (see www.servicesaustralia.gov.au/HPOS) or by telephone by contacting Services Australia on 1800 888 333.</w:t>
            </w:r>
            <w:r>
              <w:rPr>
                <w:rFonts w:ascii="Arial Narrow" w:eastAsia="Calibri" w:hAnsi="Arial Narrow"/>
                <w:sz w:val="20"/>
                <w:szCs w:val="20"/>
              </w:rPr>
              <w:t xml:space="preserve"> </w:t>
            </w:r>
          </w:p>
        </w:tc>
      </w:tr>
      <w:tr w:rsidR="00482BFD" w:rsidRPr="00446E53" w14:paraId="393A3DCA" w14:textId="77777777">
        <w:tblPrEx>
          <w:tblCellMar>
            <w:top w:w="15" w:type="dxa"/>
            <w:bottom w:w="15" w:type="dxa"/>
          </w:tblCellMar>
          <w:tblLook w:val="04A0" w:firstRow="1" w:lastRow="0" w:firstColumn="1" w:lastColumn="0" w:noHBand="0" w:noVBand="1"/>
        </w:tblPrEx>
        <w:trPr>
          <w:trHeight w:val="20"/>
        </w:trPr>
        <w:tc>
          <w:tcPr>
            <w:tcW w:w="1272" w:type="dxa"/>
            <w:tcBorders>
              <w:left w:val="single" w:sz="4" w:space="0" w:color="auto"/>
              <w:bottom w:val="single" w:sz="4" w:space="0" w:color="auto"/>
              <w:right w:val="single" w:sz="4" w:space="0" w:color="auto"/>
            </w:tcBorders>
            <w:shd w:val="clear" w:color="auto" w:fill="BFBFBF" w:themeFill="background1" w:themeFillShade="BF"/>
          </w:tcPr>
          <w:p w14:paraId="66259B7B" w14:textId="77777777" w:rsidR="00482BFD" w:rsidRPr="00446E53" w:rsidRDefault="00482BFD">
            <w:pPr>
              <w:jc w:val="center"/>
              <w:rPr>
                <w:rFonts w:ascii="Arial Narrow" w:hAnsi="Arial Narrow"/>
                <w:color w:val="333333"/>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BCAAC21" w14:textId="77777777" w:rsidR="00482BFD" w:rsidRPr="00AC5ED2" w:rsidRDefault="00482BFD">
            <w:pPr>
              <w:keepLines/>
              <w:rPr>
                <w:rFonts w:ascii="Arial Narrow" w:hAnsi="Arial Narrow"/>
                <w:b/>
                <w:bCs/>
                <w:sz w:val="20"/>
                <w:szCs w:val="20"/>
              </w:rPr>
            </w:pPr>
            <w:r w:rsidRPr="00AC5ED2">
              <w:rPr>
                <w:rFonts w:ascii="Arial Narrow" w:hAnsi="Arial Narrow"/>
                <w:b/>
                <w:sz w:val="20"/>
                <w:szCs w:val="20"/>
              </w:rPr>
              <w:t>Restriction Summary [new1] / Treatment of Concept: [new1A]</w:t>
            </w:r>
          </w:p>
        </w:tc>
      </w:tr>
      <w:tr w:rsidR="00482BFD" w:rsidRPr="00446E53" w14:paraId="66384791" w14:textId="77777777" w:rsidTr="003111CD">
        <w:tblPrEx>
          <w:tblCellMar>
            <w:top w:w="15" w:type="dxa"/>
            <w:bottom w:w="15" w:type="dxa"/>
          </w:tblCellMar>
          <w:tblLook w:val="04A0" w:firstRow="1" w:lastRow="0" w:firstColumn="1" w:lastColumn="0" w:noHBand="0" w:noVBand="1"/>
        </w:tblPrEx>
        <w:trPr>
          <w:cantSplit/>
          <w:trHeight w:val="20"/>
        </w:trPr>
        <w:tc>
          <w:tcPr>
            <w:tcW w:w="1272" w:type="dxa"/>
          </w:tcPr>
          <w:p w14:paraId="0A613305" w14:textId="0C0ED6DB" w:rsidR="00482BFD" w:rsidRPr="00446E53" w:rsidRDefault="00482BFD">
            <w:pPr>
              <w:keepLines/>
              <w:jc w:val="center"/>
              <w:rPr>
                <w:rFonts w:ascii="Arial Narrow" w:hAnsi="Arial Narrow"/>
                <w:color w:val="333333"/>
                <w:sz w:val="20"/>
                <w:szCs w:val="20"/>
              </w:rPr>
            </w:pPr>
          </w:p>
        </w:tc>
        <w:tc>
          <w:tcPr>
            <w:tcW w:w="7745" w:type="dxa"/>
            <w:gridSpan w:val="6"/>
            <w:vAlign w:val="center"/>
            <w:hideMark/>
          </w:tcPr>
          <w:p w14:paraId="4DEF08FA" w14:textId="77777777" w:rsidR="00482BFD" w:rsidRPr="0069367A" w:rsidRDefault="00482BFD">
            <w:pPr>
              <w:keepLines/>
              <w:rPr>
                <w:rFonts w:ascii="Arial Narrow" w:hAnsi="Arial Narrow"/>
                <w:sz w:val="20"/>
                <w:szCs w:val="20"/>
              </w:rPr>
            </w:pPr>
            <w:r w:rsidRPr="0069367A">
              <w:rPr>
                <w:rFonts w:ascii="Arial Narrow" w:hAnsi="Arial Narrow"/>
                <w:b/>
                <w:bCs/>
                <w:sz w:val="20"/>
                <w:szCs w:val="20"/>
              </w:rPr>
              <w:t>Indication:</w:t>
            </w:r>
            <w:r w:rsidRPr="0069367A">
              <w:rPr>
                <w:rFonts w:ascii="Arial Narrow" w:hAnsi="Arial Narrow"/>
                <w:sz w:val="20"/>
                <w:szCs w:val="20"/>
              </w:rPr>
              <w:t xml:space="preserve"> Chronic severe atopic dermatitis </w:t>
            </w:r>
          </w:p>
        </w:tc>
      </w:tr>
      <w:tr w:rsidR="00482BFD" w:rsidRPr="00446E53" w14:paraId="7127B740" w14:textId="77777777" w:rsidTr="003111CD">
        <w:tblPrEx>
          <w:tblCellMar>
            <w:top w:w="15" w:type="dxa"/>
            <w:bottom w:w="15" w:type="dxa"/>
          </w:tblCellMar>
          <w:tblLook w:val="04A0" w:firstRow="1" w:lastRow="0" w:firstColumn="1" w:lastColumn="0" w:noHBand="0" w:noVBand="1"/>
        </w:tblPrEx>
        <w:trPr>
          <w:cantSplit/>
          <w:trHeight w:val="20"/>
        </w:trPr>
        <w:tc>
          <w:tcPr>
            <w:tcW w:w="1272" w:type="dxa"/>
          </w:tcPr>
          <w:p w14:paraId="181E8355" w14:textId="77777777" w:rsidR="00482BFD" w:rsidRPr="00446E53" w:rsidRDefault="00482BFD">
            <w:pPr>
              <w:jc w:val="center"/>
              <w:rPr>
                <w:rFonts w:ascii="Arial Narrow" w:hAnsi="Arial Narrow"/>
                <w:color w:val="333333"/>
                <w:sz w:val="20"/>
                <w:szCs w:val="20"/>
              </w:rPr>
            </w:pPr>
          </w:p>
        </w:tc>
        <w:tc>
          <w:tcPr>
            <w:tcW w:w="7745" w:type="dxa"/>
            <w:gridSpan w:val="6"/>
            <w:vAlign w:val="center"/>
            <w:hideMark/>
          </w:tcPr>
          <w:p w14:paraId="65A11ECE" w14:textId="77777777" w:rsidR="00482BFD" w:rsidRPr="0069367A" w:rsidRDefault="00482BFD">
            <w:pPr>
              <w:rPr>
                <w:rFonts w:ascii="Arial Narrow" w:hAnsi="Arial Narrow"/>
                <w:sz w:val="20"/>
                <w:szCs w:val="20"/>
              </w:rPr>
            </w:pPr>
            <w:r w:rsidRPr="0069367A">
              <w:rPr>
                <w:rFonts w:ascii="Arial Narrow" w:hAnsi="Arial Narrow"/>
                <w:b/>
                <w:bCs/>
                <w:sz w:val="20"/>
                <w:szCs w:val="20"/>
              </w:rPr>
              <w:t>Treatment Phase:</w:t>
            </w:r>
            <w:r w:rsidRPr="0069367A">
              <w:rPr>
                <w:rFonts w:ascii="Arial Narrow" w:hAnsi="Arial Narrow"/>
                <w:sz w:val="20"/>
                <w:szCs w:val="20"/>
              </w:rPr>
              <w:t xml:space="preserve"> Initial treatment of the whole body </w:t>
            </w:r>
          </w:p>
        </w:tc>
      </w:tr>
      <w:tr w:rsidR="00482BFD" w:rsidRPr="00446E53" w14:paraId="1E4DFF3B" w14:textId="77777777">
        <w:tblPrEx>
          <w:tblCellMar>
            <w:top w:w="15" w:type="dxa"/>
            <w:bottom w:w="15" w:type="dxa"/>
          </w:tblCellMar>
          <w:tblLook w:val="04A0" w:firstRow="1" w:lastRow="0" w:firstColumn="1" w:lastColumn="0" w:noHBand="0" w:noVBand="1"/>
        </w:tblPrEx>
        <w:trPr>
          <w:cantSplit/>
          <w:trHeight w:val="20"/>
        </w:trPr>
        <w:tc>
          <w:tcPr>
            <w:tcW w:w="1272" w:type="dxa"/>
          </w:tcPr>
          <w:p w14:paraId="1BADFA1A" w14:textId="3055394C" w:rsidR="00482BFD" w:rsidRPr="00446E53" w:rsidRDefault="00482BFD">
            <w:pPr>
              <w:jc w:val="center"/>
              <w:rPr>
                <w:rFonts w:ascii="Arial Narrow" w:hAnsi="Arial Narrow"/>
                <w:color w:val="333333"/>
                <w:sz w:val="20"/>
                <w:szCs w:val="20"/>
              </w:rPr>
            </w:pPr>
          </w:p>
        </w:tc>
        <w:tc>
          <w:tcPr>
            <w:tcW w:w="7745" w:type="dxa"/>
            <w:gridSpan w:val="6"/>
            <w:vAlign w:val="center"/>
            <w:hideMark/>
          </w:tcPr>
          <w:p w14:paraId="7C6087FD" w14:textId="77777777" w:rsidR="00482BFD" w:rsidRPr="00446E53" w:rsidRDefault="00482BFD">
            <w:pPr>
              <w:rPr>
                <w:rFonts w:ascii="Arial Narrow" w:hAnsi="Arial Narrow"/>
                <w:sz w:val="20"/>
                <w:szCs w:val="20"/>
              </w:rPr>
            </w:pPr>
            <w:r w:rsidRPr="00446E53">
              <w:rPr>
                <w:rFonts w:ascii="Arial Narrow" w:hAnsi="Arial Narrow"/>
                <w:b/>
                <w:bCs/>
                <w:color w:val="333333"/>
                <w:sz w:val="20"/>
                <w:szCs w:val="20"/>
              </w:rPr>
              <w:t xml:space="preserve">Clinical criteria: </w:t>
            </w:r>
          </w:p>
        </w:tc>
      </w:tr>
      <w:tr w:rsidR="00482BFD" w:rsidRPr="00446E53" w14:paraId="51E3CC52" w14:textId="77777777">
        <w:tblPrEx>
          <w:tblCellMar>
            <w:top w:w="15" w:type="dxa"/>
            <w:bottom w:w="15" w:type="dxa"/>
          </w:tblCellMar>
          <w:tblLook w:val="04A0" w:firstRow="1" w:lastRow="0" w:firstColumn="1" w:lastColumn="0" w:noHBand="0" w:noVBand="1"/>
        </w:tblPrEx>
        <w:trPr>
          <w:cantSplit/>
          <w:trHeight w:val="20"/>
        </w:trPr>
        <w:tc>
          <w:tcPr>
            <w:tcW w:w="1272" w:type="dxa"/>
          </w:tcPr>
          <w:p w14:paraId="314539E6" w14:textId="5083D2C1" w:rsidR="00482BFD" w:rsidRPr="00446E53" w:rsidRDefault="00482BFD">
            <w:pPr>
              <w:jc w:val="center"/>
              <w:rPr>
                <w:rFonts w:ascii="Arial Narrow" w:hAnsi="Arial Narrow"/>
                <w:color w:val="333333"/>
                <w:sz w:val="20"/>
                <w:szCs w:val="20"/>
              </w:rPr>
            </w:pPr>
          </w:p>
        </w:tc>
        <w:tc>
          <w:tcPr>
            <w:tcW w:w="7745" w:type="dxa"/>
            <w:gridSpan w:val="6"/>
            <w:hideMark/>
          </w:tcPr>
          <w:p w14:paraId="47CB00A0" w14:textId="77777777" w:rsidR="00482BFD" w:rsidRPr="00EB5ECC" w:rsidRDefault="00482BFD">
            <w:pPr>
              <w:rPr>
                <w:rFonts w:ascii="Arial Narrow" w:eastAsia="Calibri" w:hAnsi="Arial Narrow"/>
                <w:i/>
                <w:iCs/>
                <w:sz w:val="20"/>
                <w:szCs w:val="20"/>
              </w:rPr>
            </w:pPr>
            <w:r w:rsidRPr="00D801D8">
              <w:rPr>
                <w:rFonts w:ascii="Arial Narrow" w:eastAsia="Calibri" w:hAnsi="Arial Narrow"/>
                <w:sz w:val="20"/>
                <w:szCs w:val="20"/>
              </w:rPr>
              <w:t>Patient must have a Physicians Global Assessment (PGA) (5-point scale) baseline score of at least 4 as evidence of severe disease despite treatment with daily topical therapy (corticosteroid of medium to high potency/calcineurin inhibitor), for at least 28 day</w:t>
            </w:r>
            <w:r>
              <w:rPr>
                <w:rFonts w:ascii="Arial Narrow" w:eastAsia="Calibri" w:hAnsi="Arial Narrow"/>
                <w:i/>
                <w:iCs/>
                <w:sz w:val="20"/>
                <w:szCs w:val="20"/>
              </w:rPr>
              <w:t>s</w:t>
            </w:r>
          </w:p>
        </w:tc>
      </w:tr>
      <w:tr w:rsidR="00482BFD" w:rsidRPr="00446E53" w14:paraId="656662BD" w14:textId="77777777">
        <w:tblPrEx>
          <w:tblCellMar>
            <w:top w:w="15" w:type="dxa"/>
            <w:bottom w:w="15" w:type="dxa"/>
          </w:tblCellMar>
          <w:tblLook w:val="04A0" w:firstRow="1" w:lastRow="0" w:firstColumn="1" w:lastColumn="0" w:noHBand="0" w:noVBand="1"/>
        </w:tblPrEx>
        <w:trPr>
          <w:cantSplit/>
          <w:trHeight w:val="20"/>
        </w:trPr>
        <w:tc>
          <w:tcPr>
            <w:tcW w:w="1272" w:type="dxa"/>
            <w:hideMark/>
          </w:tcPr>
          <w:p w14:paraId="2B224998" w14:textId="77777777" w:rsidR="00482BFD" w:rsidRPr="00446E53" w:rsidRDefault="00482BFD">
            <w:pPr>
              <w:jc w:val="center"/>
              <w:rPr>
                <w:rFonts w:ascii="Arial Narrow" w:hAnsi="Arial Narrow"/>
                <w:color w:val="333333"/>
                <w:sz w:val="20"/>
                <w:szCs w:val="20"/>
              </w:rPr>
            </w:pPr>
          </w:p>
        </w:tc>
        <w:tc>
          <w:tcPr>
            <w:tcW w:w="7745" w:type="dxa"/>
            <w:gridSpan w:val="6"/>
            <w:vAlign w:val="center"/>
            <w:hideMark/>
          </w:tcPr>
          <w:p w14:paraId="5D6E23F5" w14:textId="77777777" w:rsidR="00482BFD" w:rsidRPr="00446E53" w:rsidRDefault="00482BFD">
            <w:pPr>
              <w:rPr>
                <w:rFonts w:ascii="Arial Narrow" w:hAnsi="Arial Narrow"/>
                <w:color w:val="333333"/>
                <w:sz w:val="20"/>
                <w:szCs w:val="20"/>
              </w:rPr>
            </w:pPr>
            <w:r w:rsidRPr="00446E53">
              <w:rPr>
                <w:rFonts w:ascii="Arial Narrow" w:hAnsi="Arial Narrow"/>
                <w:b/>
                <w:bCs/>
                <w:color w:val="333333"/>
                <w:sz w:val="20"/>
                <w:szCs w:val="20"/>
              </w:rPr>
              <w:t>AND</w:t>
            </w:r>
          </w:p>
        </w:tc>
      </w:tr>
      <w:tr w:rsidR="00482BFD" w:rsidRPr="00446E53" w14:paraId="3059DB9D" w14:textId="77777777">
        <w:tblPrEx>
          <w:tblCellMar>
            <w:top w:w="15" w:type="dxa"/>
            <w:bottom w:w="15" w:type="dxa"/>
          </w:tblCellMar>
          <w:tblLook w:val="04A0" w:firstRow="1" w:lastRow="0" w:firstColumn="1" w:lastColumn="0" w:noHBand="0" w:noVBand="1"/>
        </w:tblPrEx>
        <w:trPr>
          <w:cantSplit/>
          <w:trHeight w:val="20"/>
        </w:trPr>
        <w:tc>
          <w:tcPr>
            <w:tcW w:w="1272" w:type="dxa"/>
          </w:tcPr>
          <w:p w14:paraId="23E6ECB7" w14:textId="6C390E27" w:rsidR="00482BFD" w:rsidRPr="00D801D8" w:rsidRDefault="00482BFD">
            <w:pPr>
              <w:jc w:val="center"/>
              <w:rPr>
                <w:rFonts w:ascii="Arial Narrow" w:hAnsi="Arial Narrow"/>
                <w:sz w:val="20"/>
                <w:szCs w:val="20"/>
              </w:rPr>
            </w:pPr>
          </w:p>
        </w:tc>
        <w:tc>
          <w:tcPr>
            <w:tcW w:w="7745" w:type="dxa"/>
            <w:gridSpan w:val="6"/>
            <w:vAlign w:val="center"/>
            <w:hideMark/>
          </w:tcPr>
          <w:p w14:paraId="6D13EC37" w14:textId="77777777" w:rsidR="00482BFD" w:rsidRPr="00446E53" w:rsidRDefault="00482BFD">
            <w:pPr>
              <w:rPr>
                <w:rFonts w:ascii="Arial Narrow" w:hAnsi="Arial Narrow"/>
                <w:color w:val="333333"/>
                <w:sz w:val="20"/>
                <w:szCs w:val="20"/>
              </w:rPr>
            </w:pPr>
            <w:r w:rsidRPr="00446E53">
              <w:rPr>
                <w:rFonts w:ascii="Arial Narrow" w:hAnsi="Arial Narrow"/>
                <w:b/>
                <w:bCs/>
                <w:color w:val="333333"/>
                <w:sz w:val="20"/>
                <w:szCs w:val="20"/>
              </w:rPr>
              <w:t>Clinical criteria:</w:t>
            </w:r>
          </w:p>
        </w:tc>
      </w:tr>
      <w:tr w:rsidR="00482BFD" w:rsidRPr="00446E53" w14:paraId="28C76DAF" w14:textId="77777777">
        <w:tblPrEx>
          <w:tblCellMar>
            <w:top w:w="15" w:type="dxa"/>
            <w:bottom w:w="15" w:type="dxa"/>
          </w:tblCellMar>
          <w:tblLook w:val="04A0" w:firstRow="1" w:lastRow="0" w:firstColumn="1" w:lastColumn="0" w:noHBand="0" w:noVBand="1"/>
        </w:tblPrEx>
        <w:trPr>
          <w:cantSplit/>
          <w:trHeight w:val="20"/>
        </w:trPr>
        <w:tc>
          <w:tcPr>
            <w:tcW w:w="1272" w:type="dxa"/>
          </w:tcPr>
          <w:p w14:paraId="024AE397" w14:textId="63E0D86A" w:rsidR="00482BFD" w:rsidRPr="00D801D8" w:rsidRDefault="00482BFD">
            <w:pPr>
              <w:jc w:val="center"/>
              <w:rPr>
                <w:rFonts w:ascii="Arial Narrow" w:hAnsi="Arial Narrow"/>
                <w:sz w:val="20"/>
                <w:szCs w:val="20"/>
              </w:rPr>
            </w:pPr>
          </w:p>
        </w:tc>
        <w:tc>
          <w:tcPr>
            <w:tcW w:w="7745" w:type="dxa"/>
            <w:gridSpan w:val="6"/>
          </w:tcPr>
          <w:p w14:paraId="0E09CB42" w14:textId="77777777" w:rsidR="00482BFD" w:rsidRPr="00446E53" w:rsidRDefault="00482BFD">
            <w:pPr>
              <w:rPr>
                <w:rFonts w:ascii="Arial Narrow" w:hAnsi="Arial Narrow"/>
                <w:color w:val="FF0000"/>
                <w:sz w:val="20"/>
                <w:szCs w:val="20"/>
              </w:rPr>
            </w:pPr>
            <w:r w:rsidRPr="00E42807">
              <w:rPr>
                <w:rFonts w:ascii="Arial Narrow" w:eastAsia="Calibri" w:hAnsi="Arial Narrow"/>
                <w:sz w:val="20"/>
                <w:szCs w:val="20"/>
              </w:rPr>
              <w:t>Patient must have an Eczema Area and Severity Index (EASI) baseline score of at least 20 despite treatment with daily topical therapy (corticosteroid of medium to high potency/calcineurin inhibitor), for at least 28 days</w:t>
            </w:r>
          </w:p>
        </w:tc>
      </w:tr>
      <w:tr w:rsidR="00482BFD" w:rsidRPr="00446E53" w14:paraId="4C12A728" w14:textId="77777777">
        <w:tblPrEx>
          <w:tblCellMar>
            <w:top w:w="15" w:type="dxa"/>
            <w:bottom w:w="15" w:type="dxa"/>
          </w:tblCellMar>
          <w:tblLook w:val="04A0" w:firstRow="1" w:lastRow="0" w:firstColumn="1" w:lastColumn="0" w:noHBand="0" w:noVBand="1"/>
        </w:tblPrEx>
        <w:trPr>
          <w:cantSplit/>
          <w:trHeight w:val="20"/>
        </w:trPr>
        <w:tc>
          <w:tcPr>
            <w:tcW w:w="1272" w:type="dxa"/>
          </w:tcPr>
          <w:p w14:paraId="05C7A0BA" w14:textId="77777777" w:rsidR="00482BFD" w:rsidRPr="00446E53" w:rsidRDefault="00482BFD">
            <w:pPr>
              <w:jc w:val="center"/>
              <w:rPr>
                <w:rFonts w:ascii="Arial Narrow" w:hAnsi="Arial Narrow"/>
                <w:color w:val="333333"/>
                <w:sz w:val="20"/>
                <w:szCs w:val="20"/>
              </w:rPr>
            </w:pPr>
          </w:p>
        </w:tc>
        <w:tc>
          <w:tcPr>
            <w:tcW w:w="7745" w:type="dxa"/>
            <w:gridSpan w:val="6"/>
            <w:vAlign w:val="center"/>
            <w:hideMark/>
          </w:tcPr>
          <w:p w14:paraId="566DC45A" w14:textId="77777777" w:rsidR="00482BFD" w:rsidRPr="00446E53" w:rsidRDefault="00482BFD">
            <w:pPr>
              <w:rPr>
                <w:rFonts w:ascii="Arial Narrow" w:hAnsi="Arial Narrow"/>
                <w:color w:val="333333"/>
                <w:sz w:val="20"/>
                <w:szCs w:val="20"/>
              </w:rPr>
            </w:pPr>
            <w:r w:rsidRPr="00446E53">
              <w:rPr>
                <w:rFonts w:ascii="Arial Narrow" w:hAnsi="Arial Narrow"/>
                <w:b/>
                <w:bCs/>
                <w:color w:val="333333"/>
                <w:sz w:val="20"/>
                <w:szCs w:val="20"/>
              </w:rPr>
              <w:t>AND</w:t>
            </w:r>
          </w:p>
        </w:tc>
      </w:tr>
      <w:tr w:rsidR="00482BFD" w:rsidRPr="00446E53" w14:paraId="558FA5BC" w14:textId="77777777">
        <w:tblPrEx>
          <w:tblCellMar>
            <w:top w:w="15" w:type="dxa"/>
            <w:bottom w:w="15" w:type="dxa"/>
          </w:tblCellMar>
          <w:tblLook w:val="04A0" w:firstRow="1" w:lastRow="0" w:firstColumn="1" w:lastColumn="0" w:noHBand="0" w:noVBand="1"/>
        </w:tblPrEx>
        <w:trPr>
          <w:cantSplit/>
          <w:trHeight w:val="20"/>
        </w:trPr>
        <w:tc>
          <w:tcPr>
            <w:tcW w:w="1272" w:type="dxa"/>
          </w:tcPr>
          <w:p w14:paraId="02A38A0B" w14:textId="43DB4A3A" w:rsidR="00482BFD" w:rsidRPr="00446E53" w:rsidRDefault="00482BFD">
            <w:pPr>
              <w:jc w:val="center"/>
              <w:rPr>
                <w:rFonts w:ascii="Arial Narrow" w:hAnsi="Arial Narrow"/>
                <w:color w:val="333333"/>
                <w:sz w:val="20"/>
                <w:szCs w:val="20"/>
              </w:rPr>
            </w:pPr>
          </w:p>
        </w:tc>
        <w:tc>
          <w:tcPr>
            <w:tcW w:w="7745" w:type="dxa"/>
            <w:gridSpan w:val="6"/>
            <w:vAlign w:val="center"/>
            <w:hideMark/>
          </w:tcPr>
          <w:p w14:paraId="56F379AC" w14:textId="77777777" w:rsidR="00482BFD" w:rsidRPr="00446E53" w:rsidRDefault="00482BFD">
            <w:pPr>
              <w:rPr>
                <w:rFonts w:ascii="Arial Narrow" w:hAnsi="Arial Narrow"/>
                <w:color w:val="333333"/>
                <w:sz w:val="20"/>
                <w:szCs w:val="20"/>
              </w:rPr>
            </w:pPr>
            <w:r w:rsidRPr="00446E53">
              <w:rPr>
                <w:rFonts w:ascii="Arial Narrow" w:hAnsi="Arial Narrow"/>
                <w:b/>
                <w:bCs/>
                <w:color w:val="333333"/>
                <w:sz w:val="20"/>
                <w:szCs w:val="20"/>
              </w:rPr>
              <w:t>Clinical criteria:</w:t>
            </w:r>
          </w:p>
        </w:tc>
      </w:tr>
      <w:tr w:rsidR="00482BFD" w:rsidRPr="00446E53" w14:paraId="36C69710" w14:textId="77777777">
        <w:tblPrEx>
          <w:tblCellMar>
            <w:top w:w="15" w:type="dxa"/>
            <w:bottom w:w="15" w:type="dxa"/>
          </w:tblCellMar>
          <w:tblLook w:val="04A0" w:firstRow="1" w:lastRow="0" w:firstColumn="1" w:lastColumn="0" w:noHBand="0" w:noVBand="1"/>
        </w:tblPrEx>
        <w:trPr>
          <w:cantSplit/>
          <w:trHeight w:val="20"/>
        </w:trPr>
        <w:tc>
          <w:tcPr>
            <w:tcW w:w="1272" w:type="dxa"/>
          </w:tcPr>
          <w:p w14:paraId="02D5FD82" w14:textId="4EBB663D" w:rsidR="00482BFD" w:rsidRPr="00446E53" w:rsidRDefault="00482BFD">
            <w:pPr>
              <w:jc w:val="center"/>
              <w:rPr>
                <w:rFonts w:ascii="Arial Narrow" w:hAnsi="Arial Narrow"/>
                <w:sz w:val="20"/>
                <w:szCs w:val="20"/>
              </w:rPr>
            </w:pPr>
          </w:p>
        </w:tc>
        <w:tc>
          <w:tcPr>
            <w:tcW w:w="7745" w:type="dxa"/>
            <w:gridSpan w:val="6"/>
            <w:hideMark/>
          </w:tcPr>
          <w:p w14:paraId="666B2064" w14:textId="77777777" w:rsidR="00482BFD" w:rsidRPr="00446E53" w:rsidRDefault="00482BFD">
            <w:pPr>
              <w:rPr>
                <w:rFonts w:ascii="Arial Narrow" w:hAnsi="Arial Narrow"/>
                <w:color w:val="333333"/>
                <w:sz w:val="20"/>
                <w:szCs w:val="20"/>
              </w:rPr>
            </w:pPr>
            <w:r w:rsidRPr="00BD4DC5">
              <w:rPr>
                <w:rFonts w:ascii="Arial Narrow" w:eastAsia="Calibri" w:hAnsi="Arial Narrow"/>
                <w:sz w:val="20"/>
                <w:szCs w:val="20"/>
              </w:rPr>
              <w:t>Patient must have an age</w:t>
            </w:r>
            <w:r>
              <w:rPr>
                <w:rFonts w:ascii="Arial Narrow" w:eastAsia="Calibri" w:hAnsi="Arial Narrow"/>
                <w:sz w:val="20"/>
                <w:szCs w:val="20"/>
              </w:rPr>
              <w:t xml:space="preserve"> </w:t>
            </w:r>
            <w:r w:rsidRPr="00BD4DC5">
              <w:rPr>
                <w:rFonts w:ascii="Arial Narrow" w:eastAsia="Calibri" w:hAnsi="Arial Narrow"/>
                <w:sz w:val="20"/>
                <w:szCs w:val="20"/>
              </w:rPr>
              <w:t>appropriate Dermatology Life Quality Index (DLQI) baseline score (of any value) measured following treatment with daily topical therapy (corticosteroid of medium to high potency/calcineurin inhibitor), for at least 28 days</w:t>
            </w:r>
          </w:p>
        </w:tc>
      </w:tr>
      <w:tr w:rsidR="00482BFD" w:rsidRPr="00446E53" w14:paraId="441EA7F7" w14:textId="77777777">
        <w:tblPrEx>
          <w:tblCellMar>
            <w:top w:w="15" w:type="dxa"/>
            <w:bottom w:w="15" w:type="dxa"/>
          </w:tblCellMar>
          <w:tblLook w:val="04A0" w:firstRow="1" w:lastRow="0" w:firstColumn="1" w:lastColumn="0" w:noHBand="0" w:noVBand="1"/>
        </w:tblPrEx>
        <w:trPr>
          <w:cantSplit/>
          <w:trHeight w:val="20"/>
        </w:trPr>
        <w:tc>
          <w:tcPr>
            <w:tcW w:w="1272" w:type="dxa"/>
          </w:tcPr>
          <w:p w14:paraId="7B9E1F85" w14:textId="77777777" w:rsidR="00482BFD" w:rsidRPr="00446E53" w:rsidRDefault="00482BFD">
            <w:pPr>
              <w:jc w:val="center"/>
              <w:rPr>
                <w:rFonts w:ascii="Arial Narrow" w:hAnsi="Arial Narrow"/>
                <w:color w:val="FF0000"/>
                <w:sz w:val="20"/>
                <w:szCs w:val="20"/>
              </w:rPr>
            </w:pPr>
          </w:p>
        </w:tc>
        <w:tc>
          <w:tcPr>
            <w:tcW w:w="7745" w:type="dxa"/>
            <w:gridSpan w:val="6"/>
            <w:vAlign w:val="center"/>
          </w:tcPr>
          <w:p w14:paraId="7C2C21EE" w14:textId="77777777" w:rsidR="00482BFD" w:rsidRPr="00446E53" w:rsidRDefault="00482BFD">
            <w:pPr>
              <w:rPr>
                <w:rFonts w:ascii="Arial Narrow" w:hAnsi="Arial Narrow"/>
                <w:color w:val="FF0000"/>
                <w:sz w:val="20"/>
                <w:szCs w:val="20"/>
              </w:rPr>
            </w:pPr>
            <w:r w:rsidRPr="00446E53">
              <w:rPr>
                <w:rFonts w:ascii="Arial Narrow" w:hAnsi="Arial Narrow" w:cs="Arial Narrow"/>
                <w:b/>
                <w:bCs/>
                <w:iCs/>
                <w:sz w:val="20"/>
                <w:szCs w:val="20"/>
              </w:rPr>
              <w:t>AND</w:t>
            </w:r>
          </w:p>
        </w:tc>
      </w:tr>
      <w:tr w:rsidR="00482BFD" w:rsidRPr="00446E53" w14:paraId="4258FC9F" w14:textId="77777777">
        <w:tblPrEx>
          <w:tblCellMar>
            <w:top w:w="15" w:type="dxa"/>
            <w:bottom w:w="15" w:type="dxa"/>
          </w:tblCellMar>
          <w:tblLook w:val="04A0" w:firstRow="1" w:lastRow="0" w:firstColumn="1" w:lastColumn="0" w:noHBand="0" w:noVBand="1"/>
        </w:tblPrEx>
        <w:trPr>
          <w:cantSplit/>
          <w:trHeight w:val="20"/>
        </w:trPr>
        <w:tc>
          <w:tcPr>
            <w:tcW w:w="1272" w:type="dxa"/>
          </w:tcPr>
          <w:p w14:paraId="671E75FC" w14:textId="064E23D5" w:rsidR="00482BFD" w:rsidRPr="00446E53" w:rsidRDefault="00482BFD">
            <w:pPr>
              <w:keepNext/>
              <w:jc w:val="center"/>
              <w:rPr>
                <w:rFonts w:ascii="Arial Narrow" w:hAnsi="Arial Narrow"/>
                <w:color w:val="333333"/>
                <w:sz w:val="20"/>
                <w:szCs w:val="20"/>
              </w:rPr>
            </w:pPr>
          </w:p>
        </w:tc>
        <w:tc>
          <w:tcPr>
            <w:tcW w:w="7745" w:type="dxa"/>
            <w:gridSpan w:val="6"/>
            <w:vAlign w:val="center"/>
            <w:hideMark/>
          </w:tcPr>
          <w:p w14:paraId="16A13AC9" w14:textId="77777777" w:rsidR="00482BFD" w:rsidRPr="00446E53" w:rsidRDefault="00482BFD">
            <w:pPr>
              <w:keepNext/>
              <w:rPr>
                <w:rFonts w:ascii="Arial Narrow" w:hAnsi="Arial Narrow"/>
                <w:color w:val="333333"/>
                <w:sz w:val="20"/>
                <w:szCs w:val="20"/>
              </w:rPr>
            </w:pPr>
            <w:r>
              <w:rPr>
                <w:rFonts w:ascii="Arial Narrow" w:hAnsi="Arial Narrow"/>
                <w:b/>
                <w:bCs/>
                <w:color w:val="333333"/>
                <w:sz w:val="20"/>
                <w:szCs w:val="20"/>
              </w:rPr>
              <w:t>Clinical</w:t>
            </w:r>
            <w:r w:rsidRPr="00446E53">
              <w:rPr>
                <w:rFonts w:ascii="Arial Narrow" w:hAnsi="Arial Narrow"/>
                <w:b/>
                <w:bCs/>
                <w:color w:val="333333"/>
                <w:sz w:val="20"/>
                <w:szCs w:val="20"/>
              </w:rPr>
              <w:t xml:space="preserve"> criteria:</w:t>
            </w:r>
          </w:p>
        </w:tc>
      </w:tr>
      <w:tr w:rsidR="00482BFD" w:rsidRPr="00446E53" w14:paraId="0316CB73" w14:textId="77777777">
        <w:tblPrEx>
          <w:tblCellMar>
            <w:top w:w="15" w:type="dxa"/>
            <w:bottom w:w="15" w:type="dxa"/>
          </w:tblCellMar>
          <w:tblLook w:val="04A0" w:firstRow="1" w:lastRow="0" w:firstColumn="1" w:lastColumn="0" w:noHBand="0" w:noVBand="1"/>
        </w:tblPrEx>
        <w:trPr>
          <w:cantSplit/>
          <w:trHeight w:val="20"/>
        </w:trPr>
        <w:tc>
          <w:tcPr>
            <w:tcW w:w="1272" w:type="dxa"/>
          </w:tcPr>
          <w:p w14:paraId="6AE0442A" w14:textId="7EC1448B" w:rsidR="00482BFD" w:rsidRPr="00E60D92" w:rsidRDefault="00482BFD">
            <w:pPr>
              <w:jc w:val="center"/>
              <w:rPr>
                <w:rFonts w:ascii="Arial Narrow" w:eastAsia="Calibri" w:hAnsi="Arial Narrow"/>
                <w:sz w:val="20"/>
                <w:szCs w:val="20"/>
              </w:rPr>
            </w:pPr>
          </w:p>
        </w:tc>
        <w:tc>
          <w:tcPr>
            <w:tcW w:w="7745" w:type="dxa"/>
            <w:gridSpan w:val="6"/>
            <w:vAlign w:val="center"/>
            <w:hideMark/>
          </w:tcPr>
          <w:p w14:paraId="38A3E862" w14:textId="77777777" w:rsidR="00482BFD" w:rsidRPr="00E60D92" w:rsidRDefault="00482BFD">
            <w:pPr>
              <w:autoSpaceDE w:val="0"/>
              <w:autoSpaceDN w:val="0"/>
              <w:adjustRightInd w:val="0"/>
              <w:rPr>
                <w:rFonts w:ascii="Arial Narrow" w:eastAsia="Calibri" w:hAnsi="Arial Narrow"/>
                <w:sz w:val="20"/>
                <w:szCs w:val="20"/>
              </w:rPr>
            </w:pPr>
            <w:r w:rsidRPr="00E60D92">
              <w:rPr>
                <w:rFonts w:ascii="Arial Narrow" w:eastAsia="Calibri" w:hAnsi="Arial Narrow"/>
                <w:sz w:val="20"/>
                <w:szCs w:val="20"/>
              </w:rPr>
              <w:t>The condition must have had lesions for at least 6 months from the time of the initial diagnosis of chronic severe atopic dermatitis affecting either of: (i) the whole body, (ii) face/hands</w:t>
            </w:r>
          </w:p>
        </w:tc>
      </w:tr>
      <w:tr w:rsidR="00482BFD" w:rsidRPr="00446E53" w14:paraId="1D89A197" w14:textId="77777777">
        <w:tblPrEx>
          <w:tblCellMar>
            <w:top w:w="15" w:type="dxa"/>
            <w:bottom w:w="15" w:type="dxa"/>
          </w:tblCellMar>
          <w:tblLook w:val="04A0" w:firstRow="1" w:lastRow="0" w:firstColumn="1" w:lastColumn="0" w:noHBand="0" w:noVBand="1"/>
        </w:tblPrEx>
        <w:trPr>
          <w:cantSplit/>
          <w:trHeight w:val="20"/>
        </w:trPr>
        <w:tc>
          <w:tcPr>
            <w:tcW w:w="1272" w:type="dxa"/>
          </w:tcPr>
          <w:p w14:paraId="1C87B812" w14:textId="77777777" w:rsidR="00482BFD" w:rsidRPr="00446E53" w:rsidRDefault="00482BFD">
            <w:pPr>
              <w:jc w:val="center"/>
              <w:rPr>
                <w:rFonts w:ascii="Arial Narrow" w:hAnsi="Arial Narrow"/>
                <w:color w:val="FF0000"/>
                <w:sz w:val="20"/>
                <w:szCs w:val="20"/>
              </w:rPr>
            </w:pPr>
          </w:p>
        </w:tc>
        <w:tc>
          <w:tcPr>
            <w:tcW w:w="7745" w:type="dxa"/>
            <w:gridSpan w:val="6"/>
            <w:vAlign w:val="center"/>
          </w:tcPr>
          <w:p w14:paraId="1DAD5459" w14:textId="77777777" w:rsidR="00482BFD" w:rsidRPr="00446E53" w:rsidRDefault="00482BFD">
            <w:pPr>
              <w:autoSpaceDE w:val="0"/>
              <w:autoSpaceDN w:val="0"/>
              <w:adjustRightInd w:val="0"/>
              <w:rPr>
                <w:rFonts w:ascii="Arial Narrow" w:hAnsi="Arial Narrow" w:cs="Arial Narrow"/>
                <w:b/>
                <w:bCs/>
                <w:iCs/>
                <w:color w:val="FF0000"/>
                <w:sz w:val="20"/>
                <w:szCs w:val="20"/>
              </w:rPr>
            </w:pPr>
            <w:r w:rsidRPr="00446E53">
              <w:rPr>
                <w:rFonts w:ascii="Arial Narrow" w:hAnsi="Arial Narrow" w:cs="Arial Narrow"/>
                <w:b/>
                <w:bCs/>
                <w:iCs/>
                <w:sz w:val="20"/>
                <w:szCs w:val="20"/>
              </w:rPr>
              <w:t>AND</w:t>
            </w:r>
          </w:p>
        </w:tc>
      </w:tr>
      <w:tr w:rsidR="00482BFD" w:rsidRPr="00446E53" w14:paraId="5CF66E2C" w14:textId="77777777">
        <w:tblPrEx>
          <w:tblCellMar>
            <w:top w:w="15" w:type="dxa"/>
            <w:bottom w:w="15" w:type="dxa"/>
          </w:tblCellMar>
          <w:tblLook w:val="04A0" w:firstRow="1" w:lastRow="0" w:firstColumn="1" w:lastColumn="0" w:noHBand="0" w:noVBand="1"/>
        </w:tblPrEx>
        <w:trPr>
          <w:cantSplit/>
          <w:trHeight w:val="20"/>
        </w:trPr>
        <w:tc>
          <w:tcPr>
            <w:tcW w:w="1272" w:type="dxa"/>
          </w:tcPr>
          <w:p w14:paraId="4408EDBB" w14:textId="576F821B" w:rsidR="00482BFD" w:rsidRPr="00E60D92" w:rsidRDefault="00482BFD">
            <w:pPr>
              <w:jc w:val="center"/>
              <w:rPr>
                <w:rFonts w:ascii="Arial Narrow" w:hAnsi="Arial Narrow"/>
                <w:sz w:val="20"/>
                <w:szCs w:val="20"/>
              </w:rPr>
            </w:pPr>
          </w:p>
        </w:tc>
        <w:tc>
          <w:tcPr>
            <w:tcW w:w="7745" w:type="dxa"/>
            <w:gridSpan w:val="6"/>
            <w:vAlign w:val="center"/>
          </w:tcPr>
          <w:p w14:paraId="2594EA8A" w14:textId="77777777" w:rsidR="00482BFD" w:rsidRPr="00446E53" w:rsidRDefault="00482BFD">
            <w:pPr>
              <w:autoSpaceDE w:val="0"/>
              <w:autoSpaceDN w:val="0"/>
              <w:adjustRightInd w:val="0"/>
              <w:rPr>
                <w:rFonts w:ascii="Arial Narrow" w:hAnsi="Arial Narrow" w:cs="Arial Narrow"/>
                <w:iCs/>
                <w:color w:val="FF0000"/>
                <w:sz w:val="20"/>
                <w:szCs w:val="20"/>
              </w:rPr>
            </w:pPr>
            <w:r>
              <w:rPr>
                <w:rFonts w:ascii="Arial Narrow" w:hAnsi="Arial Narrow"/>
                <w:b/>
                <w:bCs/>
                <w:color w:val="333333"/>
                <w:sz w:val="20"/>
                <w:szCs w:val="20"/>
              </w:rPr>
              <w:t xml:space="preserve">Clinical </w:t>
            </w:r>
            <w:r w:rsidRPr="00446E53">
              <w:rPr>
                <w:rFonts w:ascii="Arial Narrow" w:hAnsi="Arial Narrow"/>
                <w:b/>
                <w:bCs/>
                <w:color w:val="333333"/>
                <w:sz w:val="20"/>
                <w:szCs w:val="20"/>
              </w:rPr>
              <w:t>criteria:</w:t>
            </w:r>
          </w:p>
        </w:tc>
      </w:tr>
      <w:tr w:rsidR="00482BFD" w:rsidRPr="00446E53" w14:paraId="5F6B3A63" w14:textId="77777777">
        <w:tblPrEx>
          <w:tblCellMar>
            <w:top w:w="15" w:type="dxa"/>
            <w:bottom w:w="15" w:type="dxa"/>
          </w:tblCellMar>
          <w:tblLook w:val="04A0" w:firstRow="1" w:lastRow="0" w:firstColumn="1" w:lastColumn="0" w:noHBand="0" w:noVBand="1"/>
        </w:tblPrEx>
        <w:trPr>
          <w:cantSplit/>
          <w:trHeight w:val="20"/>
        </w:trPr>
        <w:tc>
          <w:tcPr>
            <w:tcW w:w="1272" w:type="dxa"/>
          </w:tcPr>
          <w:p w14:paraId="74ED771B" w14:textId="6BDF1827" w:rsidR="00482BFD" w:rsidRPr="00E60D92" w:rsidRDefault="00482BFD">
            <w:pPr>
              <w:jc w:val="center"/>
              <w:rPr>
                <w:rFonts w:ascii="Arial Narrow" w:hAnsi="Arial Narrow"/>
                <w:sz w:val="20"/>
                <w:szCs w:val="20"/>
              </w:rPr>
            </w:pPr>
          </w:p>
        </w:tc>
        <w:tc>
          <w:tcPr>
            <w:tcW w:w="7745" w:type="dxa"/>
            <w:gridSpan w:val="6"/>
          </w:tcPr>
          <w:p w14:paraId="54FF40F1" w14:textId="77777777" w:rsidR="00482BFD" w:rsidRPr="00446E53" w:rsidRDefault="00482BFD">
            <w:pPr>
              <w:autoSpaceDE w:val="0"/>
              <w:autoSpaceDN w:val="0"/>
              <w:adjustRightInd w:val="0"/>
              <w:rPr>
                <w:rFonts w:ascii="Arial Narrow" w:hAnsi="Arial Narrow" w:cs="Arial Narrow"/>
                <w:iCs/>
                <w:color w:val="FF0000"/>
                <w:sz w:val="20"/>
                <w:szCs w:val="20"/>
              </w:rPr>
            </w:pPr>
            <w:r w:rsidRPr="00E62CC5">
              <w:rPr>
                <w:rFonts w:ascii="Arial Narrow" w:eastAsia="Calibri" w:hAnsi="Arial Narrow"/>
                <w:sz w:val="20"/>
                <w:szCs w:val="20"/>
              </w:rPr>
              <w:t>Patient must not have experienced an inadequate response to this biological medicine in this PBS indication</w:t>
            </w:r>
          </w:p>
        </w:tc>
      </w:tr>
      <w:tr w:rsidR="00482BFD" w:rsidRPr="00446E53" w14:paraId="51E3F8AA" w14:textId="77777777">
        <w:tblPrEx>
          <w:tblCellMar>
            <w:top w:w="15" w:type="dxa"/>
            <w:bottom w:w="15" w:type="dxa"/>
          </w:tblCellMar>
          <w:tblLook w:val="04A0" w:firstRow="1" w:lastRow="0" w:firstColumn="1" w:lastColumn="0" w:noHBand="0" w:noVBand="1"/>
        </w:tblPrEx>
        <w:trPr>
          <w:cantSplit/>
          <w:trHeight w:val="20"/>
        </w:trPr>
        <w:tc>
          <w:tcPr>
            <w:tcW w:w="1272" w:type="dxa"/>
          </w:tcPr>
          <w:p w14:paraId="2FABC3D4" w14:textId="77777777" w:rsidR="00482BFD" w:rsidRDefault="00482BFD">
            <w:pPr>
              <w:jc w:val="center"/>
              <w:rPr>
                <w:rFonts w:ascii="Arial Narrow" w:hAnsi="Arial Narrow"/>
                <w:sz w:val="20"/>
                <w:szCs w:val="20"/>
              </w:rPr>
            </w:pPr>
          </w:p>
        </w:tc>
        <w:tc>
          <w:tcPr>
            <w:tcW w:w="7745" w:type="dxa"/>
            <w:gridSpan w:val="6"/>
          </w:tcPr>
          <w:p w14:paraId="6B846A03" w14:textId="77777777" w:rsidR="00482BFD" w:rsidRPr="00D835B8" w:rsidRDefault="00482BFD">
            <w:pPr>
              <w:autoSpaceDE w:val="0"/>
              <w:autoSpaceDN w:val="0"/>
              <w:adjustRightInd w:val="0"/>
              <w:rPr>
                <w:rFonts w:ascii="Arial Narrow" w:eastAsia="Calibri" w:hAnsi="Arial Narrow"/>
                <w:sz w:val="20"/>
                <w:szCs w:val="20"/>
              </w:rPr>
            </w:pPr>
            <w:r w:rsidRPr="00D835B8">
              <w:rPr>
                <w:rFonts w:ascii="Arial Narrow" w:hAnsi="Arial Narrow" w:cs="Arial Narrow"/>
                <w:b/>
                <w:bCs/>
                <w:iCs/>
                <w:sz w:val="20"/>
                <w:szCs w:val="20"/>
              </w:rPr>
              <w:t>AND</w:t>
            </w:r>
          </w:p>
        </w:tc>
      </w:tr>
      <w:tr w:rsidR="00482BFD" w:rsidRPr="00446E53" w14:paraId="4C7EB730" w14:textId="77777777">
        <w:tblPrEx>
          <w:tblCellMar>
            <w:top w:w="15" w:type="dxa"/>
            <w:bottom w:w="15" w:type="dxa"/>
          </w:tblCellMar>
          <w:tblLook w:val="04A0" w:firstRow="1" w:lastRow="0" w:firstColumn="1" w:lastColumn="0" w:noHBand="0" w:noVBand="1"/>
        </w:tblPrEx>
        <w:trPr>
          <w:cantSplit/>
          <w:trHeight w:val="20"/>
        </w:trPr>
        <w:tc>
          <w:tcPr>
            <w:tcW w:w="1272" w:type="dxa"/>
          </w:tcPr>
          <w:p w14:paraId="31C76A19" w14:textId="68AE81E8" w:rsidR="00482BFD" w:rsidRDefault="00482BFD">
            <w:pPr>
              <w:jc w:val="center"/>
              <w:rPr>
                <w:rFonts w:ascii="Arial Narrow" w:hAnsi="Arial Narrow"/>
                <w:sz w:val="20"/>
                <w:szCs w:val="20"/>
              </w:rPr>
            </w:pPr>
          </w:p>
        </w:tc>
        <w:tc>
          <w:tcPr>
            <w:tcW w:w="7745" w:type="dxa"/>
            <w:gridSpan w:val="6"/>
          </w:tcPr>
          <w:p w14:paraId="4A3E20D7" w14:textId="77777777" w:rsidR="00482BFD" w:rsidRPr="00E62CC5" w:rsidRDefault="00482BFD">
            <w:pPr>
              <w:autoSpaceDE w:val="0"/>
              <w:autoSpaceDN w:val="0"/>
              <w:adjustRightInd w:val="0"/>
              <w:rPr>
                <w:rFonts w:ascii="Arial Narrow" w:eastAsia="Calibri" w:hAnsi="Arial Narrow"/>
                <w:sz w:val="20"/>
                <w:szCs w:val="20"/>
              </w:rPr>
            </w:pPr>
            <w:r w:rsidRPr="004D3728">
              <w:rPr>
                <w:rFonts w:ascii="Arial Narrow" w:eastAsia="Calibri" w:hAnsi="Arial Narrow"/>
                <w:b/>
                <w:bCs/>
                <w:strike/>
                <w:sz w:val="20"/>
                <w:szCs w:val="20"/>
              </w:rPr>
              <w:t>Treatment</w:t>
            </w:r>
            <w:r>
              <w:rPr>
                <w:rFonts w:ascii="Arial Narrow" w:eastAsia="Calibri" w:hAnsi="Arial Narrow"/>
                <w:b/>
                <w:bCs/>
                <w:sz w:val="20"/>
                <w:szCs w:val="20"/>
              </w:rPr>
              <w:t xml:space="preserve"> </w:t>
            </w:r>
            <w:r>
              <w:rPr>
                <w:rFonts w:ascii="Arial Narrow" w:eastAsia="Calibri" w:hAnsi="Arial Narrow"/>
                <w:b/>
                <w:bCs/>
                <w:i/>
                <w:iCs/>
                <w:sz w:val="20"/>
                <w:szCs w:val="20"/>
              </w:rPr>
              <w:t>Clinical</w:t>
            </w:r>
            <w:r>
              <w:rPr>
                <w:rFonts w:ascii="Arial Narrow" w:eastAsia="Calibri" w:hAnsi="Arial Narrow"/>
                <w:b/>
                <w:bCs/>
                <w:sz w:val="20"/>
                <w:szCs w:val="20"/>
              </w:rPr>
              <w:t xml:space="preserve"> criteria: </w:t>
            </w:r>
          </w:p>
        </w:tc>
      </w:tr>
      <w:tr w:rsidR="00482BFD" w:rsidRPr="00446E53" w14:paraId="38FFB385" w14:textId="77777777">
        <w:tblPrEx>
          <w:tblCellMar>
            <w:top w:w="15" w:type="dxa"/>
            <w:bottom w:w="15" w:type="dxa"/>
          </w:tblCellMar>
          <w:tblLook w:val="04A0" w:firstRow="1" w:lastRow="0" w:firstColumn="1" w:lastColumn="0" w:noHBand="0" w:noVBand="1"/>
        </w:tblPrEx>
        <w:trPr>
          <w:cantSplit/>
          <w:trHeight w:val="20"/>
        </w:trPr>
        <w:tc>
          <w:tcPr>
            <w:tcW w:w="1272" w:type="dxa"/>
          </w:tcPr>
          <w:p w14:paraId="34469989" w14:textId="09BA974C" w:rsidR="00482BFD" w:rsidRDefault="00482BFD">
            <w:pPr>
              <w:jc w:val="center"/>
              <w:rPr>
                <w:rFonts w:ascii="Arial Narrow" w:hAnsi="Arial Narrow"/>
                <w:sz w:val="20"/>
                <w:szCs w:val="20"/>
              </w:rPr>
            </w:pPr>
          </w:p>
        </w:tc>
        <w:tc>
          <w:tcPr>
            <w:tcW w:w="7745" w:type="dxa"/>
            <w:gridSpan w:val="6"/>
          </w:tcPr>
          <w:p w14:paraId="137CE23B" w14:textId="77777777" w:rsidR="00482BFD" w:rsidRPr="00E62CC5" w:rsidRDefault="00482BFD">
            <w:pPr>
              <w:autoSpaceDE w:val="0"/>
              <w:autoSpaceDN w:val="0"/>
              <w:adjustRightInd w:val="0"/>
              <w:rPr>
                <w:rFonts w:ascii="Arial Narrow" w:eastAsia="Calibri" w:hAnsi="Arial Narrow"/>
                <w:sz w:val="20"/>
                <w:szCs w:val="20"/>
              </w:rPr>
            </w:pPr>
            <w:r w:rsidRPr="00A14516">
              <w:rPr>
                <w:rFonts w:ascii="Arial Narrow" w:eastAsia="Calibri" w:hAnsi="Arial Narrow"/>
                <w:sz w:val="20"/>
                <w:szCs w:val="20"/>
              </w:rPr>
              <w:t>The treatment must be the sole PBS-subsidised biological medicine for this PBS indication</w:t>
            </w:r>
          </w:p>
        </w:tc>
      </w:tr>
      <w:tr w:rsidR="00482BFD" w:rsidRPr="00446E53" w14:paraId="072D93B2" w14:textId="77777777">
        <w:tblPrEx>
          <w:tblCellMar>
            <w:top w:w="15" w:type="dxa"/>
            <w:bottom w:w="15" w:type="dxa"/>
          </w:tblCellMar>
          <w:tblLook w:val="04A0" w:firstRow="1" w:lastRow="0" w:firstColumn="1" w:lastColumn="0" w:noHBand="0" w:noVBand="1"/>
        </w:tblPrEx>
        <w:trPr>
          <w:cantSplit/>
          <w:trHeight w:val="20"/>
        </w:trPr>
        <w:tc>
          <w:tcPr>
            <w:tcW w:w="1272" w:type="dxa"/>
          </w:tcPr>
          <w:p w14:paraId="4496D719" w14:textId="77777777" w:rsidR="00482BFD" w:rsidRDefault="00482BFD">
            <w:pPr>
              <w:jc w:val="center"/>
              <w:rPr>
                <w:rFonts w:ascii="Arial Narrow" w:hAnsi="Arial Narrow"/>
                <w:color w:val="333333"/>
                <w:sz w:val="20"/>
                <w:szCs w:val="20"/>
              </w:rPr>
            </w:pPr>
          </w:p>
        </w:tc>
        <w:tc>
          <w:tcPr>
            <w:tcW w:w="7745" w:type="dxa"/>
            <w:gridSpan w:val="6"/>
          </w:tcPr>
          <w:p w14:paraId="69C6B57E" w14:textId="77777777" w:rsidR="00482BFD" w:rsidRPr="00D835B8" w:rsidRDefault="00482BFD">
            <w:pPr>
              <w:autoSpaceDE w:val="0"/>
              <w:autoSpaceDN w:val="0"/>
              <w:adjustRightInd w:val="0"/>
              <w:rPr>
                <w:rFonts w:ascii="Arial Narrow" w:eastAsia="Calibri" w:hAnsi="Arial Narrow"/>
                <w:strike/>
                <w:sz w:val="20"/>
                <w:szCs w:val="20"/>
              </w:rPr>
            </w:pPr>
            <w:r w:rsidRPr="00D835B8">
              <w:rPr>
                <w:rFonts w:ascii="Arial Narrow" w:hAnsi="Arial Narrow" w:cs="Arial Narrow"/>
                <w:b/>
                <w:bCs/>
                <w:iCs/>
                <w:strike/>
                <w:sz w:val="20"/>
                <w:szCs w:val="20"/>
              </w:rPr>
              <w:t>AND</w:t>
            </w:r>
          </w:p>
        </w:tc>
      </w:tr>
      <w:tr w:rsidR="00482BFD" w:rsidRPr="00446E53" w14:paraId="0CA2D132" w14:textId="77777777">
        <w:tblPrEx>
          <w:tblCellMar>
            <w:top w:w="15" w:type="dxa"/>
            <w:bottom w:w="15" w:type="dxa"/>
          </w:tblCellMar>
          <w:tblLook w:val="04A0" w:firstRow="1" w:lastRow="0" w:firstColumn="1" w:lastColumn="0" w:noHBand="0" w:noVBand="1"/>
        </w:tblPrEx>
        <w:trPr>
          <w:cantSplit/>
          <w:trHeight w:val="20"/>
        </w:trPr>
        <w:tc>
          <w:tcPr>
            <w:tcW w:w="1272" w:type="dxa"/>
          </w:tcPr>
          <w:p w14:paraId="7A87BCDF" w14:textId="564AF54E" w:rsidR="00482BFD" w:rsidRPr="00E60D92" w:rsidRDefault="00482BFD">
            <w:pPr>
              <w:jc w:val="center"/>
              <w:rPr>
                <w:rFonts w:ascii="Arial Narrow" w:hAnsi="Arial Narrow"/>
                <w:sz w:val="20"/>
                <w:szCs w:val="20"/>
              </w:rPr>
            </w:pPr>
          </w:p>
        </w:tc>
        <w:tc>
          <w:tcPr>
            <w:tcW w:w="7745" w:type="dxa"/>
            <w:gridSpan w:val="6"/>
          </w:tcPr>
          <w:p w14:paraId="4465B378" w14:textId="77777777" w:rsidR="00482BFD" w:rsidRPr="00E62CC5" w:rsidRDefault="00482BFD">
            <w:pPr>
              <w:autoSpaceDE w:val="0"/>
              <w:autoSpaceDN w:val="0"/>
              <w:adjustRightInd w:val="0"/>
              <w:rPr>
                <w:rFonts w:ascii="Arial Narrow" w:eastAsia="Calibri" w:hAnsi="Arial Narrow"/>
                <w:b/>
                <w:bCs/>
                <w:sz w:val="20"/>
                <w:szCs w:val="20"/>
              </w:rPr>
            </w:pPr>
            <w:r>
              <w:rPr>
                <w:rFonts w:ascii="Arial Narrow" w:eastAsia="Calibri" w:hAnsi="Arial Narrow"/>
                <w:b/>
                <w:bCs/>
                <w:sz w:val="20"/>
                <w:szCs w:val="20"/>
              </w:rPr>
              <w:t xml:space="preserve">Treatment criteria: </w:t>
            </w:r>
          </w:p>
        </w:tc>
      </w:tr>
      <w:tr w:rsidR="00482BFD" w:rsidRPr="00446E53" w14:paraId="4658435A" w14:textId="77777777">
        <w:tblPrEx>
          <w:tblCellMar>
            <w:top w:w="15" w:type="dxa"/>
            <w:bottom w:w="15" w:type="dxa"/>
          </w:tblCellMar>
          <w:tblLook w:val="04A0" w:firstRow="1" w:lastRow="0" w:firstColumn="1" w:lastColumn="0" w:noHBand="0" w:noVBand="1"/>
        </w:tblPrEx>
        <w:trPr>
          <w:cantSplit/>
          <w:trHeight w:val="20"/>
        </w:trPr>
        <w:tc>
          <w:tcPr>
            <w:tcW w:w="1272" w:type="dxa"/>
          </w:tcPr>
          <w:p w14:paraId="5D403365" w14:textId="14B1A21B" w:rsidR="00482BFD" w:rsidRPr="00E60D92" w:rsidRDefault="00482BFD">
            <w:pPr>
              <w:jc w:val="center"/>
              <w:rPr>
                <w:rFonts w:ascii="Arial Narrow" w:hAnsi="Arial Narrow"/>
                <w:sz w:val="20"/>
                <w:szCs w:val="20"/>
              </w:rPr>
            </w:pPr>
          </w:p>
        </w:tc>
        <w:tc>
          <w:tcPr>
            <w:tcW w:w="7745" w:type="dxa"/>
            <w:gridSpan w:val="6"/>
          </w:tcPr>
          <w:p w14:paraId="0300876E" w14:textId="77777777" w:rsidR="00482BFD" w:rsidRPr="00E62CC5" w:rsidRDefault="00482BFD">
            <w:pPr>
              <w:autoSpaceDE w:val="0"/>
              <w:autoSpaceDN w:val="0"/>
              <w:adjustRightInd w:val="0"/>
              <w:rPr>
                <w:rFonts w:ascii="Arial Narrow" w:eastAsia="Calibri" w:hAnsi="Arial Narrow"/>
                <w:sz w:val="20"/>
                <w:szCs w:val="20"/>
              </w:rPr>
            </w:pPr>
            <w:r w:rsidRPr="00176579">
              <w:rPr>
                <w:rFonts w:ascii="Arial Narrow" w:eastAsia="Calibri" w:hAnsi="Arial Narrow"/>
                <w:sz w:val="20"/>
                <w:szCs w:val="20"/>
              </w:rPr>
              <w:t>Must be treated by a dermatologist; or</w:t>
            </w:r>
          </w:p>
        </w:tc>
      </w:tr>
      <w:tr w:rsidR="00482BFD" w:rsidRPr="00446E53" w14:paraId="19C9A037" w14:textId="77777777">
        <w:tblPrEx>
          <w:tblCellMar>
            <w:top w:w="15" w:type="dxa"/>
            <w:bottom w:w="15" w:type="dxa"/>
          </w:tblCellMar>
          <w:tblLook w:val="04A0" w:firstRow="1" w:lastRow="0" w:firstColumn="1" w:lastColumn="0" w:noHBand="0" w:noVBand="1"/>
        </w:tblPrEx>
        <w:trPr>
          <w:cantSplit/>
          <w:trHeight w:val="20"/>
        </w:trPr>
        <w:tc>
          <w:tcPr>
            <w:tcW w:w="1272" w:type="dxa"/>
          </w:tcPr>
          <w:p w14:paraId="431CBCF9" w14:textId="7DA4A771" w:rsidR="00482BFD" w:rsidRDefault="00482BFD">
            <w:pPr>
              <w:jc w:val="center"/>
              <w:rPr>
                <w:rFonts w:ascii="Arial Narrow" w:hAnsi="Arial Narrow"/>
                <w:sz w:val="20"/>
                <w:szCs w:val="20"/>
              </w:rPr>
            </w:pPr>
          </w:p>
        </w:tc>
        <w:tc>
          <w:tcPr>
            <w:tcW w:w="7745" w:type="dxa"/>
            <w:gridSpan w:val="6"/>
          </w:tcPr>
          <w:p w14:paraId="408A6ECE" w14:textId="77777777" w:rsidR="00482BFD" w:rsidRPr="00176579" w:rsidRDefault="00482BFD">
            <w:pPr>
              <w:autoSpaceDE w:val="0"/>
              <w:autoSpaceDN w:val="0"/>
              <w:adjustRightInd w:val="0"/>
              <w:rPr>
                <w:rFonts w:ascii="Arial Narrow" w:eastAsia="Calibri" w:hAnsi="Arial Narrow"/>
                <w:sz w:val="20"/>
                <w:szCs w:val="20"/>
              </w:rPr>
            </w:pPr>
            <w:r w:rsidRPr="00176579">
              <w:rPr>
                <w:rFonts w:ascii="Arial Narrow" w:eastAsia="Calibri" w:hAnsi="Arial Narrow"/>
                <w:sz w:val="20"/>
                <w:szCs w:val="20"/>
              </w:rPr>
              <w:t>Must be treated by a clinical immunologist</w:t>
            </w:r>
          </w:p>
        </w:tc>
      </w:tr>
      <w:tr w:rsidR="00482BFD" w:rsidRPr="00446E53" w14:paraId="7FA355D7" w14:textId="77777777">
        <w:tblPrEx>
          <w:tblCellMar>
            <w:top w:w="15" w:type="dxa"/>
            <w:bottom w:w="15" w:type="dxa"/>
          </w:tblCellMar>
          <w:tblLook w:val="04A0" w:firstRow="1" w:lastRow="0" w:firstColumn="1" w:lastColumn="0" w:noHBand="0" w:noVBand="1"/>
        </w:tblPrEx>
        <w:trPr>
          <w:cantSplit/>
          <w:trHeight w:val="20"/>
        </w:trPr>
        <w:tc>
          <w:tcPr>
            <w:tcW w:w="1272" w:type="dxa"/>
          </w:tcPr>
          <w:p w14:paraId="67142D7A" w14:textId="77777777" w:rsidR="00482BFD" w:rsidRDefault="00482BFD">
            <w:pPr>
              <w:jc w:val="center"/>
              <w:rPr>
                <w:rFonts w:ascii="Arial Narrow" w:hAnsi="Arial Narrow"/>
                <w:color w:val="333333"/>
                <w:sz w:val="20"/>
                <w:szCs w:val="20"/>
              </w:rPr>
            </w:pPr>
          </w:p>
        </w:tc>
        <w:tc>
          <w:tcPr>
            <w:tcW w:w="7745" w:type="dxa"/>
            <w:gridSpan w:val="6"/>
          </w:tcPr>
          <w:p w14:paraId="0C2196D0" w14:textId="77777777" w:rsidR="00482BFD" w:rsidRPr="00A14516" w:rsidRDefault="00482BFD">
            <w:pPr>
              <w:rPr>
                <w:rFonts w:ascii="Arial Narrow" w:eastAsia="Calibri" w:hAnsi="Arial Narrow"/>
                <w:sz w:val="20"/>
                <w:szCs w:val="20"/>
              </w:rPr>
            </w:pPr>
            <w:r w:rsidRPr="005A3A65">
              <w:rPr>
                <w:rFonts w:ascii="Arial Narrow" w:hAnsi="Arial Narrow" w:cs="Arial Narrow"/>
                <w:b/>
                <w:bCs/>
                <w:iCs/>
                <w:strike/>
                <w:sz w:val="20"/>
                <w:szCs w:val="20"/>
              </w:rPr>
              <w:t>AND</w:t>
            </w:r>
          </w:p>
        </w:tc>
      </w:tr>
      <w:tr w:rsidR="00482BFD" w:rsidRPr="00446E53" w14:paraId="5FB38912" w14:textId="77777777">
        <w:tblPrEx>
          <w:tblCellMar>
            <w:top w:w="15" w:type="dxa"/>
            <w:bottom w:w="15" w:type="dxa"/>
          </w:tblCellMar>
          <w:tblLook w:val="04A0" w:firstRow="1" w:lastRow="0" w:firstColumn="1" w:lastColumn="0" w:noHBand="0" w:noVBand="1"/>
        </w:tblPrEx>
        <w:trPr>
          <w:cantSplit/>
          <w:trHeight w:val="20"/>
        </w:trPr>
        <w:tc>
          <w:tcPr>
            <w:tcW w:w="1272" w:type="dxa"/>
          </w:tcPr>
          <w:p w14:paraId="382126B9" w14:textId="30B89EC0" w:rsidR="00482BFD" w:rsidRPr="00446E53" w:rsidRDefault="00482BFD">
            <w:pPr>
              <w:jc w:val="center"/>
              <w:rPr>
                <w:rFonts w:ascii="Arial Narrow" w:hAnsi="Arial Narrow"/>
                <w:color w:val="333333"/>
                <w:sz w:val="20"/>
                <w:szCs w:val="20"/>
              </w:rPr>
            </w:pPr>
          </w:p>
        </w:tc>
        <w:tc>
          <w:tcPr>
            <w:tcW w:w="7745" w:type="dxa"/>
            <w:gridSpan w:val="6"/>
            <w:vAlign w:val="center"/>
            <w:hideMark/>
          </w:tcPr>
          <w:p w14:paraId="6AD7465F" w14:textId="77777777" w:rsidR="00482BFD" w:rsidRPr="00446E53" w:rsidRDefault="00482BFD">
            <w:pPr>
              <w:rPr>
                <w:rFonts w:ascii="Arial Narrow" w:hAnsi="Arial Narrow"/>
                <w:color w:val="333333"/>
                <w:sz w:val="20"/>
                <w:szCs w:val="20"/>
              </w:rPr>
            </w:pPr>
            <w:r w:rsidRPr="00446E53">
              <w:rPr>
                <w:rFonts w:ascii="Arial Narrow" w:hAnsi="Arial Narrow"/>
                <w:b/>
                <w:bCs/>
                <w:color w:val="333333"/>
                <w:sz w:val="20"/>
                <w:szCs w:val="20"/>
              </w:rPr>
              <w:t>Population criteria:</w:t>
            </w:r>
          </w:p>
        </w:tc>
      </w:tr>
      <w:tr w:rsidR="00482BFD" w:rsidRPr="00446E53" w14:paraId="6E97B1E9" w14:textId="77777777">
        <w:tblPrEx>
          <w:tblCellMar>
            <w:top w:w="15" w:type="dxa"/>
            <w:bottom w:w="15" w:type="dxa"/>
          </w:tblCellMar>
          <w:tblLook w:val="04A0" w:firstRow="1" w:lastRow="0" w:firstColumn="1" w:lastColumn="0" w:noHBand="0" w:noVBand="1"/>
        </w:tblPrEx>
        <w:trPr>
          <w:cantSplit/>
          <w:trHeight w:val="20"/>
        </w:trPr>
        <w:tc>
          <w:tcPr>
            <w:tcW w:w="1272" w:type="dxa"/>
          </w:tcPr>
          <w:p w14:paraId="059E5A60" w14:textId="35AEF99A" w:rsidR="00482BFD" w:rsidRPr="00446E53" w:rsidRDefault="00482BFD">
            <w:pPr>
              <w:jc w:val="center"/>
              <w:rPr>
                <w:rFonts w:ascii="Arial Narrow" w:hAnsi="Arial Narrow"/>
                <w:color w:val="333333"/>
                <w:sz w:val="20"/>
                <w:szCs w:val="20"/>
              </w:rPr>
            </w:pPr>
          </w:p>
        </w:tc>
        <w:tc>
          <w:tcPr>
            <w:tcW w:w="7745" w:type="dxa"/>
            <w:gridSpan w:val="6"/>
            <w:vAlign w:val="center"/>
            <w:hideMark/>
          </w:tcPr>
          <w:p w14:paraId="26FDB865" w14:textId="77777777" w:rsidR="00482BFD" w:rsidRPr="002B3075" w:rsidRDefault="00482BFD">
            <w:pPr>
              <w:rPr>
                <w:rFonts w:ascii="Arial Narrow" w:eastAsia="Calibri" w:hAnsi="Arial Narrow"/>
                <w:sz w:val="20"/>
                <w:szCs w:val="20"/>
              </w:rPr>
            </w:pPr>
            <w:r w:rsidRPr="002B3075">
              <w:rPr>
                <w:rFonts w:ascii="Arial Narrow" w:eastAsia="Calibri" w:hAnsi="Arial Narrow"/>
                <w:sz w:val="20"/>
                <w:szCs w:val="20"/>
              </w:rPr>
              <w:t>Patient must be 12 years of age or older</w:t>
            </w:r>
          </w:p>
        </w:tc>
      </w:tr>
      <w:tr w:rsidR="00482BFD" w:rsidRPr="00446E53" w14:paraId="37BD3C5A" w14:textId="77777777">
        <w:tblPrEx>
          <w:tblCellMar>
            <w:top w:w="15" w:type="dxa"/>
            <w:bottom w:w="15" w:type="dxa"/>
          </w:tblCellMar>
          <w:tblLook w:val="04A0" w:firstRow="1" w:lastRow="0" w:firstColumn="1" w:lastColumn="0" w:noHBand="0" w:noVBand="1"/>
        </w:tblPrEx>
        <w:trPr>
          <w:cantSplit/>
          <w:trHeight w:val="20"/>
        </w:trPr>
        <w:tc>
          <w:tcPr>
            <w:tcW w:w="1272" w:type="dxa"/>
          </w:tcPr>
          <w:p w14:paraId="4C9132D4" w14:textId="14AA5839" w:rsidR="00482BFD" w:rsidRPr="0069367A" w:rsidRDefault="00482BFD">
            <w:pPr>
              <w:jc w:val="center"/>
              <w:rPr>
                <w:rFonts w:ascii="Arial Narrow" w:eastAsia="Calibri" w:hAnsi="Arial Narrow"/>
                <w:sz w:val="20"/>
                <w:szCs w:val="20"/>
              </w:rPr>
            </w:pPr>
          </w:p>
        </w:tc>
        <w:tc>
          <w:tcPr>
            <w:tcW w:w="7745" w:type="dxa"/>
            <w:gridSpan w:val="6"/>
            <w:vAlign w:val="center"/>
          </w:tcPr>
          <w:p w14:paraId="7957BA2A" w14:textId="77777777" w:rsidR="00482BFD" w:rsidRPr="0069367A" w:rsidRDefault="00482BFD">
            <w:pPr>
              <w:rPr>
                <w:rFonts w:ascii="Arial Narrow" w:eastAsia="Calibri" w:hAnsi="Arial Narrow"/>
                <w:sz w:val="20"/>
                <w:szCs w:val="20"/>
              </w:rPr>
            </w:pPr>
            <w:r w:rsidRPr="00446E53">
              <w:rPr>
                <w:rFonts w:ascii="Arial Narrow" w:hAnsi="Arial Narrow"/>
                <w:b/>
                <w:bCs/>
                <w:color w:val="333333"/>
                <w:sz w:val="20"/>
                <w:szCs w:val="20"/>
              </w:rPr>
              <w:t>Prescribing Instructions:</w:t>
            </w:r>
          </w:p>
          <w:p w14:paraId="358DE494" w14:textId="77777777" w:rsidR="00482BFD" w:rsidRPr="0069367A" w:rsidRDefault="00482BFD">
            <w:pPr>
              <w:rPr>
                <w:rFonts w:ascii="Arial Narrow" w:eastAsia="Calibri" w:hAnsi="Arial Narrow"/>
                <w:sz w:val="20"/>
                <w:szCs w:val="20"/>
              </w:rPr>
            </w:pPr>
            <w:r w:rsidRPr="0069367A">
              <w:rPr>
                <w:rFonts w:ascii="Arial Narrow" w:eastAsia="Calibri" w:hAnsi="Arial Narrow"/>
                <w:sz w:val="20"/>
                <w:szCs w:val="20"/>
              </w:rPr>
              <w:t>State each of the qualifying (i) PGA, (ii) EASI and (iii) DLQI scores in the authority application.</w:t>
            </w:r>
          </w:p>
          <w:p w14:paraId="1F86DD68" w14:textId="77777777" w:rsidR="00482BFD" w:rsidRPr="0069367A" w:rsidRDefault="00482BFD">
            <w:pPr>
              <w:rPr>
                <w:rFonts w:ascii="Arial Narrow" w:eastAsia="Calibri" w:hAnsi="Arial Narrow"/>
                <w:sz w:val="20"/>
                <w:szCs w:val="20"/>
              </w:rPr>
            </w:pPr>
            <w:r w:rsidRPr="0069367A">
              <w:rPr>
                <w:rFonts w:ascii="Arial Narrow" w:eastAsia="Calibri" w:hAnsi="Arial Narrow"/>
                <w:sz w:val="20"/>
                <w:szCs w:val="20"/>
              </w:rPr>
              <w:t>Acceptable scores can be:</w:t>
            </w:r>
          </w:p>
          <w:p w14:paraId="13E897E1" w14:textId="77777777" w:rsidR="00482BFD" w:rsidRPr="0069367A" w:rsidRDefault="00482BFD">
            <w:pPr>
              <w:rPr>
                <w:rFonts w:ascii="Arial Narrow" w:eastAsia="Calibri" w:hAnsi="Arial Narrow"/>
                <w:sz w:val="20"/>
                <w:szCs w:val="20"/>
              </w:rPr>
            </w:pPr>
            <w:r w:rsidRPr="0069367A">
              <w:rPr>
                <w:rFonts w:ascii="Arial Narrow" w:eastAsia="Calibri" w:hAnsi="Arial Narrow"/>
                <w:sz w:val="20"/>
                <w:szCs w:val="20"/>
              </w:rPr>
              <w:t>(a) current scores; or</w:t>
            </w:r>
          </w:p>
          <w:p w14:paraId="5D1755F3" w14:textId="77777777" w:rsidR="00482BFD" w:rsidRDefault="00482BFD">
            <w:pPr>
              <w:rPr>
                <w:rFonts w:ascii="Arial Narrow" w:eastAsia="Calibri" w:hAnsi="Arial Narrow"/>
                <w:sz w:val="20"/>
                <w:szCs w:val="20"/>
              </w:rPr>
            </w:pPr>
            <w:r w:rsidRPr="0069367A">
              <w:rPr>
                <w:rFonts w:ascii="Arial Narrow" w:eastAsia="Calibri" w:hAnsi="Arial Narrow"/>
                <w:sz w:val="20"/>
                <w:szCs w:val="20"/>
              </w:rPr>
              <w:t>(b) past scores, including those previously quoted in a PBS authority application for another drug listed for this indication.</w:t>
            </w:r>
          </w:p>
          <w:p w14:paraId="6349227E" w14:textId="77777777" w:rsidR="00482BFD" w:rsidRPr="0069367A" w:rsidRDefault="00482BFD">
            <w:pPr>
              <w:rPr>
                <w:rFonts w:ascii="Arial Narrow" w:eastAsia="Calibri" w:hAnsi="Arial Narrow"/>
                <w:sz w:val="20"/>
                <w:szCs w:val="20"/>
              </w:rPr>
            </w:pPr>
          </w:p>
          <w:p w14:paraId="07BD261A" w14:textId="77777777" w:rsidR="00482BFD" w:rsidRDefault="00482BFD">
            <w:pPr>
              <w:rPr>
                <w:rFonts w:ascii="Arial Narrow" w:eastAsia="Calibri" w:hAnsi="Arial Narrow"/>
                <w:sz w:val="20"/>
                <w:szCs w:val="20"/>
              </w:rPr>
            </w:pPr>
            <w:r w:rsidRPr="0069367A">
              <w:rPr>
                <w:rFonts w:ascii="Arial Narrow" w:eastAsia="Calibri" w:hAnsi="Arial Narrow"/>
                <w:sz w:val="20"/>
                <w:szCs w:val="20"/>
              </w:rPr>
              <w:t>The EASI and DLQI baseline measurements are to form the basis of determining if an adequate response to treatment has been achieved under the Continuing treatment restriction. In addition to stating them in this authority application, document them in the patient's medical records.</w:t>
            </w:r>
          </w:p>
          <w:p w14:paraId="7E6B5D40" w14:textId="77777777" w:rsidR="00482BFD" w:rsidRPr="0069367A" w:rsidRDefault="00482BFD">
            <w:pPr>
              <w:rPr>
                <w:rFonts w:ascii="Arial Narrow" w:eastAsia="Calibri" w:hAnsi="Arial Narrow"/>
                <w:sz w:val="20"/>
                <w:szCs w:val="20"/>
              </w:rPr>
            </w:pPr>
          </w:p>
          <w:p w14:paraId="77E56E16" w14:textId="77777777" w:rsidR="00482BFD" w:rsidRPr="0069367A" w:rsidRDefault="00482BFD">
            <w:pPr>
              <w:rPr>
                <w:rFonts w:ascii="Arial Narrow" w:eastAsia="Calibri" w:hAnsi="Arial Narrow"/>
                <w:sz w:val="20"/>
                <w:szCs w:val="20"/>
              </w:rPr>
            </w:pPr>
            <w:r w:rsidRPr="0069367A">
              <w:rPr>
                <w:rFonts w:ascii="Arial Narrow" w:eastAsia="Calibri" w:hAnsi="Arial Narrow"/>
                <w:sz w:val="20"/>
                <w:szCs w:val="20"/>
              </w:rPr>
              <w:t>Document the details of the medium to high potency topical corticosteroids (or calcineurin inhibitors) initially trialled in the patient's medical records.</w:t>
            </w:r>
          </w:p>
        </w:tc>
      </w:tr>
      <w:tr w:rsidR="00482BFD" w:rsidRPr="00446E53" w14:paraId="17290C89" w14:textId="77777777">
        <w:tblPrEx>
          <w:tblCellMar>
            <w:top w:w="15" w:type="dxa"/>
            <w:bottom w:w="15" w:type="dxa"/>
          </w:tblCellMar>
          <w:tblLook w:val="04A0" w:firstRow="1" w:lastRow="0" w:firstColumn="1" w:lastColumn="0" w:noHBand="0" w:noVBand="1"/>
        </w:tblPrEx>
        <w:trPr>
          <w:cantSplit/>
          <w:trHeight w:val="20"/>
        </w:trPr>
        <w:tc>
          <w:tcPr>
            <w:tcW w:w="9017" w:type="dxa"/>
            <w:gridSpan w:val="7"/>
          </w:tcPr>
          <w:p w14:paraId="29CC348F" w14:textId="77777777" w:rsidR="00482BFD" w:rsidRDefault="00482BFD">
            <w:pPr>
              <w:rPr>
                <w:rFonts w:ascii="Arial Narrow" w:hAnsi="Arial Narrow"/>
                <w:b/>
                <w:bCs/>
                <w:color w:val="333333"/>
                <w:sz w:val="20"/>
                <w:szCs w:val="20"/>
              </w:rPr>
            </w:pPr>
          </w:p>
          <w:p w14:paraId="71C113FF" w14:textId="77777777" w:rsidR="00F729E0" w:rsidRPr="00446E53" w:rsidRDefault="00F729E0">
            <w:pPr>
              <w:rPr>
                <w:rFonts w:ascii="Arial Narrow" w:hAnsi="Arial Narrow"/>
                <w:b/>
                <w:bCs/>
                <w:color w:val="333333"/>
                <w:sz w:val="20"/>
                <w:szCs w:val="20"/>
              </w:rPr>
            </w:pPr>
          </w:p>
        </w:tc>
      </w:tr>
      <w:tr w:rsidR="00482BFD" w:rsidRPr="00446E53" w14:paraId="1BA369F6" w14:textId="77777777">
        <w:tblPrEx>
          <w:tblCellMar>
            <w:top w:w="15" w:type="dxa"/>
            <w:bottom w:w="15" w:type="dxa"/>
          </w:tblCellMar>
          <w:tblLook w:val="04A0" w:firstRow="1" w:lastRow="0" w:firstColumn="1" w:lastColumn="0" w:noHBand="0" w:noVBand="1"/>
        </w:tblPrEx>
        <w:trPr>
          <w:cantSplit/>
          <w:trHeight w:val="20"/>
        </w:trPr>
        <w:tc>
          <w:tcPr>
            <w:tcW w:w="1272" w:type="dxa"/>
            <w:shd w:val="clear" w:color="auto" w:fill="BFBFBF" w:themeFill="background1" w:themeFillShade="BF"/>
          </w:tcPr>
          <w:p w14:paraId="1CD290A7" w14:textId="77777777" w:rsidR="00482BFD" w:rsidRPr="00446E53" w:rsidRDefault="00482BFD">
            <w:pPr>
              <w:keepNext/>
              <w:keepLines/>
              <w:jc w:val="center"/>
              <w:rPr>
                <w:rFonts w:ascii="Arial Narrow" w:hAnsi="Arial Narrow"/>
                <w:b/>
                <w:bCs/>
                <w:color w:val="333333"/>
                <w:sz w:val="20"/>
                <w:szCs w:val="20"/>
              </w:rPr>
            </w:pPr>
          </w:p>
        </w:tc>
        <w:tc>
          <w:tcPr>
            <w:tcW w:w="7745" w:type="dxa"/>
            <w:gridSpan w:val="6"/>
            <w:shd w:val="clear" w:color="auto" w:fill="BFBFBF" w:themeFill="background1" w:themeFillShade="BF"/>
            <w:vAlign w:val="center"/>
          </w:tcPr>
          <w:p w14:paraId="550428F0" w14:textId="77777777" w:rsidR="00482BFD" w:rsidRPr="0069367A" w:rsidRDefault="00482BFD">
            <w:pPr>
              <w:keepNext/>
              <w:keepLines/>
              <w:rPr>
                <w:rFonts w:ascii="Arial Narrow" w:hAnsi="Arial Narrow"/>
                <w:b/>
                <w:bCs/>
                <w:color w:val="FF0000"/>
                <w:sz w:val="20"/>
                <w:szCs w:val="20"/>
              </w:rPr>
            </w:pPr>
            <w:r w:rsidRPr="00446E53">
              <w:rPr>
                <w:rFonts w:ascii="Arial Narrow" w:hAnsi="Arial Narrow"/>
                <w:b/>
                <w:bCs/>
                <w:color w:val="333333"/>
                <w:sz w:val="20"/>
                <w:szCs w:val="20"/>
              </w:rPr>
              <w:t>Restriction Summary [new</w:t>
            </w:r>
            <w:r>
              <w:rPr>
                <w:rFonts w:ascii="Arial Narrow" w:hAnsi="Arial Narrow"/>
                <w:b/>
                <w:bCs/>
                <w:color w:val="333333"/>
                <w:sz w:val="20"/>
                <w:szCs w:val="20"/>
              </w:rPr>
              <w:t>3</w:t>
            </w:r>
            <w:r w:rsidRPr="00446E53">
              <w:rPr>
                <w:rFonts w:ascii="Arial Narrow" w:hAnsi="Arial Narrow"/>
                <w:b/>
                <w:bCs/>
                <w:color w:val="333333"/>
                <w:sz w:val="20"/>
                <w:szCs w:val="20"/>
              </w:rPr>
              <w:t>]</w:t>
            </w:r>
            <w:r w:rsidRPr="00446E53">
              <w:rPr>
                <w:rFonts w:ascii="Arial Narrow" w:hAnsi="Arial Narrow"/>
                <w:b/>
                <w:bCs/>
                <w:color w:val="FF0000"/>
                <w:sz w:val="20"/>
                <w:szCs w:val="20"/>
              </w:rPr>
              <w:t xml:space="preserve"> </w:t>
            </w:r>
            <w:r w:rsidRPr="00446E53">
              <w:rPr>
                <w:rFonts w:ascii="Arial Narrow" w:hAnsi="Arial Narrow"/>
                <w:b/>
                <w:bCs/>
                <w:color w:val="333333"/>
                <w:sz w:val="20"/>
                <w:szCs w:val="20"/>
              </w:rPr>
              <w:t>/ Treatment of Concept: [new</w:t>
            </w:r>
            <w:r>
              <w:rPr>
                <w:rFonts w:ascii="Arial Narrow" w:hAnsi="Arial Narrow"/>
                <w:b/>
                <w:bCs/>
                <w:color w:val="333333"/>
                <w:sz w:val="20"/>
                <w:szCs w:val="20"/>
              </w:rPr>
              <w:t>3A</w:t>
            </w:r>
            <w:r w:rsidRPr="00446E53">
              <w:rPr>
                <w:rFonts w:ascii="Arial Narrow" w:hAnsi="Arial Narrow"/>
                <w:b/>
                <w:bCs/>
                <w:color w:val="333333"/>
                <w:sz w:val="20"/>
                <w:szCs w:val="20"/>
              </w:rPr>
              <w:t>]</w:t>
            </w:r>
          </w:p>
        </w:tc>
      </w:tr>
      <w:tr w:rsidR="00482BFD" w:rsidRPr="00446E53" w14:paraId="1C0F3E91" w14:textId="77777777" w:rsidTr="003111CD">
        <w:tblPrEx>
          <w:tblCellMar>
            <w:top w:w="15" w:type="dxa"/>
            <w:bottom w:w="15" w:type="dxa"/>
          </w:tblCellMar>
          <w:tblLook w:val="04A0" w:firstRow="1" w:lastRow="0" w:firstColumn="1" w:lastColumn="0" w:noHBand="0" w:noVBand="1"/>
        </w:tblPrEx>
        <w:trPr>
          <w:cantSplit/>
          <w:trHeight w:val="20"/>
        </w:trPr>
        <w:tc>
          <w:tcPr>
            <w:tcW w:w="1272" w:type="dxa"/>
          </w:tcPr>
          <w:p w14:paraId="6724D5FC" w14:textId="66073CED" w:rsidR="00482BFD" w:rsidRPr="00446E53" w:rsidRDefault="00482BFD">
            <w:pPr>
              <w:jc w:val="center"/>
              <w:rPr>
                <w:rFonts w:ascii="Arial Narrow" w:hAnsi="Arial Narrow"/>
                <w:color w:val="333333"/>
                <w:sz w:val="20"/>
                <w:szCs w:val="20"/>
              </w:rPr>
            </w:pPr>
          </w:p>
        </w:tc>
        <w:tc>
          <w:tcPr>
            <w:tcW w:w="7745" w:type="dxa"/>
            <w:gridSpan w:val="6"/>
            <w:vAlign w:val="center"/>
            <w:hideMark/>
          </w:tcPr>
          <w:p w14:paraId="0B3219AA" w14:textId="77777777" w:rsidR="00482BFD" w:rsidRPr="00446E53" w:rsidRDefault="00482BFD">
            <w:pPr>
              <w:rPr>
                <w:rFonts w:ascii="Arial Narrow" w:hAnsi="Arial Narrow"/>
                <w:color w:val="333333"/>
                <w:sz w:val="20"/>
                <w:szCs w:val="20"/>
              </w:rPr>
            </w:pPr>
            <w:r w:rsidRPr="0069367A">
              <w:rPr>
                <w:rFonts w:ascii="Arial Narrow" w:hAnsi="Arial Narrow"/>
                <w:b/>
                <w:bCs/>
                <w:sz w:val="20"/>
                <w:szCs w:val="20"/>
              </w:rPr>
              <w:t>Indication:</w:t>
            </w:r>
            <w:r w:rsidRPr="0069367A">
              <w:rPr>
                <w:rFonts w:ascii="Arial Narrow" w:hAnsi="Arial Narrow"/>
                <w:sz w:val="20"/>
                <w:szCs w:val="20"/>
              </w:rPr>
              <w:t xml:space="preserve"> Chronic severe atopic dermatitis </w:t>
            </w:r>
          </w:p>
        </w:tc>
      </w:tr>
      <w:tr w:rsidR="00482BFD" w:rsidRPr="00446E53" w14:paraId="14110CD7" w14:textId="77777777" w:rsidTr="003111CD">
        <w:tblPrEx>
          <w:tblCellMar>
            <w:top w:w="15" w:type="dxa"/>
            <w:bottom w:w="15" w:type="dxa"/>
          </w:tblCellMar>
          <w:tblLook w:val="04A0" w:firstRow="1" w:lastRow="0" w:firstColumn="1" w:lastColumn="0" w:noHBand="0" w:noVBand="1"/>
        </w:tblPrEx>
        <w:trPr>
          <w:cantSplit/>
          <w:trHeight w:val="20"/>
        </w:trPr>
        <w:tc>
          <w:tcPr>
            <w:tcW w:w="1272" w:type="dxa"/>
          </w:tcPr>
          <w:p w14:paraId="0FDFEFCF" w14:textId="77777777" w:rsidR="00482BFD" w:rsidRPr="00446E53" w:rsidRDefault="00482BFD">
            <w:pPr>
              <w:jc w:val="center"/>
              <w:rPr>
                <w:rFonts w:ascii="Arial Narrow" w:hAnsi="Arial Narrow"/>
                <w:color w:val="333333"/>
                <w:sz w:val="20"/>
                <w:szCs w:val="20"/>
              </w:rPr>
            </w:pPr>
          </w:p>
        </w:tc>
        <w:tc>
          <w:tcPr>
            <w:tcW w:w="7745" w:type="dxa"/>
            <w:gridSpan w:val="6"/>
            <w:vAlign w:val="center"/>
            <w:hideMark/>
          </w:tcPr>
          <w:p w14:paraId="1CFF9558" w14:textId="77777777" w:rsidR="00482BFD" w:rsidRPr="00446E53" w:rsidRDefault="00482BFD">
            <w:pPr>
              <w:rPr>
                <w:rFonts w:ascii="Arial Narrow" w:hAnsi="Arial Narrow"/>
                <w:sz w:val="20"/>
                <w:szCs w:val="20"/>
              </w:rPr>
            </w:pPr>
            <w:r w:rsidRPr="0069367A">
              <w:rPr>
                <w:rFonts w:ascii="Arial Narrow" w:hAnsi="Arial Narrow"/>
                <w:b/>
                <w:bCs/>
                <w:sz w:val="20"/>
                <w:szCs w:val="20"/>
              </w:rPr>
              <w:t>Treatment Phase:</w:t>
            </w:r>
            <w:r w:rsidRPr="0069367A">
              <w:rPr>
                <w:rFonts w:ascii="Arial Narrow" w:hAnsi="Arial Narrow"/>
                <w:sz w:val="20"/>
                <w:szCs w:val="20"/>
              </w:rPr>
              <w:t xml:space="preserve"> Initial treatment of the </w:t>
            </w:r>
            <w:r>
              <w:rPr>
                <w:rFonts w:ascii="Arial Narrow" w:hAnsi="Arial Narrow"/>
                <w:sz w:val="20"/>
                <w:szCs w:val="20"/>
              </w:rPr>
              <w:t>face and/or hands</w:t>
            </w:r>
            <w:r w:rsidRPr="0069367A">
              <w:rPr>
                <w:rFonts w:ascii="Arial Narrow" w:hAnsi="Arial Narrow"/>
                <w:sz w:val="20"/>
                <w:szCs w:val="20"/>
              </w:rPr>
              <w:t xml:space="preserve"> </w:t>
            </w:r>
          </w:p>
        </w:tc>
      </w:tr>
      <w:tr w:rsidR="00482BFD" w:rsidRPr="00446E53" w14:paraId="7954789C" w14:textId="77777777">
        <w:tblPrEx>
          <w:tblCellMar>
            <w:top w:w="15" w:type="dxa"/>
            <w:bottom w:w="15" w:type="dxa"/>
          </w:tblCellMar>
          <w:tblLook w:val="04A0" w:firstRow="1" w:lastRow="0" w:firstColumn="1" w:lastColumn="0" w:noHBand="0" w:noVBand="1"/>
        </w:tblPrEx>
        <w:trPr>
          <w:cantSplit/>
          <w:trHeight w:val="20"/>
        </w:trPr>
        <w:tc>
          <w:tcPr>
            <w:tcW w:w="1272" w:type="dxa"/>
          </w:tcPr>
          <w:p w14:paraId="6D264C99" w14:textId="3EB92F1B" w:rsidR="00482BFD" w:rsidRPr="00446E53" w:rsidRDefault="00482BFD">
            <w:pPr>
              <w:jc w:val="center"/>
              <w:rPr>
                <w:rFonts w:ascii="Arial Narrow" w:hAnsi="Arial Narrow"/>
                <w:color w:val="333333"/>
                <w:sz w:val="20"/>
                <w:szCs w:val="20"/>
              </w:rPr>
            </w:pPr>
          </w:p>
        </w:tc>
        <w:tc>
          <w:tcPr>
            <w:tcW w:w="7745" w:type="dxa"/>
            <w:gridSpan w:val="6"/>
            <w:vAlign w:val="center"/>
          </w:tcPr>
          <w:p w14:paraId="71558822" w14:textId="77777777" w:rsidR="00482BFD" w:rsidRPr="00446E53" w:rsidRDefault="00482BFD">
            <w:pPr>
              <w:rPr>
                <w:rFonts w:ascii="Arial Narrow" w:hAnsi="Arial Narrow"/>
                <w:b/>
                <w:bCs/>
                <w:color w:val="333333"/>
                <w:sz w:val="20"/>
                <w:szCs w:val="20"/>
              </w:rPr>
            </w:pPr>
            <w:r w:rsidRPr="00446E53">
              <w:rPr>
                <w:rFonts w:ascii="Arial Narrow" w:hAnsi="Arial Narrow"/>
                <w:b/>
                <w:bCs/>
                <w:color w:val="333333"/>
                <w:sz w:val="20"/>
                <w:szCs w:val="20"/>
              </w:rPr>
              <w:t xml:space="preserve">Clinical criteria: </w:t>
            </w:r>
          </w:p>
        </w:tc>
      </w:tr>
      <w:tr w:rsidR="00482BFD" w:rsidRPr="00446E53" w14:paraId="66FCC2A4" w14:textId="77777777">
        <w:tblPrEx>
          <w:tblCellMar>
            <w:top w:w="15" w:type="dxa"/>
            <w:bottom w:w="15" w:type="dxa"/>
          </w:tblCellMar>
          <w:tblLook w:val="04A0" w:firstRow="1" w:lastRow="0" w:firstColumn="1" w:lastColumn="0" w:noHBand="0" w:noVBand="1"/>
        </w:tblPrEx>
        <w:trPr>
          <w:cantSplit/>
          <w:trHeight w:val="20"/>
        </w:trPr>
        <w:tc>
          <w:tcPr>
            <w:tcW w:w="1272" w:type="dxa"/>
          </w:tcPr>
          <w:p w14:paraId="38A3E70B" w14:textId="615104EF" w:rsidR="00482BFD" w:rsidRPr="00446E53" w:rsidRDefault="00482BFD">
            <w:pPr>
              <w:jc w:val="center"/>
              <w:rPr>
                <w:rFonts w:ascii="Arial Narrow" w:hAnsi="Arial Narrow"/>
                <w:color w:val="333333"/>
                <w:sz w:val="20"/>
                <w:szCs w:val="20"/>
              </w:rPr>
            </w:pPr>
          </w:p>
        </w:tc>
        <w:tc>
          <w:tcPr>
            <w:tcW w:w="7745" w:type="dxa"/>
            <w:gridSpan w:val="6"/>
          </w:tcPr>
          <w:p w14:paraId="02E359E8" w14:textId="77777777" w:rsidR="00482BFD" w:rsidRPr="00CD7E60" w:rsidRDefault="00482BFD">
            <w:pPr>
              <w:rPr>
                <w:rFonts w:ascii="Arial Narrow" w:hAnsi="Arial Narrow"/>
                <w:color w:val="333333"/>
                <w:sz w:val="20"/>
                <w:szCs w:val="20"/>
              </w:rPr>
            </w:pPr>
            <w:r w:rsidRPr="00CD7E60">
              <w:rPr>
                <w:rFonts w:ascii="Arial Narrow" w:hAnsi="Arial Narrow"/>
                <w:color w:val="333333"/>
                <w:sz w:val="20"/>
                <w:szCs w:val="20"/>
              </w:rPr>
              <w:t xml:space="preserve">The condition must have at least 2 of the following Eczema Area and Severity Index (EASI) symptom sub-scores for erythema, oedema/papulation, excoriation, </w:t>
            </w:r>
            <w:proofErr w:type="spellStart"/>
            <w:r w:rsidRPr="00CD7E60">
              <w:rPr>
                <w:rFonts w:ascii="Arial Narrow" w:hAnsi="Arial Narrow"/>
                <w:color w:val="333333"/>
                <w:sz w:val="20"/>
                <w:szCs w:val="20"/>
              </w:rPr>
              <w:t>lichenification</w:t>
            </w:r>
            <w:proofErr w:type="spellEnd"/>
            <w:r w:rsidRPr="00CD7E60">
              <w:rPr>
                <w:rFonts w:ascii="Arial Narrow" w:hAnsi="Arial Narrow"/>
                <w:color w:val="333333"/>
                <w:sz w:val="20"/>
                <w:szCs w:val="20"/>
              </w:rPr>
              <w:t xml:space="preserve"> rated as severe despite treatment with daily topical therapy (corticosteroid of medium to high potency/calcineurin inhibitor), for at least 28 days; or</w:t>
            </w:r>
          </w:p>
        </w:tc>
      </w:tr>
      <w:tr w:rsidR="00482BFD" w:rsidRPr="00446E53" w14:paraId="7B2EF84F" w14:textId="77777777">
        <w:tblPrEx>
          <w:tblCellMar>
            <w:top w:w="15" w:type="dxa"/>
            <w:bottom w:w="15" w:type="dxa"/>
          </w:tblCellMar>
          <w:tblLook w:val="04A0" w:firstRow="1" w:lastRow="0" w:firstColumn="1" w:lastColumn="0" w:noHBand="0" w:noVBand="1"/>
        </w:tblPrEx>
        <w:trPr>
          <w:cantSplit/>
          <w:trHeight w:val="20"/>
        </w:trPr>
        <w:tc>
          <w:tcPr>
            <w:tcW w:w="1272" w:type="dxa"/>
          </w:tcPr>
          <w:p w14:paraId="09C3F19D" w14:textId="7C3734C4" w:rsidR="00482BFD" w:rsidRPr="00446E53" w:rsidRDefault="00482BFD">
            <w:pPr>
              <w:jc w:val="center"/>
              <w:rPr>
                <w:rFonts w:ascii="Arial Narrow" w:hAnsi="Arial Narrow"/>
                <w:color w:val="FF0000"/>
                <w:sz w:val="20"/>
                <w:szCs w:val="20"/>
              </w:rPr>
            </w:pPr>
          </w:p>
        </w:tc>
        <w:tc>
          <w:tcPr>
            <w:tcW w:w="7745" w:type="dxa"/>
            <w:gridSpan w:val="6"/>
          </w:tcPr>
          <w:p w14:paraId="3D18CAF5" w14:textId="77777777" w:rsidR="00482BFD" w:rsidRPr="00CD7E60" w:rsidRDefault="00482BFD">
            <w:pPr>
              <w:rPr>
                <w:rFonts w:ascii="Arial Narrow" w:hAnsi="Arial Narrow"/>
                <w:color w:val="333333"/>
                <w:sz w:val="20"/>
                <w:szCs w:val="20"/>
              </w:rPr>
            </w:pPr>
            <w:r w:rsidRPr="00CD7E60">
              <w:rPr>
                <w:rFonts w:ascii="Arial Narrow" w:hAnsi="Arial Narrow"/>
                <w:color w:val="333333"/>
                <w:sz w:val="20"/>
                <w:szCs w:val="20"/>
              </w:rPr>
              <w:t>The condition must have affected at least 30% of the face/hands surface area despite treatment with daily topical therapy (</w:t>
            </w:r>
            <w:r w:rsidRPr="000A7AD1">
              <w:rPr>
                <w:rFonts w:ascii="Arial Narrow" w:hAnsi="Arial Narrow"/>
                <w:sz w:val="20"/>
                <w:szCs w:val="20"/>
              </w:rPr>
              <w:t xml:space="preserve">corticosteroid of medium </w:t>
            </w:r>
            <w:r w:rsidRPr="00CD7E60">
              <w:rPr>
                <w:rFonts w:ascii="Arial Narrow" w:hAnsi="Arial Narrow"/>
                <w:color w:val="333333"/>
                <w:sz w:val="20"/>
                <w:szCs w:val="20"/>
              </w:rPr>
              <w:t>to high potency/calcineurin inhibitor), for at least 28 days</w:t>
            </w:r>
          </w:p>
        </w:tc>
      </w:tr>
      <w:tr w:rsidR="00482BFD" w:rsidRPr="00446E53" w14:paraId="249E787E" w14:textId="77777777">
        <w:tblPrEx>
          <w:tblCellMar>
            <w:top w:w="15" w:type="dxa"/>
            <w:bottom w:w="15" w:type="dxa"/>
          </w:tblCellMar>
          <w:tblLook w:val="04A0" w:firstRow="1" w:lastRow="0" w:firstColumn="1" w:lastColumn="0" w:noHBand="0" w:noVBand="1"/>
        </w:tblPrEx>
        <w:trPr>
          <w:cantSplit/>
          <w:trHeight w:val="20"/>
        </w:trPr>
        <w:tc>
          <w:tcPr>
            <w:tcW w:w="1272" w:type="dxa"/>
          </w:tcPr>
          <w:p w14:paraId="53F8F0B3" w14:textId="77777777" w:rsidR="00482BFD" w:rsidRPr="00446E53" w:rsidRDefault="00482BFD">
            <w:pPr>
              <w:jc w:val="center"/>
              <w:rPr>
                <w:rFonts w:ascii="Arial Narrow" w:hAnsi="Arial Narrow"/>
                <w:color w:val="333333"/>
                <w:sz w:val="20"/>
                <w:szCs w:val="20"/>
              </w:rPr>
            </w:pPr>
          </w:p>
        </w:tc>
        <w:tc>
          <w:tcPr>
            <w:tcW w:w="7745" w:type="dxa"/>
            <w:gridSpan w:val="6"/>
            <w:vAlign w:val="center"/>
          </w:tcPr>
          <w:p w14:paraId="1036E290" w14:textId="77777777" w:rsidR="00482BFD" w:rsidRPr="00446E53" w:rsidRDefault="00482BFD">
            <w:pPr>
              <w:rPr>
                <w:rFonts w:ascii="Arial Narrow" w:hAnsi="Arial Narrow"/>
                <w:b/>
                <w:bCs/>
                <w:color w:val="333333"/>
                <w:sz w:val="20"/>
                <w:szCs w:val="20"/>
              </w:rPr>
            </w:pPr>
            <w:r w:rsidRPr="00446E53">
              <w:rPr>
                <w:rFonts w:ascii="Arial Narrow" w:hAnsi="Arial Narrow"/>
                <w:b/>
                <w:bCs/>
                <w:color w:val="333333"/>
                <w:sz w:val="20"/>
                <w:szCs w:val="20"/>
              </w:rPr>
              <w:t>AND</w:t>
            </w:r>
          </w:p>
        </w:tc>
      </w:tr>
      <w:tr w:rsidR="00482BFD" w:rsidRPr="00446E53" w14:paraId="427BE1FC" w14:textId="77777777">
        <w:tblPrEx>
          <w:tblCellMar>
            <w:top w:w="15" w:type="dxa"/>
            <w:bottom w:w="15" w:type="dxa"/>
          </w:tblCellMar>
          <w:tblLook w:val="04A0" w:firstRow="1" w:lastRow="0" w:firstColumn="1" w:lastColumn="0" w:noHBand="0" w:noVBand="1"/>
        </w:tblPrEx>
        <w:trPr>
          <w:cantSplit/>
          <w:trHeight w:val="20"/>
        </w:trPr>
        <w:tc>
          <w:tcPr>
            <w:tcW w:w="1272" w:type="dxa"/>
          </w:tcPr>
          <w:p w14:paraId="6E814CDE" w14:textId="6CF02B47" w:rsidR="00482BFD" w:rsidRPr="00446E53" w:rsidRDefault="00482BFD">
            <w:pPr>
              <w:jc w:val="center"/>
              <w:rPr>
                <w:rFonts w:ascii="Arial Narrow" w:hAnsi="Arial Narrow"/>
                <w:color w:val="333333"/>
                <w:sz w:val="20"/>
                <w:szCs w:val="20"/>
              </w:rPr>
            </w:pPr>
          </w:p>
        </w:tc>
        <w:tc>
          <w:tcPr>
            <w:tcW w:w="7745" w:type="dxa"/>
            <w:gridSpan w:val="6"/>
            <w:vAlign w:val="center"/>
          </w:tcPr>
          <w:p w14:paraId="716ECB58" w14:textId="77777777" w:rsidR="00482BFD" w:rsidRPr="00446E53" w:rsidRDefault="00482BFD">
            <w:pPr>
              <w:rPr>
                <w:rFonts w:ascii="Arial Narrow" w:hAnsi="Arial Narrow"/>
                <w:b/>
                <w:bCs/>
                <w:color w:val="333333"/>
                <w:sz w:val="20"/>
                <w:szCs w:val="20"/>
              </w:rPr>
            </w:pPr>
            <w:r w:rsidRPr="00446E53">
              <w:rPr>
                <w:rFonts w:ascii="Arial Narrow" w:hAnsi="Arial Narrow"/>
                <w:b/>
                <w:bCs/>
                <w:color w:val="333333"/>
                <w:sz w:val="20"/>
                <w:szCs w:val="20"/>
              </w:rPr>
              <w:t xml:space="preserve">Clinical criteria: </w:t>
            </w:r>
          </w:p>
        </w:tc>
      </w:tr>
      <w:tr w:rsidR="00482BFD" w:rsidRPr="00446E53" w14:paraId="50868DAA" w14:textId="77777777">
        <w:tblPrEx>
          <w:tblCellMar>
            <w:top w:w="15" w:type="dxa"/>
            <w:bottom w:w="15" w:type="dxa"/>
          </w:tblCellMar>
          <w:tblLook w:val="04A0" w:firstRow="1" w:lastRow="0" w:firstColumn="1" w:lastColumn="0" w:noHBand="0" w:noVBand="1"/>
        </w:tblPrEx>
        <w:trPr>
          <w:cantSplit/>
          <w:trHeight w:val="20"/>
        </w:trPr>
        <w:tc>
          <w:tcPr>
            <w:tcW w:w="1272" w:type="dxa"/>
          </w:tcPr>
          <w:p w14:paraId="2599537F" w14:textId="54B9282C" w:rsidR="00482BFD" w:rsidRPr="00446E53" w:rsidRDefault="00482BFD">
            <w:pPr>
              <w:jc w:val="center"/>
              <w:rPr>
                <w:rFonts w:ascii="Arial Narrow" w:hAnsi="Arial Narrow"/>
                <w:color w:val="333333"/>
                <w:sz w:val="20"/>
                <w:szCs w:val="20"/>
              </w:rPr>
            </w:pPr>
          </w:p>
        </w:tc>
        <w:tc>
          <w:tcPr>
            <w:tcW w:w="7745" w:type="dxa"/>
            <w:gridSpan w:val="6"/>
          </w:tcPr>
          <w:p w14:paraId="0624E58A" w14:textId="77777777" w:rsidR="00482BFD" w:rsidRPr="00446E53" w:rsidRDefault="00482BFD">
            <w:pPr>
              <w:rPr>
                <w:rFonts w:ascii="Arial Narrow" w:hAnsi="Arial Narrow"/>
                <w:b/>
                <w:bCs/>
                <w:color w:val="333333"/>
                <w:sz w:val="20"/>
                <w:szCs w:val="20"/>
              </w:rPr>
            </w:pPr>
            <w:r w:rsidRPr="000A7AD1">
              <w:rPr>
                <w:rFonts w:ascii="Arial Narrow" w:hAnsi="Arial Narrow"/>
                <w:sz w:val="20"/>
                <w:szCs w:val="20"/>
              </w:rPr>
              <w:t>Patient must have an age appropriate Dermatology Life Quality Index (DLQI) baseline score (of any value) measured following treatment with daily topical therapy (corticosteroid of medium to high potency/calcineurin inhibitor), for at least 28 days</w:t>
            </w:r>
          </w:p>
        </w:tc>
      </w:tr>
      <w:tr w:rsidR="00482BFD" w:rsidRPr="00446E53" w14:paraId="583F4B43" w14:textId="77777777">
        <w:tblPrEx>
          <w:tblCellMar>
            <w:top w:w="15" w:type="dxa"/>
            <w:bottom w:w="15" w:type="dxa"/>
          </w:tblCellMar>
          <w:tblLook w:val="04A0" w:firstRow="1" w:lastRow="0" w:firstColumn="1" w:lastColumn="0" w:noHBand="0" w:noVBand="1"/>
        </w:tblPrEx>
        <w:trPr>
          <w:cantSplit/>
          <w:trHeight w:val="20"/>
        </w:trPr>
        <w:tc>
          <w:tcPr>
            <w:tcW w:w="1272" w:type="dxa"/>
          </w:tcPr>
          <w:p w14:paraId="54F584E1" w14:textId="77777777" w:rsidR="00482BFD" w:rsidRDefault="00482BFD">
            <w:pPr>
              <w:jc w:val="center"/>
              <w:rPr>
                <w:rFonts w:ascii="Arial Narrow" w:hAnsi="Arial Narrow"/>
                <w:color w:val="333333"/>
                <w:sz w:val="20"/>
                <w:szCs w:val="20"/>
              </w:rPr>
            </w:pPr>
          </w:p>
        </w:tc>
        <w:tc>
          <w:tcPr>
            <w:tcW w:w="7745" w:type="dxa"/>
            <w:gridSpan w:val="6"/>
            <w:vAlign w:val="center"/>
          </w:tcPr>
          <w:p w14:paraId="69F78892" w14:textId="77777777" w:rsidR="00482BFD" w:rsidRPr="000A7AD1" w:rsidRDefault="00482BFD">
            <w:pPr>
              <w:rPr>
                <w:rFonts w:ascii="Arial Narrow" w:hAnsi="Arial Narrow"/>
                <w:sz w:val="20"/>
                <w:szCs w:val="20"/>
              </w:rPr>
            </w:pPr>
            <w:r w:rsidRPr="00446E53">
              <w:rPr>
                <w:rFonts w:ascii="Arial Narrow" w:hAnsi="Arial Narrow" w:cs="Arial Narrow"/>
                <w:b/>
                <w:bCs/>
                <w:iCs/>
                <w:sz w:val="20"/>
                <w:szCs w:val="20"/>
              </w:rPr>
              <w:t>AND</w:t>
            </w:r>
          </w:p>
        </w:tc>
      </w:tr>
      <w:tr w:rsidR="00482BFD" w:rsidRPr="00446E53" w14:paraId="1FC88F4A" w14:textId="77777777">
        <w:tblPrEx>
          <w:tblCellMar>
            <w:top w:w="15" w:type="dxa"/>
            <w:bottom w:w="15" w:type="dxa"/>
          </w:tblCellMar>
          <w:tblLook w:val="04A0" w:firstRow="1" w:lastRow="0" w:firstColumn="1" w:lastColumn="0" w:noHBand="0" w:noVBand="1"/>
        </w:tblPrEx>
        <w:trPr>
          <w:cantSplit/>
          <w:trHeight w:val="20"/>
        </w:trPr>
        <w:tc>
          <w:tcPr>
            <w:tcW w:w="1272" w:type="dxa"/>
          </w:tcPr>
          <w:p w14:paraId="0F373DB5" w14:textId="5E46F0AE" w:rsidR="00482BFD" w:rsidRDefault="00482BFD">
            <w:pPr>
              <w:jc w:val="center"/>
              <w:rPr>
                <w:rFonts w:ascii="Arial Narrow" w:hAnsi="Arial Narrow"/>
                <w:color w:val="333333"/>
                <w:sz w:val="20"/>
                <w:szCs w:val="20"/>
              </w:rPr>
            </w:pPr>
          </w:p>
        </w:tc>
        <w:tc>
          <w:tcPr>
            <w:tcW w:w="7745" w:type="dxa"/>
            <w:gridSpan w:val="6"/>
            <w:vAlign w:val="center"/>
          </w:tcPr>
          <w:p w14:paraId="5546FF9A" w14:textId="77777777" w:rsidR="00482BFD" w:rsidRPr="000A7AD1" w:rsidRDefault="00482BFD">
            <w:pPr>
              <w:rPr>
                <w:rFonts w:ascii="Arial Narrow" w:hAnsi="Arial Narrow"/>
                <w:sz w:val="20"/>
                <w:szCs w:val="20"/>
              </w:rPr>
            </w:pPr>
            <w:r>
              <w:rPr>
                <w:rFonts w:ascii="Arial Narrow" w:hAnsi="Arial Narrow"/>
                <w:b/>
                <w:bCs/>
                <w:color w:val="333333"/>
                <w:sz w:val="20"/>
                <w:szCs w:val="20"/>
              </w:rPr>
              <w:t>Clinical</w:t>
            </w:r>
            <w:r w:rsidRPr="00446E53">
              <w:rPr>
                <w:rFonts w:ascii="Arial Narrow" w:hAnsi="Arial Narrow"/>
                <w:b/>
                <w:bCs/>
                <w:color w:val="333333"/>
                <w:sz w:val="20"/>
                <w:szCs w:val="20"/>
              </w:rPr>
              <w:t xml:space="preserve"> criteria:</w:t>
            </w:r>
          </w:p>
        </w:tc>
      </w:tr>
      <w:tr w:rsidR="00482BFD" w:rsidRPr="00446E53" w14:paraId="25E9D38C" w14:textId="77777777">
        <w:tblPrEx>
          <w:tblCellMar>
            <w:top w:w="15" w:type="dxa"/>
            <w:bottom w:w="15" w:type="dxa"/>
          </w:tblCellMar>
          <w:tblLook w:val="04A0" w:firstRow="1" w:lastRow="0" w:firstColumn="1" w:lastColumn="0" w:noHBand="0" w:noVBand="1"/>
        </w:tblPrEx>
        <w:trPr>
          <w:cantSplit/>
          <w:trHeight w:val="20"/>
        </w:trPr>
        <w:tc>
          <w:tcPr>
            <w:tcW w:w="1272" w:type="dxa"/>
          </w:tcPr>
          <w:p w14:paraId="6C2DC347" w14:textId="628C351A" w:rsidR="00482BFD" w:rsidRDefault="00482BFD">
            <w:pPr>
              <w:jc w:val="center"/>
              <w:rPr>
                <w:rFonts w:ascii="Arial Narrow" w:hAnsi="Arial Narrow"/>
                <w:color w:val="333333"/>
                <w:sz w:val="20"/>
                <w:szCs w:val="20"/>
              </w:rPr>
            </w:pPr>
          </w:p>
        </w:tc>
        <w:tc>
          <w:tcPr>
            <w:tcW w:w="7745" w:type="dxa"/>
            <w:gridSpan w:val="6"/>
            <w:vAlign w:val="center"/>
          </w:tcPr>
          <w:p w14:paraId="32A959E1" w14:textId="77777777" w:rsidR="00482BFD" w:rsidRPr="000A7AD1" w:rsidRDefault="00482BFD">
            <w:pPr>
              <w:rPr>
                <w:rFonts w:ascii="Arial Narrow" w:hAnsi="Arial Narrow"/>
                <w:sz w:val="20"/>
                <w:szCs w:val="20"/>
              </w:rPr>
            </w:pPr>
            <w:r w:rsidRPr="00E60D92">
              <w:rPr>
                <w:rFonts w:ascii="Arial Narrow" w:eastAsia="Calibri" w:hAnsi="Arial Narrow"/>
                <w:sz w:val="20"/>
                <w:szCs w:val="20"/>
              </w:rPr>
              <w:t>The condition must have had lesions for at least 6 months from the time of the initial diagnosis of chronic severe atopic dermatitis affecting either of: (i) the whole body, (ii) face/hands</w:t>
            </w:r>
          </w:p>
        </w:tc>
      </w:tr>
      <w:tr w:rsidR="00482BFD" w:rsidRPr="00446E53" w14:paraId="0626C8FE" w14:textId="77777777">
        <w:tblPrEx>
          <w:tblCellMar>
            <w:top w:w="15" w:type="dxa"/>
            <w:bottom w:w="15" w:type="dxa"/>
          </w:tblCellMar>
          <w:tblLook w:val="04A0" w:firstRow="1" w:lastRow="0" w:firstColumn="1" w:lastColumn="0" w:noHBand="0" w:noVBand="1"/>
        </w:tblPrEx>
        <w:trPr>
          <w:cantSplit/>
          <w:trHeight w:val="20"/>
        </w:trPr>
        <w:tc>
          <w:tcPr>
            <w:tcW w:w="1272" w:type="dxa"/>
          </w:tcPr>
          <w:p w14:paraId="16656E4A" w14:textId="77777777" w:rsidR="00482BFD" w:rsidRDefault="00482BFD">
            <w:pPr>
              <w:jc w:val="center"/>
              <w:rPr>
                <w:rFonts w:ascii="Arial Narrow" w:hAnsi="Arial Narrow"/>
                <w:color w:val="333333"/>
                <w:sz w:val="20"/>
                <w:szCs w:val="20"/>
              </w:rPr>
            </w:pPr>
          </w:p>
        </w:tc>
        <w:tc>
          <w:tcPr>
            <w:tcW w:w="7745" w:type="dxa"/>
            <w:gridSpan w:val="6"/>
            <w:vAlign w:val="center"/>
          </w:tcPr>
          <w:p w14:paraId="4C44CAD9" w14:textId="77777777" w:rsidR="00482BFD" w:rsidRPr="000A7AD1" w:rsidRDefault="00482BFD">
            <w:pPr>
              <w:rPr>
                <w:rFonts w:ascii="Arial Narrow" w:hAnsi="Arial Narrow"/>
                <w:sz w:val="20"/>
                <w:szCs w:val="20"/>
              </w:rPr>
            </w:pPr>
            <w:r w:rsidRPr="00446E53">
              <w:rPr>
                <w:rFonts w:ascii="Arial Narrow" w:hAnsi="Arial Narrow" w:cs="Arial Narrow"/>
                <w:b/>
                <w:bCs/>
                <w:iCs/>
                <w:sz w:val="20"/>
                <w:szCs w:val="20"/>
              </w:rPr>
              <w:t>AND</w:t>
            </w:r>
          </w:p>
        </w:tc>
      </w:tr>
      <w:tr w:rsidR="00482BFD" w:rsidRPr="00446E53" w14:paraId="07502578" w14:textId="77777777">
        <w:tblPrEx>
          <w:tblCellMar>
            <w:top w:w="15" w:type="dxa"/>
            <w:bottom w:w="15" w:type="dxa"/>
          </w:tblCellMar>
          <w:tblLook w:val="04A0" w:firstRow="1" w:lastRow="0" w:firstColumn="1" w:lastColumn="0" w:noHBand="0" w:noVBand="1"/>
        </w:tblPrEx>
        <w:trPr>
          <w:cantSplit/>
          <w:trHeight w:val="20"/>
        </w:trPr>
        <w:tc>
          <w:tcPr>
            <w:tcW w:w="1272" w:type="dxa"/>
          </w:tcPr>
          <w:p w14:paraId="18F969CE" w14:textId="37DE03E2" w:rsidR="00482BFD" w:rsidRDefault="00482BFD">
            <w:pPr>
              <w:jc w:val="center"/>
              <w:rPr>
                <w:rFonts w:ascii="Arial Narrow" w:hAnsi="Arial Narrow"/>
                <w:color w:val="333333"/>
                <w:sz w:val="20"/>
                <w:szCs w:val="20"/>
              </w:rPr>
            </w:pPr>
          </w:p>
        </w:tc>
        <w:tc>
          <w:tcPr>
            <w:tcW w:w="7745" w:type="dxa"/>
            <w:gridSpan w:val="6"/>
            <w:vAlign w:val="center"/>
          </w:tcPr>
          <w:p w14:paraId="335CB9C9" w14:textId="77777777" w:rsidR="00482BFD" w:rsidRPr="000A7AD1" w:rsidRDefault="00482BFD">
            <w:pPr>
              <w:rPr>
                <w:rFonts w:ascii="Arial Narrow" w:hAnsi="Arial Narrow"/>
                <w:sz w:val="20"/>
                <w:szCs w:val="20"/>
              </w:rPr>
            </w:pPr>
            <w:r>
              <w:rPr>
                <w:rFonts w:ascii="Arial Narrow" w:hAnsi="Arial Narrow"/>
                <w:b/>
                <w:bCs/>
                <w:color w:val="333333"/>
                <w:sz w:val="20"/>
                <w:szCs w:val="20"/>
              </w:rPr>
              <w:t xml:space="preserve">Clinical </w:t>
            </w:r>
            <w:r w:rsidRPr="00446E53">
              <w:rPr>
                <w:rFonts w:ascii="Arial Narrow" w:hAnsi="Arial Narrow"/>
                <w:b/>
                <w:bCs/>
                <w:color w:val="333333"/>
                <w:sz w:val="20"/>
                <w:szCs w:val="20"/>
              </w:rPr>
              <w:t>criteria:</w:t>
            </w:r>
          </w:p>
        </w:tc>
      </w:tr>
      <w:tr w:rsidR="00482BFD" w:rsidRPr="00446E53" w14:paraId="4982EA30" w14:textId="77777777">
        <w:tblPrEx>
          <w:tblCellMar>
            <w:top w:w="15" w:type="dxa"/>
            <w:bottom w:w="15" w:type="dxa"/>
          </w:tblCellMar>
          <w:tblLook w:val="04A0" w:firstRow="1" w:lastRow="0" w:firstColumn="1" w:lastColumn="0" w:noHBand="0" w:noVBand="1"/>
        </w:tblPrEx>
        <w:trPr>
          <w:cantSplit/>
          <w:trHeight w:val="20"/>
        </w:trPr>
        <w:tc>
          <w:tcPr>
            <w:tcW w:w="1272" w:type="dxa"/>
          </w:tcPr>
          <w:p w14:paraId="28BA3114" w14:textId="5B47BBFB" w:rsidR="00482BFD" w:rsidRDefault="00482BFD">
            <w:pPr>
              <w:jc w:val="center"/>
              <w:rPr>
                <w:rFonts w:ascii="Arial Narrow" w:hAnsi="Arial Narrow"/>
                <w:color w:val="333333"/>
                <w:sz w:val="20"/>
                <w:szCs w:val="20"/>
              </w:rPr>
            </w:pPr>
          </w:p>
        </w:tc>
        <w:tc>
          <w:tcPr>
            <w:tcW w:w="7745" w:type="dxa"/>
            <w:gridSpan w:val="6"/>
          </w:tcPr>
          <w:p w14:paraId="09F9A6DC" w14:textId="77777777" w:rsidR="00482BFD" w:rsidRPr="000A7AD1" w:rsidRDefault="00482BFD">
            <w:pPr>
              <w:rPr>
                <w:rFonts w:ascii="Arial Narrow" w:hAnsi="Arial Narrow"/>
                <w:sz w:val="20"/>
                <w:szCs w:val="20"/>
              </w:rPr>
            </w:pPr>
            <w:r w:rsidRPr="00C14CB9">
              <w:rPr>
                <w:rFonts w:ascii="Arial Narrow" w:eastAsia="Calibri" w:hAnsi="Arial Narrow"/>
                <w:sz w:val="20"/>
                <w:szCs w:val="20"/>
              </w:rPr>
              <w:t>The treatment must be the sole PBS-subsidised biological medicine for this PBS indication</w:t>
            </w:r>
          </w:p>
        </w:tc>
      </w:tr>
      <w:tr w:rsidR="00482BFD" w:rsidRPr="00446E53" w14:paraId="5222316E" w14:textId="77777777">
        <w:tblPrEx>
          <w:tblCellMar>
            <w:top w:w="15" w:type="dxa"/>
            <w:bottom w:w="15" w:type="dxa"/>
          </w:tblCellMar>
          <w:tblLook w:val="04A0" w:firstRow="1" w:lastRow="0" w:firstColumn="1" w:lastColumn="0" w:noHBand="0" w:noVBand="1"/>
        </w:tblPrEx>
        <w:trPr>
          <w:cantSplit/>
          <w:trHeight w:val="20"/>
        </w:trPr>
        <w:tc>
          <w:tcPr>
            <w:tcW w:w="1272" w:type="dxa"/>
          </w:tcPr>
          <w:p w14:paraId="3E5F09FB" w14:textId="77777777" w:rsidR="00482BFD" w:rsidRPr="00E60D92" w:rsidRDefault="00482BFD">
            <w:pPr>
              <w:jc w:val="center"/>
              <w:rPr>
                <w:rFonts w:ascii="Arial Narrow" w:hAnsi="Arial Narrow"/>
                <w:sz w:val="20"/>
                <w:szCs w:val="20"/>
              </w:rPr>
            </w:pPr>
          </w:p>
        </w:tc>
        <w:tc>
          <w:tcPr>
            <w:tcW w:w="7745" w:type="dxa"/>
            <w:gridSpan w:val="6"/>
            <w:vAlign w:val="center"/>
          </w:tcPr>
          <w:p w14:paraId="5F0EB427" w14:textId="77777777" w:rsidR="00482BFD" w:rsidRPr="00C14CB9" w:rsidRDefault="00482BFD">
            <w:pPr>
              <w:rPr>
                <w:rFonts w:ascii="Arial Narrow" w:eastAsia="Calibri" w:hAnsi="Arial Narrow"/>
                <w:sz w:val="20"/>
                <w:szCs w:val="20"/>
              </w:rPr>
            </w:pPr>
            <w:r w:rsidRPr="00446E53">
              <w:rPr>
                <w:rFonts w:ascii="Arial Narrow" w:hAnsi="Arial Narrow" w:cs="Arial Narrow"/>
                <w:b/>
                <w:bCs/>
                <w:iCs/>
                <w:sz w:val="20"/>
                <w:szCs w:val="20"/>
              </w:rPr>
              <w:t>AND</w:t>
            </w:r>
          </w:p>
        </w:tc>
      </w:tr>
      <w:tr w:rsidR="00482BFD" w:rsidRPr="00446E53" w14:paraId="04C9E3DB" w14:textId="77777777">
        <w:tblPrEx>
          <w:tblCellMar>
            <w:top w:w="15" w:type="dxa"/>
            <w:bottom w:w="15" w:type="dxa"/>
          </w:tblCellMar>
          <w:tblLook w:val="04A0" w:firstRow="1" w:lastRow="0" w:firstColumn="1" w:lastColumn="0" w:noHBand="0" w:noVBand="1"/>
        </w:tblPrEx>
        <w:trPr>
          <w:cantSplit/>
          <w:trHeight w:val="20"/>
        </w:trPr>
        <w:tc>
          <w:tcPr>
            <w:tcW w:w="1272" w:type="dxa"/>
          </w:tcPr>
          <w:p w14:paraId="04CF2D12" w14:textId="6A0385F1" w:rsidR="00482BFD" w:rsidRPr="00E60D92" w:rsidRDefault="00482BFD">
            <w:pPr>
              <w:jc w:val="center"/>
              <w:rPr>
                <w:rFonts w:ascii="Arial Narrow" w:hAnsi="Arial Narrow"/>
                <w:sz w:val="20"/>
                <w:szCs w:val="20"/>
              </w:rPr>
            </w:pPr>
          </w:p>
        </w:tc>
        <w:tc>
          <w:tcPr>
            <w:tcW w:w="7745" w:type="dxa"/>
            <w:gridSpan w:val="6"/>
            <w:vAlign w:val="center"/>
          </w:tcPr>
          <w:p w14:paraId="1B00B26E" w14:textId="77777777" w:rsidR="00482BFD" w:rsidRPr="00C14CB9" w:rsidRDefault="00482BFD">
            <w:pPr>
              <w:rPr>
                <w:rFonts w:ascii="Arial Narrow" w:eastAsia="Calibri" w:hAnsi="Arial Narrow"/>
                <w:sz w:val="20"/>
                <w:szCs w:val="20"/>
              </w:rPr>
            </w:pPr>
            <w:r>
              <w:rPr>
                <w:rFonts w:ascii="Arial Narrow" w:hAnsi="Arial Narrow"/>
                <w:b/>
                <w:bCs/>
                <w:color w:val="333333"/>
                <w:sz w:val="20"/>
                <w:szCs w:val="20"/>
              </w:rPr>
              <w:t xml:space="preserve">Clinical </w:t>
            </w:r>
            <w:r w:rsidRPr="00446E53">
              <w:rPr>
                <w:rFonts w:ascii="Arial Narrow" w:hAnsi="Arial Narrow"/>
                <w:b/>
                <w:bCs/>
                <w:color w:val="333333"/>
                <w:sz w:val="20"/>
                <w:szCs w:val="20"/>
              </w:rPr>
              <w:t>criteria:</w:t>
            </w:r>
          </w:p>
        </w:tc>
      </w:tr>
      <w:tr w:rsidR="00482BFD" w:rsidRPr="00446E53" w14:paraId="61BD86F8" w14:textId="77777777">
        <w:tblPrEx>
          <w:tblCellMar>
            <w:top w:w="15" w:type="dxa"/>
            <w:bottom w:w="15" w:type="dxa"/>
          </w:tblCellMar>
          <w:tblLook w:val="04A0" w:firstRow="1" w:lastRow="0" w:firstColumn="1" w:lastColumn="0" w:noHBand="0" w:noVBand="1"/>
        </w:tblPrEx>
        <w:trPr>
          <w:cantSplit/>
          <w:trHeight w:val="20"/>
        </w:trPr>
        <w:tc>
          <w:tcPr>
            <w:tcW w:w="1272" w:type="dxa"/>
          </w:tcPr>
          <w:p w14:paraId="5036FD62" w14:textId="24364EC3" w:rsidR="00482BFD" w:rsidRPr="00E60D92" w:rsidRDefault="00482BFD">
            <w:pPr>
              <w:jc w:val="center"/>
              <w:rPr>
                <w:rFonts w:ascii="Arial Narrow" w:hAnsi="Arial Narrow"/>
                <w:sz w:val="20"/>
                <w:szCs w:val="20"/>
              </w:rPr>
            </w:pPr>
          </w:p>
        </w:tc>
        <w:tc>
          <w:tcPr>
            <w:tcW w:w="7745" w:type="dxa"/>
            <w:gridSpan w:val="6"/>
          </w:tcPr>
          <w:p w14:paraId="68A3749D" w14:textId="77777777" w:rsidR="00482BFD" w:rsidRPr="00C14CB9" w:rsidRDefault="00482BFD">
            <w:pPr>
              <w:rPr>
                <w:rFonts w:ascii="Arial Narrow" w:eastAsia="Calibri" w:hAnsi="Arial Narrow"/>
                <w:sz w:val="20"/>
                <w:szCs w:val="20"/>
              </w:rPr>
            </w:pPr>
            <w:r w:rsidRPr="00BA58E1">
              <w:rPr>
                <w:rFonts w:ascii="Arial Narrow" w:eastAsia="Calibri" w:hAnsi="Arial Narrow"/>
                <w:sz w:val="20"/>
                <w:szCs w:val="20"/>
              </w:rPr>
              <w:t>Patient must not have experienced an inadequate response to this biological medicine in this PBS indication</w:t>
            </w:r>
          </w:p>
        </w:tc>
      </w:tr>
      <w:tr w:rsidR="00482BFD" w:rsidRPr="00446E53" w14:paraId="2FA899A7" w14:textId="77777777">
        <w:tblPrEx>
          <w:tblCellMar>
            <w:top w:w="15" w:type="dxa"/>
            <w:bottom w:w="15" w:type="dxa"/>
          </w:tblCellMar>
          <w:tblLook w:val="04A0" w:firstRow="1" w:lastRow="0" w:firstColumn="1" w:lastColumn="0" w:noHBand="0" w:noVBand="1"/>
        </w:tblPrEx>
        <w:trPr>
          <w:cantSplit/>
          <w:trHeight w:val="20"/>
        </w:trPr>
        <w:tc>
          <w:tcPr>
            <w:tcW w:w="1272" w:type="dxa"/>
          </w:tcPr>
          <w:p w14:paraId="3EEFD36D" w14:textId="77777777" w:rsidR="00482BFD" w:rsidRPr="00E60D92" w:rsidRDefault="00482BFD">
            <w:pPr>
              <w:jc w:val="center"/>
              <w:rPr>
                <w:rFonts w:ascii="Arial Narrow" w:hAnsi="Arial Narrow"/>
                <w:sz w:val="20"/>
                <w:szCs w:val="20"/>
              </w:rPr>
            </w:pPr>
          </w:p>
        </w:tc>
        <w:tc>
          <w:tcPr>
            <w:tcW w:w="7745" w:type="dxa"/>
            <w:gridSpan w:val="6"/>
          </w:tcPr>
          <w:p w14:paraId="118ED5B1" w14:textId="77777777" w:rsidR="00482BFD" w:rsidRPr="00BA58E1" w:rsidRDefault="00482BFD">
            <w:pPr>
              <w:rPr>
                <w:rFonts w:ascii="Arial Narrow" w:eastAsia="Calibri" w:hAnsi="Arial Narrow"/>
                <w:sz w:val="20"/>
                <w:szCs w:val="20"/>
              </w:rPr>
            </w:pPr>
            <w:r w:rsidRPr="005A3A65">
              <w:rPr>
                <w:rFonts w:ascii="Arial Narrow" w:hAnsi="Arial Narrow" w:cs="Arial Narrow"/>
                <w:b/>
                <w:bCs/>
                <w:iCs/>
                <w:strike/>
                <w:sz w:val="20"/>
                <w:szCs w:val="20"/>
              </w:rPr>
              <w:t>AND</w:t>
            </w:r>
          </w:p>
        </w:tc>
      </w:tr>
      <w:tr w:rsidR="00482BFD" w:rsidRPr="00446E53" w14:paraId="31F00699" w14:textId="77777777">
        <w:tblPrEx>
          <w:tblCellMar>
            <w:top w:w="15" w:type="dxa"/>
            <w:bottom w:w="15" w:type="dxa"/>
          </w:tblCellMar>
          <w:tblLook w:val="04A0" w:firstRow="1" w:lastRow="0" w:firstColumn="1" w:lastColumn="0" w:noHBand="0" w:noVBand="1"/>
        </w:tblPrEx>
        <w:trPr>
          <w:cantSplit/>
          <w:trHeight w:val="20"/>
        </w:trPr>
        <w:tc>
          <w:tcPr>
            <w:tcW w:w="1272" w:type="dxa"/>
          </w:tcPr>
          <w:p w14:paraId="721B77E7" w14:textId="52784B02" w:rsidR="00482BFD" w:rsidRPr="00446E53" w:rsidRDefault="00482BFD">
            <w:pPr>
              <w:jc w:val="center"/>
              <w:rPr>
                <w:rFonts w:ascii="Arial Narrow" w:hAnsi="Arial Narrow"/>
                <w:color w:val="333333"/>
                <w:sz w:val="20"/>
                <w:szCs w:val="20"/>
              </w:rPr>
            </w:pPr>
          </w:p>
        </w:tc>
        <w:tc>
          <w:tcPr>
            <w:tcW w:w="7745" w:type="dxa"/>
            <w:gridSpan w:val="6"/>
          </w:tcPr>
          <w:p w14:paraId="22D3C9C3" w14:textId="77777777" w:rsidR="00482BFD" w:rsidRPr="00446E53" w:rsidRDefault="00482BFD">
            <w:pPr>
              <w:rPr>
                <w:rFonts w:ascii="Arial Narrow" w:hAnsi="Arial Narrow"/>
                <w:b/>
                <w:bCs/>
                <w:color w:val="333333"/>
                <w:sz w:val="20"/>
                <w:szCs w:val="20"/>
              </w:rPr>
            </w:pPr>
            <w:r>
              <w:rPr>
                <w:rFonts w:ascii="Arial Narrow" w:eastAsia="Calibri" w:hAnsi="Arial Narrow"/>
                <w:b/>
                <w:bCs/>
                <w:sz w:val="20"/>
                <w:szCs w:val="20"/>
              </w:rPr>
              <w:t xml:space="preserve">Treatment criteria: </w:t>
            </w:r>
          </w:p>
        </w:tc>
      </w:tr>
      <w:tr w:rsidR="00482BFD" w:rsidRPr="00446E53" w14:paraId="1ED033C5" w14:textId="77777777">
        <w:tblPrEx>
          <w:tblCellMar>
            <w:top w:w="15" w:type="dxa"/>
            <w:bottom w:w="15" w:type="dxa"/>
          </w:tblCellMar>
          <w:tblLook w:val="04A0" w:firstRow="1" w:lastRow="0" w:firstColumn="1" w:lastColumn="0" w:noHBand="0" w:noVBand="1"/>
        </w:tblPrEx>
        <w:trPr>
          <w:cantSplit/>
          <w:trHeight w:val="20"/>
        </w:trPr>
        <w:tc>
          <w:tcPr>
            <w:tcW w:w="1272" w:type="dxa"/>
          </w:tcPr>
          <w:p w14:paraId="6039DD5E" w14:textId="6BE26018" w:rsidR="00482BFD" w:rsidRPr="00446E53" w:rsidRDefault="00482BFD">
            <w:pPr>
              <w:jc w:val="center"/>
              <w:rPr>
                <w:rFonts w:ascii="Arial Narrow" w:hAnsi="Arial Narrow"/>
                <w:color w:val="333333"/>
                <w:sz w:val="20"/>
                <w:szCs w:val="20"/>
              </w:rPr>
            </w:pPr>
          </w:p>
        </w:tc>
        <w:tc>
          <w:tcPr>
            <w:tcW w:w="7745" w:type="dxa"/>
            <w:gridSpan w:val="6"/>
          </w:tcPr>
          <w:p w14:paraId="26EE4B6C" w14:textId="77777777" w:rsidR="00482BFD" w:rsidRPr="00446E53" w:rsidRDefault="00482BFD">
            <w:pPr>
              <w:rPr>
                <w:rFonts w:ascii="Arial Narrow" w:hAnsi="Arial Narrow"/>
                <w:b/>
                <w:bCs/>
                <w:color w:val="333333"/>
                <w:sz w:val="20"/>
                <w:szCs w:val="20"/>
              </w:rPr>
            </w:pPr>
            <w:r w:rsidRPr="00176579">
              <w:rPr>
                <w:rFonts w:ascii="Arial Narrow" w:eastAsia="Calibri" w:hAnsi="Arial Narrow"/>
                <w:sz w:val="20"/>
                <w:szCs w:val="20"/>
              </w:rPr>
              <w:t>Must be treated by a dermatologist; or</w:t>
            </w:r>
          </w:p>
        </w:tc>
      </w:tr>
      <w:tr w:rsidR="00482BFD" w:rsidRPr="00446E53" w14:paraId="766D9505" w14:textId="77777777">
        <w:tblPrEx>
          <w:tblCellMar>
            <w:top w:w="15" w:type="dxa"/>
            <w:bottom w:w="15" w:type="dxa"/>
          </w:tblCellMar>
          <w:tblLook w:val="04A0" w:firstRow="1" w:lastRow="0" w:firstColumn="1" w:lastColumn="0" w:noHBand="0" w:noVBand="1"/>
        </w:tblPrEx>
        <w:trPr>
          <w:cantSplit/>
          <w:trHeight w:val="20"/>
        </w:trPr>
        <w:tc>
          <w:tcPr>
            <w:tcW w:w="1272" w:type="dxa"/>
          </w:tcPr>
          <w:p w14:paraId="345ED59F" w14:textId="668D66C9" w:rsidR="00482BFD" w:rsidRPr="00446E53" w:rsidRDefault="00482BFD">
            <w:pPr>
              <w:jc w:val="center"/>
              <w:rPr>
                <w:rFonts w:ascii="Arial Narrow" w:hAnsi="Arial Narrow"/>
                <w:color w:val="FF0000"/>
                <w:sz w:val="20"/>
                <w:szCs w:val="20"/>
              </w:rPr>
            </w:pPr>
          </w:p>
        </w:tc>
        <w:tc>
          <w:tcPr>
            <w:tcW w:w="7745" w:type="dxa"/>
            <w:gridSpan w:val="6"/>
          </w:tcPr>
          <w:p w14:paraId="3536126C" w14:textId="77777777" w:rsidR="00482BFD" w:rsidRPr="00446E53" w:rsidRDefault="00482BFD">
            <w:pPr>
              <w:rPr>
                <w:rFonts w:ascii="Arial Narrow" w:hAnsi="Arial Narrow" w:cs="Arial Narrow"/>
                <w:iCs/>
                <w:color w:val="FF0000"/>
                <w:sz w:val="20"/>
                <w:szCs w:val="20"/>
              </w:rPr>
            </w:pPr>
            <w:r w:rsidRPr="00176579">
              <w:rPr>
                <w:rFonts w:ascii="Arial Narrow" w:eastAsia="Calibri" w:hAnsi="Arial Narrow"/>
                <w:sz w:val="20"/>
                <w:szCs w:val="20"/>
              </w:rPr>
              <w:t>Must be treated by a clinical immunologist</w:t>
            </w:r>
          </w:p>
        </w:tc>
      </w:tr>
      <w:tr w:rsidR="00482BFD" w:rsidRPr="00446E53" w14:paraId="33A1183F" w14:textId="77777777">
        <w:tblPrEx>
          <w:tblCellMar>
            <w:top w:w="15" w:type="dxa"/>
            <w:bottom w:w="15" w:type="dxa"/>
          </w:tblCellMar>
          <w:tblLook w:val="04A0" w:firstRow="1" w:lastRow="0" w:firstColumn="1" w:lastColumn="0" w:noHBand="0" w:noVBand="1"/>
        </w:tblPrEx>
        <w:trPr>
          <w:cantSplit/>
          <w:trHeight w:val="20"/>
        </w:trPr>
        <w:tc>
          <w:tcPr>
            <w:tcW w:w="1272" w:type="dxa"/>
          </w:tcPr>
          <w:p w14:paraId="64FACE36" w14:textId="77777777" w:rsidR="00482BFD" w:rsidRDefault="00482BFD">
            <w:pPr>
              <w:jc w:val="center"/>
              <w:rPr>
                <w:rFonts w:ascii="Arial Narrow" w:hAnsi="Arial Narrow"/>
                <w:sz w:val="20"/>
                <w:szCs w:val="20"/>
              </w:rPr>
            </w:pPr>
          </w:p>
        </w:tc>
        <w:tc>
          <w:tcPr>
            <w:tcW w:w="7745" w:type="dxa"/>
            <w:gridSpan w:val="6"/>
          </w:tcPr>
          <w:p w14:paraId="04C5CEF4" w14:textId="77777777" w:rsidR="00482BFD" w:rsidRPr="00176579" w:rsidRDefault="00482BFD">
            <w:pPr>
              <w:rPr>
                <w:rFonts w:ascii="Arial Narrow" w:eastAsia="Calibri" w:hAnsi="Arial Narrow"/>
                <w:sz w:val="20"/>
                <w:szCs w:val="20"/>
              </w:rPr>
            </w:pPr>
            <w:r w:rsidRPr="005A3A65">
              <w:rPr>
                <w:rFonts w:ascii="Arial Narrow" w:hAnsi="Arial Narrow" w:cs="Arial Narrow"/>
                <w:b/>
                <w:bCs/>
                <w:iCs/>
                <w:strike/>
                <w:sz w:val="20"/>
                <w:szCs w:val="20"/>
              </w:rPr>
              <w:t>AND</w:t>
            </w:r>
          </w:p>
        </w:tc>
      </w:tr>
      <w:tr w:rsidR="00482BFD" w:rsidRPr="00446E53" w14:paraId="5100591E" w14:textId="77777777">
        <w:tblPrEx>
          <w:tblCellMar>
            <w:top w:w="15" w:type="dxa"/>
            <w:bottom w:w="15" w:type="dxa"/>
          </w:tblCellMar>
          <w:tblLook w:val="04A0" w:firstRow="1" w:lastRow="0" w:firstColumn="1" w:lastColumn="0" w:noHBand="0" w:noVBand="1"/>
        </w:tblPrEx>
        <w:trPr>
          <w:cantSplit/>
          <w:trHeight w:val="20"/>
        </w:trPr>
        <w:tc>
          <w:tcPr>
            <w:tcW w:w="1272" w:type="dxa"/>
          </w:tcPr>
          <w:p w14:paraId="462BE5CE" w14:textId="59AD26C7" w:rsidR="00482BFD" w:rsidRPr="00446E53" w:rsidRDefault="00482BFD">
            <w:pPr>
              <w:jc w:val="center"/>
              <w:rPr>
                <w:rFonts w:ascii="Arial Narrow" w:hAnsi="Arial Narrow"/>
                <w:color w:val="FF0000"/>
                <w:sz w:val="20"/>
                <w:szCs w:val="20"/>
              </w:rPr>
            </w:pPr>
          </w:p>
        </w:tc>
        <w:tc>
          <w:tcPr>
            <w:tcW w:w="7745" w:type="dxa"/>
            <w:gridSpan w:val="6"/>
            <w:vAlign w:val="center"/>
          </w:tcPr>
          <w:p w14:paraId="1D1BDD2A" w14:textId="77777777" w:rsidR="00482BFD" w:rsidRPr="00446E53" w:rsidRDefault="00482BFD">
            <w:pPr>
              <w:rPr>
                <w:rFonts w:ascii="Arial Narrow" w:hAnsi="Arial Narrow" w:cs="Arial Narrow"/>
                <w:iCs/>
                <w:color w:val="FF0000"/>
                <w:sz w:val="20"/>
                <w:szCs w:val="20"/>
              </w:rPr>
            </w:pPr>
            <w:r w:rsidRPr="00446E53">
              <w:rPr>
                <w:rFonts w:ascii="Arial Narrow" w:hAnsi="Arial Narrow"/>
                <w:b/>
                <w:bCs/>
                <w:color w:val="333333"/>
                <w:sz w:val="20"/>
                <w:szCs w:val="20"/>
              </w:rPr>
              <w:t>Population criteria:</w:t>
            </w:r>
          </w:p>
        </w:tc>
      </w:tr>
      <w:tr w:rsidR="00482BFD" w:rsidRPr="00446E53" w14:paraId="10563151" w14:textId="77777777">
        <w:tblPrEx>
          <w:tblCellMar>
            <w:top w:w="15" w:type="dxa"/>
            <w:bottom w:w="15" w:type="dxa"/>
          </w:tblCellMar>
          <w:tblLook w:val="04A0" w:firstRow="1" w:lastRow="0" w:firstColumn="1" w:lastColumn="0" w:noHBand="0" w:noVBand="1"/>
        </w:tblPrEx>
        <w:trPr>
          <w:cantSplit/>
          <w:trHeight w:val="20"/>
        </w:trPr>
        <w:tc>
          <w:tcPr>
            <w:tcW w:w="1272" w:type="dxa"/>
          </w:tcPr>
          <w:p w14:paraId="1567AAF8" w14:textId="62B58080" w:rsidR="00482BFD" w:rsidRPr="00446E53" w:rsidRDefault="00482BFD">
            <w:pPr>
              <w:jc w:val="center"/>
              <w:rPr>
                <w:rFonts w:ascii="Arial Narrow" w:hAnsi="Arial Narrow"/>
                <w:color w:val="FF0000"/>
                <w:sz w:val="20"/>
                <w:szCs w:val="20"/>
              </w:rPr>
            </w:pPr>
          </w:p>
        </w:tc>
        <w:tc>
          <w:tcPr>
            <w:tcW w:w="7745" w:type="dxa"/>
            <w:gridSpan w:val="6"/>
            <w:vAlign w:val="center"/>
          </w:tcPr>
          <w:p w14:paraId="4516A21E" w14:textId="77777777" w:rsidR="00482BFD" w:rsidRPr="00C05175" w:rsidRDefault="00482BFD">
            <w:pPr>
              <w:rPr>
                <w:rFonts w:ascii="Arial Narrow" w:eastAsia="Calibri" w:hAnsi="Arial Narrow"/>
                <w:sz w:val="20"/>
                <w:szCs w:val="20"/>
              </w:rPr>
            </w:pPr>
            <w:r w:rsidRPr="00C05175">
              <w:rPr>
                <w:rFonts w:ascii="Arial Narrow" w:eastAsia="Calibri" w:hAnsi="Arial Narrow"/>
                <w:sz w:val="20"/>
                <w:szCs w:val="20"/>
              </w:rPr>
              <w:t>Patient must be 12 years of age or older</w:t>
            </w:r>
          </w:p>
        </w:tc>
      </w:tr>
      <w:tr w:rsidR="00482BFD" w:rsidRPr="00446E53" w14:paraId="4FFD14CC" w14:textId="77777777">
        <w:tblPrEx>
          <w:tblCellMar>
            <w:top w:w="15" w:type="dxa"/>
            <w:bottom w:w="15" w:type="dxa"/>
          </w:tblCellMar>
          <w:tblLook w:val="04A0" w:firstRow="1" w:lastRow="0" w:firstColumn="1" w:lastColumn="0" w:noHBand="0" w:noVBand="1"/>
        </w:tblPrEx>
        <w:trPr>
          <w:cantSplit/>
          <w:trHeight w:val="20"/>
        </w:trPr>
        <w:tc>
          <w:tcPr>
            <w:tcW w:w="1272" w:type="dxa"/>
          </w:tcPr>
          <w:p w14:paraId="55AEB0CA" w14:textId="680F9107" w:rsidR="00482BFD" w:rsidRPr="00446E53" w:rsidRDefault="00482BFD">
            <w:pPr>
              <w:jc w:val="center"/>
              <w:rPr>
                <w:rFonts w:ascii="Arial Narrow" w:hAnsi="Arial Narrow"/>
                <w:color w:val="FF0000"/>
                <w:sz w:val="20"/>
                <w:szCs w:val="20"/>
              </w:rPr>
            </w:pPr>
            <w:r>
              <w:rPr>
                <w:rFonts w:ascii="Arial Narrow" w:eastAsia="Calibri" w:hAnsi="Arial Narrow"/>
                <w:sz w:val="20"/>
                <w:szCs w:val="20"/>
              </w:rPr>
              <w:lastRenderedPageBreak/>
              <w:t>3</w:t>
            </w:r>
          </w:p>
        </w:tc>
        <w:tc>
          <w:tcPr>
            <w:tcW w:w="7745" w:type="dxa"/>
            <w:gridSpan w:val="6"/>
            <w:vAlign w:val="center"/>
          </w:tcPr>
          <w:p w14:paraId="29C11059" w14:textId="77777777" w:rsidR="00482BFD" w:rsidRPr="0069367A" w:rsidRDefault="00482BFD">
            <w:pPr>
              <w:rPr>
                <w:rFonts w:ascii="Arial Narrow" w:eastAsia="Calibri" w:hAnsi="Arial Narrow"/>
                <w:sz w:val="20"/>
                <w:szCs w:val="20"/>
              </w:rPr>
            </w:pPr>
            <w:r w:rsidRPr="00446E53">
              <w:rPr>
                <w:rFonts w:ascii="Arial Narrow" w:hAnsi="Arial Narrow"/>
                <w:b/>
                <w:bCs/>
                <w:color w:val="333333"/>
                <w:sz w:val="20"/>
                <w:szCs w:val="20"/>
              </w:rPr>
              <w:t>Prescribing Instructions:</w:t>
            </w:r>
          </w:p>
          <w:p w14:paraId="6E9CED70" w14:textId="77777777" w:rsidR="00482BFD" w:rsidRPr="006455BE" w:rsidRDefault="00482BFD">
            <w:pPr>
              <w:rPr>
                <w:rFonts w:ascii="Arial Narrow" w:eastAsia="Calibri" w:hAnsi="Arial Narrow"/>
                <w:sz w:val="20"/>
                <w:szCs w:val="20"/>
              </w:rPr>
            </w:pPr>
            <w:r w:rsidRPr="006455BE">
              <w:rPr>
                <w:rFonts w:ascii="Arial Narrow" w:eastAsia="Calibri" w:hAnsi="Arial Narrow"/>
                <w:sz w:val="20"/>
                <w:szCs w:val="20"/>
              </w:rPr>
              <w:t>State each of the 4 Eczema Area and Severity Index (EASI) symptom sub-score ratings (0 = none, 1 = mild, 2 = moderate, 3 = severe) for:</w:t>
            </w:r>
          </w:p>
          <w:p w14:paraId="154DC9FE" w14:textId="77777777" w:rsidR="00482BFD" w:rsidRPr="006455BE" w:rsidRDefault="00482BFD">
            <w:pPr>
              <w:rPr>
                <w:rFonts w:ascii="Arial Narrow" w:eastAsia="Calibri" w:hAnsi="Arial Narrow"/>
                <w:sz w:val="20"/>
                <w:szCs w:val="20"/>
              </w:rPr>
            </w:pPr>
            <w:r w:rsidRPr="006455BE">
              <w:rPr>
                <w:rFonts w:ascii="Arial Narrow" w:eastAsia="Calibri" w:hAnsi="Arial Narrow"/>
                <w:sz w:val="20"/>
                <w:szCs w:val="20"/>
              </w:rPr>
              <w:t>(i) erythema,</w:t>
            </w:r>
          </w:p>
          <w:p w14:paraId="644AC2C1" w14:textId="77777777" w:rsidR="00482BFD" w:rsidRPr="006455BE" w:rsidRDefault="00482BFD">
            <w:pPr>
              <w:rPr>
                <w:rFonts w:ascii="Arial Narrow" w:eastAsia="Calibri" w:hAnsi="Arial Narrow"/>
                <w:sz w:val="20"/>
                <w:szCs w:val="20"/>
              </w:rPr>
            </w:pPr>
            <w:r w:rsidRPr="006455BE">
              <w:rPr>
                <w:rFonts w:ascii="Arial Narrow" w:eastAsia="Calibri" w:hAnsi="Arial Narrow"/>
                <w:sz w:val="20"/>
                <w:szCs w:val="20"/>
              </w:rPr>
              <w:t>(ii) oedema/papulation,</w:t>
            </w:r>
          </w:p>
          <w:p w14:paraId="231E49C5" w14:textId="77777777" w:rsidR="00482BFD" w:rsidRPr="006455BE" w:rsidRDefault="00482BFD">
            <w:pPr>
              <w:rPr>
                <w:rFonts w:ascii="Arial Narrow" w:eastAsia="Calibri" w:hAnsi="Arial Narrow"/>
                <w:sz w:val="20"/>
                <w:szCs w:val="20"/>
              </w:rPr>
            </w:pPr>
            <w:r w:rsidRPr="006455BE">
              <w:rPr>
                <w:rFonts w:ascii="Arial Narrow" w:eastAsia="Calibri" w:hAnsi="Arial Narrow"/>
                <w:sz w:val="20"/>
                <w:szCs w:val="20"/>
              </w:rPr>
              <w:t>(iii) excoriation,</w:t>
            </w:r>
          </w:p>
          <w:p w14:paraId="5C00D45F" w14:textId="77777777" w:rsidR="00482BFD" w:rsidRPr="006455BE" w:rsidRDefault="00482BFD">
            <w:pPr>
              <w:rPr>
                <w:rFonts w:ascii="Arial Narrow" w:eastAsia="Calibri" w:hAnsi="Arial Narrow"/>
                <w:sz w:val="20"/>
                <w:szCs w:val="20"/>
              </w:rPr>
            </w:pPr>
            <w:r w:rsidRPr="006455BE">
              <w:rPr>
                <w:rFonts w:ascii="Arial Narrow" w:eastAsia="Calibri" w:hAnsi="Arial Narrow"/>
                <w:sz w:val="20"/>
                <w:szCs w:val="20"/>
              </w:rPr>
              <w:t xml:space="preserve">(iv) </w:t>
            </w:r>
            <w:proofErr w:type="spellStart"/>
            <w:r w:rsidRPr="006455BE">
              <w:rPr>
                <w:rFonts w:ascii="Arial Narrow" w:eastAsia="Calibri" w:hAnsi="Arial Narrow"/>
                <w:sz w:val="20"/>
                <w:szCs w:val="20"/>
              </w:rPr>
              <w:t>lichenification</w:t>
            </w:r>
            <w:proofErr w:type="spellEnd"/>
          </w:p>
          <w:p w14:paraId="26E01721" w14:textId="77777777" w:rsidR="00482BFD" w:rsidRPr="006455BE" w:rsidRDefault="00482BFD">
            <w:pPr>
              <w:rPr>
                <w:rFonts w:ascii="Arial Narrow" w:eastAsia="Calibri" w:hAnsi="Arial Narrow"/>
                <w:sz w:val="20"/>
                <w:szCs w:val="20"/>
              </w:rPr>
            </w:pPr>
            <w:r w:rsidRPr="006455BE">
              <w:rPr>
                <w:rFonts w:ascii="Arial Narrow" w:eastAsia="Calibri" w:hAnsi="Arial Narrow"/>
                <w:sz w:val="20"/>
                <w:szCs w:val="20"/>
              </w:rPr>
              <w:t>Acceptable scores can be:</w:t>
            </w:r>
          </w:p>
          <w:p w14:paraId="7DE425ED" w14:textId="77777777" w:rsidR="00482BFD" w:rsidRPr="006455BE" w:rsidRDefault="00482BFD">
            <w:pPr>
              <w:rPr>
                <w:rFonts w:ascii="Arial Narrow" w:eastAsia="Calibri" w:hAnsi="Arial Narrow"/>
                <w:sz w:val="20"/>
                <w:szCs w:val="20"/>
              </w:rPr>
            </w:pPr>
            <w:r w:rsidRPr="006455BE">
              <w:rPr>
                <w:rFonts w:ascii="Arial Narrow" w:eastAsia="Calibri" w:hAnsi="Arial Narrow"/>
                <w:sz w:val="20"/>
                <w:szCs w:val="20"/>
              </w:rPr>
              <w:t>(a) current scores; or</w:t>
            </w:r>
          </w:p>
          <w:p w14:paraId="348FE63E" w14:textId="77777777" w:rsidR="00482BFD" w:rsidRPr="006455BE" w:rsidRDefault="00482BFD">
            <w:pPr>
              <w:rPr>
                <w:rFonts w:ascii="Arial Narrow" w:eastAsia="Calibri" w:hAnsi="Arial Narrow"/>
                <w:sz w:val="20"/>
                <w:szCs w:val="20"/>
              </w:rPr>
            </w:pPr>
            <w:r w:rsidRPr="006455BE">
              <w:rPr>
                <w:rFonts w:ascii="Arial Narrow" w:eastAsia="Calibri" w:hAnsi="Arial Narrow"/>
                <w:sz w:val="20"/>
                <w:szCs w:val="20"/>
              </w:rPr>
              <w:t>(b) past scores, including those previously quoted in a PBS authority application for another drug listed for this indication.</w:t>
            </w:r>
          </w:p>
          <w:p w14:paraId="0F8096CB" w14:textId="77777777" w:rsidR="00482BFD" w:rsidRPr="006455BE" w:rsidRDefault="00482BFD">
            <w:pPr>
              <w:rPr>
                <w:rFonts w:ascii="Arial Narrow" w:eastAsia="Calibri" w:hAnsi="Arial Narrow"/>
                <w:sz w:val="20"/>
                <w:szCs w:val="20"/>
              </w:rPr>
            </w:pPr>
            <w:r w:rsidRPr="006455BE">
              <w:rPr>
                <w:rFonts w:ascii="Arial Narrow" w:eastAsia="Calibri" w:hAnsi="Arial Narrow"/>
                <w:sz w:val="20"/>
                <w:szCs w:val="20"/>
              </w:rPr>
              <w:t>State the percentage face/hand surface area affected by the condition (must be at least 30%) where EASI symptom sub-scores are not provided. This percentage surface area can also be stated in addition to the EASI symptom sub-scores.</w:t>
            </w:r>
          </w:p>
          <w:p w14:paraId="53259B0C" w14:textId="77777777" w:rsidR="00482BFD" w:rsidRPr="006455BE" w:rsidRDefault="00482BFD">
            <w:pPr>
              <w:rPr>
                <w:rFonts w:ascii="Arial Narrow" w:eastAsia="Calibri" w:hAnsi="Arial Narrow"/>
                <w:sz w:val="20"/>
                <w:szCs w:val="20"/>
              </w:rPr>
            </w:pPr>
            <w:r w:rsidRPr="006455BE">
              <w:rPr>
                <w:rFonts w:ascii="Arial Narrow" w:eastAsia="Calibri" w:hAnsi="Arial Narrow"/>
                <w:sz w:val="20"/>
                <w:szCs w:val="20"/>
              </w:rPr>
              <w:t>The EASI/percentage surface area and DLQI baseline measurements are to form the basis of determining if an adequate response to treatment has been achieved under the Continuing treatment restriction. In addition to stating them in this authority application, document them in the patient's medical records.</w:t>
            </w:r>
          </w:p>
          <w:p w14:paraId="64BA0921" w14:textId="77777777" w:rsidR="00482BFD" w:rsidRPr="00446E53" w:rsidRDefault="00482BFD">
            <w:pPr>
              <w:rPr>
                <w:rFonts w:ascii="Arial Narrow" w:hAnsi="Arial Narrow" w:cs="Arial Narrow"/>
                <w:iCs/>
                <w:color w:val="FF0000"/>
                <w:sz w:val="20"/>
                <w:szCs w:val="20"/>
              </w:rPr>
            </w:pPr>
            <w:r w:rsidRPr="006455BE">
              <w:rPr>
                <w:rFonts w:ascii="Arial Narrow" w:eastAsia="Calibri" w:hAnsi="Arial Narrow"/>
                <w:sz w:val="20"/>
                <w:szCs w:val="20"/>
              </w:rPr>
              <w:t xml:space="preserve">Document the details of the medium to high potency topical corticosteroids (or calcineurin inhibitors) initially trialled </w:t>
            </w:r>
            <w:r w:rsidRPr="00536FAB">
              <w:rPr>
                <w:rFonts w:ascii="Arial Narrow" w:eastAsia="Calibri" w:hAnsi="Arial Narrow"/>
                <w:strike/>
                <w:sz w:val="20"/>
                <w:szCs w:val="20"/>
              </w:rPr>
              <w:t>are</w:t>
            </w:r>
            <w:r w:rsidRPr="006455BE">
              <w:rPr>
                <w:rFonts w:ascii="Arial Narrow" w:eastAsia="Calibri" w:hAnsi="Arial Narrow"/>
                <w:sz w:val="20"/>
                <w:szCs w:val="20"/>
              </w:rPr>
              <w:t xml:space="preserve"> in the patient's medical records.</w:t>
            </w:r>
          </w:p>
        </w:tc>
      </w:tr>
    </w:tbl>
    <w:p w14:paraId="3B13BFD5" w14:textId="77777777" w:rsidR="00482BFD" w:rsidRPr="00891FE5" w:rsidRDefault="00482BFD" w:rsidP="00482BFD">
      <w:pPr>
        <w:pStyle w:val="3-BodyText"/>
        <w:numPr>
          <w:ilvl w:val="0"/>
          <w:numId w:val="0"/>
        </w:numPr>
        <w:rPr>
          <w:b/>
          <w:bCs/>
        </w:rPr>
      </w:pPr>
      <w:r w:rsidRPr="00891FE5">
        <w:rPr>
          <w:b/>
          <w:bCs/>
        </w:rPr>
        <w:t>Grandfather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2"/>
        <w:gridCol w:w="2668"/>
        <w:gridCol w:w="811"/>
        <w:gridCol w:w="812"/>
        <w:gridCol w:w="811"/>
        <w:gridCol w:w="812"/>
        <w:gridCol w:w="1831"/>
      </w:tblGrid>
      <w:tr w:rsidR="00482BFD" w:rsidRPr="00446E53" w14:paraId="05017B25" w14:textId="77777777">
        <w:trPr>
          <w:cantSplit/>
          <w:trHeight w:val="20"/>
        </w:trPr>
        <w:tc>
          <w:tcPr>
            <w:tcW w:w="3939" w:type="dxa"/>
            <w:gridSpan w:val="2"/>
            <w:vAlign w:val="center"/>
          </w:tcPr>
          <w:p w14:paraId="7FB33387" w14:textId="77777777" w:rsidR="00482BFD" w:rsidRPr="00446E53" w:rsidRDefault="00482BFD">
            <w:pPr>
              <w:keepLines/>
              <w:rPr>
                <w:rFonts w:ascii="Arial Narrow" w:hAnsi="Arial Narrow"/>
                <w:b/>
                <w:bCs/>
                <w:sz w:val="20"/>
                <w:szCs w:val="20"/>
              </w:rPr>
            </w:pPr>
            <w:r w:rsidRPr="00446E53">
              <w:rPr>
                <w:rFonts w:ascii="Arial Narrow" w:hAnsi="Arial Narrow"/>
                <w:b/>
                <w:bCs/>
                <w:sz w:val="20"/>
                <w:szCs w:val="20"/>
              </w:rPr>
              <w:t>MEDICINAL PRODUCT</w:t>
            </w:r>
          </w:p>
          <w:p w14:paraId="18CCCA7D" w14:textId="77777777" w:rsidR="00482BFD" w:rsidRPr="00446E53" w:rsidRDefault="00482BFD">
            <w:pPr>
              <w:keepLines/>
              <w:rPr>
                <w:rFonts w:ascii="Arial Narrow" w:hAnsi="Arial Narrow"/>
                <w:b/>
                <w:sz w:val="20"/>
                <w:szCs w:val="20"/>
              </w:rPr>
            </w:pPr>
            <w:r w:rsidRPr="00446E53">
              <w:rPr>
                <w:rFonts w:ascii="Arial Narrow" w:hAnsi="Arial Narrow"/>
                <w:b/>
                <w:bCs/>
                <w:sz w:val="20"/>
                <w:szCs w:val="20"/>
              </w:rPr>
              <w:t>medicinal product pack</w:t>
            </w:r>
          </w:p>
        </w:tc>
        <w:tc>
          <w:tcPr>
            <w:tcW w:w="811" w:type="dxa"/>
            <w:vAlign w:val="center"/>
          </w:tcPr>
          <w:p w14:paraId="0380EE69" w14:textId="77777777" w:rsidR="00482BFD" w:rsidRPr="00446E53" w:rsidRDefault="00482BFD">
            <w:pPr>
              <w:keepLines/>
              <w:jc w:val="center"/>
              <w:rPr>
                <w:rFonts w:ascii="Arial Narrow" w:hAnsi="Arial Narrow"/>
                <w:b/>
                <w:sz w:val="20"/>
                <w:szCs w:val="20"/>
              </w:rPr>
            </w:pPr>
            <w:r w:rsidRPr="00446E53">
              <w:rPr>
                <w:rFonts w:ascii="Arial Narrow" w:hAnsi="Arial Narrow"/>
                <w:b/>
                <w:sz w:val="20"/>
                <w:szCs w:val="20"/>
              </w:rPr>
              <w:t>PBS item code</w:t>
            </w:r>
          </w:p>
        </w:tc>
        <w:tc>
          <w:tcPr>
            <w:tcW w:w="812" w:type="dxa"/>
            <w:vAlign w:val="center"/>
          </w:tcPr>
          <w:p w14:paraId="0446F330" w14:textId="77777777" w:rsidR="00482BFD" w:rsidRPr="00446E53" w:rsidRDefault="00482BFD">
            <w:pPr>
              <w:keepLines/>
              <w:jc w:val="center"/>
              <w:rPr>
                <w:rFonts w:ascii="Arial Narrow" w:hAnsi="Arial Narrow"/>
                <w:b/>
                <w:sz w:val="20"/>
                <w:szCs w:val="20"/>
              </w:rPr>
            </w:pPr>
            <w:r w:rsidRPr="00446E53">
              <w:rPr>
                <w:rFonts w:ascii="Arial Narrow" w:hAnsi="Arial Narrow"/>
                <w:b/>
                <w:sz w:val="20"/>
                <w:szCs w:val="20"/>
              </w:rPr>
              <w:t>Max. qty packs</w:t>
            </w:r>
          </w:p>
        </w:tc>
        <w:tc>
          <w:tcPr>
            <w:tcW w:w="811" w:type="dxa"/>
            <w:vAlign w:val="center"/>
          </w:tcPr>
          <w:p w14:paraId="30EC1F07" w14:textId="77777777" w:rsidR="00482BFD" w:rsidRPr="00446E53" w:rsidRDefault="00482BFD">
            <w:pPr>
              <w:keepLines/>
              <w:jc w:val="center"/>
              <w:rPr>
                <w:rFonts w:ascii="Arial Narrow" w:hAnsi="Arial Narrow"/>
                <w:b/>
                <w:sz w:val="20"/>
                <w:szCs w:val="20"/>
              </w:rPr>
            </w:pPr>
            <w:r w:rsidRPr="00446E53">
              <w:rPr>
                <w:rFonts w:ascii="Arial Narrow" w:hAnsi="Arial Narrow"/>
                <w:b/>
                <w:sz w:val="20"/>
                <w:szCs w:val="20"/>
              </w:rPr>
              <w:t>Max. qty units</w:t>
            </w:r>
          </w:p>
        </w:tc>
        <w:tc>
          <w:tcPr>
            <w:tcW w:w="812" w:type="dxa"/>
            <w:vAlign w:val="center"/>
          </w:tcPr>
          <w:p w14:paraId="6D6F17EC" w14:textId="77777777" w:rsidR="00482BFD" w:rsidRPr="00446E53" w:rsidRDefault="00482BFD">
            <w:pPr>
              <w:keepLines/>
              <w:jc w:val="center"/>
              <w:rPr>
                <w:rFonts w:ascii="Arial Narrow" w:hAnsi="Arial Narrow"/>
                <w:b/>
                <w:sz w:val="20"/>
                <w:szCs w:val="20"/>
              </w:rPr>
            </w:pPr>
            <w:r w:rsidRPr="00446E53">
              <w:rPr>
                <w:rFonts w:ascii="Arial Narrow" w:hAnsi="Arial Narrow"/>
                <w:b/>
                <w:sz w:val="20"/>
                <w:szCs w:val="20"/>
              </w:rPr>
              <w:t>№.of</w:t>
            </w:r>
          </w:p>
          <w:p w14:paraId="59F5A468" w14:textId="77777777" w:rsidR="00482BFD" w:rsidRPr="00446E53" w:rsidRDefault="00482BFD">
            <w:pPr>
              <w:keepLines/>
              <w:jc w:val="center"/>
              <w:rPr>
                <w:rFonts w:ascii="Arial Narrow" w:hAnsi="Arial Narrow"/>
                <w:b/>
                <w:sz w:val="20"/>
                <w:szCs w:val="20"/>
              </w:rPr>
            </w:pPr>
            <w:r w:rsidRPr="00446E53">
              <w:rPr>
                <w:rFonts w:ascii="Arial Narrow" w:hAnsi="Arial Narrow"/>
                <w:b/>
                <w:sz w:val="20"/>
                <w:szCs w:val="20"/>
              </w:rPr>
              <w:t>Rpts</w:t>
            </w:r>
          </w:p>
        </w:tc>
        <w:tc>
          <w:tcPr>
            <w:tcW w:w="1831" w:type="dxa"/>
            <w:vAlign w:val="center"/>
          </w:tcPr>
          <w:p w14:paraId="3FB1045F" w14:textId="77777777" w:rsidR="00482BFD" w:rsidRPr="00446E53" w:rsidRDefault="00482BFD">
            <w:pPr>
              <w:keepLines/>
              <w:rPr>
                <w:rFonts w:ascii="Arial Narrow" w:hAnsi="Arial Narrow"/>
                <w:b/>
                <w:sz w:val="20"/>
                <w:szCs w:val="20"/>
                <w:lang w:val="fr-FR"/>
              </w:rPr>
            </w:pPr>
            <w:r w:rsidRPr="00446E53">
              <w:rPr>
                <w:rFonts w:ascii="Arial Narrow" w:hAnsi="Arial Narrow"/>
                <w:b/>
                <w:sz w:val="20"/>
                <w:szCs w:val="20"/>
              </w:rPr>
              <w:t>Available brands</w:t>
            </w:r>
          </w:p>
        </w:tc>
      </w:tr>
      <w:tr w:rsidR="00482BFD" w:rsidRPr="00446E53" w14:paraId="707EA7BB" w14:textId="77777777">
        <w:trPr>
          <w:cantSplit/>
          <w:trHeight w:val="20"/>
        </w:trPr>
        <w:tc>
          <w:tcPr>
            <w:tcW w:w="9016" w:type="dxa"/>
            <w:gridSpan w:val="7"/>
            <w:vAlign w:val="center"/>
          </w:tcPr>
          <w:p w14:paraId="24DDEA9F" w14:textId="77777777" w:rsidR="00482BFD" w:rsidRPr="00446E53" w:rsidRDefault="00482BFD">
            <w:pPr>
              <w:keepLines/>
              <w:rPr>
                <w:rFonts w:ascii="Arial Narrow" w:hAnsi="Arial Narrow"/>
                <w:sz w:val="20"/>
                <w:szCs w:val="20"/>
              </w:rPr>
            </w:pPr>
            <w:r>
              <w:rPr>
                <w:rFonts w:ascii="Arial Narrow" w:hAnsi="Arial Narrow"/>
                <w:sz w:val="20"/>
                <w:szCs w:val="20"/>
              </w:rPr>
              <w:t>NEMOLIZUMAB</w:t>
            </w:r>
          </w:p>
        </w:tc>
      </w:tr>
      <w:tr w:rsidR="00482BFD" w:rsidRPr="00446E53" w14:paraId="1F05E328" w14:textId="77777777">
        <w:trPr>
          <w:cantSplit/>
          <w:trHeight w:val="20"/>
        </w:trPr>
        <w:tc>
          <w:tcPr>
            <w:tcW w:w="3939" w:type="dxa"/>
            <w:gridSpan w:val="2"/>
            <w:vAlign w:val="center"/>
          </w:tcPr>
          <w:p w14:paraId="45F5A632" w14:textId="77777777" w:rsidR="00482BFD" w:rsidRDefault="00482BFD">
            <w:pPr>
              <w:keepLines/>
              <w:rPr>
                <w:rFonts w:ascii="Arial Narrow" w:hAnsi="Arial Narrow"/>
                <w:i/>
                <w:iCs/>
                <w:strike/>
                <w:sz w:val="20"/>
                <w:szCs w:val="20"/>
              </w:rPr>
            </w:pPr>
            <w:r w:rsidRPr="009C0970">
              <w:rPr>
                <w:rFonts w:ascii="Arial Narrow" w:hAnsi="Arial Narrow"/>
                <w:strike/>
                <w:sz w:val="20"/>
                <w:szCs w:val="20"/>
              </w:rPr>
              <w:t xml:space="preserve">nemolizumab 30 mg/0.49 mL injection, 1 x 0.49 mL pen device </w:t>
            </w:r>
          </w:p>
          <w:p w14:paraId="7BF5B057" w14:textId="77777777" w:rsidR="00482BFD" w:rsidRPr="0063126F" w:rsidRDefault="00482BFD">
            <w:pPr>
              <w:keepLines/>
              <w:rPr>
                <w:rFonts w:ascii="Arial Narrow" w:hAnsi="Arial Narrow"/>
                <w:i/>
                <w:iCs/>
                <w:sz w:val="20"/>
                <w:szCs w:val="20"/>
              </w:rPr>
            </w:pPr>
            <w:r>
              <w:rPr>
                <w:rFonts w:ascii="Arial Narrow" w:hAnsi="Arial Narrow"/>
                <w:i/>
                <w:iCs/>
                <w:sz w:val="20"/>
                <w:szCs w:val="20"/>
              </w:rPr>
              <w:t xml:space="preserve">Nemolizumab 30 mg injection [1 chamber] (&amp;) inert substance diluent [1 chamber], 1 dual chamber pen device </w:t>
            </w:r>
          </w:p>
        </w:tc>
        <w:tc>
          <w:tcPr>
            <w:tcW w:w="811" w:type="dxa"/>
            <w:vAlign w:val="center"/>
          </w:tcPr>
          <w:p w14:paraId="1B7AF431" w14:textId="77777777" w:rsidR="00482BFD" w:rsidRPr="00E168B8" w:rsidRDefault="00482BFD">
            <w:pPr>
              <w:keepLines/>
              <w:jc w:val="center"/>
              <w:rPr>
                <w:rFonts w:ascii="Arial Narrow" w:hAnsi="Arial Narrow"/>
                <w:sz w:val="20"/>
                <w:szCs w:val="20"/>
              </w:rPr>
            </w:pPr>
            <w:r w:rsidRPr="00E168B8">
              <w:rPr>
                <w:rFonts w:ascii="Arial Narrow" w:hAnsi="Arial Narrow"/>
                <w:sz w:val="20"/>
                <w:szCs w:val="20"/>
              </w:rPr>
              <w:t>NEW</w:t>
            </w:r>
          </w:p>
        </w:tc>
        <w:tc>
          <w:tcPr>
            <w:tcW w:w="812" w:type="dxa"/>
            <w:vAlign w:val="center"/>
          </w:tcPr>
          <w:p w14:paraId="56F6B592" w14:textId="77777777" w:rsidR="00482BFD" w:rsidRPr="00E168B8" w:rsidRDefault="00482BFD">
            <w:pPr>
              <w:keepLines/>
              <w:jc w:val="center"/>
              <w:rPr>
                <w:rFonts w:ascii="Arial Narrow" w:hAnsi="Arial Narrow"/>
                <w:sz w:val="20"/>
                <w:szCs w:val="20"/>
              </w:rPr>
            </w:pPr>
            <w:r>
              <w:rPr>
                <w:rFonts w:ascii="Arial Narrow" w:hAnsi="Arial Narrow"/>
                <w:sz w:val="20"/>
                <w:szCs w:val="20"/>
              </w:rPr>
              <w:t>1</w:t>
            </w:r>
          </w:p>
        </w:tc>
        <w:tc>
          <w:tcPr>
            <w:tcW w:w="811" w:type="dxa"/>
            <w:vAlign w:val="center"/>
          </w:tcPr>
          <w:p w14:paraId="51A07D9A" w14:textId="77777777" w:rsidR="00482BFD" w:rsidRPr="00E168B8" w:rsidRDefault="00482BFD">
            <w:pPr>
              <w:keepLines/>
              <w:jc w:val="center"/>
              <w:rPr>
                <w:rFonts w:ascii="Arial Narrow" w:hAnsi="Arial Narrow"/>
                <w:sz w:val="20"/>
                <w:szCs w:val="20"/>
              </w:rPr>
            </w:pPr>
            <w:r>
              <w:rPr>
                <w:rFonts w:ascii="Arial Narrow" w:hAnsi="Arial Narrow"/>
                <w:sz w:val="20"/>
                <w:szCs w:val="20"/>
              </w:rPr>
              <w:t>1</w:t>
            </w:r>
          </w:p>
        </w:tc>
        <w:tc>
          <w:tcPr>
            <w:tcW w:w="812" w:type="dxa"/>
            <w:vAlign w:val="center"/>
          </w:tcPr>
          <w:p w14:paraId="14FF5570" w14:textId="77777777" w:rsidR="00482BFD" w:rsidRPr="00E168B8" w:rsidRDefault="00482BFD">
            <w:pPr>
              <w:keepLines/>
              <w:jc w:val="center"/>
              <w:rPr>
                <w:rFonts w:ascii="Arial Narrow" w:hAnsi="Arial Narrow"/>
                <w:sz w:val="20"/>
                <w:szCs w:val="20"/>
              </w:rPr>
            </w:pPr>
            <w:r>
              <w:rPr>
                <w:rFonts w:ascii="Arial Narrow" w:hAnsi="Arial Narrow"/>
                <w:strike/>
                <w:sz w:val="20"/>
                <w:szCs w:val="20"/>
              </w:rPr>
              <w:t>2</w:t>
            </w:r>
            <w:r w:rsidRPr="001D4434">
              <w:rPr>
                <w:rFonts w:ascii="Arial Narrow" w:hAnsi="Arial Narrow"/>
                <w:i/>
                <w:sz w:val="20"/>
                <w:szCs w:val="20"/>
              </w:rPr>
              <w:t>3</w:t>
            </w:r>
          </w:p>
        </w:tc>
        <w:tc>
          <w:tcPr>
            <w:tcW w:w="1831" w:type="dxa"/>
            <w:vAlign w:val="center"/>
          </w:tcPr>
          <w:p w14:paraId="227D7105" w14:textId="77777777" w:rsidR="00482BFD" w:rsidRPr="00E168B8" w:rsidRDefault="00482BFD">
            <w:pPr>
              <w:keepLines/>
              <w:jc w:val="center"/>
              <w:rPr>
                <w:rFonts w:ascii="Arial Narrow" w:hAnsi="Arial Narrow"/>
                <w:sz w:val="20"/>
                <w:szCs w:val="20"/>
              </w:rPr>
            </w:pPr>
          </w:p>
          <w:p w14:paraId="4165A3A9" w14:textId="77777777" w:rsidR="00482BFD" w:rsidRPr="00E168B8" w:rsidRDefault="00482BFD">
            <w:pPr>
              <w:keepLines/>
              <w:jc w:val="center"/>
              <w:rPr>
                <w:rFonts w:ascii="Arial Narrow" w:hAnsi="Arial Narrow"/>
                <w:sz w:val="20"/>
                <w:szCs w:val="20"/>
              </w:rPr>
            </w:pPr>
            <w:proofErr w:type="spellStart"/>
            <w:r w:rsidRPr="00E168B8">
              <w:rPr>
                <w:rFonts w:ascii="Arial Narrow" w:hAnsi="Arial Narrow"/>
                <w:sz w:val="20"/>
                <w:szCs w:val="20"/>
              </w:rPr>
              <w:t>Nemluvio</w:t>
            </w:r>
            <w:proofErr w:type="spellEnd"/>
          </w:p>
          <w:p w14:paraId="734451E0" w14:textId="77777777" w:rsidR="00482BFD" w:rsidRPr="00E168B8" w:rsidRDefault="00482BFD">
            <w:pPr>
              <w:keepLines/>
              <w:rPr>
                <w:rFonts w:ascii="Arial Narrow" w:hAnsi="Arial Narrow"/>
                <w:sz w:val="20"/>
                <w:szCs w:val="20"/>
              </w:rPr>
            </w:pPr>
          </w:p>
        </w:tc>
      </w:tr>
      <w:tr w:rsidR="00482BFD" w:rsidRPr="00446E53" w14:paraId="4A402EF7" w14:textId="77777777">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3FE834D9" w14:textId="77777777" w:rsidR="00482BFD" w:rsidRPr="00E168B8" w:rsidRDefault="00482BFD">
            <w:pPr>
              <w:rPr>
                <w:rFonts w:ascii="Arial Narrow" w:hAnsi="Arial Narrow"/>
                <w:sz w:val="20"/>
                <w:szCs w:val="20"/>
              </w:rPr>
            </w:pPr>
          </w:p>
        </w:tc>
      </w:tr>
      <w:tr w:rsidR="00482BFD" w:rsidRPr="00446E53" w14:paraId="15E0AF14" w14:textId="77777777">
        <w:tblPrEx>
          <w:tblCellMar>
            <w:top w:w="15" w:type="dxa"/>
            <w:bottom w:w="15" w:type="dxa"/>
          </w:tblCellMar>
          <w:tblLook w:val="04A0" w:firstRow="1" w:lastRow="0" w:firstColumn="1" w:lastColumn="0" w:noHBand="0" w:noVBand="1"/>
        </w:tblPrEx>
        <w:trPr>
          <w:trHeight w:val="20"/>
        </w:trPr>
        <w:tc>
          <w:tcPr>
            <w:tcW w:w="1271" w:type="dxa"/>
            <w:vMerge w:val="restart"/>
            <w:tcBorders>
              <w:top w:val="single" w:sz="4" w:space="0" w:color="auto"/>
              <w:left w:val="single" w:sz="4" w:space="0" w:color="auto"/>
              <w:right w:val="single" w:sz="4" w:space="0" w:color="auto"/>
            </w:tcBorders>
          </w:tcPr>
          <w:p w14:paraId="1B56942C" w14:textId="77777777" w:rsidR="00482BFD" w:rsidRPr="00446E53" w:rsidRDefault="00482BFD">
            <w:pPr>
              <w:jc w:val="center"/>
              <w:rPr>
                <w:rFonts w:ascii="Arial Narrow" w:hAnsi="Arial Narrow"/>
                <w:sz w:val="20"/>
                <w:szCs w:val="20"/>
              </w:rPr>
            </w:pPr>
            <w:r w:rsidRPr="00446E53">
              <w:rPr>
                <w:rFonts w:ascii="Arial Narrow" w:hAnsi="Arial Narrow"/>
                <w:b/>
                <w:sz w:val="20"/>
                <w:szCs w:val="20"/>
              </w:rPr>
              <w:t>Concept ID</w:t>
            </w:r>
          </w:p>
          <w:p w14:paraId="637F18AD" w14:textId="77777777" w:rsidR="00482BFD" w:rsidRPr="00446E53" w:rsidRDefault="00482BFD">
            <w:pPr>
              <w:jc w:val="center"/>
              <w:rPr>
                <w:rFonts w:ascii="Arial Narrow" w:hAnsi="Arial Narrow"/>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1DE283A2" w14:textId="77777777" w:rsidR="00482BFD" w:rsidRPr="00E168B8" w:rsidRDefault="00482BFD">
            <w:pPr>
              <w:keepLines/>
              <w:jc w:val="left"/>
              <w:rPr>
                <w:rFonts w:ascii="Arial Narrow" w:hAnsi="Arial Narrow"/>
                <w:sz w:val="20"/>
                <w:szCs w:val="20"/>
              </w:rPr>
            </w:pPr>
            <w:r w:rsidRPr="00E168B8">
              <w:rPr>
                <w:rFonts w:ascii="Arial Narrow" w:hAnsi="Arial Narrow"/>
                <w:b/>
                <w:sz w:val="20"/>
                <w:szCs w:val="20"/>
              </w:rPr>
              <w:t>Category / Program:</w:t>
            </w:r>
            <w:r w:rsidRPr="00E168B8">
              <w:rPr>
                <w:rFonts w:ascii="Arial Narrow" w:hAnsi="Arial Narrow"/>
                <w:sz w:val="20"/>
                <w:szCs w:val="20"/>
              </w:rPr>
              <w:t xml:space="preserve"> </w:t>
            </w:r>
            <w:r w:rsidRPr="00E168B8">
              <w:rPr>
                <w:rFonts w:ascii="Arial Narrow" w:hAnsi="Arial Narrow"/>
                <w:sz w:val="20"/>
                <w:szCs w:val="20"/>
              </w:rPr>
              <w:fldChar w:fldCharType="begin">
                <w:ffData>
                  <w:name w:val=""/>
                  <w:enabled/>
                  <w:calcOnExit w:val="0"/>
                  <w:checkBox>
                    <w:sizeAuto/>
                    <w:default w:val="1"/>
                  </w:checkBox>
                </w:ffData>
              </w:fldChar>
            </w:r>
            <w:r w:rsidRPr="00E168B8">
              <w:rPr>
                <w:rFonts w:ascii="Arial Narrow" w:hAnsi="Arial Narrow"/>
                <w:sz w:val="20"/>
                <w:szCs w:val="20"/>
              </w:rPr>
              <w:instrText xml:space="preserve"> FORMCHECKBOX </w:instrText>
            </w:r>
            <w:r w:rsidRPr="00E168B8">
              <w:rPr>
                <w:rFonts w:ascii="Arial Narrow" w:hAnsi="Arial Narrow"/>
                <w:sz w:val="20"/>
                <w:szCs w:val="20"/>
              </w:rPr>
            </w:r>
            <w:r w:rsidRPr="00E168B8">
              <w:rPr>
                <w:rFonts w:ascii="Arial Narrow" w:hAnsi="Arial Narrow"/>
                <w:sz w:val="20"/>
                <w:szCs w:val="20"/>
              </w:rPr>
              <w:fldChar w:fldCharType="separate"/>
            </w:r>
            <w:r w:rsidRPr="00E168B8">
              <w:rPr>
                <w:rFonts w:ascii="Arial Narrow" w:hAnsi="Arial Narrow"/>
                <w:sz w:val="20"/>
                <w:szCs w:val="20"/>
              </w:rPr>
              <w:fldChar w:fldCharType="end"/>
            </w:r>
            <w:r w:rsidRPr="00E168B8">
              <w:rPr>
                <w:rFonts w:ascii="Arial Narrow" w:hAnsi="Arial Narrow"/>
                <w:sz w:val="20"/>
                <w:szCs w:val="20"/>
              </w:rPr>
              <w:t xml:space="preserve"> </w:t>
            </w:r>
            <w:r w:rsidRPr="00E168B8">
              <w:rPr>
                <w:rFonts w:ascii="Arial Narrow" w:eastAsia="Calibri" w:hAnsi="Arial Narrow"/>
                <w:sz w:val="20"/>
                <w:szCs w:val="20"/>
              </w:rPr>
              <w:t xml:space="preserve">GENERAL - General Schedule (Code GE) </w:t>
            </w:r>
          </w:p>
        </w:tc>
      </w:tr>
      <w:tr w:rsidR="00482BFD" w:rsidRPr="00446E53" w14:paraId="0AAE12BE" w14:textId="77777777">
        <w:tblPrEx>
          <w:tblCellMar>
            <w:top w:w="15" w:type="dxa"/>
            <w:bottom w:w="15" w:type="dxa"/>
          </w:tblCellMar>
          <w:tblLook w:val="04A0" w:firstRow="1" w:lastRow="0" w:firstColumn="1" w:lastColumn="0" w:noHBand="0" w:noVBand="1"/>
        </w:tblPrEx>
        <w:trPr>
          <w:trHeight w:val="20"/>
        </w:trPr>
        <w:tc>
          <w:tcPr>
            <w:tcW w:w="1271" w:type="dxa"/>
            <w:vMerge/>
            <w:tcBorders>
              <w:left w:val="single" w:sz="4" w:space="0" w:color="auto"/>
              <w:right w:val="single" w:sz="4" w:space="0" w:color="auto"/>
            </w:tcBorders>
          </w:tcPr>
          <w:p w14:paraId="67A941D8" w14:textId="77777777" w:rsidR="00482BFD" w:rsidRPr="00446E53" w:rsidRDefault="00482BFD">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634FE26B" w14:textId="77777777" w:rsidR="00482BFD" w:rsidRPr="00E168B8" w:rsidRDefault="00482BFD">
            <w:pPr>
              <w:keepLines/>
              <w:jc w:val="left"/>
              <w:rPr>
                <w:rFonts w:ascii="Arial Narrow" w:hAnsi="Arial Narrow"/>
                <w:b/>
                <w:sz w:val="20"/>
                <w:szCs w:val="20"/>
              </w:rPr>
            </w:pPr>
            <w:r w:rsidRPr="00E168B8">
              <w:rPr>
                <w:rFonts w:ascii="Arial Narrow" w:hAnsi="Arial Narrow"/>
                <w:b/>
                <w:sz w:val="20"/>
                <w:szCs w:val="20"/>
              </w:rPr>
              <w:t xml:space="preserve">Prescriber type: </w:t>
            </w:r>
            <w:r w:rsidRPr="00E168B8">
              <w:rPr>
                <w:rFonts w:ascii="Arial Narrow" w:hAnsi="Arial Narrow"/>
                <w:sz w:val="20"/>
                <w:szCs w:val="20"/>
              </w:rPr>
              <w:fldChar w:fldCharType="begin">
                <w:ffData>
                  <w:name w:val=""/>
                  <w:enabled/>
                  <w:calcOnExit w:val="0"/>
                  <w:checkBox>
                    <w:sizeAuto/>
                    <w:default w:val="1"/>
                  </w:checkBox>
                </w:ffData>
              </w:fldChar>
            </w:r>
            <w:r w:rsidRPr="00E168B8">
              <w:rPr>
                <w:rFonts w:ascii="Arial Narrow" w:hAnsi="Arial Narrow"/>
                <w:sz w:val="20"/>
                <w:szCs w:val="20"/>
              </w:rPr>
              <w:instrText xml:space="preserve"> FORMCHECKBOX </w:instrText>
            </w:r>
            <w:r w:rsidRPr="00E168B8">
              <w:rPr>
                <w:rFonts w:ascii="Arial Narrow" w:hAnsi="Arial Narrow"/>
                <w:sz w:val="20"/>
                <w:szCs w:val="20"/>
              </w:rPr>
            </w:r>
            <w:r w:rsidRPr="00E168B8">
              <w:rPr>
                <w:rFonts w:ascii="Arial Narrow" w:hAnsi="Arial Narrow"/>
                <w:sz w:val="20"/>
                <w:szCs w:val="20"/>
              </w:rPr>
              <w:fldChar w:fldCharType="separate"/>
            </w:r>
            <w:r w:rsidRPr="00E168B8">
              <w:rPr>
                <w:rFonts w:ascii="Arial Narrow" w:hAnsi="Arial Narrow"/>
                <w:sz w:val="20"/>
                <w:szCs w:val="20"/>
              </w:rPr>
              <w:fldChar w:fldCharType="end"/>
            </w:r>
            <w:r w:rsidRPr="00E168B8">
              <w:rPr>
                <w:rFonts w:ascii="Arial Narrow" w:hAnsi="Arial Narrow"/>
                <w:sz w:val="20"/>
                <w:szCs w:val="20"/>
              </w:rPr>
              <w:t xml:space="preserve"> Medical Practitioners </w:t>
            </w:r>
          </w:p>
        </w:tc>
      </w:tr>
      <w:tr w:rsidR="00482BFD" w:rsidRPr="00446E53" w14:paraId="14A776C5" w14:textId="77777777">
        <w:tblPrEx>
          <w:tblCellMar>
            <w:top w:w="15" w:type="dxa"/>
            <w:bottom w:w="15" w:type="dxa"/>
          </w:tblCellMar>
          <w:tblLook w:val="04A0" w:firstRow="1" w:lastRow="0" w:firstColumn="1" w:lastColumn="0" w:noHBand="0" w:noVBand="1"/>
        </w:tblPrEx>
        <w:trPr>
          <w:trHeight w:val="20"/>
        </w:trPr>
        <w:tc>
          <w:tcPr>
            <w:tcW w:w="1271" w:type="dxa"/>
            <w:vMerge/>
            <w:tcBorders>
              <w:left w:val="single" w:sz="4" w:space="0" w:color="auto"/>
              <w:right w:val="single" w:sz="4" w:space="0" w:color="auto"/>
            </w:tcBorders>
          </w:tcPr>
          <w:p w14:paraId="5311BDC4" w14:textId="77777777" w:rsidR="00482BFD" w:rsidRPr="00446E53" w:rsidRDefault="00482BFD">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6AA9F1A0" w14:textId="77777777" w:rsidR="00482BFD" w:rsidRPr="00E168B8" w:rsidRDefault="00482BFD">
            <w:pPr>
              <w:keepLines/>
              <w:jc w:val="left"/>
              <w:rPr>
                <w:rFonts w:ascii="Arial Narrow" w:hAnsi="Arial Narrow"/>
                <w:sz w:val="20"/>
                <w:szCs w:val="20"/>
              </w:rPr>
            </w:pPr>
            <w:r w:rsidRPr="00E168B8">
              <w:rPr>
                <w:rFonts w:ascii="Arial Narrow" w:hAnsi="Arial Narrow"/>
                <w:b/>
                <w:sz w:val="20"/>
                <w:szCs w:val="20"/>
              </w:rPr>
              <w:t xml:space="preserve">Benefit type: </w:t>
            </w:r>
            <w:r w:rsidRPr="00E168B8">
              <w:rPr>
                <w:rFonts w:ascii="Arial Narrow" w:hAnsi="Arial Narrow"/>
                <w:sz w:val="20"/>
                <w:szCs w:val="20"/>
              </w:rPr>
              <w:fldChar w:fldCharType="begin">
                <w:ffData>
                  <w:name w:val=""/>
                  <w:enabled/>
                  <w:calcOnExit w:val="0"/>
                  <w:checkBox>
                    <w:sizeAuto/>
                    <w:default w:val="1"/>
                  </w:checkBox>
                </w:ffData>
              </w:fldChar>
            </w:r>
            <w:r w:rsidRPr="00E168B8">
              <w:rPr>
                <w:rFonts w:ascii="Arial Narrow" w:hAnsi="Arial Narrow"/>
                <w:sz w:val="20"/>
                <w:szCs w:val="20"/>
              </w:rPr>
              <w:instrText xml:space="preserve"> FORMCHECKBOX </w:instrText>
            </w:r>
            <w:r w:rsidRPr="00E168B8">
              <w:rPr>
                <w:rFonts w:ascii="Arial Narrow" w:hAnsi="Arial Narrow"/>
                <w:sz w:val="20"/>
                <w:szCs w:val="20"/>
              </w:rPr>
            </w:r>
            <w:r w:rsidRPr="00E168B8">
              <w:rPr>
                <w:rFonts w:ascii="Arial Narrow" w:hAnsi="Arial Narrow"/>
                <w:sz w:val="20"/>
                <w:szCs w:val="20"/>
              </w:rPr>
              <w:fldChar w:fldCharType="separate"/>
            </w:r>
            <w:r w:rsidRPr="00E168B8">
              <w:rPr>
                <w:rFonts w:ascii="Arial Narrow" w:hAnsi="Arial Narrow"/>
                <w:sz w:val="20"/>
                <w:szCs w:val="20"/>
              </w:rPr>
              <w:fldChar w:fldCharType="end"/>
            </w:r>
            <w:r w:rsidRPr="00E168B8">
              <w:rPr>
                <w:rFonts w:ascii="Arial Narrow" w:hAnsi="Arial Narrow"/>
                <w:sz w:val="20"/>
                <w:szCs w:val="20"/>
              </w:rPr>
              <w:t xml:space="preserve"> </w:t>
            </w:r>
            <w:r w:rsidRPr="00E168B8">
              <w:rPr>
                <w:rFonts w:ascii="Arial Narrow" w:eastAsia="Calibri" w:hAnsi="Arial Narrow"/>
                <w:sz w:val="20"/>
                <w:szCs w:val="20"/>
              </w:rPr>
              <w:t>Authority Required (</w:t>
            </w:r>
            <w:r>
              <w:rPr>
                <w:rFonts w:ascii="Arial Narrow" w:eastAsia="Calibri" w:hAnsi="Arial Narrow"/>
                <w:sz w:val="20"/>
                <w:szCs w:val="20"/>
              </w:rPr>
              <w:t xml:space="preserve">telephone/electronic) </w:t>
            </w:r>
          </w:p>
        </w:tc>
      </w:tr>
      <w:tr w:rsidR="00482BFD" w:rsidRPr="00446E53" w14:paraId="4087436E" w14:textId="77777777">
        <w:tblPrEx>
          <w:tblCellMar>
            <w:top w:w="15" w:type="dxa"/>
            <w:bottom w:w="15" w:type="dxa"/>
          </w:tblCellMar>
          <w:tblLook w:val="04A0" w:firstRow="1" w:lastRow="0" w:firstColumn="1" w:lastColumn="0" w:noHBand="0" w:noVBand="1"/>
        </w:tblPrEx>
        <w:trPr>
          <w:trHeight w:val="184"/>
        </w:trPr>
        <w:tc>
          <w:tcPr>
            <w:tcW w:w="1271" w:type="dxa"/>
            <w:tcBorders>
              <w:left w:val="single" w:sz="4" w:space="0" w:color="auto"/>
              <w:bottom w:val="single" w:sz="4" w:space="0" w:color="auto"/>
              <w:right w:val="single" w:sz="4" w:space="0" w:color="auto"/>
            </w:tcBorders>
          </w:tcPr>
          <w:p w14:paraId="77842FC4" w14:textId="77777777" w:rsidR="00482BFD" w:rsidRPr="00446E53" w:rsidRDefault="00482BFD">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52967FE" w14:textId="77777777" w:rsidR="00482BFD" w:rsidRPr="00446E53" w:rsidRDefault="00482BFD">
            <w:pPr>
              <w:pStyle w:val="pf0"/>
              <w:spacing w:before="0" w:beforeAutospacing="0" w:after="0" w:afterAutospacing="0"/>
              <w:rPr>
                <w:rFonts w:ascii="Arial Narrow" w:hAnsi="Arial Narrow" w:cs="Arial"/>
                <w:b/>
                <w:sz w:val="20"/>
                <w:szCs w:val="20"/>
              </w:rPr>
            </w:pPr>
            <w:r w:rsidRPr="00446E53">
              <w:rPr>
                <w:rFonts w:ascii="Arial Narrow" w:hAnsi="Arial Narrow" w:cs="Arial"/>
                <w:b/>
                <w:sz w:val="20"/>
                <w:szCs w:val="20"/>
              </w:rPr>
              <w:t xml:space="preserve">Prescribing rule level:  </w:t>
            </w:r>
          </w:p>
        </w:tc>
      </w:tr>
      <w:tr w:rsidR="00482BFD" w:rsidRPr="00446E53" w14:paraId="0FE8EB4B" w14:textId="77777777">
        <w:tblPrEx>
          <w:tblCellMar>
            <w:top w:w="15" w:type="dxa"/>
            <w:bottom w:w="15" w:type="dxa"/>
          </w:tblCellMar>
          <w:tblLook w:val="04A0" w:firstRow="1" w:lastRow="0" w:firstColumn="1" w:lastColumn="0" w:noHBand="0" w:noVBand="1"/>
        </w:tblPrEx>
        <w:trPr>
          <w:trHeight w:val="184"/>
        </w:trPr>
        <w:tc>
          <w:tcPr>
            <w:tcW w:w="1271" w:type="dxa"/>
            <w:tcBorders>
              <w:left w:val="single" w:sz="4" w:space="0" w:color="auto"/>
              <w:bottom w:val="single" w:sz="4" w:space="0" w:color="auto"/>
              <w:right w:val="single" w:sz="4" w:space="0" w:color="auto"/>
            </w:tcBorders>
          </w:tcPr>
          <w:p w14:paraId="2032A9BB" w14:textId="383BB447" w:rsidR="00482BFD" w:rsidRPr="00446E53" w:rsidRDefault="00482BFD">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52A62B72" w14:textId="77777777" w:rsidR="00482BFD" w:rsidRDefault="00482BFD">
            <w:pPr>
              <w:rPr>
                <w:rFonts w:ascii="Arial Narrow" w:hAnsi="Arial Narrow"/>
                <w:b/>
                <w:bCs/>
                <w:color w:val="333333"/>
                <w:sz w:val="20"/>
                <w:szCs w:val="20"/>
              </w:rPr>
            </w:pPr>
            <w:r w:rsidRPr="00446E53">
              <w:rPr>
                <w:rFonts w:ascii="Arial Narrow" w:hAnsi="Arial Narrow"/>
                <w:b/>
                <w:bCs/>
                <w:color w:val="333333"/>
                <w:sz w:val="20"/>
                <w:szCs w:val="20"/>
              </w:rPr>
              <w:t>Administrative Advice:</w:t>
            </w:r>
          </w:p>
          <w:p w14:paraId="4BDD9D50" w14:textId="77777777" w:rsidR="00482BFD" w:rsidRPr="00446E53" w:rsidRDefault="00482BFD">
            <w:pPr>
              <w:pStyle w:val="pf0"/>
              <w:spacing w:before="0" w:beforeAutospacing="0" w:after="0" w:afterAutospacing="0"/>
              <w:rPr>
                <w:rFonts w:ascii="Arial Narrow" w:hAnsi="Arial Narrow" w:cs="Arial"/>
                <w:b/>
                <w:sz w:val="20"/>
                <w:szCs w:val="20"/>
              </w:rPr>
            </w:pPr>
            <w:r w:rsidRPr="008903D2">
              <w:rPr>
                <w:rFonts w:ascii="Arial Narrow" w:eastAsia="Calibri" w:hAnsi="Arial Narrow" w:cs="Arial"/>
                <w:sz w:val="20"/>
                <w:szCs w:val="20"/>
                <w14:ligatures w14:val="standardContextual"/>
              </w:rPr>
              <w:t>No increase in the maximum quantity or number of units may be authorised.</w:t>
            </w:r>
          </w:p>
        </w:tc>
      </w:tr>
      <w:tr w:rsidR="00482BFD" w:rsidRPr="00446E53" w14:paraId="576BCB3F" w14:textId="77777777">
        <w:tblPrEx>
          <w:tblCellMar>
            <w:top w:w="15" w:type="dxa"/>
            <w:bottom w:w="15" w:type="dxa"/>
          </w:tblCellMar>
          <w:tblLook w:val="04A0" w:firstRow="1" w:lastRow="0" w:firstColumn="1" w:lastColumn="0" w:noHBand="0" w:noVBand="1"/>
        </w:tblPrEx>
        <w:trPr>
          <w:trHeight w:val="184"/>
        </w:trPr>
        <w:tc>
          <w:tcPr>
            <w:tcW w:w="1271" w:type="dxa"/>
            <w:tcBorders>
              <w:left w:val="single" w:sz="4" w:space="0" w:color="auto"/>
              <w:bottom w:val="single" w:sz="4" w:space="0" w:color="auto"/>
              <w:right w:val="single" w:sz="4" w:space="0" w:color="auto"/>
            </w:tcBorders>
          </w:tcPr>
          <w:p w14:paraId="75975EEE" w14:textId="657FCF7F" w:rsidR="00482BFD" w:rsidRPr="00446E53" w:rsidRDefault="00482BFD">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B21C3A0" w14:textId="77777777" w:rsidR="00482BFD" w:rsidRPr="001D4E34" w:rsidRDefault="00482BFD">
            <w:pPr>
              <w:rPr>
                <w:rFonts w:ascii="Arial Narrow" w:eastAsia="Calibri" w:hAnsi="Arial Narrow"/>
                <w:b/>
                <w:bCs/>
                <w:sz w:val="20"/>
                <w:szCs w:val="20"/>
              </w:rPr>
            </w:pPr>
            <w:r w:rsidRPr="001D4E34">
              <w:rPr>
                <w:rFonts w:ascii="Arial Narrow" w:eastAsia="Calibri" w:hAnsi="Arial Narrow"/>
                <w:b/>
                <w:bCs/>
                <w:sz w:val="20"/>
                <w:szCs w:val="20"/>
              </w:rPr>
              <w:t>Administrative Advice:</w:t>
            </w:r>
          </w:p>
          <w:p w14:paraId="695AB201" w14:textId="77777777" w:rsidR="00482BFD" w:rsidRPr="00E60AF3" w:rsidRDefault="00482BFD">
            <w:pPr>
              <w:pStyle w:val="pf0"/>
              <w:spacing w:before="0" w:beforeAutospacing="0" w:after="0" w:afterAutospacing="0"/>
              <w:rPr>
                <w:rFonts w:ascii="Arial Narrow" w:eastAsia="Calibri" w:hAnsi="Arial Narrow" w:cs="Arial"/>
                <w:sz w:val="20"/>
                <w:szCs w:val="20"/>
                <w14:ligatures w14:val="standardContextual"/>
              </w:rPr>
            </w:pPr>
            <w:r w:rsidRPr="00E60AF3">
              <w:rPr>
                <w:rFonts w:ascii="Arial Narrow" w:eastAsia="Calibri" w:hAnsi="Arial Narrow" w:cs="Arial"/>
                <w:sz w:val="20"/>
                <w:szCs w:val="20"/>
                <w14:ligatures w14:val="standardContextual"/>
              </w:rPr>
              <w:t>No increase in the maximum number of repeats may be authorised.</w:t>
            </w:r>
          </w:p>
        </w:tc>
      </w:tr>
      <w:tr w:rsidR="00482BFD" w:rsidRPr="00446E53" w14:paraId="7C4830F3" w14:textId="77777777">
        <w:tblPrEx>
          <w:tblCellMar>
            <w:top w:w="15" w:type="dxa"/>
            <w:bottom w:w="15" w:type="dxa"/>
          </w:tblCellMar>
          <w:tblLook w:val="04A0" w:firstRow="1" w:lastRow="0" w:firstColumn="1" w:lastColumn="0" w:noHBand="0" w:noVBand="1"/>
        </w:tblPrEx>
        <w:trPr>
          <w:trHeight w:val="184"/>
        </w:trPr>
        <w:tc>
          <w:tcPr>
            <w:tcW w:w="1271" w:type="dxa"/>
            <w:tcBorders>
              <w:left w:val="single" w:sz="4" w:space="0" w:color="auto"/>
              <w:bottom w:val="single" w:sz="4" w:space="0" w:color="auto"/>
              <w:right w:val="single" w:sz="4" w:space="0" w:color="auto"/>
            </w:tcBorders>
          </w:tcPr>
          <w:p w14:paraId="5D610587" w14:textId="734834D1" w:rsidR="00482BFD" w:rsidRPr="00446E53" w:rsidRDefault="00482BFD">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6E1DFD7B" w14:textId="77777777" w:rsidR="00482BFD" w:rsidRPr="001D4E34" w:rsidRDefault="00482BFD">
            <w:pPr>
              <w:rPr>
                <w:rFonts w:ascii="Arial Narrow" w:eastAsia="Calibri" w:hAnsi="Arial Narrow"/>
                <w:b/>
                <w:bCs/>
                <w:sz w:val="20"/>
                <w:szCs w:val="20"/>
              </w:rPr>
            </w:pPr>
            <w:r w:rsidRPr="001D4E34">
              <w:rPr>
                <w:rFonts w:ascii="Arial Narrow" w:eastAsia="Calibri" w:hAnsi="Arial Narrow"/>
                <w:b/>
                <w:bCs/>
                <w:sz w:val="20"/>
                <w:szCs w:val="20"/>
              </w:rPr>
              <w:t>Administrative Advice:</w:t>
            </w:r>
          </w:p>
          <w:p w14:paraId="0F92580A" w14:textId="77777777" w:rsidR="00482BFD" w:rsidRPr="001D4E34" w:rsidRDefault="00482BFD">
            <w:pPr>
              <w:pStyle w:val="pf0"/>
              <w:spacing w:before="0" w:beforeAutospacing="0" w:after="0" w:afterAutospacing="0"/>
              <w:rPr>
                <w:rFonts w:ascii="Arial Narrow" w:eastAsia="Calibri" w:hAnsi="Arial Narrow" w:cs="Arial"/>
                <w:sz w:val="20"/>
                <w:szCs w:val="20"/>
                <w14:ligatures w14:val="standardContextual"/>
              </w:rPr>
            </w:pPr>
            <w:r w:rsidRPr="001D4E34">
              <w:rPr>
                <w:rFonts w:ascii="Arial Narrow" w:eastAsia="Calibri" w:hAnsi="Arial Narrow" w:cs="Arial"/>
                <w:sz w:val="20"/>
                <w:szCs w:val="20"/>
                <w14:ligatures w14:val="standardContextual"/>
              </w:rPr>
              <w:t>Special Pricing Arrangements apply.</w:t>
            </w:r>
          </w:p>
        </w:tc>
      </w:tr>
      <w:tr w:rsidR="00482BFD" w:rsidRPr="00446E53" w14:paraId="2CCB8651" w14:textId="77777777">
        <w:tblPrEx>
          <w:tblCellMar>
            <w:top w:w="15" w:type="dxa"/>
            <w:bottom w:w="15" w:type="dxa"/>
          </w:tblCellMar>
          <w:tblLook w:val="04A0" w:firstRow="1" w:lastRow="0" w:firstColumn="1" w:lastColumn="0" w:noHBand="0" w:noVBand="1"/>
        </w:tblPrEx>
        <w:trPr>
          <w:trHeight w:val="20"/>
        </w:trPr>
        <w:tc>
          <w:tcPr>
            <w:tcW w:w="1271" w:type="dxa"/>
            <w:tcBorders>
              <w:left w:val="single" w:sz="4" w:space="0" w:color="auto"/>
              <w:bottom w:val="single" w:sz="4" w:space="0" w:color="auto"/>
              <w:right w:val="single" w:sz="4" w:space="0" w:color="auto"/>
            </w:tcBorders>
          </w:tcPr>
          <w:p w14:paraId="788AD8C1" w14:textId="341F3588" w:rsidR="00482BFD" w:rsidRPr="002A0B70" w:rsidRDefault="00482BFD">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1AA5556" w14:textId="77777777" w:rsidR="00482BFD" w:rsidRPr="002A0B70" w:rsidRDefault="00482BFD">
            <w:pPr>
              <w:rPr>
                <w:rFonts w:ascii="Arial Narrow" w:hAnsi="Arial Narrow"/>
                <w:b/>
                <w:bCs/>
                <w:color w:val="333333"/>
                <w:sz w:val="20"/>
                <w:szCs w:val="20"/>
              </w:rPr>
            </w:pPr>
            <w:r w:rsidRPr="002A0B70">
              <w:rPr>
                <w:rFonts w:ascii="Arial Narrow" w:hAnsi="Arial Narrow"/>
                <w:b/>
                <w:bCs/>
                <w:color w:val="333333"/>
                <w:sz w:val="20"/>
                <w:szCs w:val="20"/>
              </w:rPr>
              <w:t>Administrative Advice:</w:t>
            </w:r>
          </w:p>
          <w:p w14:paraId="7E986309" w14:textId="77777777" w:rsidR="00482BFD" w:rsidRPr="002A0B70" w:rsidRDefault="00482BFD">
            <w:pPr>
              <w:pStyle w:val="TableCentre"/>
              <w:jc w:val="left"/>
              <w:rPr>
                <w:rFonts w:ascii="Arial Narrow" w:eastAsia="Calibri" w:hAnsi="Arial Narrow" w:cs="Arial"/>
                <w:sz w:val="20"/>
                <w:szCs w:val="20"/>
                <w:lang w:eastAsia="en-AU" w:bidi="ar-SA"/>
                <w14:ligatures w14:val="standardContextual"/>
              </w:rPr>
            </w:pPr>
            <w:r w:rsidRPr="002A0B70">
              <w:rPr>
                <w:rFonts w:ascii="Arial Narrow" w:eastAsia="Calibri" w:hAnsi="Arial Narrow" w:cs="Arial"/>
                <w:sz w:val="20"/>
                <w:szCs w:val="20"/>
                <w:lang w:eastAsia="en-AU" w:bidi="ar-SA"/>
                <w14:ligatures w14:val="standardContextual"/>
              </w:rPr>
              <w:t>The Eczema Area and Severity Index (EASI) referenced in this restriction is that described in the following literature publications:</w:t>
            </w:r>
          </w:p>
          <w:p w14:paraId="371C4336" w14:textId="77777777" w:rsidR="00482BFD" w:rsidRPr="002A0B70" w:rsidRDefault="00482BFD">
            <w:pPr>
              <w:pStyle w:val="TableCentre"/>
              <w:jc w:val="left"/>
              <w:rPr>
                <w:rFonts w:ascii="Arial Narrow" w:eastAsia="Calibri" w:hAnsi="Arial Narrow" w:cs="Arial"/>
                <w:sz w:val="20"/>
                <w:szCs w:val="20"/>
                <w:lang w:eastAsia="en-AU" w:bidi="ar-SA"/>
                <w14:ligatures w14:val="standardContextual"/>
              </w:rPr>
            </w:pPr>
            <w:r w:rsidRPr="002A0B70">
              <w:rPr>
                <w:rFonts w:ascii="Arial Narrow" w:eastAsia="Calibri" w:hAnsi="Arial Narrow" w:cs="Arial"/>
                <w:sz w:val="20"/>
                <w:szCs w:val="20"/>
                <w:lang w:eastAsia="en-AU" w:bidi="ar-SA"/>
                <w14:ligatures w14:val="standardContextual"/>
              </w:rPr>
              <w:t>Chalmers JR et al. Report from the third international consensus meeting to harmonise core outcome measures for atopic eczema/dermatitis clinical trials (HOME). </w:t>
            </w:r>
            <w:r w:rsidRPr="002A0B70">
              <w:rPr>
                <w:rFonts w:ascii="Arial Narrow" w:eastAsia="Calibri" w:hAnsi="Arial Narrow" w:cs="Arial"/>
                <w:i/>
                <w:iCs/>
                <w:sz w:val="20"/>
                <w:szCs w:val="20"/>
                <w:lang w:eastAsia="en-AU" w:bidi="ar-SA"/>
                <w14:ligatures w14:val="standardContextual"/>
              </w:rPr>
              <w:t>British Journal of Dermatology</w:t>
            </w:r>
            <w:r w:rsidRPr="002A0B70">
              <w:rPr>
                <w:rFonts w:ascii="Arial Narrow" w:eastAsia="Calibri" w:hAnsi="Arial Narrow" w:cs="Arial"/>
                <w:sz w:val="20"/>
                <w:szCs w:val="20"/>
                <w:lang w:eastAsia="en-AU" w:bidi="ar-SA"/>
                <w14:ligatures w14:val="standardContextual"/>
              </w:rPr>
              <w:t> 2014 December;171(6):1318-25.</w:t>
            </w:r>
          </w:p>
          <w:p w14:paraId="524B460F" w14:textId="77777777" w:rsidR="00482BFD" w:rsidRPr="002A0B70" w:rsidRDefault="00482BFD">
            <w:pPr>
              <w:rPr>
                <w:rFonts w:ascii="Arial Narrow" w:hAnsi="Arial Narrow"/>
                <w:color w:val="333333"/>
                <w:sz w:val="20"/>
                <w:szCs w:val="20"/>
              </w:rPr>
            </w:pPr>
            <w:r w:rsidRPr="002A0B70">
              <w:rPr>
                <w:rFonts w:ascii="Arial Narrow" w:eastAsia="Calibri" w:hAnsi="Arial Narrow"/>
                <w:sz w:val="20"/>
                <w:szCs w:val="20"/>
              </w:rPr>
              <w:t>Schmitt J et al. HOME initiative collaborators. The Harmonising Outcome Measures for Eczema (HOME) statement to assess clinical signs of atopic eczema in trials. </w:t>
            </w:r>
            <w:r w:rsidRPr="002A0B70">
              <w:rPr>
                <w:rFonts w:ascii="Arial Narrow" w:eastAsia="Calibri" w:hAnsi="Arial Narrow"/>
                <w:i/>
                <w:iCs/>
                <w:sz w:val="20"/>
                <w:szCs w:val="20"/>
              </w:rPr>
              <w:t>The Journal of Allergy and Clinical Immunology</w:t>
            </w:r>
            <w:r w:rsidRPr="002A0B70">
              <w:rPr>
                <w:rFonts w:ascii="Arial Narrow" w:eastAsia="Calibri" w:hAnsi="Arial Narrow"/>
                <w:sz w:val="20"/>
                <w:szCs w:val="20"/>
              </w:rPr>
              <w:t> 2014 October;134(4):800-7</w:t>
            </w:r>
          </w:p>
        </w:tc>
      </w:tr>
      <w:tr w:rsidR="00482BFD" w:rsidRPr="00446E53" w14:paraId="3E019851" w14:textId="77777777">
        <w:tblPrEx>
          <w:tblCellMar>
            <w:top w:w="15" w:type="dxa"/>
            <w:bottom w:w="15" w:type="dxa"/>
          </w:tblCellMar>
          <w:tblLook w:val="04A0" w:firstRow="1" w:lastRow="0" w:firstColumn="1" w:lastColumn="0" w:noHBand="0" w:noVBand="1"/>
        </w:tblPrEx>
        <w:trPr>
          <w:trHeight w:val="20"/>
        </w:trPr>
        <w:tc>
          <w:tcPr>
            <w:tcW w:w="1271" w:type="dxa"/>
            <w:tcBorders>
              <w:left w:val="single" w:sz="4" w:space="0" w:color="auto"/>
              <w:bottom w:val="single" w:sz="4" w:space="0" w:color="auto"/>
              <w:right w:val="single" w:sz="4" w:space="0" w:color="auto"/>
            </w:tcBorders>
          </w:tcPr>
          <w:p w14:paraId="16EC953D" w14:textId="2C5562C5" w:rsidR="00482BFD" w:rsidRPr="00446E53" w:rsidRDefault="00482BFD">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D260766" w14:textId="77777777" w:rsidR="00482BFD" w:rsidRDefault="00482BFD">
            <w:pPr>
              <w:keepLines/>
              <w:rPr>
                <w:rFonts w:ascii="Arial Narrow" w:hAnsi="Arial Narrow"/>
                <w:b/>
                <w:bCs/>
                <w:color w:val="333333"/>
                <w:sz w:val="20"/>
                <w:szCs w:val="20"/>
              </w:rPr>
            </w:pPr>
            <w:r w:rsidRPr="00446E53">
              <w:rPr>
                <w:rFonts w:ascii="Arial Narrow" w:hAnsi="Arial Narrow"/>
                <w:b/>
                <w:bCs/>
                <w:color w:val="333333"/>
                <w:sz w:val="20"/>
                <w:szCs w:val="20"/>
              </w:rPr>
              <w:t>Administrative Advice:</w:t>
            </w:r>
          </w:p>
          <w:p w14:paraId="06F69D6A" w14:textId="77777777" w:rsidR="00482BFD" w:rsidRPr="00446E53" w:rsidRDefault="00482BFD">
            <w:pPr>
              <w:keepLines/>
              <w:rPr>
                <w:rFonts w:ascii="Arial Narrow" w:hAnsi="Arial Narrow"/>
                <w:b/>
                <w:sz w:val="20"/>
                <w:szCs w:val="20"/>
              </w:rPr>
            </w:pPr>
            <w:r w:rsidRPr="00D32CAA">
              <w:rPr>
                <w:rFonts w:ascii="Arial Narrow" w:eastAsia="Calibri" w:hAnsi="Arial Narrow"/>
                <w:sz w:val="20"/>
                <w:szCs w:val="20"/>
              </w:rPr>
              <w:lastRenderedPageBreak/>
              <w:t>Instructions on the use of the Dermatology Life Quality Index and copyright details can be found here:</w:t>
            </w:r>
            <w:r w:rsidRPr="004D2E67">
              <w:rPr>
                <w:rFonts w:ascii="Arial Narrow" w:eastAsia="Calibri" w:hAnsi="Arial Narrow"/>
                <w:strike/>
                <w:sz w:val="20"/>
                <w:szCs w:val="20"/>
              </w:rPr>
              <w:t>,</w:t>
            </w:r>
            <w:r w:rsidRPr="00D32CAA">
              <w:rPr>
                <w:rFonts w:ascii="Arial Narrow" w:eastAsia="Calibri" w:hAnsi="Arial Narrow"/>
                <w:sz w:val="20"/>
                <w:szCs w:val="20"/>
              </w:rPr>
              <w:t xml:space="preserve"> </w:t>
            </w:r>
            <w:hyperlink r:id="rId15" w:history="1">
              <w:r w:rsidRPr="00D32CAA">
                <w:rPr>
                  <w:rFonts w:ascii="Arial Narrow" w:eastAsia="Calibri" w:hAnsi="Arial Narrow"/>
                  <w:sz w:val="20"/>
                  <w:szCs w:val="20"/>
                </w:rPr>
                <w:t>https://www.cardiff.ac.uk/medicine/resources/quality-of-life-questionnaires/dermatology-life-quality-index</w:t>
              </w:r>
            </w:hyperlink>
            <w:r>
              <w:rPr>
                <w:rFonts w:ascii="Arial Narrow" w:eastAsia="Calibri" w:hAnsi="Arial Narrow"/>
                <w:sz w:val="20"/>
                <w:szCs w:val="20"/>
              </w:rPr>
              <w:t xml:space="preserve">  </w:t>
            </w:r>
            <w:r w:rsidRPr="00E82BEE">
              <w:t xml:space="preserve">  </w:t>
            </w:r>
          </w:p>
        </w:tc>
      </w:tr>
      <w:tr w:rsidR="00482BFD" w:rsidRPr="00446E53" w14:paraId="1823EB00" w14:textId="77777777">
        <w:tblPrEx>
          <w:tblCellMar>
            <w:top w:w="15" w:type="dxa"/>
            <w:bottom w:w="15" w:type="dxa"/>
          </w:tblCellMar>
          <w:tblLook w:val="04A0" w:firstRow="1" w:lastRow="0" w:firstColumn="1" w:lastColumn="0" w:noHBand="0" w:noVBand="1"/>
        </w:tblPrEx>
        <w:trPr>
          <w:trHeight w:val="20"/>
        </w:trPr>
        <w:tc>
          <w:tcPr>
            <w:tcW w:w="1271" w:type="dxa"/>
            <w:tcBorders>
              <w:left w:val="single" w:sz="4" w:space="0" w:color="auto"/>
              <w:bottom w:val="single" w:sz="4" w:space="0" w:color="auto"/>
              <w:right w:val="single" w:sz="4" w:space="0" w:color="auto"/>
            </w:tcBorders>
          </w:tcPr>
          <w:p w14:paraId="5E3D26BA" w14:textId="62BAFA87" w:rsidR="00482BFD" w:rsidRPr="002C1179" w:rsidRDefault="00482BFD">
            <w:pPr>
              <w:jc w:val="center"/>
              <w:rPr>
                <w:rFonts w:ascii="Arial Narrow" w:hAnsi="Arial Narrow"/>
                <w:color w:val="333333"/>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6B039C76" w14:textId="77777777" w:rsidR="00482BFD" w:rsidRPr="002C1179" w:rsidRDefault="00482BFD">
            <w:pPr>
              <w:keepLines/>
              <w:rPr>
                <w:rFonts w:ascii="Arial Narrow" w:hAnsi="Arial Narrow"/>
                <w:b/>
                <w:bCs/>
                <w:color w:val="333333"/>
                <w:sz w:val="20"/>
                <w:szCs w:val="20"/>
              </w:rPr>
            </w:pPr>
            <w:r w:rsidRPr="002C1179">
              <w:rPr>
                <w:rFonts w:ascii="Arial Narrow" w:hAnsi="Arial Narrow"/>
                <w:b/>
                <w:bCs/>
                <w:color w:val="333333"/>
                <w:sz w:val="20"/>
                <w:szCs w:val="20"/>
              </w:rPr>
              <w:t>Administrative Advice:</w:t>
            </w:r>
          </w:p>
          <w:p w14:paraId="0496547B" w14:textId="77777777" w:rsidR="00482BFD" w:rsidRPr="002C1179" w:rsidRDefault="00482BFD">
            <w:pPr>
              <w:pStyle w:val="TableCentre"/>
              <w:jc w:val="left"/>
              <w:rPr>
                <w:rFonts w:ascii="Arial Narrow" w:eastAsia="Calibri" w:hAnsi="Arial Narrow" w:cs="Arial"/>
                <w:sz w:val="20"/>
                <w:szCs w:val="20"/>
                <w:lang w:eastAsia="en-AU" w:bidi="ar-SA"/>
                <w14:ligatures w14:val="standardContextual"/>
              </w:rPr>
            </w:pPr>
            <w:r w:rsidRPr="002C1179">
              <w:rPr>
                <w:rFonts w:ascii="Arial Narrow" w:eastAsia="Calibri" w:hAnsi="Arial Narrow" w:cs="Arial"/>
                <w:sz w:val="20"/>
                <w:szCs w:val="20"/>
                <w:lang w:eastAsia="en-AU" w:bidi="ar-SA"/>
                <w14:ligatures w14:val="standardContextual"/>
              </w:rPr>
              <w:t>The Physician's Global Assessment (5-point scale) referenced in this restriction is that described in the following literature publication:</w:t>
            </w:r>
          </w:p>
          <w:p w14:paraId="16339EAB" w14:textId="77777777" w:rsidR="00482BFD" w:rsidRPr="002C1179" w:rsidRDefault="00482BFD">
            <w:pPr>
              <w:pStyle w:val="TableCentre"/>
              <w:jc w:val="left"/>
              <w:rPr>
                <w:rFonts w:ascii="Arial Narrow" w:eastAsia="Calibri" w:hAnsi="Arial Narrow" w:cs="Arial"/>
                <w:sz w:val="20"/>
                <w:szCs w:val="20"/>
                <w:lang w:eastAsia="en-AU" w:bidi="ar-SA"/>
                <w14:ligatures w14:val="standardContextual"/>
              </w:rPr>
            </w:pPr>
            <w:proofErr w:type="spellStart"/>
            <w:r w:rsidRPr="002C1179">
              <w:rPr>
                <w:rFonts w:ascii="Arial Narrow" w:eastAsia="Calibri" w:hAnsi="Arial Narrow" w:cs="Arial"/>
                <w:sz w:val="20"/>
                <w:szCs w:val="20"/>
                <w:lang w:eastAsia="en-AU" w:bidi="ar-SA"/>
                <w14:ligatures w14:val="standardContextual"/>
              </w:rPr>
              <w:t>Fatumura</w:t>
            </w:r>
            <w:proofErr w:type="spellEnd"/>
            <w:r w:rsidRPr="002C1179">
              <w:rPr>
                <w:rFonts w:ascii="Arial Narrow" w:eastAsia="Calibri" w:hAnsi="Arial Narrow" w:cs="Arial"/>
                <w:sz w:val="20"/>
                <w:szCs w:val="20"/>
                <w:lang w:eastAsia="en-AU" w:bidi="ar-SA"/>
                <w14:ligatures w14:val="standardContextual"/>
              </w:rPr>
              <w:t xml:space="preserve"> M et al. A systematic review of Investigator Global Assessment (IGA) in atopic dermatitis (AD) trials: Many options, no standards Journal of the American Academy of Dermatology 2016; 674(2): 288-94 </w:t>
            </w:r>
          </w:p>
          <w:p w14:paraId="555AD17F" w14:textId="77777777" w:rsidR="00482BFD" w:rsidRPr="002C1179" w:rsidRDefault="00482BFD">
            <w:pPr>
              <w:keepLines/>
              <w:rPr>
                <w:rFonts w:ascii="Arial Narrow" w:hAnsi="Arial Narrow"/>
                <w:b/>
                <w:bCs/>
                <w:color w:val="333333"/>
                <w:sz w:val="20"/>
                <w:szCs w:val="20"/>
              </w:rPr>
            </w:pPr>
            <w:r w:rsidRPr="002C1179">
              <w:rPr>
                <w:rFonts w:ascii="Arial Narrow" w:eastAsia="Calibri" w:hAnsi="Arial Narrow"/>
                <w:sz w:val="20"/>
                <w:szCs w:val="20"/>
              </w:rPr>
              <w:t>The overall appearance of dermatitis lesions is rated as 4 (severe) if the lesions are best described as featuring: deep/dark red erythema, with marked and extensive induration/papulation; excoriation and oozing/crusting are present.</w:t>
            </w:r>
          </w:p>
        </w:tc>
      </w:tr>
      <w:tr w:rsidR="00482BFD" w:rsidRPr="00446E53" w14:paraId="391182CE" w14:textId="77777777">
        <w:tblPrEx>
          <w:tblCellMar>
            <w:top w:w="15" w:type="dxa"/>
            <w:bottom w:w="15" w:type="dxa"/>
          </w:tblCellMar>
          <w:tblLook w:val="04A0" w:firstRow="1" w:lastRow="0" w:firstColumn="1" w:lastColumn="0" w:noHBand="0" w:noVBand="1"/>
        </w:tblPrEx>
        <w:trPr>
          <w:trHeight w:val="20"/>
        </w:trPr>
        <w:tc>
          <w:tcPr>
            <w:tcW w:w="1271" w:type="dxa"/>
            <w:tcBorders>
              <w:left w:val="single" w:sz="4" w:space="0" w:color="auto"/>
              <w:bottom w:val="single" w:sz="4" w:space="0" w:color="auto"/>
              <w:right w:val="single" w:sz="4" w:space="0" w:color="auto"/>
            </w:tcBorders>
          </w:tcPr>
          <w:p w14:paraId="34FB2E20" w14:textId="3A29FA84" w:rsidR="00482BFD" w:rsidRPr="00446E53" w:rsidRDefault="00482BFD">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3255446" w14:textId="77777777" w:rsidR="00482BFD" w:rsidRDefault="00482BFD">
            <w:pPr>
              <w:keepLines/>
              <w:rPr>
                <w:rFonts w:ascii="Arial Narrow" w:hAnsi="Arial Narrow"/>
                <w:b/>
                <w:bCs/>
                <w:color w:val="333333"/>
                <w:sz w:val="20"/>
                <w:szCs w:val="20"/>
              </w:rPr>
            </w:pPr>
            <w:r w:rsidRPr="00446E53">
              <w:rPr>
                <w:rFonts w:ascii="Arial Narrow" w:hAnsi="Arial Narrow"/>
                <w:b/>
                <w:bCs/>
                <w:color w:val="333333"/>
                <w:sz w:val="20"/>
                <w:szCs w:val="20"/>
              </w:rPr>
              <w:t>Administrative Advice:</w:t>
            </w:r>
          </w:p>
          <w:p w14:paraId="6A1EC251" w14:textId="77777777" w:rsidR="00482BFD" w:rsidRPr="00446E53" w:rsidRDefault="00482BFD">
            <w:pPr>
              <w:keepLines/>
              <w:rPr>
                <w:rFonts w:ascii="Arial Narrow" w:hAnsi="Arial Narrow"/>
                <w:b/>
                <w:sz w:val="20"/>
                <w:szCs w:val="20"/>
              </w:rPr>
            </w:pPr>
            <w:r w:rsidRPr="003D23AA">
              <w:rPr>
                <w:rFonts w:ascii="Arial Narrow" w:eastAsia="Calibri" w:hAnsi="Arial Narrow"/>
                <w:sz w:val="20"/>
                <w:szCs w:val="20"/>
              </w:rPr>
              <w:t>Applications for authorisation under this restriction may be made in real time using the Online PBS Authorities system (see www.servicesaustralia.gov.au/HPOS) or by telephone by contacting Services Australia on 1800 888 333.</w:t>
            </w:r>
            <w:r>
              <w:rPr>
                <w:rFonts w:ascii="Arial Narrow" w:eastAsia="Calibri" w:hAnsi="Arial Narrow"/>
                <w:sz w:val="20"/>
                <w:szCs w:val="20"/>
              </w:rPr>
              <w:t xml:space="preserve"> </w:t>
            </w:r>
          </w:p>
        </w:tc>
      </w:tr>
      <w:tr w:rsidR="00482BFD" w:rsidRPr="00446E53" w14:paraId="11A5EF3B" w14:textId="77777777" w:rsidTr="00F729E0">
        <w:tblPrEx>
          <w:tblCellMar>
            <w:top w:w="15" w:type="dxa"/>
            <w:bottom w:w="15" w:type="dxa"/>
          </w:tblCellMar>
          <w:tblLook w:val="04A0" w:firstRow="1" w:lastRow="0" w:firstColumn="1" w:lastColumn="0" w:noHBand="0" w:noVBand="1"/>
        </w:tblPrEx>
        <w:trPr>
          <w:cantSplit/>
          <w:trHeight w:val="20"/>
        </w:trPr>
        <w:tc>
          <w:tcPr>
            <w:tcW w:w="1271" w:type="dxa"/>
            <w:shd w:val="clear" w:color="auto" w:fill="D9D9D9" w:themeFill="background1" w:themeFillShade="D9"/>
          </w:tcPr>
          <w:p w14:paraId="6FD3E975" w14:textId="77777777" w:rsidR="00482BFD" w:rsidRDefault="00482BFD">
            <w:pPr>
              <w:jc w:val="center"/>
              <w:rPr>
                <w:rFonts w:ascii="Arial Narrow" w:eastAsia="Calibri" w:hAnsi="Arial Narrow"/>
                <w:sz w:val="20"/>
                <w:szCs w:val="20"/>
              </w:rPr>
            </w:pPr>
          </w:p>
        </w:tc>
        <w:tc>
          <w:tcPr>
            <w:tcW w:w="7745" w:type="dxa"/>
            <w:gridSpan w:val="6"/>
            <w:shd w:val="clear" w:color="auto" w:fill="D9D9D9" w:themeFill="background1" w:themeFillShade="D9"/>
            <w:vAlign w:val="center"/>
          </w:tcPr>
          <w:p w14:paraId="2FB0186E" w14:textId="77777777" w:rsidR="00482BFD" w:rsidRPr="00446E53" w:rsidRDefault="00482BFD">
            <w:pPr>
              <w:rPr>
                <w:rFonts w:ascii="Arial Narrow" w:hAnsi="Arial Narrow"/>
                <w:b/>
                <w:bCs/>
                <w:color w:val="333333"/>
                <w:sz w:val="20"/>
                <w:szCs w:val="20"/>
              </w:rPr>
            </w:pPr>
            <w:r w:rsidRPr="00446E53">
              <w:rPr>
                <w:rFonts w:ascii="Arial Narrow" w:hAnsi="Arial Narrow"/>
                <w:b/>
                <w:bCs/>
                <w:color w:val="333333"/>
                <w:sz w:val="20"/>
                <w:szCs w:val="20"/>
              </w:rPr>
              <w:t>Restriction Summary [new</w:t>
            </w:r>
            <w:r>
              <w:rPr>
                <w:rFonts w:ascii="Arial Narrow" w:hAnsi="Arial Narrow"/>
                <w:b/>
                <w:bCs/>
                <w:color w:val="333333"/>
                <w:sz w:val="20"/>
                <w:szCs w:val="20"/>
              </w:rPr>
              <w:t>3</w:t>
            </w:r>
            <w:r w:rsidRPr="00446E53">
              <w:rPr>
                <w:rFonts w:ascii="Arial Narrow" w:hAnsi="Arial Narrow"/>
                <w:b/>
                <w:bCs/>
                <w:color w:val="333333"/>
                <w:sz w:val="20"/>
                <w:szCs w:val="20"/>
              </w:rPr>
              <w:t>]</w:t>
            </w:r>
            <w:r w:rsidRPr="00446E53">
              <w:rPr>
                <w:rFonts w:ascii="Arial Narrow" w:hAnsi="Arial Narrow"/>
                <w:b/>
                <w:bCs/>
                <w:color w:val="FF0000"/>
                <w:sz w:val="20"/>
                <w:szCs w:val="20"/>
              </w:rPr>
              <w:t xml:space="preserve"> </w:t>
            </w:r>
            <w:r w:rsidRPr="00446E53">
              <w:rPr>
                <w:rFonts w:ascii="Arial Narrow" w:hAnsi="Arial Narrow"/>
                <w:b/>
                <w:bCs/>
                <w:color w:val="333333"/>
                <w:sz w:val="20"/>
                <w:szCs w:val="20"/>
              </w:rPr>
              <w:t>/ Treatment of Concept: [new</w:t>
            </w:r>
            <w:r>
              <w:rPr>
                <w:rFonts w:ascii="Arial Narrow" w:hAnsi="Arial Narrow"/>
                <w:b/>
                <w:bCs/>
                <w:color w:val="333333"/>
                <w:sz w:val="20"/>
                <w:szCs w:val="20"/>
              </w:rPr>
              <w:t>3A</w:t>
            </w:r>
            <w:r w:rsidRPr="00446E53">
              <w:rPr>
                <w:rFonts w:ascii="Arial Narrow" w:hAnsi="Arial Narrow"/>
                <w:b/>
                <w:bCs/>
                <w:color w:val="333333"/>
                <w:sz w:val="20"/>
                <w:szCs w:val="20"/>
              </w:rPr>
              <w:t>]</w:t>
            </w:r>
          </w:p>
        </w:tc>
      </w:tr>
      <w:tr w:rsidR="00482BFD" w:rsidRPr="00446E53" w14:paraId="238AD5E1" w14:textId="77777777">
        <w:tblPrEx>
          <w:tblCellMar>
            <w:top w:w="15" w:type="dxa"/>
            <w:bottom w:w="15" w:type="dxa"/>
          </w:tblCellMar>
          <w:tblLook w:val="04A0" w:firstRow="1" w:lastRow="0" w:firstColumn="1" w:lastColumn="0" w:noHBand="0" w:noVBand="1"/>
        </w:tblPrEx>
        <w:trPr>
          <w:cantSplit/>
          <w:trHeight w:val="20"/>
        </w:trPr>
        <w:tc>
          <w:tcPr>
            <w:tcW w:w="1271" w:type="dxa"/>
          </w:tcPr>
          <w:p w14:paraId="25D777E9" w14:textId="777C5BE3" w:rsidR="00482BFD" w:rsidRDefault="00482BFD">
            <w:pPr>
              <w:jc w:val="center"/>
              <w:rPr>
                <w:rFonts w:ascii="Arial Narrow" w:eastAsia="Calibri" w:hAnsi="Arial Narrow"/>
                <w:sz w:val="20"/>
                <w:szCs w:val="20"/>
              </w:rPr>
            </w:pPr>
          </w:p>
        </w:tc>
        <w:tc>
          <w:tcPr>
            <w:tcW w:w="7745" w:type="dxa"/>
            <w:gridSpan w:val="6"/>
            <w:vAlign w:val="center"/>
          </w:tcPr>
          <w:p w14:paraId="561FF870" w14:textId="77777777" w:rsidR="00482BFD" w:rsidRPr="00446E53" w:rsidRDefault="00482BFD">
            <w:pPr>
              <w:rPr>
                <w:rFonts w:ascii="Arial Narrow" w:hAnsi="Arial Narrow"/>
                <w:b/>
                <w:bCs/>
                <w:color w:val="333333"/>
                <w:sz w:val="20"/>
                <w:szCs w:val="20"/>
              </w:rPr>
            </w:pPr>
            <w:r w:rsidRPr="0069367A">
              <w:rPr>
                <w:rFonts w:ascii="Arial Narrow" w:hAnsi="Arial Narrow"/>
                <w:b/>
                <w:bCs/>
                <w:sz w:val="20"/>
                <w:szCs w:val="20"/>
              </w:rPr>
              <w:t>Indication:</w:t>
            </w:r>
            <w:r w:rsidRPr="0069367A">
              <w:rPr>
                <w:rFonts w:ascii="Arial Narrow" w:hAnsi="Arial Narrow"/>
                <w:sz w:val="20"/>
                <w:szCs w:val="20"/>
              </w:rPr>
              <w:t xml:space="preserve"> Chronic severe atopic dermatitis </w:t>
            </w:r>
          </w:p>
        </w:tc>
      </w:tr>
      <w:tr w:rsidR="00482BFD" w:rsidRPr="00446E53" w14:paraId="2EAFB23F" w14:textId="77777777">
        <w:tblPrEx>
          <w:tblCellMar>
            <w:top w:w="15" w:type="dxa"/>
            <w:bottom w:w="15" w:type="dxa"/>
          </w:tblCellMar>
          <w:tblLook w:val="04A0" w:firstRow="1" w:lastRow="0" w:firstColumn="1" w:lastColumn="0" w:noHBand="0" w:noVBand="1"/>
        </w:tblPrEx>
        <w:trPr>
          <w:cantSplit/>
          <w:trHeight w:val="20"/>
        </w:trPr>
        <w:tc>
          <w:tcPr>
            <w:tcW w:w="1271" w:type="dxa"/>
          </w:tcPr>
          <w:p w14:paraId="203BCF83" w14:textId="77777777" w:rsidR="00482BFD" w:rsidRDefault="00482BFD">
            <w:pPr>
              <w:jc w:val="center"/>
              <w:rPr>
                <w:rFonts w:ascii="Arial Narrow" w:eastAsia="Calibri" w:hAnsi="Arial Narrow"/>
                <w:sz w:val="20"/>
                <w:szCs w:val="20"/>
              </w:rPr>
            </w:pPr>
          </w:p>
        </w:tc>
        <w:tc>
          <w:tcPr>
            <w:tcW w:w="7745" w:type="dxa"/>
            <w:gridSpan w:val="6"/>
            <w:vAlign w:val="center"/>
          </w:tcPr>
          <w:p w14:paraId="3194A5F7" w14:textId="77777777" w:rsidR="00482BFD" w:rsidRPr="00446E53" w:rsidRDefault="00482BFD">
            <w:pPr>
              <w:rPr>
                <w:rFonts w:ascii="Arial Narrow" w:hAnsi="Arial Narrow"/>
                <w:b/>
                <w:bCs/>
                <w:color w:val="333333"/>
                <w:sz w:val="20"/>
                <w:szCs w:val="20"/>
              </w:rPr>
            </w:pPr>
            <w:r w:rsidRPr="003C378E">
              <w:rPr>
                <w:rFonts w:ascii="Arial Narrow" w:hAnsi="Arial Narrow"/>
                <w:b/>
                <w:bCs/>
                <w:sz w:val="20"/>
                <w:szCs w:val="20"/>
              </w:rPr>
              <w:t>Treatment Phase:</w:t>
            </w:r>
            <w:r w:rsidRPr="003C378E">
              <w:rPr>
                <w:rFonts w:ascii="Arial Narrow" w:hAnsi="Arial Narrow"/>
                <w:sz w:val="20"/>
                <w:szCs w:val="20"/>
              </w:rPr>
              <w:t xml:space="preserve"> Transitioning from non-PBS to PBS-subsidised </w:t>
            </w:r>
            <w:r w:rsidRPr="00365E0E">
              <w:rPr>
                <w:rFonts w:ascii="Arial Narrow" w:hAnsi="Arial Narrow"/>
                <w:sz w:val="20"/>
                <w:szCs w:val="20"/>
              </w:rPr>
              <w:t>supply</w:t>
            </w:r>
            <w:r w:rsidRPr="007D645E">
              <w:rPr>
                <w:rFonts w:ascii="Arial Narrow" w:hAnsi="Arial Narrow"/>
                <w:i/>
                <w:iCs/>
                <w:sz w:val="20"/>
                <w:szCs w:val="20"/>
              </w:rPr>
              <w:t xml:space="preserve"> (</w:t>
            </w:r>
            <w:r w:rsidRPr="003C378E">
              <w:rPr>
                <w:rFonts w:ascii="Arial Narrow" w:hAnsi="Arial Narrow"/>
                <w:i/>
                <w:iCs/>
                <w:sz w:val="20"/>
                <w:szCs w:val="20"/>
              </w:rPr>
              <w:t xml:space="preserve">treatment </w:t>
            </w:r>
            <w:r w:rsidRPr="007D645E">
              <w:rPr>
                <w:rFonts w:ascii="Arial Narrow" w:hAnsi="Arial Narrow"/>
                <w:i/>
                <w:iCs/>
                <w:sz w:val="20"/>
                <w:szCs w:val="20"/>
              </w:rPr>
              <w:t xml:space="preserve">of the whole body) </w:t>
            </w:r>
            <w:r w:rsidRPr="003C378E">
              <w:rPr>
                <w:rFonts w:ascii="Arial Narrow" w:hAnsi="Arial Narrow"/>
                <w:i/>
                <w:iCs/>
                <w:sz w:val="20"/>
                <w:szCs w:val="20"/>
              </w:rPr>
              <w:t xml:space="preserve">– </w:t>
            </w:r>
            <w:r>
              <w:rPr>
                <w:rFonts w:ascii="Arial Narrow" w:hAnsi="Arial Narrow"/>
                <w:i/>
                <w:iCs/>
                <w:sz w:val="20"/>
                <w:szCs w:val="20"/>
              </w:rPr>
              <w:t>‘</w:t>
            </w:r>
            <w:r w:rsidRPr="003C378E">
              <w:rPr>
                <w:rFonts w:ascii="Arial Narrow" w:hAnsi="Arial Narrow"/>
                <w:i/>
                <w:iCs/>
                <w:sz w:val="20"/>
                <w:szCs w:val="20"/>
              </w:rPr>
              <w:t>Grandfather</w:t>
            </w:r>
            <w:r>
              <w:rPr>
                <w:rFonts w:ascii="Arial Narrow" w:hAnsi="Arial Narrow"/>
                <w:i/>
                <w:iCs/>
                <w:sz w:val="20"/>
                <w:szCs w:val="20"/>
              </w:rPr>
              <w:t>’</w:t>
            </w:r>
            <w:r w:rsidRPr="003C378E">
              <w:rPr>
                <w:rFonts w:ascii="Arial Narrow" w:hAnsi="Arial Narrow"/>
                <w:i/>
                <w:iCs/>
                <w:sz w:val="20"/>
                <w:szCs w:val="20"/>
              </w:rPr>
              <w:t xml:space="preserve"> arrangements </w:t>
            </w:r>
            <w:r w:rsidRPr="003C378E">
              <w:rPr>
                <w:rFonts w:ascii="Arial Narrow" w:hAnsi="Arial Narrow"/>
                <w:strike/>
                <w:sz w:val="20"/>
                <w:szCs w:val="20"/>
              </w:rPr>
              <w:t>Initial treatment of the whole body</w:t>
            </w:r>
          </w:p>
        </w:tc>
      </w:tr>
      <w:tr w:rsidR="00482BFD" w:rsidRPr="00446E53" w14:paraId="54A5E7CE" w14:textId="77777777">
        <w:tblPrEx>
          <w:tblCellMar>
            <w:top w:w="15" w:type="dxa"/>
            <w:bottom w:w="15" w:type="dxa"/>
          </w:tblCellMar>
          <w:tblLook w:val="04A0" w:firstRow="1" w:lastRow="0" w:firstColumn="1" w:lastColumn="0" w:noHBand="0" w:noVBand="1"/>
        </w:tblPrEx>
        <w:trPr>
          <w:cantSplit/>
          <w:trHeight w:val="20"/>
        </w:trPr>
        <w:tc>
          <w:tcPr>
            <w:tcW w:w="1271" w:type="dxa"/>
          </w:tcPr>
          <w:p w14:paraId="2555F999" w14:textId="79BF6336" w:rsidR="00482BFD" w:rsidRDefault="00482BFD">
            <w:pPr>
              <w:jc w:val="center"/>
              <w:rPr>
                <w:rFonts w:ascii="Arial Narrow" w:eastAsia="Calibri" w:hAnsi="Arial Narrow"/>
                <w:sz w:val="20"/>
                <w:szCs w:val="20"/>
              </w:rPr>
            </w:pPr>
          </w:p>
        </w:tc>
        <w:tc>
          <w:tcPr>
            <w:tcW w:w="7745" w:type="dxa"/>
            <w:gridSpan w:val="6"/>
            <w:vAlign w:val="center"/>
          </w:tcPr>
          <w:p w14:paraId="6E552CD5" w14:textId="77777777" w:rsidR="00482BFD" w:rsidRPr="00446E53" w:rsidRDefault="00482BFD">
            <w:pPr>
              <w:rPr>
                <w:rFonts w:ascii="Arial Narrow" w:hAnsi="Arial Narrow"/>
                <w:b/>
                <w:bCs/>
                <w:color w:val="333333"/>
                <w:sz w:val="20"/>
                <w:szCs w:val="20"/>
              </w:rPr>
            </w:pPr>
            <w:r w:rsidRPr="00446E53">
              <w:rPr>
                <w:rFonts w:ascii="Arial Narrow" w:hAnsi="Arial Narrow"/>
                <w:b/>
                <w:bCs/>
                <w:color w:val="333333"/>
                <w:sz w:val="20"/>
                <w:szCs w:val="20"/>
              </w:rPr>
              <w:t xml:space="preserve">Clinical criteria: </w:t>
            </w:r>
          </w:p>
        </w:tc>
      </w:tr>
      <w:tr w:rsidR="00482BFD" w:rsidRPr="00446E53" w14:paraId="4B943899" w14:textId="77777777">
        <w:tblPrEx>
          <w:tblCellMar>
            <w:top w:w="15" w:type="dxa"/>
            <w:bottom w:w="15" w:type="dxa"/>
          </w:tblCellMar>
          <w:tblLook w:val="04A0" w:firstRow="1" w:lastRow="0" w:firstColumn="1" w:lastColumn="0" w:noHBand="0" w:noVBand="1"/>
        </w:tblPrEx>
        <w:trPr>
          <w:cantSplit/>
          <w:trHeight w:val="20"/>
        </w:trPr>
        <w:tc>
          <w:tcPr>
            <w:tcW w:w="1271" w:type="dxa"/>
          </w:tcPr>
          <w:p w14:paraId="7BBAB08F" w14:textId="52426F8E" w:rsidR="00482BFD" w:rsidRDefault="00482BFD">
            <w:pPr>
              <w:jc w:val="center"/>
              <w:rPr>
                <w:rFonts w:ascii="Arial Narrow" w:eastAsia="Calibri" w:hAnsi="Arial Narrow"/>
                <w:sz w:val="20"/>
                <w:szCs w:val="20"/>
              </w:rPr>
            </w:pPr>
          </w:p>
        </w:tc>
        <w:tc>
          <w:tcPr>
            <w:tcW w:w="7745" w:type="dxa"/>
            <w:gridSpan w:val="6"/>
          </w:tcPr>
          <w:p w14:paraId="44145F47" w14:textId="77777777" w:rsidR="00482BFD" w:rsidRPr="003C378E" w:rsidRDefault="00482BFD">
            <w:pPr>
              <w:rPr>
                <w:rFonts w:ascii="Arial Narrow" w:hAnsi="Arial Narrow"/>
                <w:strike/>
                <w:sz w:val="20"/>
                <w:szCs w:val="20"/>
              </w:rPr>
            </w:pPr>
            <w:r w:rsidRPr="003C378E">
              <w:rPr>
                <w:rFonts w:ascii="Arial Narrow" w:hAnsi="Arial Narrow"/>
                <w:strike/>
                <w:sz w:val="20"/>
                <w:szCs w:val="20"/>
              </w:rPr>
              <w:t>Patient must have received non-PBS-subsidised treatment with this biological medicine for the treatment of chronic severe atopic dermatitis affecting the whole body prior to &lt;&lt;insert listing date&gt;&gt;</w:t>
            </w:r>
          </w:p>
          <w:p w14:paraId="5C97EE0C" w14:textId="77777777" w:rsidR="00482BFD" w:rsidRPr="00446E53" w:rsidRDefault="00482BFD">
            <w:pPr>
              <w:rPr>
                <w:rFonts w:ascii="Arial Narrow" w:hAnsi="Arial Narrow"/>
                <w:b/>
                <w:bCs/>
                <w:color w:val="333333"/>
                <w:sz w:val="20"/>
                <w:szCs w:val="20"/>
              </w:rPr>
            </w:pPr>
            <w:r w:rsidRPr="003C378E">
              <w:rPr>
                <w:rFonts w:ascii="Arial Narrow" w:hAnsi="Arial Narrow" w:cs="Segoe UI"/>
                <w:i/>
                <w:iCs/>
                <w:sz w:val="20"/>
                <w:szCs w:val="20"/>
              </w:rPr>
              <w:t xml:space="preserve">Patient must have </w:t>
            </w:r>
            <w:r w:rsidRPr="00C63E85">
              <w:rPr>
                <w:rFonts w:ascii="Arial Narrow" w:hAnsi="Arial Narrow" w:cs="Segoe UI"/>
                <w:i/>
                <w:iCs/>
                <w:sz w:val="20"/>
                <w:szCs w:val="20"/>
              </w:rPr>
              <w:t>been receiving</w:t>
            </w:r>
            <w:r w:rsidRPr="003C378E">
              <w:rPr>
                <w:rFonts w:ascii="Arial Narrow" w:hAnsi="Arial Narrow" w:cs="Segoe UI"/>
                <w:i/>
                <w:iCs/>
                <w:sz w:val="20"/>
                <w:szCs w:val="20"/>
              </w:rPr>
              <w:t xml:space="preserve"> non-PBS-subsidised treatment with this drug for this condition prior to [date of listing]</w:t>
            </w:r>
          </w:p>
        </w:tc>
      </w:tr>
      <w:tr w:rsidR="00482BFD" w:rsidRPr="00446E53" w14:paraId="0A1D5D73" w14:textId="77777777">
        <w:tblPrEx>
          <w:tblCellMar>
            <w:top w:w="15" w:type="dxa"/>
            <w:bottom w:w="15" w:type="dxa"/>
          </w:tblCellMar>
          <w:tblLook w:val="04A0" w:firstRow="1" w:lastRow="0" w:firstColumn="1" w:lastColumn="0" w:noHBand="0" w:noVBand="1"/>
        </w:tblPrEx>
        <w:trPr>
          <w:cantSplit/>
          <w:trHeight w:val="20"/>
        </w:trPr>
        <w:tc>
          <w:tcPr>
            <w:tcW w:w="1271" w:type="dxa"/>
          </w:tcPr>
          <w:p w14:paraId="104C1130" w14:textId="77777777" w:rsidR="00482BFD" w:rsidRDefault="00482BFD">
            <w:pPr>
              <w:jc w:val="center"/>
              <w:rPr>
                <w:rFonts w:ascii="Arial Narrow" w:eastAsia="Calibri" w:hAnsi="Arial Narrow"/>
                <w:sz w:val="20"/>
                <w:szCs w:val="20"/>
              </w:rPr>
            </w:pPr>
          </w:p>
        </w:tc>
        <w:tc>
          <w:tcPr>
            <w:tcW w:w="7745" w:type="dxa"/>
            <w:gridSpan w:val="6"/>
            <w:vAlign w:val="center"/>
          </w:tcPr>
          <w:p w14:paraId="513C1C7A" w14:textId="77777777" w:rsidR="00482BFD" w:rsidRPr="00446E53" w:rsidRDefault="00482BFD">
            <w:pPr>
              <w:rPr>
                <w:rFonts w:ascii="Arial Narrow" w:hAnsi="Arial Narrow"/>
                <w:b/>
                <w:bCs/>
                <w:color w:val="333333"/>
                <w:sz w:val="20"/>
                <w:szCs w:val="20"/>
              </w:rPr>
            </w:pPr>
            <w:r w:rsidRPr="00446E53">
              <w:rPr>
                <w:rFonts w:ascii="Arial Narrow" w:hAnsi="Arial Narrow"/>
                <w:b/>
                <w:bCs/>
                <w:color w:val="333333"/>
                <w:sz w:val="20"/>
                <w:szCs w:val="20"/>
              </w:rPr>
              <w:t>AND</w:t>
            </w:r>
          </w:p>
        </w:tc>
      </w:tr>
      <w:tr w:rsidR="00482BFD" w:rsidRPr="00446E53" w14:paraId="666AB3C3" w14:textId="77777777">
        <w:tblPrEx>
          <w:tblCellMar>
            <w:top w:w="15" w:type="dxa"/>
            <w:bottom w:w="15" w:type="dxa"/>
          </w:tblCellMar>
          <w:tblLook w:val="04A0" w:firstRow="1" w:lastRow="0" w:firstColumn="1" w:lastColumn="0" w:noHBand="0" w:noVBand="1"/>
        </w:tblPrEx>
        <w:trPr>
          <w:cantSplit/>
          <w:trHeight w:val="20"/>
        </w:trPr>
        <w:tc>
          <w:tcPr>
            <w:tcW w:w="1271" w:type="dxa"/>
          </w:tcPr>
          <w:p w14:paraId="2396B230" w14:textId="59BE76BF" w:rsidR="00482BFD" w:rsidRDefault="00482BFD">
            <w:pPr>
              <w:jc w:val="center"/>
              <w:rPr>
                <w:rFonts w:ascii="Arial Narrow" w:eastAsia="Calibri" w:hAnsi="Arial Narrow"/>
                <w:sz w:val="20"/>
                <w:szCs w:val="20"/>
              </w:rPr>
            </w:pPr>
          </w:p>
        </w:tc>
        <w:tc>
          <w:tcPr>
            <w:tcW w:w="7745" w:type="dxa"/>
            <w:gridSpan w:val="6"/>
            <w:vAlign w:val="center"/>
          </w:tcPr>
          <w:p w14:paraId="673E91C2" w14:textId="77777777" w:rsidR="00482BFD" w:rsidRPr="00446E53" w:rsidRDefault="00482BFD">
            <w:pPr>
              <w:rPr>
                <w:rFonts w:ascii="Arial Narrow" w:hAnsi="Arial Narrow"/>
                <w:b/>
                <w:bCs/>
                <w:color w:val="333333"/>
                <w:sz w:val="20"/>
                <w:szCs w:val="20"/>
              </w:rPr>
            </w:pPr>
            <w:r w:rsidRPr="00446E53">
              <w:rPr>
                <w:rFonts w:ascii="Arial Narrow" w:hAnsi="Arial Narrow"/>
                <w:b/>
                <w:bCs/>
                <w:color w:val="333333"/>
                <w:sz w:val="20"/>
                <w:szCs w:val="20"/>
              </w:rPr>
              <w:t xml:space="preserve">Clinical criteria: </w:t>
            </w:r>
          </w:p>
        </w:tc>
      </w:tr>
      <w:tr w:rsidR="00482BFD" w:rsidRPr="00446E53" w14:paraId="540719C2" w14:textId="77777777">
        <w:tblPrEx>
          <w:tblCellMar>
            <w:top w:w="15" w:type="dxa"/>
            <w:bottom w:w="15" w:type="dxa"/>
          </w:tblCellMar>
          <w:tblLook w:val="04A0" w:firstRow="1" w:lastRow="0" w:firstColumn="1" w:lastColumn="0" w:noHBand="0" w:noVBand="1"/>
        </w:tblPrEx>
        <w:trPr>
          <w:cantSplit/>
          <w:trHeight w:val="20"/>
        </w:trPr>
        <w:tc>
          <w:tcPr>
            <w:tcW w:w="1271" w:type="dxa"/>
          </w:tcPr>
          <w:p w14:paraId="267F3C73" w14:textId="7ADE6742" w:rsidR="00482BFD" w:rsidRDefault="00482BFD">
            <w:pPr>
              <w:jc w:val="center"/>
              <w:rPr>
                <w:rFonts w:ascii="Arial Narrow" w:eastAsia="Calibri" w:hAnsi="Arial Narrow"/>
                <w:sz w:val="20"/>
                <w:szCs w:val="20"/>
              </w:rPr>
            </w:pPr>
          </w:p>
        </w:tc>
        <w:tc>
          <w:tcPr>
            <w:tcW w:w="7745" w:type="dxa"/>
            <w:gridSpan w:val="6"/>
          </w:tcPr>
          <w:p w14:paraId="7A3EBDDF" w14:textId="77777777" w:rsidR="00482BFD" w:rsidRPr="00446E53" w:rsidRDefault="00482BFD">
            <w:pPr>
              <w:rPr>
                <w:rFonts w:ascii="Arial Narrow" w:hAnsi="Arial Narrow"/>
                <w:b/>
                <w:bCs/>
                <w:color w:val="333333"/>
                <w:sz w:val="20"/>
                <w:szCs w:val="20"/>
              </w:rPr>
            </w:pPr>
            <w:r w:rsidRPr="00EC4F5F">
              <w:rPr>
                <w:rFonts w:ascii="Arial Narrow" w:hAnsi="Arial Narrow"/>
                <w:sz w:val="20"/>
                <w:szCs w:val="20"/>
              </w:rPr>
              <w:t>Patient must have</w:t>
            </w:r>
            <w:r>
              <w:rPr>
                <w:rFonts w:ascii="Arial Narrow" w:hAnsi="Arial Narrow"/>
                <w:sz w:val="20"/>
                <w:szCs w:val="20"/>
              </w:rPr>
              <w:t xml:space="preserve"> </w:t>
            </w:r>
            <w:r>
              <w:rPr>
                <w:rFonts w:ascii="Arial Narrow" w:hAnsi="Arial Narrow"/>
                <w:i/>
                <w:iCs/>
                <w:sz w:val="20"/>
                <w:szCs w:val="20"/>
              </w:rPr>
              <w:t>had</w:t>
            </w:r>
            <w:r w:rsidRPr="00EC4F5F">
              <w:rPr>
                <w:rFonts w:ascii="Arial Narrow" w:hAnsi="Arial Narrow"/>
                <w:sz w:val="20"/>
                <w:szCs w:val="20"/>
              </w:rPr>
              <w:t xml:space="preserve"> an Eczema Area and Severity Index (EASI) baseline score of at least 20 despite treatment with daily topical therapy (corticosteroid of medium to high potency/calcineurin inhibitor), for at least 28 days prior to commencing non-PBS-subsidised therapy with this biological medicine</w:t>
            </w:r>
          </w:p>
        </w:tc>
      </w:tr>
      <w:tr w:rsidR="00482BFD" w:rsidRPr="00446E53" w14:paraId="21C63192" w14:textId="77777777">
        <w:tblPrEx>
          <w:tblCellMar>
            <w:top w:w="15" w:type="dxa"/>
            <w:bottom w:w="15" w:type="dxa"/>
          </w:tblCellMar>
          <w:tblLook w:val="04A0" w:firstRow="1" w:lastRow="0" w:firstColumn="1" w:lastColumn="0" w:noHBand="0" w:noVBand="1"/>
        </w:tblPrEx>
        <w:trPr>
          <w:cantSplit/>
          <w:trHeight w:val="20"/>
        </w:trPr>
        <w:tc>
          <w:tcPr>
            <w:tcW w:w="1271" w:type="dxa"/>
          </w:tcPr>
          <w:p w14:paraId="2F740A29" w14:textId="77777777" w:rsidR="00482BFD" w:rsidRDefault="00482BFD">
            <w:pPr>
              <w:jc w:val="center"/>
              <w:rPr>
                <w:rFonts w:ascii="Arial Narrow" w:eastAsia="Calibri" w:hAnsi="Arial Narrow"/>
                <w:sz w:val="20"/>
                <w:szCs w:val="20"/>
              </w:rPr>
            </w:pPr>
          </w:p>
        </w:tc>
        <w:tc>
          <w:tcPr>
            <w:tcW w:w="7745" w:type="dxa"/>
            <w:gridSpan w:val="6"/>
            <w:vAlign w:val="center"/>
          </w:tcPr>
          <w:p w14:paraId="11B682D7" w14:textId="77777777" w:rsidR="00482BFD" w:rsidRPr="00446E53" w:rsidRDefault="00482BFD">
            <w:pPr>
              <w:rPr>
                <w:rFonts w:ascii="Arial Narrow" w:hAnsi="Arial Narrow"/>
                <w:b/>
                <w:bCs/>
                <w:color w:val="333333"/>
                <w:sz w:val="20"/>
                <w:szCs w:val="20"/>
              </w:rPr>
            </w:pPr>
            <w:r w:rsidRPr="00446E53">
              <w:rPr>
                <w:rFonts w:ascii="Arial Narrow" w:hAnsi="Arial Narrow"/>
                <w:b/>
                <w:bCs/>
                <w:color w:val="333333"/>
                <w:sz w:val="20"/>
                <w:szCs w:val="20"/>
              </w:rPr>
              <w:t>AND</w:t>
            </w:r>
          </w:p>
        </w:tc>
      </w:tr>
      <w:tr w:rsidR="00482BFD" w:rsidRPr="00446E53" w14:paraId="51E97FF4" w14:textId="77777777">
        <w:tblPrEx>
          <w:tblCellMar>
            <w:top w:w="15" w:type="dxa"/>
            <w:bottom w:w="15" w:type="dxa"/>
          </w:tblCellMar>
          <w:tblLook w:val="04A0" w:firstRow="1" w:lastRow="0" w:firstColumn="1" w:lastColumn="0" w:noHBand="0" w:noVBand="1"/>
        </w:tblPrEx>
        <w:trPr>
          <w:cantSplit/>
          <w:trHeight w:val="20"/>
        </w:trPr>
        <w:tc>
          <w:tcPr>
            <w:tcW w:w="1271" w:type="dxa"/>
          </w:tcPr>
          <w:p w14:paraId="4B68821C" w14:textId="412C4211" w:rsidR="00482BFD" w:rsidRDefault="00482BFD">
            <w:pPr>
              <w:jc w:val="center"/>
              <w:rPr>
                <w:rFonts w:ascii="Arial Narrow" w:eastAsia="Calibri" w:hAnsi="Arial Narrow"/>
                <w:sz w:val="20"/>
                <w:szCs w:val="20"/>
              </w:rPr>
            </w:pPr>
          </w:p>
        </w:tc>
        <w:tc>
          <w:tcPr>
            <w:tcW w:w="7745" w:type="dxa"/>
            <w:gridSpan w:val="6"/>
            <w:vAlign w:val="center"/>
          </w:tcPr>
          <w:p w14:paraId="03543E5F" w14:textId="77777777" w:rsidR="00482BFD" w:rsidRPr="00446E53" w:rsidRDefault="00482BFD">
            <w:pPr>
              <w:rPr>
                <w:rFonts w:ascii="Arial Narrow" w:hAnsi="Arial Narrow"/>
                <w:b/>
                <w:bCs/>
                <w:color w:val="333333"/>
                <w:sz w:val="20"/>
                <w:szCs w:val="20"/>
              </w:rPr>
            </w:pPr>
            <w:r w:rsidRPr="00446E53">
              <w:rPr>
                <w:rFonts w:ascii="Arial Narrow" w:hAnsi="Arial Narrow"/>
                <w:b/>
                <w:bCs/>
                <w:color w:val="333333"/>
                <w:sz w:val="20"/>
                <w:szCs w:val="20"/>
              </w:rPr>
              <w:t>Clinical criteria:</w:t>
            </w:r>
          </w:p>
        </w:tc>
      </w:tr>
      <w:tr w:rsidR="00482BFD" w:rsidRPr="00446E53" w14:paraId="298954CF" w14:textId="77777777">
        <w:tblPrEx>
          <w:tblCellMar>
            <w:top w:w="15" w:type="dxa"/>
            <w:bottom w:w="15" w:type="dxa"/>
          </w:tblCellMar>
          <w:tblLook w:val="04A0" w:firstRow="1" w:lastRow="0" w:firstColumn="1" w:lastColumn="0" w:noHBand="0" w:noVBand="1"/>
        </w:tblPrEx>
        <w:trPr>
          <w:cantSplit/>
          <w:trHeight w:val="20"/>
        </w:trPr>
        <w:tc>
          <w:tcPr>
            <w:tcW w:w="1271" w:type="dxa"/>
          </w:tcPr>
          <w:p w14:paraId="05DE8B63" w14:textId="59EF6003" w:rsidR="00482BFD" w:rsidRDefault="00482BFD">
            <w:pPr>
              <w:jc w:val="center"/>
              <w:rPr>
                <w:rFonts w:ascii="Arial Narrow" w:eastAsia="Calibri" w:hAnsi="Arial Narrow"/>
                <w:sz w:val="20"/>
                <w:szCs w:val="20"/>
              </w:rPr>
            </w:pPr>
          </w:p>
        </w:tc>
        <w:tc>
          <w:tcPr>
            <w:tcW w:w="7745" w:type="dxa"/>
            <w:gridSpan w:val="6"/>
          </w:tcPr>
          <w:p w14:paraId="459613FB" w14:textId="77777777" w:rsidR="00482BFD" w:rsidRPr="00446E53" w:rsidRDefault="00482BFD">
            <w:pPr>
              <w:rPr>
                <w:rFonts w:ascii="Arial Narrow" w:hAnsi="Arial Narrow"/>
                <w:b/>
                <w:bCs/>
                <w:color w:val="333333"/>
                <w:sz w:val="20"/>
                <w:szCs w:val="20"/>
              </w:rPr>
            </w:pPr>
            <w:r w:rsidRPr="00BB6A18">
              <w:rPr>
                <w:rFonts w:ascii="Arial Narrow" w:hAnsi="Arial Narrow"/>
                <w:sz w:val="20"/>
                <w:szCs w:val="20"/>
              </w:rPr>
              <w:t xml:space="preserve">Patient must have had a Physicians Global Assessment (PGA) </w:t>
            </w:r>
            <w:r w:rsidRPr="00F80B3A">
              <w:rPr>
                <w:rFonts w:ascii="Arial Narrow" w:hAnsi="Arial Narrow"/>
                <w:strike/>
                <w:sz w:val="20"/>
                <w:szCs w:val="20"/>
              </w:rPr>
              <w:t>(5-point scale)</w:t>
            </w:r>
            <w:r w:rsidRPr="00BB6A18">
              <w:rPr>
                <w:rFonts w:ascii="Arial Narrow" w:hAnsi="Arial Narrow"/>
                <w:sz w:val="20"/>
                <w:szCs w:val="20"/>
              </w:rPr>
              <w:t xml:space="preserve"> baseline score of at least 4 as evidence of severe disease despite treatment with daily topical therapy (corticosteroid of medium to high potency/calcineurin inhibitor), for at least 28 days prior to commencing non-PBS-subsidised therapy with this biological medicine</w:t>
            </w:r>
          </w:p>
        </w:tc>
      </w:tr>
      <w:tr w:rsidR="00482BFD" w:rsidRPr="00446E53" w14:paraId="289838C7" w14:textId="77777777">
        <w:tblPrEx>
          <w:tblCellMar>
            <w:top w:w="15" w:type="dxa"/>
            <w:bottom w:w="15" w:type="dxa"/>
          </w:tblCellMar>
          <w:tblLook w:val="04A0" w:firstRow="1" w:lastRow="0" w:firstColumn="1" w:lastColumn="0" w:noHBand="0" w:noVBand="1"/>
        </w:tblPrEx>
        <w:trPr>
          <w:cantSplit/>
          <w:trHeight w:val="20"/>
        </w:trPr>
        <w:tc>
          <w:tcPr>
            <w:tcW w:w="1271" w:type="dxa"/>
          </w:tcPr>
          <w:p w14:paraId="14874DC3" w14:textId="77777777" w:rsidR="00482BFD" w:rsidRDefault="00482BFD">
            <w:pPr>
              <w:jc w:val="center"/>
              <w:rPr>
                <w:rFonts w:ascii="Arial Narrow" w:eastAsia="Calibri" w:hAnsi="Arial Narrow"/>
                <w:sz w:val="20"/>
                <w:szCs w:val="20"/>
              </w:rPr>
            </w:pPr>
          </w:p>
        </w:tc>
        <w:tc>
          <w:tcPr>
            <w:tcW w:w="7745" w:type="dxa"/>
            <w:gridSpan w:val="6"/>
            <w:vAlign w:val="center"/>
          </w:tcPr>
          <w:p w14:paraId="25BEED09" w14:textId="77777777" w:rsidR="00482BFD" w:rsidRPr="00446E53" w:rsidRDefault="00482BFD">
            <w:pPr>
              <w:rPr>
                <w:rFonts w:ascii="Arial Narrow" w:hAnsi="Arial Narrow"/>
                <w:b/>
                <w:bCs/>
                <w:color w:val="333333"/>
                <w:sz w:val="20"/>
                <w:szCs w:val="20"/>
              </w:rPr>
            </w:pPr>
            <w:r w:rsidRPr="00446E53">
              <w:rPr>
                <w:rFonts w:ascii="Arial Narrow" w:hAnsi="Arial Narrow"/>
                <w:b/>
                <w:bCs/>
                <w:color w:val="333333"/>
                <w:sz w:val="20"/>
                <w:szCs w:val="20"/>
              </w:rPr>
              <w:t>AND</w:t>
            </w:r>
          </w:p>
        </w:tc>
      </w:tr>
      <w:tr w:rsidR="00482BFD" w:rsidRPr="00446E53" w14:paraId="54C7C3E8" w14:textId="77777777">
        <w:tblPrEx>
          <w:tblCellMar>
            <w:top w:w="15" w:type="dxa"/>
            <w:bottom w:w="15" w:type="dxa"/>
          </w:tblCellMar>
          <w:tblLook w:val="04A0" w:firstRow="1" w:lastRow="0" w:firstColumn="1" w:lastColumn="0" w:noHBand="0" w:noVBand="1"/>
        </w:tblPrEx>
        <w:trPr>
          <w:cantSplit/>
          <w:trHeight w:val="20"/>
        </w:trPr>
        <w:tc>
          <w:tcPr>
            <w:tcW w:w="1271" w:type="dxa"/>
          </w:tcPr>
          <w:p w14:paraId="72C70135" w14:textId="4F434B20" w:rsidR="00482BFD" w:rsidRDefault="00482BFD">
            <w:pPr>
              <w:jc w:val="center"/>
              <w:rPr>
                <w:rFonts w:ascii="Arial Narrow" w:eastAsia="Calibri" w:hAnsi="Arial Narrow"/>
                <w:sz w:val="20"/>
                <w:szCs w:val="20"/>
              </w:rPr>
            </w:pPr>
          </w:p>
        </w:tc>
        <w:tc>
          <w:tcPr>
            <w:tcW w:w="7745" w:type="dxa"/>
            <w:gridSpan w:val="6"/>
            <w:vAlign w:val="center"/>
          </w:tcPr>
          <w:p w14:paraId="57864311" w14:textId="77777777" w:rsidR="00482BFD" w:rsidRPr="00446E53" w:rsidRDefault="00482BFD">
            <w:pPr>
              <w:rPr>
                <w:rFonts w:ascii="Arial Narrow" w:hAnsi="Arial Narrow"/>
                <w:b/>
                <w:bCs/>
                <w:color w:val="333333"/>
                <w:sz w:val="20"/>
                <w:szCs w:val="20"/>
              </w:rPr>
            </w:pPr>
            <w:r w:rsidRPr="00446E53">
              <w:rPr>
                <w:rFonts w:ascii="Arial Narrow" w:hAnsi="Arial Narrow"/>
                <w:b/>
                <w:bCs/>
                <w:color w:val="333333"/>
                <w:sz w:val="20"/>
                <w:szCs w:val="20"/>
              </w:rPr>
              <w:t>Clinical criteria:</w:t>
            </w:r>
          </w:p>
        </w:tc>
      </w:tr>
      <w:tr w:rsidR="00482BFD" w:rsidRPr="00446E53" w14:paraId="3377DF55" w14:textId="77777777">
        <w:tblPrEx>
          <w:tblCellMar>
            <w:top w:w="15" w:type="dxa"/>
            <w:bottom w:w="15" w:type="dxa"/>
          </w:tblCellMar>
          <w:tblLook w:val="04A0" w:firstRow="1" w:lastRow="0" w:firstColumn="1" w:lastColumn="0" w:noHBand="0" w:noVBand="1"/>
        </w:tblPrEx>
        <w:trPr>
          <w:cantSplit/>
          <w:trHeight w:val="20"/>
        </w:trPr>
        <w:tc>
          <w:tcPr>
            <w:tcW w:w="1271" w:type="dxa"/>
          </w:tcPr>
          <w:p w14:paraId="0EB3883B" w14:textId="63A5E403" w:rsidR="00482BFD" w:rsidRDefault="00482BFD">
            <w:pPr>
              <w:jc w:val="center"/>
              <w:rPr>
                <w:rFonts w:ascii="Arial Narrow" w:eastAsia="Calibri" w:hAnsi="Arial Narrow"/>
                <w:sz w:val="20"/>
                <w:szCs w:val="20"/>
              </w:rPr>
            </w:pPr>
          </w:p>
        </w:tc>
        <w:tc>
          <w:tcPr>
            <w:tcW w:w="7745" w:type="dxa"/>
            <w:gridSpan w:val="6"/>
          </w:tcPr>
          <w:p w14:paraId="187DF6F5" w14:textId="77777777" w:rsidR="00482BFD" w:rsidRPr="00446E53" w:rsidRDefault="00482BFD">
            <w:pPr>
              <w:rPr>
                <w:rFonts w:ascii="Arial Narrow" w:hAnsi="Arial Narrow"/>
                <w:b/>
                <w:bCs/>
                <w:color w:val="333333"/>
                <w:sz w:val="20"/>
                <w:szCs w:val="20"/>
              </w:rPr>
            </w:pPr>
            <w:r w:rsidRPr="008030E1">
              <w:rPr>
                <w:rFonts w:ascii="Arial Narrow" w:hAnsi="Arial Narrow"/>
                <w:sz w:val="20"/>
                <w:szCs w:val="20"/>
              </w:rPr>
              <w:t>Patient must have an age appropriate Dermatology Life Quality Index (DLQI) baseline score (of any value) measured following treatment with daily topical therapy (corticosteroid of medium to high potency/calcineurin inhibitor), for at least 28 days</w:t>
            </w:r>
            <w:r>
              <w:rPr>
                <w:rFonts w:ascii="Arial Narrow" w:hAnsi="Arial Narrow"/>
                <w:i/>
                <w:iCs/>
                <w:sz w:val="20"/>
                <w:szCs w:val="20"/>
              </w:rPr>
              <w:t>,</w:t>
            </w:r>
            <w:r w:rsidRPr="008030E1">
              <w:rPr>
                <w:rFonts w:ascii="Arial Narrow" w:hAnsi="Arial Narrow"/>
                <w:sz w:val="20"/>
                <w:szCs w:val="20"/>
              </w:rPr>
              <w:t xml:space="preserve"> prior to </w:t>
            </w:r>
            <w:r>
              <w:rPr>
                <w:rFonts w:ascii="Arial Narrow" w:hAnsi="Arial Narrow"/>
                <w:i/>
                <w:iCs/>
                <w:sz w:val="20"/>
                <w:szCs w:val="20"/>
              </w:rPr>
              <w:t>having commenced</w:t>
            </w:r>
            <w:r w:rsidRPr="00E769EA">
              <w:rPr>
                <w:rFonts w:ascii="Arial Narrow" w:hAnsi="Arial Narrow"/>
                <w:i/>
                <w:iCs/>
                <w:strike/>
                <w:sz w:val="20"/>
                <w:szCs w:val="20"/>
              </w:rPr>
              <w:t xml:space="preserve"> </w:t>
            </w:r>
            <w:r w:rsidRPr="00E769EA">
              <w:rPr>
                <w:rFonts w:ascii="Arial Narrow" w:hAnsi="Arial Narrow"/>
                <w:strike/>
                <w:sz w:val="20"/>
                <w:szCs w:val="20"/>
              </w:rPr>
              <w:t>commencing</w:t>
            </w:r>
            <w:r w:rsidRPr="008030E1">
              <w:rPr>
                <w:rFonts w:ascii="Arial Narrow" w:hAnsi="Arial Narrow"/>
                <w:sz w:val="20"/>
                <w:szCs w:val="20"/>
              </w:rPr>
              <w:t xml:space="preserve"> non-PBS-subsidised therapy with this biological medicine; or </w:t>
            </w:r>
          </w:p>
        </w:tc>
      </w:tr>
      <w:tr w:rsidR="00482BFD" w:rsidRPr="00446E53" w14:paraId="5B70CBD8" w14:textId="77777777">
        <w:tblPrEx>
          <w:tblCellMar>
            <w:top w:w="15" w:type="dxa"/>
            <w:bottom w:w="15" w:type="dxa"/>
          </w:tblCellMar>
          <w:tblLook w:val="04A0" w:firstRow="1" w:lastRow="0" w:firstColumn="1" w:lastColumn="0" w:noHBand="0" w:noVBand="1"/>
        </w:tblPrEx>
        <w:trPr>
          <w:cantSplit/>
          <w:trHeight w:val="20"/>
        </w:trPr>
        <w:tc>
          <w:tcPr>
            <w:tcW w:w="1271" w:type="dxa"/>
          </w:tcPr>
          <w:p w14:paraId="18BFA0EA" w14:textId="6E293BAD" w:rsidR="00482BFD" w:rsidRDefault="00482BFD">
            <w:pPr>
              <w:jc w:val="center"/>
              <w:rPr>
                <w:rFonts w:ascii="Arial Narrow" w:eastAsia="Calibri" w:hAnsi="Arial Narrow"/>
                <w:sz w:val="20"/>
                <w:szCs w:val="20"/>
              </w:rPr>
            </w:pPr>
          </w:p>
        </w:tc>
        <w:tc>
          <w:tcPr>
            <w:tcW w:w="7745" w:type="dxa"/>
            <w:gridSpan w:val="6"/>
            <w:vAlign w:val="center"/>
          </w:tcPr>
          <w:p w14:paraId="0A8CED1B" w14:textId="77777777" w:rsidR="00482BFD" w:rsidRPr="00446E53" w:rsidRDefault="00482BFD">
            <w:pPr>
              <w:rPr>
                <w:rFonts w:ascii="Arial Narrow" w:hAnsi="Arial Narrow"/>
                <w:b/>
                <w:bCs/>
                <w:color w:val="333333"/>
                <w:sz w:val="20"/>
                <w:szCs w:val="20"/>
              </w:rPr>
            </w:pPr>
            <w:r w:rsidRPr="008030E1">
              <w:rPr>
                <w:rFonts w:ascii="Arial Narrow" w:hAnsi="Arial Narrow"/>
                <w:sz w:val="20"/>
                <w:szCs w:val="20"/>
              </w:rPr>
              <w:t>Patient must have, where the above baseline DLQI was not recorded in the patient's medical records, a current age-appropriate DLQI score (of any value) measured</w:t>
            </w:r>
          </w:p>
        </w:tc>
      </w:tr>
      <w:tr w:rsidR="00482BFD" w:rsidRPr="00446E53" w14:paraId="55097B5E" w14:textId="77777777">
        <w:tblPrEx>
          <w:tblCellMar>
            <w:top w:w="15" w:type="dxa"/>
            <w:bottom w:w="15" w:type="dxa"/>
          </w:tblCellMar>
          <w:tblLook w:val="04A0" w:firstRow="1" w:lastRow="0" w:firstColumn="1" w:lastColumn="0" w:noHBand="0" w:noVBand="1"/>
        </w:tblPrEx>
        <w:trPr>
          <w:cantSplit/>
          <w:trHeight w:val="20"/>
        </w:trPr>
        <w:tc>
          <w:tcPr>
            <w:tcW w:w="1271" w:type="dxa"/>
          </w:tcPr>
          <w:p w14:paraId="11490FAA" w14:textId="77777777" w:rsidR="00482BFD" w:rsidRDefault="00482BFD">
            <w:pPr>
              <w:jc w:val="center"/>
              <w:rPr>
                <w:rFonts w:ascii="Arial Narrow" w:eastAsia="Calibri" w:hAnsi="Arial Narrow"/>
                <w:sz w:val="20"/>
                <w:szCs w:val="20"/>
              </w:rPr>
            </w:pPr>
          </w:p>
        </w:tc>
        <w:tc>
          <w:tcPr>
            <w:tcW w:w="7745" w:type="dxa"/>
            <w:gridSpan w:val="6"/>
            <w:vAlign w:val="center"/>
          </w:tcPr>
          <w:p w14:paraId="3AEA9957" w14:textId="77777777" w:rsidR="00482BFD" w:rsidRPr="00446E53" w:rsidRDefault="00482BFD">
            <w:pPr>
              <w:rPr>
                <w:rFonts w:ascii="Arial Narrow" w:hAnsi="Arial Narrow"/>
                <w:b/>
                <w:bCs/>
                <w:color w:val="333333"/>
                <w:sz w:val="20"/>
                <w:szCs w:val="20"/>
              </w:rPr>
            </w:pPr>
            <w:r w:rsidRPr="00446E53">
              <w:rPr>
                <w:rFonts w:ascii="Arial Narrow" w:hAnsi="Arial Narrow"/>
                <w:b/>
                <w:bCs/>
                <w:color w:val="333333"/>
                <w:sz w:val="20"/>
                <w:szCs w:val="20"/>
              </w:rPr>
              <w:t>AND</w:t>
            </w:r>
          </w:p>
        </w:tc>
      </w:tr>
      <w:tr w:rsidR="00482BFD" w:rsidRPr="00446E53" w14:paraId="040BDDBD" w14:textId="77777777">
        <w:tblPrEx>
          <w:tblCellMar>
            <w:top w:w="15" w:type="dxa"/>
            <w:bottom w:w="15" w:type="dxa"/>
          </w:tblCellMar>
          <w:tblLook w:val="04A0" w:firstRow="1" w:lastRow="0" w:firstColumn="1" w:lastColumn="0" w:noHBand="0" w:noVBand="1"/>
        </w:tblPrEx>
        <w:trPr>
          <w:cantSplit/>
          <w:trHeight w:val="20"/>
        </w:trPr>
        <w:tc>
          <w:tcPr>
            <w:tcW w:w="1271" w:type="dxa"/>
          </w:tcPr>
          <w:p w14:paraId="67CE9A0A" w14:textId="3EE34DF7" w:rsidR="00482BFD" w:rsidRDefault="00482BFD">
            <w:pPr>
              <w:jc w:val="center"/>
              <w:rPr>
                <w:rFonts w:ascii="Arial Narrow" w:eastAsia="Calibri" w:hAnsi="Arial Narrow"/>
                <w:sz w:val="20"/>
                <w:szCs w:val="20"/>
              </w:rPr>
            </w:pPr>
          </w:p>
        </w:tc>
        <w:tc>
          <w:tcPr>
            <w:tcW w:w="7745" w:type="dxa"/>
            <w:gridSpan w:val="6"/>
            <w:vAlign w:val="center"/>
          </w:tcPr>
          <w:p w14:paraId="7BF86A1D" w14:textId="77777777" w:rsidR="00482BFD" w:rsidRPr="00446E53" w:rsidRDefault="00482BFD">
            <w:pPr>
              <w:rPr>
                <w:rFonts w:ascii="Arial Narrow" w:hAnsi="Arial Narrow"/>
                <w:b/>
                <w:bCs/>
                <w:color w:val="333333"/>
                <w:sz w:val="20"/>
                <w:szCs w:val="20"/>
              </w:rPr>
            </w:pPr>
            <w:r w:rsidRPr="00446E53">
              <w:rPr>
                <w:rFonts w:ascii="Arial Narrow" w:hAnsi="Arial Narrow"/>
                <w:b/>
                <w:bCs/>
                <w:color w:val="333333"/>
                <w:sz w:val="20"/>
                <w:szCs w:val="20"/>
              </w:rPr>
              <w:t>Clinical criteria:</w:t>
            </w:r>
          </w:p>
        </w:tc>
      </w:tr>
      <w:tr w:rsidR="00482BFD" w:rsidRPr="00446E53" w14:paraId="45461B4B" w14:textId="77777777">
        <w:tblPrEx>
          <w:tblCellMar>
            <w:top w:w="15" w:type="dxa"/>
            <w:bottom w:w="15" w:type="dxa"/>
          </w:tblCellMar>
          <w:tblLook w:val="04A0" w:firstRow="1" w:lastRow="0" w:firstColumn="1" w:lastColumn="0" w:noHBand="0" w:noVBand="1"/>
        </w:tblPrEx>
        <w:trPr>
          <w:cantSplit/>
          <w:trHeight w:val="20"/>
        </w:trPr>
        <w:tc>
          <w:tcPr>
            <w:tcW w:w="1271" w:type="dxa"/>
          </w:tcPr>
          <w:p w14:paraId="5646513C" w14:textId="3132C8C9" w:rsidR="00482BFD" w:rsidRDefault="00482BFD">
            <w:pPr>
              <w:jc w:val="center"/>
              <w:rPr>
                <w:rFonts w:ascii="Arial Narrow" w:eastAsia="Calibri" w:hAnsi="Arial Narrow"/>
                <w:sz w:val="20"/>
                <w:szCs w:val="20"/>
              </w:rPr>
            </w:pPr>
          </w:p>
        </w:tc>
        <w:tc>
          <w:tcPr>
            <w:tcW w:w="7745" w:type="dxa"/>
            <w:gridSpan w:val="6"/>
            <w:vAlign w:val="center"/>
          </w:tcPr>
          <w:p w14:paraId="62A73FC4" w14:textId="77777777" w:rsidR="00482BFD" w:rsidRPr="00446E53" w:rsidRDefault="00482BFD">
            <w:pPr>
              <w:rPr>
                <w:rFonts w:ascii="Arial Narrow" w:hAnsi="Arial Narrow"/>
                <w:b/>
                <w:bCs/>
                <w:color w:val="333333"/>
                <w:sz w:val="20"/>
                <w:szCs w:val="20"/>
              </w:rPr>
            </w:pPr>
            <w:r w:rsidRPr="00B60F96">
              <w:rPr>
                <w:rFonts w:ascii="Arial Narrow" w:hAnsi="Arial Narrow"/>
                <w:sz w:val="20"/>
                <w:szCs w:val="20"/>
              </w:rPr>
              <w:t>The condition must have had lesions for at least 6 months from the time of the initial diagnosis of chronic severe atopic dermatitis affecting either of: (i) the whole body, (ii) face/ha</w:t>
            </w:r>
            <w:r w:rsidRPr="00B862AD">
              <w:rPr>
                <w:rFonts w:ascii="Arial Narrow" w:hAnsi="Arial Narrow"/>
                <w:sz w:val="20"/>
                <w:szCs w:val="20"/>
              </w:rPr>
              <w:t>nds, prior to commencing non-PBS-subsidised therapy with this biological medicine</w:t>
            </w:r>
          </w:p>
        </w:tc>
      </w:tr>
      <w:tr w:rsidR="00482BFD" w:rsidRPr="00446E53" w14:paraId="768A3DC9" w14:textId="77777777">
        <w:tblPrEx>
          <w:tblCellMar>
            <w:top w:w="15" w:type="dxa"/>
            <w:bottom w:w="15" w:type="dxa"/>
          </w:tblCellMar>
          <w:tblLook w:val="04A0" w:firstRow="1" w:lastRow="0" w:firstColumn="1" w:lastColumn="0" w:noHBand="0" w:noVBand="1"/>
        </w:tblPrEx>
        <w:trPr>
          <w:cantSplit/>
          <w:trHeight w:val="20"/>
        </w:trPr>
        <w:tc>
          <w:tcPr>
            <w:tcW w:w="1271" w:type="dxa"/>
          </w:tcPr>
          <w:p w14:paraId="2D91E4F6" w14:textId="77777777" w:rsidR="00482BFD" w:rsidRDefault="00482BFD">
            <w:pPr>
              <w:jc w:val="center"/>
              <w:rPr>
                <w:rFonts w:ascii="Arial Narrow" w:eastAsia="Calibri" w:hAnsi="Arial Narrow"/>
                <w:sz w:val="20"/>
                <w:szCs w:val="20"/>
              </w:rPr>
            </w:pPr>
          </w:p>
        </w:tc>
        <w:tc>
          <w:tcPr>
            <w:tcW w:w="7745" w:type="dxa"/>
            <w:gridSpan w:val="6"/>
            <w:vAlign w:val="center"/>
          </w:tcPr>
          <w:p w14:paraId="51098D9A" w14:textId="77777777" w:rsidR="00482BFD" w:rsidRPr="00446E53" w:rsidRDefault="00482BFD">
            <w:pPr>
              <w:rPr>
                <w:rFonts w:ascii="Arial Narrow" w:hAnsi="Arial Narrow"/>
                <w:b/>
                <w:bCs/>
                <w:color w:val="333333"/>
                <w:sz w:val="20"/>
                <w:szCs w:val="20"/>
              </w:rPr>
            </w:pPr>
            <w:r w:rsidRPr="00446E53">
              <w:rPr>
                <w:rFonts w:ascii="Arial Narrow" w:hAnsi="Arial Narrow"/>
                <w:b/>
                <w:bCs/>
                <w:color w:val="333333"/>
                <w:sz w:val="20"/>
                <w:szCs w:val="20"/>
              </w:rPr>
              <w:t>AND</w:t>
            </w:r>
          </w:p>
        </w:tc>
      </w:tr>
      <w:tr w:rsidR="00482BFD" w:rsidRPr="00446E53" w14:paraId="738187F8" w14:textId="77777777">
        <w:tblPrEx>
          <w:tblCellMar>
            <w:top w:w="15" w:type="dxa"/>
            <w:bottom w:w="15" w:type="dxa"/>
          </w:tblCellMar>
          <w:tblLook w:val="04A0" w:firstRow="1" w:lastRow="0" w:firstColumn="1" w:lastColumn="0" w:noHBand="0" w:noVBand="1"/>
        </w:tblPrEx>
        <w:trPr>
          <w:cantSplit/>
          <w:trHeight w:val="20"/>
        </w:trPr>
        <w:tc>
          <w:tcPr>
            <w:tcW w:w="1271" w:type="dxa"/>
          </w:tcPr>
          <w:p w14:paraId="02576234" w14:textId="46CF6DFF" w:rsidR="00482BFD" w:rsidRPr="00A07FC5" w:rsidRDefault="00482BFD">
            <w:pPr>
              <w:jc w:val="center"/>
              <w:rPr>
                <w:rFonts w:ascii="Arial Narrow" w:eastAsia="Calibri" w:hAnsi="Arial Narrow"/>
                <w:i/>
                <w:sz w:val="20"/>
                <w:szCs w:val="20"/>
              </w:rPr>
            </w:pPr>
          </w:p>
        </w:tc>
        <w:tc>
          <w:tcPr>
            <w:tcW w:w="7745" w:type="dxa"/>
            <w:gridSpan w:val="6"/>
            <w:vAlign w:val="center"/>
          </w:tcPr>
          <w:p w14:paraId="6D5F13A5" w14:textId="77777777" w:rsidR="00482BFD" w:rsidRPr="00446E53" w:rsidRDefault="00482BFD">
            <w:pPr>
              <w:rPr>
                <w:rFonts w:ascii="Arial Narrow" w:hAnsi="Arial Narrow"/>
                <w:b/>
                <w:bCs/>
                <w:color w:val="333333"/>
                <w:sz w:val="20"/>
                <w:szCs w:val="20"/>
              </w:rPr>
            </w:pPr>
            <w:r w:rsidRPr="00446E53">
              <w:rPr>
                <w:rFonts w:ascii="Arial Narrow" w:hAnsi="Arial Narrow"/>
                <w:b/>
                <w:bCs/>
                <w:color w:val="333333"/>
                <w:sz w:val="20"/>
                <w:szCs w:val="20"/>
              </w:rPr>
              <w:t>Clinical criteria:</w:t>
            </w:r>
          </w:p>
        </w:tc>
      </w:tr>
      <w:tr w:rsidR="00482BFD" w:rsidRPr="00446E53" w14:paraId="73CEAD0F" w14:textId="77777777">
        <w:tblPrEx>
          <w:tblCellMar>
            <w:top w:w="15" w:type="dxa"/>
            <w:bottom w:w="15" w:type="dxa"/>
          </w:tblCellMar>
          <w:tblLook w:val="04A0" w:firstRow="1" w:lastRow="0" w:firstColumn="1" w:lastColumn="0" w:noHBand="0" w:noVBand="1"/>
        </w:tblPrEx>
        <w:trPr>
          <w:cantSplit/>
          <w:trHeight w:val="20"/>
        </w:trPr>
        <w:tc>
          <w:tcPr>
            <w:tcW w:w="1271" w:type="dxa"/>
          </w:tcPr>
          <w:p w14:paraId="7536E108" w14:textId="080BBB73" w:rsidR="00482BFD" w:rsidRPr="00A07FC5" w:rsidRDefault="00482BFD">
            <w:pPr>
              <w:jc w:val="center"/>
              <w:rPr>
                <w:rFonts w:ascii="Arial Narrow" w:eastAsia="Calibri" w:hAnsi="Arial Narrow"/>
                <w:i/>
                <w:sz w:val="20"/>
                <w:szCs w:val="20"/>
              </w:rPr>
            </w:pPr>
          </w:p>
        </w:tc>
        <w:tc>
          <w:tcPr>
            <w:tcW w:w="7745" w:type="dxa"/>
            <w:gridSpan w:val="6"/>
          </w:tcPr>
          <w:p w14:paraId="5563E17F" w14:textId="77777777" w:rsidR="00482BFD" w:rsidRPr="00A07FC5" w:rsidRDefault="00482BFD">
            <w:pPr>
              <w:rPr>
                <w:rFonts w:ascii="Arial Narrow" w:hAnsi="Arial Narrow"/>
                <w:b/>
                <w:i/>
                <w:color w:val="333333"/>
                <w:sz w:val="20"/>
                <w:szCs w:val="20"/>
              </w:rPr>
            </w:pPr>
            <w:r w:rsidRPr="00B862AD">
              <w:rPr>
                <w:rFonts w:ascii="Arial Narrow" w:hAnsi="Arial Narrow"/>
                <w:sz w:val="20"/>
                <w:szCs w:val="20"/>
              </w:rPr>
              <w:t>Patient must not be experiencing an inadequate response to current non-PBS-subsidised therapy with this biological medicine</w:t>
            </w:r>
            <w:r>
              <w:rPr>
                <w:rFonts w:ascii="Arial Narrow" w:hAnsi="Arial Narrow"/>
                <w:i/>
                <w:iCs/>
                <w:sz w:val="20"/>
                <w:szCs w:val="20"/>
              </w:rPr>
              <w:t xml:space="preserve">, if they have received at least 16 weeks of therapy. </w:t>
            </w:r>
          </w:p>
        </w:tc>
      </w:tr>
      <w:tr w:rsidR="00482BFD" w:rsidRPr="00446E53" w14:paraId="31884C58" w14:textId="77777777">
        <w:tblPrEx>
          <w:tblCellMar>
            <w:top w:w="15" w:type="dxa"/>
            <w:bottom w:w="15" w:type="dxa"/>
          </w:tblCellMar>
          <w:tblLook w:val="04A0" w:firstRow="1" w:lastRow="0" w:firstColumn="1" w:lastColumn="0" w:noHBand="0" w:noVBand="1"/>
        </w:tblPrEx>
        <w:trPr>
          <w:cantSplit/>
          <w:trHeight w:val="20"/>
        </w:trPr>
        <w:tc>
          <w:tcPr>
            <w:tcW w:w="1271" w:type="dxa"/>
          </w:tcPr>
          <w:p w14:paraId="5AD2162D" w14:textId="77777777" w:rsidR="00482BFD" w:rsidRDefault="00482BFD">
            <w:pPr>
              <w:jc w:val="center"/>
              <w:rPr>
                <w:rFonts w:ascii="Arial Narrow" w:eastAsia="Calibri" w:hAnsi="Arial Narrow"/>
                <w:sz w:val="20"/>
                <w:szCs w:val="20"/>
              </w:rPr>
            </w:pPr>
          </w:p>
        </w:tc>
        <w:tc>
          <w:tcPr>
            <w:tcW w:w="7745" w:type="dxa"/>
            <w:gridSpan w:val="6"/>
            <w:vAlign w:val="center"/>
          </w:tcPr>
          <w:p w14:paraId="48A9B4C2" w14:textId="77777777" w:rsidR="00482BFD" w:rsidRPr="00446E53" w:rsidRDefault="00482BFD">
            <w:pPr>
              <w:rPr>
                <w:rFonts w:ascii="Arial Narrow" w:hAnsi="Arial Narrow"/>
                <w:b/>
                <w:bCs/>
                <w:color w:val="333333"/>
                <w:sz w:val="20"/>
                <w:szCs w:val="20"/>
              </w:rPr>
            </w:pPr>
            <w:r w:rsidRPr="00446E53">
              <w:rPr>
                <w:rFonts w:ascii="Arial Narrow" w:hAnsi="Arial Narrow" w:cs="Arial Narrow"/>
                <w:b/>
                <w:bCs/>
                <w:iCs/>
                <w:sz w:val="20"/>
                <w:szCs w:val="20"/>
              </w:rPr>
              <w:t>AND</w:t>
            </w:r>
          </w:p>
        </w:tc>
      </w:tr>
      <w:tr w:rsidR="00482BFD" w:rsidRPr="00446E53" w14:paraId="1C8C7A70" w14:textId="77777777">
        <w:tblPrEx>
          <w:tblCellMar>
            <w:top w:w="15" w:type="dxa"/>
            <w:bottom w:w="15" w:type="dxa"/>
          </w:tblCellMar>
          <w:tblLook w:val="04A0" w:firstRow="1" w:lastRow="0" w:firstColumn="1" w:lastColumn="0" w:noHBand="0" w:noVBand="1"/>
        </w:tblPrEx>
        <w:trPr>
          <w:cantSplit/>
          <w:trHeight w:val="20"/>
        </w:trPr>
        <w:tc>
          <w:tcPr>
            <w:tcW w:w="1271" w:type="dxa"/>
          </w:tcPr>
          <w:p w14:paraId="54E5ABF3" w14:textId="4522D27D" w:rsidR="00482BFD" w:rsidRDefault="00482BFD">
            <w:pPr>
              <w:jc w:val="center"/>
              <w:rPr>
                <w:rFonts w:ascii="Arial Narrow" w:eastAsia="Calibri" w:hAnsi="Arial Narrow"/>
                <w:sz w:val="20"/>
                <w:szCs w:val="20"/>
              </w:rPr>
            </w:pPr>
          </w:p>
        </w:tc>
        <w:tc>
          <w:tcPr>
            <w:tcW w:w="7745" w:type="dxa"/>
            <w:gridSpan w:val="6"/>
          </w:tcPr>
          <w:p w14:paraId="0A027D45" w14:textId="77777777" w:rsidR="00482BFD" w:rsidRPr="00446E53" w:rsidRDefault="00482BFD">
            <w:pPr>
              <w:rPr>
                <w:rFonts w:ascii="Arial Narrow" w:hAnsi="Arial Narrow"/>
                <w:b/>
                <w:bCs/>
                <w:color w:val="333333"/>
                <w:sz w:val="20"/>
                <w:szCs w:val="20"/>
              </w:rPr>
            </w:pPr>
            <w:r w:rsidRPr="001164F4">
              <w:rPr>
                <w:rFonts w:ascii="Arial Narrow" w:eastAsia="Calibri" w:hAnsi="Arial Narrow"/>
                <w:b/>
                <w:bCs/>
                <w:strike/>
                <w:sz w:val="20"/>
                <w:szCs w:val="20"/>
              </w:rPr>
              <w:t>Treatment</w:t>
            </w:r>
            <w:r>
              <w:rPr>
                <w:rFonts w:ascii="Arial Narrow" w:eastAsia="Calibri" w:hAnsi="Arial Narrow"/>
                <w:b/>
                <w:bCs/>
                <w:sz w:val="20"/>
                <w:szCs w:val="20"/>
              </w:rPr>
              <w:t xml:space="preserve"> </w:t>
            </w:r>
            <w:r>
              <w:rPr>
                <w:rFonts w:ascii="Arial Narrow" w:eastAsia="Calibri" w:hAnsi="Arial Narrow"/>
                <w:b/>
                <w:bCs/>
                <w:i/>
                <w:iCs/>
                <w:sz w:val="20"/>
                <w:szCs w:val="20"/>
              </w:rPr>
              <w:t xml:space="preserve">Clinical </w:t>
            </w:r>
            <w:r>
              <w:rPr>
                <w:rFonts w:ascii="Arial Narrow" w:eastAsia="Calibri" w:hAnsi="Arial Narrow"/>
                <w:b/>
                <w:bCs/>
                <w:sz w:val="20"/>
                <w:szCs w:val="20"/>
              </w:rPr>
              <w:t xml:space="preserve">criteria: </w:t>
            </w:r>
          </w:p>
        </w:tc>
      </w:tr>
      <w:tr w:rsidR="00482BFD" w:rsidRPr="00446E53" w14:paraId="0E2DE7F9" w14:textId="77777777">
        <w:tblPrEx>
          <w:tblCellMar>
            <w:top w:w="15" w:type="dxa"/>
            <w:bottom w:w="15" w:type="dxa"/>
          </w:tblCellMar>
          <w:tblLook w:val="04A0" w:firstRow="1" w:lastRow="0" w:firstColumn="1" w:lastColumn="0" w:noHBand="0" w:noVBand="1"/>
        </w:tblPrEx>
        <w:trPr>
          <w:cantSplit/>
          <w:trHeight w:val="20"/>
        </w:trPr>
        <w:tc>
          <w:tcPr>
            <w:tcW w:w="1271" w:type="dxa"/>
          </w:tcPr>
          <w:p w14:paraId="5441E145" w14:textId="63F1E996" w:rsidR="00482BFD" w:rsidRDefault="00482BFD">
            <w:pPr>
              <w:jc w:val="center"/>
              <w:rPr>
                <w:rFonts w:ascii="Arial Narrow" w:eastAsia="Calibri" w:hAnsi="Arial Narrow"/>
                <w:sz w:val="20"/>
                <w:szCs w:val="20"/>
              </w:rPr>
            </w:pPr>
          </w:p>
        </w:tc>
        <w:tc>
          <w:tcPr>
            <w:tcW w:w="7745" w:type="dxa"/>
            <w:gridSpan w:val="6"/>
          </w:tcPr>
          <w:p w14:paraId="7E6BF1F3" w14:textId="77777777" w:rsidR="00482BFD" w:rsidRPr="00446E53" w:rsidRDefault="00482BFD">
            <w:pPr>
              <w:rPr>
                <w:rFonts w:ascii="Arial Narrow" w:hAnsi="Arial Narrow"/>
                <w:b/>
                <w:bCs/>
                <w:color w:val="333333"/>
                <w:sz w:val="20"/>
                <w:szCs w:val="20"/>
              </w:rPr>
            </w:pPr>
            <w:r w:rsidRPr="00A14516">
              <w:rPr>
                <w:rFonts w:ascii="Arial Narrow" w:eastAsia="Calibri" w:hAnsi="Arial Narrow"/>
                <w:sz w:val="20"/>
                <w:szCs w:val="20"/>
              </w:rPr>
              <w:t>The treatment must be the sole PBS-subsidised biological medicine for this PBS indication</w:t>
            </w:r>
          </w:p>
        </w:tc>
      </w:tr>
      <w:tr w:rsidR="00482BFD" w:rsidRPr="00446E53" w14:paraId="1A174F08" w14:textId="77777777">
        <w:tblPrEx>
          <w:tblCellMar>
            <w:top w:w="15" w:type="dxa"/>
            <w:bottom w:w="15" w:type="dxa"/>
          </w:tblCellMar>
          <w:tblLook w:val="04A0" w:firstRow="1" w:lastRow="0" w:firstColumn="1" w:lastColumn="0" w:noHBand="0" w:noVBand="1"/>
        </w:tblPrEx>
        <w:trPr>
          <w:cantSplit/>
          <w:trHeight w:val="20"/>
        </w:trPr>
        <w:tc>
          <w:tcPr>
            <w:tcW w:w="1271" w:type="dxa"/>
          </w:tcPr>
          <w:p w14:paraId="1228F621" w14:textId="529B1A13" w:rsidR="00482BFD" w:rsidRDefault="00482BFD">
            <w:pPr>
              <w:jc w:val="center"/>
              <w:rPr>
                <w:rFonts w:ascii="Arial Narrow" w:hAnsi="Arial Narrow"/>
                <w:color w:val="333333"/>
                <w:sz w:val="20"/>
                <w:szCs w:val="20"/>
              </w:rPr>
            </w:pPr>
          </w:p>
        </w:tc>
        <w:tc>
          <w:tcPr>
            <w:tcW w:w="7745" w:type="dxa"/>
            <w:gridSpan w:val="6"/>
          </w:tcPr>
          <w:p w14:paraId="48770C15" w14:textId="77777777" w:rsidR="00482BFD" w:rsidRPr="00A14516" w:rsidRDefault="00482BFD">
            <w:pPr>
              <w:rPr>
                <w:rFonts w:ascii="Arial Narrow" w:eastAsia="Calibri" w:hAnsi="Arial Narrow"/>
                <w:sz w:val="20"/>
                <w:szCs w:val="20"/>
              </w:rPr>
            </w:pPr>
            <w:r>
              <w:rPr>
                <w:rFonts w:ascii="Arial Narrow" w:eastAsia="Calibri" w:hAnsi="Arial Narrow"/>
                <w:b/>
                <w:bCs/>
                <w:sz w:val="20"/>
                <w:szCs w:val="20"/>
              </w:rPr>
              <w:t xml:space="preserve">Treatment criteria: </w:t>
            </w:r>
          </w:p>
        </w:tc>
      </w:tr>
      <w:tr w:rsidR="00482BFD" w:rsidRPr="00446E53" w14:paraId="7883C348" w14:textId="77777777">
        <w:tblPrEx>
          <w:tblCellMar>
            <w:top w:w="15" w:type="dxa"/>
            <w:bottom w:w="15" w:type="dxa"/>
          </w:tblCellMar>
          <w:tblLook w:val="04A0" w:firstRow="1" w:lastRow="0" w:firstColumn="1" w:lastColumn="0" w:noHBand="0" w:noVBand="1"/>
        </w:tblPrEx>
        <w:trPr>
          <w:cantSplit/>
          <w:trHeight w:val="20"/>
        </w:trPr>
        <w:tc>
          <w:tcPr>
            <w:tcW w:w="1271" w:type="dxa"/>
          </w:tcPr>
          <w:p w14:paraId="0B3FB1BD" w14:textId="23442B0A" w:rsidR="00482BFD" w:rsidRDefault="00482BFD">
            <w:pPr>
              <w:jc w:val="center"/>
              <w:rPr>
                <w:rFonts w:ascii="Arial Narrow" w:hAnsi="Arial Narrow"/>
                <w:color w:val="333333"/>
                <w:sz w:val="20"/>
                <w:szCs w:val="20"/>
              </w:rPr>
            </w:pPr>
          </w:p>
        </w:tc>
        <w:tc>
          <w:tcPr>
            <w:tcW w:w="7745" w:type="dxa"/>
            <w:gridSpan w:val="6"/>
          </w:tcPr>
          <w:p w14:paraId="25924C3F" w14:textId="77777777" w:rsidR="00482BFD" w:rsidRPr="00A14516" w:rsidRDefault="00482BFD">
            <w:pPr>
              <w:rPr>
                <w:rFonts w:ascii="Arial Narrow" w:eastAsia="Calibri" w:hAnsi="Arial Narrow"/>
                <w:sz w:val="20"/>
                <w:szCs w:val="20"/>
              </w:rPr>
            </w:pPr>
            <w:r w:rsidRPr="00176579">
              <w:rPr>
                <w:rFonts w:ascii="Arial Narrow" w:eastAsia="Calibri" w:hAnsi="Arial Narrow"/>
                <w:sz w:val="20"/>
                <w:szCs w:val="20"/>
              </w:rPr>
              <w:t>Must be treated by a dermatologist; or</w:t>
            </w:r>
          </w:p>
        </w:tc>
      </w:tr>
      <w:tr w:rsidR="00482BFD" w:rsidRPr="00446E53" w14:paraId="0852BD46" w14:textId="77777777">
        <w:tblPrEx>
          <w:tblCellMar>
            <w:top w:w="15" w:type="dxa"/>
            <w:bottom w:w="15" w:type="dxa"/>
          </w:tblCellMar>
          <w:tblLook w:val="04A0" w:firstRow="1" w:lastRow="0" w:firstColumn="1" w:lastColumn="0" w:noHBand="0" w:noVBand="1"/>
        </w:tblPrEx>
        <w:trPr>
          <w:cantSplit/>
          <w:trHeight w:val="20"/>
        </w:trPr>
        <w:tc>
          <w:tcPr>
            <w:tcW w:w="1271" w:type="dxa"/>
          </w:tcPr>
          <w:p w14:paraId="71E79C69" w14:textId="0933D3D6" w:rsidR="00482BFD" w:rsidRDefault="00482BFD">
            <w:pPr>
              <w:jc w:val="center"/>
              <w:rPr>
                <w:rFonts w:ascii="Arial Narrow" w:hAnsi="Arial Narrow"/>
                <w:color w:val="333333"/>
                <w:sz w:val="20"/>
                <w:szCs w:val="20"/>
              </w:rPr>
            </w:pPr>
          </w:p>
        </w:tc>
        <w:tc>
          <w:tcPr>
            <w:tcW w:w="7745" w:type="dxa"/>
            <w:gridSpan w:val="6"/>
          </w:tcPr>
          <w:p w14:paraId="5D6860B4" w14:textId="77777777" w:rsidR="00482BFD" w:rsidRPr="00A14516" w:rsidRDefault="00482BFD">
            <w:pPr>
              <w:rPr>
                <w:rFonts w:ascii="Arial Narrow" w:eastAsia="Calibri" w:hAnsi="Arial Narrow"/>
                <w:sz w:val="20"/>
                <w:szCs w:val="20"/>
              </w:rPr>
            </w:pPr>
            <w:r w:rsidRPr="00176579">
              <w:rPr>
                <w:rFonts w:ascii="Arial Narrow" w:eastAsia="Calibri" w:hAnsi="Arial Narrow"/>
                <w:sz w:val="20"/>
                <w:szCs w:val="20"/>
              </w:rPr>
              <w:t>Must be treated by a clinical immunologist</w:t>
            </w:r>
          </w:p>
        </w:tc>
      </w:tr>
      <w:tr w:rsidR="00482BFD" w:rsidRPr="00446E53" w14:paraId="5363CEEC" w14:textId="77777777">
        <w:tblPrEx>
          <w:tblCellMar>
            <w:top w:w="15" w:type="dxa"/>
            <w:bottom w:w="15" w:type="dxa"/>
          </w:tblCellMar>
          <w:tblLook w:val="04A0" w:firstRow="1" w:lastRow="0" w:firstColumn="1" w:lastColumn="0" w:noHBand="0" w:noVBand="1"/>
        </w:tblPrEx>
        <w:trPr>
          <w:cantSplit/>
          <w:trHeight w:val="20"/>
        </w:trPr>
        <w:tc>
          <w:tcPr>
            <w:tcW w:w="1271" w:type="dxa"/>
          </w:tcPr>
          <w:p w14:paraId="6933DEC6" w14:textId="77777777" w:rsidR="00482BFD" w:rsidRDefault="00482BFD">
            <w:pPr>
              <w:jc w:val="center"/>
              <w:rPr>
                <w:rFonts w:ascii="Arial Narrow" w:hAnsi="Arial Narrow"/>
                <w:color w:val="333333"/>
                <w:sz w:val="20"/>
                <w:szCs w:val="20"/>
              </w:rPr>
            </w:pPr>
          </w:p>
        </w:tc>
        <w:tc>
          <w:tcPr>
            <w:tcW w:w="7745" w:type="dxa"/>
            <w:gridSpan w:val="6"/>
          </w:tcPr>
          <w:p w14:paraId="05F6428D" w14:textId="77777777" w:rsidR="00482BFD" w:rsidRPr="00A14516" w:rsidRDefault="00482BFD">
            <w:pPr>
              <w:rPr>
                <w:rFonts w:ascii="Arial Narrow" w:eastAsia="Calibri" w:hAnsi="Arial Narrow"/>
                <w:sz w:val="20"/>
                <w:szCs w:val="20"/>
              </w:rPr>
            </w:pPr>
            <w:r w:rsidRPr="005A3A65">
              <w:rPr>
                <w:rFonts w:ascii="Arial Narrow" w:hAnsi="Arial Narrow" w:cs="Arial Narrow"/>
                <w:b/>
                <w:bCs/>
                <w:iCs/>
                <w:strike/>
                <w:sz w:val="20"/>
                <w:szCs w:val="20"/>
              </w:rPr>
              <w:t>AND</w:t>
            </w:r>
          </w:p>
        </w:tc>
      </w:tr>
      <w:tr w:rsidR="00482BFD" w:rsidRPr="00446E53" w14:paraId="3C0A0DB5" w14:textId="77777777">
        <w:tblPrEx>
          <w:tblCellMar>
            <w:top w:w="15" w:type="dxa"/>
            <w:bottom w:w="15" w:type="dxa"/>
          </w:tblCellMar>
          <w:tblLook w:val="04A0" w:firstRow="1" w:lastRow="0" w:firstColumn="1" w:lastColumn="0" w:noHBand="0" w:noVBand="1"/>
        </w:tblPrEx>
        <w:trPr>
          <w:cantSplit/>
          <w:trHeight w:val="20"/>
        </w:trPr>
        <w:tc>
          <w:tcPr>
            <w:tcW w:w="1271" w:type="dxa"/>
          </w:tcPr>
          <w:p w14:paraId="37061A50" w14:textId="24526ADF" w:rsidR="00482BFD" w:rsidRDefault="00482BFD">
            <w:pPr>
              <w:jc w:val="center"/>
              <w:rPr>
                <w:rFonts w:ascii="Arial Narrow" w:hAnsi="Arial Narrow"/>
                <w:color w:val="333333"/>
                <w:sz w:val="20"/>
                <w:szCs w:val="20"/>
              </w:rPr>
            </w:pPr>
          </w:p>
        </w:tc>
        <w:tc>
          <w:tcPr>
            <w:tcW w:w="7745" w:type="dxa"/>
            <w:gridSpan w:val="6"/>
            <w:vAlign w:val="center"/>
          </w:tcPr>
          <w:p w14:paraId="002C3C18" w14:textId="77777777" w:rsidR="00482BFD" w:rsidRPr="00A14516" w:rsidRDefault="00482BFD">
            <w:pPr>
              <w:rPr>
                <w:rFonts w:ascii="Arial Narrow" w:eastAsia="Calibri" w:hAnsi="Arial Narrow"/>
                <w:sz w:val="20"/>
                <w:szCs w:val="20"/>
              </w:rPr>
            </w:pPr>
            <w:r w:rsidRPr="00446E53">
              <w:rPr>
                <w:rFonts w:ascii="Arial Narrow" w:hAnsi="Arial Narrow"/>
                <w:b/>
                <w:bCs/>
                <w:color w:val="333333"/>
                <w:sz w:val="20"/>
                <w:szCs w:val="20"/>
              </w:rPr>
              <w:t>Population criteria:</w:t>
            </w:r>
          </w:p>
        </w:tc>
      </w:tr>
      <w:tr w:rsidR="00482BFD" w:rsidRPr="00446E53" w14:paraId="62E8CF5B" w14:textId="77777777">
        <w:tblPrEx>
          <w:tblCellMar>
            <w:top w:w="15" w:type="dxa"/>
            <w:bottom w:w="15" w:type="dxa"/>
          </w:tblCellMar>
          <w:tblLook w:val="04A0" w:firstRow="1" w:lastRow="0" w:firstColumn="1" w:lastColumn="0" w:noHBand="0" w:noVBand="1"/>
        </w:tblPrEx>
        <w:trPr>
          <w:cantSplit/>
          <w:trHeight w:val="20"/>
        </w:trPr>
        <w:tc>
          <w:tcPr>
            <w:tcW w:w="1271" w:type="dxa"/>
          </w:tcPr>
          <w:p w14:paraId="68BC99F1" w14:textId="08DAB459" w:rsidR="00482BFD" w:rsidRDefault="00482BFD">
            <w:pPr>
              <w:jc w:val="center"/>
              <w:rPr>
                <w:rFonts w:ascii="Arial Narrow" w:eastAsia="Calibri" w:hAnsi="Arial Narrow"/>
                <w:sz w:val="20"/>
                <w:szCs w:val="20"/>
              </w:rPr>
            </w:pPr>
          </w:p>
        </w:tc>
        <w:tc>
          <w:tcPr>
            <w:tcW w:w="7745" w:type="dxa"/>
            <w:gridSpan w:val="6"/>
            <w:vAlign w:val="center"/>
          </w:tcPr>
          <w:p w14:paraId="266A9BD4" w14:textId="77777777" w:rsidR="00482BFD" w:rsidRPr="00C05175" w:rsidRDefault="00482BFD">
            <w:pPr>
              <w:rPr>
                <w:rFonts w:ascii="Arial Narrow" w:eastAsia="Calibri" w:hAnsi="Arial Narrow"/>
                <w:sz w:val="20"/>
                <w:szCs w:val="20"/>
              </w:rPr>
            </w:pPr>
            <w:r w:rsidRPr="00C05175">
              <w:rPr>
                <w:rFonts w:ascii="Arial Narrow" w:eastAsia="Calibri" w:hAnsi="Arial Narrow"/>
                <w:sz w:val="20"/>
                <w:szCs w:val="20"/>
              </w:rPr>
              <w:t>Patient must be 12 years of age or older</w:t>
            </w:r>
          </w:p>
        </w:tc>
      </w:tr>
      <w:tr w:rsidR="00482BFD" w:rsidRPr="00446E53" w14:paraId="7E9DB3C4" w14:textId="77777777">
        <w:tblPrEx>
          <w:tblCellMar>
            <w:top w:w="15" w:type="dxa"/>
            <w:bottom w:w="15" w:type="dxa"/>
          </w:tblCellMar>
          <w:tblLook w:val="04A0" w:firstRow="1" w:lastRow="0" w:firstColumn="1" w:lastColumn="0" w:noHBand="0" w:noVBand="1"/>
        </w:tblPrEx>
        <w:trPr>
          <w:cantSplit/>
          <w:trHeight w:val="20"/>
        </w:trPr>
        <w:tc>
          <w:tcPr>
            <w:tcW w:w="1271" w:type="dxa"/>
          </w:tcPr>
          <w:p w14:paraId="61C4A352" w14:textId="34029089" w:rsidR="00482BFD" w:rsidRPr="00FC06D7" w:rsidRDefault="00482BFD">
            <w:pPr>
              <w:jc w:val="center"/>
              <w:rPr>
                <w:rFonts w:ascii="Arial Narrow" w:hAnsi="Arial Narrow"/>
                <w:i/>
                <w:color w:val="333333"/>
                <w:sz w:val="20"/>
                <w:szCs w:val="20"/>
              </w:rPr>
            </w:pPr>
          </w:p>
        </w:tc>
        <w:tc>
          <w:tcPr>
            <w:tcW w:w="7745" w:type="dxa"/>
            <w:gridSpan w:val="6"/>
            <w:vAlign w:val="center"/>
          </w:tcPr>
          <w:p w14:paraId="4FBA765A" w14:textId="77777777" w:rsidR="00482BFD" w:rsidRPr="002C2AEB" w:rsidRDefault="00482BFD">
            <w:pPr>
              <w:rPr>
                <w:rFonts w:ascii="Arial Narrow" w:eastAsia="Calibri" w:hAnsi="Arial Narrow"/>
                <w:i/>
                <w:iCs/>
                <w:sz w:val="20"/>
                <w:szCs w:val="20"/>
              </w:rPr>
            </w:pPr>
            <w:r w:rsidRPr="002C2AEB">
              <w:rPr>
                <w:rFonts w:ascii="Arial Narrow" w:eastAsia="Calibri" w:hAnsi="Arial Narrow"/>
                <w:b/>
                <w:bCs/>
                <w:i/>
                <w:iCs/>
                <w:sz w:val="20"/>
                <w:szCs w:val="20"/>
              </w:rPr>
              <w:t>Prescribing Instructions:</w:t>
            </w:r>
          </w:p>
          <w:p w14:paraId="3F5B344F" w14:textId="77777777" w:rsidR="00482BFD" w:rsidRPr="002C2AEB" w:rsidRDefault="00482BFD">
            <w:pPr>
              <w:rPr>
                <w:rFonts w:ascii="Arial Narrow" w:eastAsia="Calibri" w:hAnsi="Arial Narrow"/>
                <w:i/>
                <w:iCs/>
                <w:sz w:val="20"/>
                <w:szCs w:val="20"/>
              </w:rPr>
            </w:pPr>
            <w:r w:rsidRPr="002C2AEB">
              <w:rPr>
                <w:rFonts w:ascii="Arial Narrow" w:eastAsia="Calibri" w:hAnsi="Arial Narrow"/>
                <w:i/>
                <w:iCs/>
                <w:sz w:val="20"/>
                <w:szCs w:val="20"/>
              </w:rPr>
              <w:t>State each of the qualifying PGA, EASI and DLQI scores in the authority application. The name/s of the medium to high potency topical corticosteroids trialled prior to commencing treatment with this biological medicine must be documented in the patient's medical records.</w:t>
            </w:r>
          </w:p>
          <w:p w14:paraId="28F29DD5" w14:textId="77777777" w:rsidR="00482BFD" w:rsidRPr="00C1527A" w:rsidRDefault="00482BFD">
            <w:pPr>
              <w:rPr>
                <w:rFonts w:ascii="Arial Narrow" w:eastAsia="Calibri" w:hAnsi="Arial Narrow"/>
                <w:i/>
                <w:sz w:val="20"/>
                <w:szCs w:val="20"/>
              </w:rPr>
            </w:pPr>
            <w:r w:rsidRPr="002C2AEB">
              <w:rPr>
                <w:rFonts w:ascii="Arial Narrow" w:eastAsia="Calibri" w:hAnsi="Arial Narrow"/>
                <w:i/>
                <w:iCs/>
                <w:sz w:val="20"/>
                <w:szCs w:val="20"/>
              </w:rPr>
              <w:t>The EASI and DLQI baseline measurements are to form the basis of determining if an adequate response to treatment has been achieved under the Continuing treatment restriction.</w:t>
            </w:r>
            <w:r>
              <w:rPr>
                <w:rFonts w:ascii="Arial Narrow" w:eastAsia="Calibri" w:hAnsi="Arial Narrow"/>
                <w:i/>
                <w:iCs/>
                <w:sz w:val="20"/>
                <w:szCs w:val="20"/>
              </w:rPr>
              <w:t xml:space="preserve"> </w:t>
            </w:r>
            <w:r w:rsidRPr="00A02AA5">
              <w:rPr>
                <w:rFonts w:ascii="Arial Narrow" w:eastAsia="Calibri" w:hAnsi="Arial Narrow"/>
                <w:i/>
                <w:iCs/>
                <w:sz w:val="20"/>
                <w:szCs w:val="20"/>
              </w:rPr>
              <w:t>In addition to stating them in this authority application, document them in the patient’s medical records.</w:t>
            </w:r>
          </w:p>
        </w:tc>
      </w:tr>
      <w:tr w:rsidR="00482BFD" w:rsidRPr="00446E53" w14:paraId="115688FF" w14:textId="77777777">
        <w:tblPrEx>
          <w:tblCellMar>
            <w:top w:w="15" w:type="dxa"/>
            <w:bottom w:w="15" w:type="dxa"/>
          </w:tblCellMar>
          <w:tblLook w:val="04A0" w:firstRow="1" w:lastRow="0" w:firstColumn="1" w:lastColumn="0" w:noHBand="0" w:noVBand="1"/>
        </w:tblPrEx>
        <w:trPr>
          <w:cantSplit/>
          <w:trHeight w:val="20"/>
        </w:trPr>
        <w:tc>
          <w:tcPr>
            <w:tcW w:w="1271" w:type="dxa"/>
          </w:tcPr>
          <w:p w14:paraId="030659AC" w14:textId="616F96EF" w:rsidR="00482BFD" w:rsidRDefault="00482BFD">
            <w:pPr>
              <w:jc w:val="center"/>
              <w:rPr>
                <w:rFonts w:ascii="Arial Narrow" w:hAnsi="Arial Narrow"/>
                <w:color w:val="333333"/>
                <w:sz w:val="20"/>
                <w:szCs w:val="20"/>
              </w:rPr>
            </w:pPr>
          </w:p>
        </w:tc>
        <w:tc>
          <w:tcPr>
            <w:tcW w:w="7745" w:type="dxa"/>
            <w:gridSpan w:val="6"/>
            <w:vAlign w:val="center"/>
          </w:tcPr>
          <w:p w14:paraId="25AACB84" w14:textId="77777777" w:rsidR="00482BFD" w:rsidRPr="0069367A" w:rsidRDefault="00482BFD">
            <w:pPr>
              <w:rPr>
                <w:rFonts w:ascii="Arial Narrow" w:eastAsia="Calibri" w:hAnsi="Arial Narrow"/>
                <w:sz w:val="20"/>
                <w:szCs w:val="20"/>
              </w:rPr>
            </w:pPr>
            <w:r w:rsidRPr="00446E53">
              <w:rPr>
                <w:rFonts w:ascii="Arial Narrow" w:hAnsi="Arial Narrow"/>
                <w:b/>
                <w:bCs/>
                <w:color w:val="333333"/>
                <w:sz w:val="20"/>
                <w:szCs w:val="20"/>
              </w:rPr>
              <w:t>Prescribing Instructions:</w:t>
            </w:r>
          </w:p>
          <w:p w14:paraId="244E4AFE" w14:textId="77777777" w:rsidR="00482BFD" w:rsidRPr="00800D20" w:rsidRDefault="00482BFD">
            <w:pPr>
              <w:rPr>
                <w:rFonts w:ascii="Arial Narrow" w:eastAsia="Calibri" w:hAnsi="Arial Narrow"/>
                <w:strike/>
                <w:sz w:val="20"/>
                <w:szCs w:val="20"/>
              </w:rPr>
            </w:pPr>
            <w:r w:rsidRPr="00800D20">
              <w:rPr>
                <w:rFonts w:ascii="Arial Narrow" w:eastAsia="Calibri" w:hAnsi="Arial Narrow"/>
                <w:strike/>
                <w:sz w:val="20"/>
                <w:szCs w:val="20"/>
              </w:rPr>
              <w:t>A Grandfathered patient may qualify for PBS-subsidised treatment under this restriction once only.</w:t>
            </w:r>
          </w:p>
          <w:p w14:paraId="6A9FBA0D" w14:textId="77777777" w:rsidR="00482BFD" w:rsidRPr="00800D20" w:rsidRDefault="00482BFD">
            <w:pPr>
              <w:rPr>
                <w:rFonts w:ascii="Arial Narrow" w:eastAsia="Calibri" w:hAnsi="Arial Narrow"/>
                <w:strike/>
                <w:sz w:val="20"/>
                <w:szCs w:val="20"/>
              </w:rPr>
            </w:pPr>
            <w:r w:rsidRPr="00800D20">
              <w:rPr>
                <w:rFonts w:ascii="Arial Narrow" w:eastAsia="Calibri" w:hAnsi="Arial Narrow"/>
                <w:strike/>
                <w:sz w:val="20"/>
                <w:szCs w:val="20"/>
              </w:rPr>
              <w:t>For continuing PBS-subsidised treatment, a Grandfathered patient must qualify under the Continuing treatment criteria.</w:t>
            </w:r>
          </w:p>
          <w:p w14:paraId="0CB18561" w14:textId="77777777" w:rsidR="00482BFD" w:rsidRPr="00AA6EA8" w:rsidRDefault="00482BFD">
            <w:pPr>
              <w:rPr>
                <w:rFonts w:ascii="Arial Narrow" w:eastAsia="Calibri" w:hAnsi="Arial Narrow"/>
                <w:strike/>
                <w:sz w:val="20"/>
                <w:szCs w:val="20"/>
              </w:rPr>
            </w:pPr>
            <w:r w:rsidRPr="00DA47AC">
              <w:rPr>
                <w:rFonts w:ascii="Arial Narrow" w:hAnsi="Arial Narrow"/>
                <w:i/>
                <w:iCs/>
                <w:sz w:val="20"/>
                <w:szCs w:val="20"/>
              </w:rPr>
              <w:t>A patient may qualify for PBS-subsidised treatment under this restriction once only. For continuing PBS-subsidised treatment, a Grandfathered patient must qualify under the Continuing treatment criteria.</w:t>
            </w:r>
          </w:p>
        </w:tc>
      </w:tr>
      <w:tr w:rsidR="00482BFD" w:rsidRPr="00446E53" w14:paraId="33CDA1DB" w14:textId="77777777">
        <w:tblPrEx>
          <w:tblCellMar>
            <w:top w:w="15" w:type="dxa"/>
            <w:bottom w:w="15" w:type="dxa"/>
          </w:tblCellMar>
          <w:tblLook w:val="04A0" w:firstRow="1" w:lastRow="0" w:firstColumn="1" w:lastColumn="0" w:noHBand="0" w:noVBand="1"/>
        </w:tblPrEx>
        <w:trPr>
          <w:cantSplit/>
          <w:trHeight w:val="20"/>
        </w:trPr>
        <w:tc>
          <w:tcPr>
            <w:tcW w:w="1271" w:type="dxa"/>
          </w:tcPr>
          <w:p w14:paraId="3FD25F4D" w14:textId="10FE2D63" w:rsidR="00482BFD" w:rsidRDefault="00482BFD">
            <w:pPr>
              <w:jc w:val="center"/>
              <w:rPr>
                <w:rFonts w:ascii="Arial Narrow" w:hAnsi="Arial Narrow"/>
                <w:color w:val="333333"/>
                <w:sz w:val="20"/>
                <w:szCs w:val="20"/>
              </w:rPr>
            </w:pPr>
          </w:p>
        </w:tc>
        <w:tc>
          <w:tcPr>
            <w:tcW w:w="7745" w:type="dxa"/>
            <w:gridSpan w:val="6"/>
            <w:vAlign w:val="center"/>
          </w:tcPr>
          <w:p w14:paraId="049EDD73" w14:textId="77777777" w:rsidR="00482BFD" w:rsidRDefault="00482BFD">
            <w:pPr>
              <w:rPr>
                <w:rFonts w:ascii="Arial Narrow" w:eastAsia="Calibri" w:hAnsi="Arial Narrow"/>
                <w:sz w:val="20"/>
                <w:szCs w:val="20"/>
              </w:rPr>
            </w:pPr>
            <w:r w:rsidRPr="00446E53">
              <w:rPr>
                <w:rFonts w:ascii="Arial Narrow" w:hAnsi="Arial Narrow"/>
                <w:b/>
                <w:bCs/>
                <w:color w:val="333333"/>
                <w:sz w:val="20"/>
                <w:szCs w:val="20"/>
              </w:rPr>
              <w:t>Prescribing Instructions:</w:t>
            </w:r>
          </w:p>
          <w:p w14:paraId="5DA23B66" w14:textId="77777777" w:rsidR="00482BFD" w:rsidRPr="00AA6EA8" w:rsidRDefault="00482BFD">
            <w:pPr>
              <w:rPr>
                <w:rFonts w:ascii="Arial Narrow" w:eastAsia="Calibri" w:hAnsi="Arial Narrow"/>
                <w:strike/>
                <w:sz w:val="20"/>
                <w:szCs w:val="20"/>
              </w:rPr>
            </w:pPr>
            <w:r w:rsidRPr="005A3A65">
              <w:rPr>
                <w:rFonts w:ascii="Arial Narrow" w:eastAsia="Calibri" w:hAnsi="Arial Narrow"/>
                <w:sz w:val="20"/>
                <w:szCs w:val="20"/>
              </w:rPr>
              <w:t>This grandfather restriction will cease to operate from 12 months after the date specified in the clinical criteria.</w:t>
            </w:r>
          </w:p>
        </w:tc>
      </w:tr>
      <w:tr w:rsidR="00482BFD" w:rsidRPr="00446E53" w14:paraId="2D69B86A" w14:textId="77777777">
        <w:tblPrEx>
          <w:tblCellMar>
            <w:top w:w="15" w:type="dxa"/>
            <w:bottom w:w="15" w:type="dxa"/>
          </w:tblCellMar>
          <w:tblLook w:val="04A0" w:firstRow="1" w:lastRow="0" w:firstColumn="1" w:lastColumn="0" w:noHBand="0" w:noVBand="1"/>
        </w:tblPrEx>
        <w:trPr>
          <w:cantSplit/>
          <w:trHeight w:val="20"/>
        </w:trPr>
        <w:tc>
          <w:tcPr>
            <w:tcW w:w="9016" w:type="dxa"/>
            <w:gridSpan w:val="7"/>
          </w:tcPr>
          <w:p w14:paraId="55054BB9" w14:textId="77777777" w:rsidR="00482BFD" w:rsidRDefault="00482BFD">
            <w:pPr>
              <w:rPr>
                <w:rFonts w:ascii="Arial Narrow" w:hAnsi="Arial Narrow"/>
                <w:b/>
                <w:bCs/>
                <w:color w:val="333333"/>
                <w:sz w:val="20"/>
                <w:szCs w:val="20"/>
              </w:rPr>
            </w:pPr>
          </w:p>
          <w:p w14:paraId="5A634562" w14:textId="77777777" w:rsidR="00F729E0" w:rsidRPr="00446E53" w:rsidRDefault="00F729E0">
            <w:pPr>
              <w:rPr>
                <w:rFonts w:ascii="Arial Narrow" w:hAnsi="Arial Narrow"/>
                <w:b/>
                <w:bCs/>
                <w:color w:val="333333"/>
                <w:sz w:val="20"/>
                <w:szCs w:val="20"/>
              </w:rPr>
            </w:pPr>
          </w:p>
        </w:tc>
      </w:tr>
      <w:tr w:rsidR="00482BFD" w:rsidRPr="00446E53" w14:paraId="7845D8E9" w14:textId="77777777" w:rsidTr="00F729E0">
        <w:tblPrEx>
          <w:tblCellMar>
            <w:top w:w="15" w:type="dxa"/>
            <w:bottom w:w="15" w:type="dxa"/>
          </w:tblCellMar>
          <w:tblLook w:val="04A0" w:firstRow="1" w:lastRow="0" w:firstColumn="1" w:lastColumn="0" w:noHBand="0" w:noVBand="1"/>
        </w:tblPrEx>
        <w:trPr>
          <w:cantSplit/>
          <w:trHeight w:val="20"/>
        </w:trPr>
        <w:tc>
          <w:tcPr>
            <w:tcW w:w="1271" w:type="dxa"/>
            <w:shd w:val="clear" w:color="auto" w:fill="D9D9D9" w:themeFill="background1" w:themeFillShade="D9"/>
          </w:tcPr>
          <w:p w14:paraId="4BD47EFE" w14:textId="77777777" w:rsidR="00482BFD" w:rsidRDefault="00482BFD">
            <w:pPr>
              <w:jc w:val="center"/>
              <w:rPr>
                <w:rFonts w:ascii="Arial Narrow" w:eastAsia="Calibri" w:hAnsi="Arial Narrow"/>
                <w:sz w:val="20"/>
                <w:szCs w:val="20"/>
              </w:rPr>
            </w:pPr>
          </w:p>
        </w:tc>
        <w:tc>
          <w:tcPr>
            <w:tcW w:w="7745" w:type="dxa"/>
            <w:gridSpan w:val="6"/>
            <w:shd w:val="clear" w:color="auto" w:fill="D9D9D9" w:themeFill="background1" w:themeFillShade="D9"/>
            <w:vAlign w:val="center"/>
          </w:tcPr>
          <w:p w14:paraId="3218B0DD" w14:textId="77777777" w:rsidR="00482BFD" w:rsidRPr="00446E53" w:rsidRDefault="00482BFD">
            <w:pPr>
              <w:rPr>
                <w:rFonts w:ascii="Arial Narrow" w:hAnsi="Arial Narrow"/>
                <w:b/>
                <w:bCs/>
                <w:color w:val="333333"/>
                <w:sz w:val="20"/>
                <w:szCs w:val="20"/>
              </w:rPr>
            </w:pPr>
            <w:r w:rsidRPr="00446E53">
              <w:rPr>
                <w:rFonts w:ascii="Arial Narrow" w:hAnsi="Arial Narrow"/>
                <w:b/>
                <w:bCs/>
                <w:color w:val="333333"/>
                <w:sz w:val="20"/>
                <w:szCs w:val="20"/>
              </w:rPr>
              <w:t>Restriction Summary [new</w:t>
            </w:r>
            <w:r>
              <w:rPr>
                <w:rFonts w:ascii="Arial Narrow" w:hAnsi="Arial Narrow"/>
                <w:b/>
                <w:bCs/>
                <w:color w:val="333333"/>
                <w:sz w:val="20"/>
                <w:szCs w:val="20"/>
              </w:rPr>
              <w:t>4</w:t>
            </w:r>
            <w:r w:rsidRPr="00446E53">
              <w:rPr>
                <w:rFonts w:ascii="Arial Narrow" w:hAnsi="Arial Narrow"/>
                <w:b/>
                <w:bCs/>
                <w:color w:val="333333"/>
                <w:sz w:val="20"/>
                <w:szCs w:val="20"/>
              </w:rPr>
              <w:t>]</w:t>
            </w:r>
            <w:r w:rsidRPr="00446E53">
              <w:rPr>
                <w:rFonts w:ascii="Arial Narrow" w:hAnsi="Arial Narrow"/>
                <w:b/>
                <w:bCs/>
                <w:color w:val="FF0000"/>
                <w:sz w:val="20"/>
                <w:szCs w:val="20"/>
              </w:rPr>
              <w:t xml:space="preserve"> </w:t>
            </w:r>
            <w:r w:rsidRPr="00446E53">
              <w:rPr>
                <w:rFonts w:ascii="Arial Narrow" w:hAnsi="Arial Narrow"/>
                <w:b/>
                <w:bCs/>
                <w:color w:val="333333"/>
                <w:sz w:val="20"/>
                <w:szCs w:val="20"/>
              </w:rPr>
              <w:t>/ Treatment of Concept: [new</w:t>
            </w:r>
            <w:r>
              <w:rPr>
                <w:rFonts w:ascii="Arial Narrow" w:hAnsi="Arial Narrow"/>
                <w:b/>
                <w:bCs/>
                <w:color w:val="333333"/>
                <w:sz w:val="20"/>
                <w:szCs w:val="20"/>
              </w:rPr>
              <w:t>4A</w:t>
            </w:r>
            <w:r w:rsidRPr="00446E53">
              <w:rPr>
                <w:rFonts w:ascii="Arial Narrow" w:hAnsi="Arial Narrow"/>
                <w:b/>
                <w:bCs/>
                <w:color w:val="333333"/>
                <w:sz w:val="20"/>
                <w:szCs w:val="20"/>
              </w:rPr>
              <w:t>]</w:t>
            </w:r>
          </w:p>
        </w:tc>
      </w:tr>
      <w:tr w:rsidR="00482BFD" w:rsidRPr="00446E53" w14:paraId="01C30AF0" w14:textId="77777777">
        <w:tblPrEx>
          <w:tblCellMar>
            <w:top w:w="15" w:type="dxa"/>
            <w:bottom w:w="15" w:type="dxa"/>
          </w:tblCellMar>
          <w:tblLook w:val="04A0" w:firstRow="1" w:lastRow="0" w:firstColumn="1" w:lastColumn="0" w:noHBand="0" w:noVBand="1"/>
        </w:tblPrEx>
        <w:trPr>
          <w:cantSplit/>
          <w:trHeight w:val="20"/>
        </w:trPr>
        <w:tc>
          <w:tcPr>
            <w:tcW w:w="1271" w:type="dxa"/>
          </w:tcPr>
          <w:p w14:paraId="2A9F5F8D" w14:textId="021FEB49" w:rsidR="00482BFD" w:rsidRDefault="00482BFD">
            <w:pPr>
              <w:jc w:val="center"/>
              <w:rPr>
                <w:rFonts w:ascii="Arial Narrow" w:eastAsia="Calibri" w:hAnsi="Arial Narrow"/>
                <w:sz w:val="20"/>
                <w:szCs w:val="20"/>
              </w:rPr>
            </w:pPr>
          </w:p>
        </w:tc>
        <w:tc>
          <w:tcPr>
            <w:tcW w:w="7745" w:type="dxa"/>
            <w:gridSpan w:val="6"/>
            <w:vAlign w:val="center"/>
          </w:tcPr>
          <w:p w14:paraId="3F217645" w14:textId="77777777" w:rsidR="00482BFD" w:rsidRPr="00446E53" w:rsidRDefault="00482BFD">
            <w:pPr>
              <w:rPr>
                <w:rFonts w:ascii="Arial Narrow" w:hAnsi="Arial Narrow"/>
                <w:b/>
                <w:bCs/>
                <w:color w:val="333333"/>
                <w:sz w:val="20"/>
                <w:szCs w:val="20"/>
              </w:rPr>
            </w:pPr>
            <w:r w:rsidRPr="0069367A">
              <w:rPr>
                <w:rFonts w:ascii="Arial Narrow" w:hAnsi="Arial Narrow"/>
                <w:b/>
                <w:bCs/>
                <w:sz w:val="20"/>
                <w:szCs w:val="20"/>
              </w:rPr>
              <w:t>Indication:</w:t>
            </w:r>
            <w:r w:rsidRPr="0069367A">
              <w:rPr>
                <w:rFonts w:ascii="Arial Narrow" w:hAnsi="Arial Narrow"/>
                <w:sz w:val="20"/>
                <w:szCs w:val="20"/>
              </w:rPr>
              <w:t xml:space="preserve"> Chronic severe atopic dermatitis </w:t>
            </w:r>
          </w:p>
        </w:tc>
      </w:tr>
      <w:tr w:rsidR="00482BFD" w:rsidRPr="00446E53" w14:paraId="3D0D4263" w14:textId="77777777">
        <w:tblPrEx>
          <w:tblCellMar>
            <w:top w:w="15" w:type="dxa"/>
            <w:bottom w:w="15" w:type="dxa"/>
          </w:tblCellMar>
          <w:tblLook w:val="04A0" w:firstRow="1" w:lastRow="0" w:firstColumn="1" w:lastColumn="0" w:noHBand="0" w:noVBand="1"/>
        </w:tblPrEx>
        <w:trPr>
          <w:cantSplit/>
          <w:trHeight w:val="20"/>
        </w:trPr>
        <w:tc>
          <w:tcPr>
            <w:tcW w:w="1271" w:type="dxa"/>
          </w:tcPr>
          <w:p w14:paraId="328752CF" w14:textId="77777777" w:rsidR="00482BFD" w:rsidRDefault="00482BFD">
            <w:pPr>
              <w:jc w:val="center"/>
              <w:rPr>
                <w:rFonts w:ascii="Arial Narrow" w:eastAsia="Calibri" w:hAnsi="Arial Narrow"/>
                <w:sz w:val="20"/>
                <w:szCs w:val="20"/>
              </w:rPr>
            </w:pPr>
          </w:p>
        </w:tc>
        <w:tc>
          <w:tcPr>
            <w:tcW w:w="7745" w:type="dxa"/>
            <w:gridSpan w:val="6"/>
            <w:vAlign w:val="center"/>
          </w:tcPr>
          <w:p w14:paraId="0C809CD5" w14:textId="77777777" w:rsidR="00482BFD" w:rsidRPr="00446E53" w:rsidRDefault="00482BFD">
            <w:pPr>
              <w:rPr>
                <w:rFonts w:ascii="Arial Narrow" w:hAnsi="Arial Narrow"/>
                <w:b/>
                <w:bCs/>
                <w:color w:val="333333"/>
                <w:sz w:val="20"/>
                <w:szCs w:val="20"/>
              </w:rPr>
            </w:pPr>
            <w:r w:rsidRPr="0069367A">
              <w:rPr>
                <w:rFonts w:ascii="Arial Narrow" w:hAnsi="Arial Narrow"/>
                <w:b/>
                <w:bCs/>
                <w:sz w:val="20"/>
                <w:szCs w:val="20"/>
              </w:rPr>
              <w:t>Treatment Phase:</w:t>
            </w:r>
            <w:r w:rsidRPr="0069367A">
              <w:rPr>
                <w:rFonts w:ascii="Arial Narrow" w:hAnsi="Arial Narrow"/>
                <w:sz w:val="20"/>
                <w:szCs w:val="20"/>
              </w:rPr>
              <w:t xml:space="preserve"> </w:t>
            </w:r>
            <w:r w:rsidRPr="00602D94">
              <w:rPr>
                <w:rFonts w:ascii="Arial Narrow" w:hAnsi="Arial Narrow"/>
                <w:sz w:val="20"/>
                <w:szCs w:val="20"/>
              </w:rPr>
              <w:t>Transitioning from non-PBS to PBS-subsidised</w:t>
            </w:r>
            <w:r>
              <w:rPr>
                <w:rFonts w:ascii="Arial Narrow" w:hAnsi="Arial Narrow"/>
                <w:sz w:val="20"/>
                <w:szCs w:val="20"/>
              </w:rPr>
              <w:t xml:space="preserve"> supply </w:t>
            </w:r>
            <w:r w:rsidRPr="005162C8">
              <w:rPr>
                <w:rFonts w:ascii="Arial Narrow" w:hAnsi="Arial Narrow"/>
                <w:strike/>
                <w:sz w:val="20"/>
                <w:szCs w:val="20"/>
              </w:rPr>
              <w:t>-</w:t>
            </w:r>
            <w:r>
              <w:rPr>
                <w:rFonts w:ascii="Arial Narrow" w:hAnsi="Arial Narrow"/>
                <w:sz w:val="20"/>
                <w:szCs w:val="20"/>
              </w:rPr>
              <w:t xml:space="preserve"> </w:t>
            </w:r>
            <w:r w:rsidRPr="005D44BB">
              <w:rPr>
                <w:rFonts w:ascii="Arial Narrow" w:hAnsi="Arial Narrow"/>
                <w:sz w:val="20"/>
                <w:szCs w:val="20"/>
              </w:rPr>
              <w:t xml:space="preserve">(treatment of the face and/or hands) </w:t>
            </w:r>
            <w:r>
              <w:rPr>
                <w:rFonts w:ascii="Arial Narrow" w:hAnsi="Arial Narrow"/>
                <w:i/>
                <w:iCs/>
                <w:sz w:val="20"/>
                <w:szCs w:val="20"/>
              </w:rPr>
              <w:t xml:space="preserve">– ‘Grandfather’ arrangements </w:t>
            </w:r>
          </w:p>
        </w:tc>
      </w:tr>
      <w:tr w:rsidR="00482BFD" w:rsidRPr="00446E53" w14:paraId="6BBC62F6" w14:textId="77777777">
        <w:tblPrEx>
          <w:tblCellMar>
            <w:top w:w="15" w:type="dxa"/>
            <w:bottom w:w="15" w:type="dxa"/>
          </w:tblCellMar>
          <w:tblLook w:val="04A0" w:firstRow="1" w:lastRow="0" w:firstColumn="1" w:lastColumn="0" w:noHBand="0" w:noVBand="1"/>
        </w:tblPrEx>
        <w:trPr>
          <w:cantSplit/>
          <w:trHeight w:val="20"/>
        </w:trPr>
        <w:tc>
          <w:tcPr>
            <w:tcW w:w="1271" w:type="dxa"/>
          </w:tcPr>
          <w:p w14:paraId="40B8B3D8" w14:textId="1D920B77" w:rsidR="00482BFD" w:rsidRDefault="00482BFD">
            <w:pPr>
              <w:jc w:val="center"/>
              <w:rPr>
                <w:rFonts w:ascii="Arial Narrow" w:eastAsia="Calibri" w:hAnsi="Arial Narrow"/>
                <w:sz w:val="20"/>
                <w:szCs w:val="20"/>
              </w:rPr>
            </w:pPr>
          </w:p>
        </w:tc>
        <w:tc>
          <w:tcPr>
            <w:tcW w:w="7745" w:type="dxa"/>
            <w:gridSpan w:val="6"/>
            <w:vAlign w:val="center"/>
          </w:tcPr>
          <w:p w14:paraId="08D8442F" w14:textId="77777777" w:rsidR="00482BFD" w:rsidRPr="00446E53" w:rsidRDefault="00482BFD">
            <w:pPr>
              <w:rPr>
                <w:rFonts w:ascii="Arial Narrow" w:hAnsi="Arial Narrow"/>
                <w:b/>
                <w:bCs/>
                <w:color w:val="333333"/>
                <w:sz w:val="20"/>
                <w:szCs w:val="20"/>
              </w:rPr>
            </w:pPr>
            <w:r w:rsidRPr="00640997">
              <w:rPr>
                <w:rFonts w:ascii="Arial Narrow" w:hAnsi="Arial Narrow"/>
                <w:b/>
                <w:bCs/>
                <w:i/>
                <w:iCs/>
                <w:color w:val="333333"/>
                <w:sz w:val="20"/>
                <w:szCs w:val="20"/>
              </w:rPr>
              <w:t xml:space="preserve">Clinical criteria: </w:t>
            </w:r>
          </w:p>
        </w:tc>
      </w:tr>
      <w:tr w:rsidR="00482BFD" w:rsidRPr="00446E53" w14:paraId="314265D8" w14:textId="77777777">
        <w:tblPrEx>
          <w:tblCellMar>
            <w:top w:w="15" w:type="dxa"/>
            <w:bottom w:w="15" w:type="dxa"/>
          </w:tblCellMar>
          <w:tblLook w:val="04A0" w:firstRow="1" w:lastRow="0" w:firstColumn="1" w:lastColumn="0" w:noHBand="0" w:noVBand="1"/>
        </w:tblPrEx>
        <w:trPr>
          <w:cantSplit/>
          <w:trHeight w:val="20"/>
        </w:trPr>
        <w:tc>
          <w:tcPr>
            <w:tcW w:w="1271" w:type="dxa"/>
          </w:tcPr>
          <w:p w14:paraId="352D77CC" w14:textId="06CE93B3" w:rsidR="00482BFD" w:rsidRDefault="00482BFD">
            <w:pPr>
              <w:jc w:val="center"/>
              <w:rPr>
                <w:rFonts w:ascii="Arial Narrow" w:eastAsia="Calibri" w:hAnsi="Arial Narrow"/>
                <w:sz w:val="20"/>
                <w:szCs w:val="20"/>
              </w:rPr>
            </w:pPr>
          </w:p>
        </w:tc>
        <w:tc>
          <w:tcPr>
            <w:tcW w:w="7745" w:type="dxa"/>
            <w:gridSpan w:val="6"/>
          </w:tcPr>
          <w:p w14:paraId="2C598D79" w14:textId="77777777" w:rsidR="00482BFD" w:rsidRPr="001A58DF" w:rsidRDefault="00482BFD">
            <w:pPr>
              <w:rPr>
                <w:rFonts w:ascii="Arial Narrow" w:hAnsi="Arial Narrow" w:cs="Segoe UI"/>
                <w:strike/>
                <w:sz w:val="20"/>
                <w:szCs w:val="20"/>
              </w:rPr>
            </w:pPr>
            <w:r w:rsidRPr="001A58DF">
              <w:rPr>
                <w:rFonts w:ascii="Arial Narrow" w:hAnsi="Arial Narrow"/>
                <w:strike/>
                <w:sz w:val="20"/>
                <w:szCs w:val="20"/>
              </w:rPr>
              <w:t>Patient must have received PBS subsidised treatment with this biological medicine for the treatment of chronic severe atopic dermatitis affecting the face/hands</w:t>
            </w:r>
          </w:p>
          <w:p w14:paraId="029535ED" w14:textId="77777777" w:rsidR="00482BFD" w:rsidRPr="00446E53" w:rsidRDefault="00482BFD">
            <w:pPr>
              <w:rPr>
                <w:rFonts w:ascii="Arial Narrow" w:hAnsi="Arial Narrow"/>
                <w:b/>
                <w:bCs/>
                <w:color w:val="333333"/>
                <w:sz w:val="20"/>
                <w:szCs w:val="20"/>
              </w:rPr>
            </w:pPr>
            <w:r w:rsidRPr="00640997">
              <w:rPr>
                <w:rFonts w:ascii="Arial Narrow" w:hAnsi="Arial Narrow" w:cs="Segoe UI"/>
                <w:i/>
                <w:iCs/>
                <w:sz w:val="20"/>
                <w:szCs w:val="20"/>
              </w:rPr>
              <w:t xml:space="preserve">Patient must have </w:t>
            </w:r>
            <w:r w:rsidRPr="00031861">
              <w:rPr>
                <w:rFonts w:ascii="Arial Narrow" w:hAnsi="Arial Narrow" w:cs="Segoe UI"/>
                <w:i/>
                <w:iCs/>
                <w:sz w:val="20"/>
                <w:szCs w:val="20"/>
              </w:rPr>
              <w:t>been receiving</w:t>
            </w:r>
            <w:r w:rsidRPr="00640997">
              <w:rPr>
                <w:rFonts w:ascii="Arial Narrow" w:hAnsi="Arial Narrow" w:cs="Segoe UI"/>
                <w:i/>
                <w:iCs/>
                <w:sz w:val="20"/>
                <w:szCs w:val="20"/>
              </w:rPr>
              <w:t xml:space="preserve"> non-PBS-subsidised treatment with this drug for this condition prior to [date of listing]</w:t>
            </w:r>
          </w:p>
        </w:tc>
      </w:tr>
      <w:tr w:rsidR="00482BFD" w:rsidRPr="00446E53" w14:paraId="4AC19414" w14:textId="77777777">
        <w:tblPrEx>
          <w:tblCellMar>
            <w:top w:w="15" w:type="dxa"/>
            <w:bottom w:w="15" w:type="dxa"/>
          </w:tblCellMar>
          <w:tblLook w:val="04A0" w:firstRow="1" w:lastRow="0" w:firstColumn="1" w:lastColumn="0" w:noHBand="0" w:noVBand="1"/>
        </w:tblPrEx>
        <w:trPr>
          <w:cantSplit/>
          <w:trHeight w:val="20"/>
        </w:trPr>
        <w:tc>
          <w:tcPr>
            <w:tcW w:w="1271" w:type="dxa"/>
          </w:tcPr>
          <w:p w14:paraId="5B49D168" w14:textId="77777777" w:rsidR="00482BFD" w:rsidRDefault="00482BFD">
            <w:pPr>
              <w:jc w:val="center"/>
              <w:rPr>
                <w:rFonts w:ascii="Arial Narrow" w:eastAsia="Calibri" w:hAnsi="Arial Narrow"/>
                <w:sz w:val="20"/>
                <w:szCs w:val="20"/>
              </w:rPr>
            </w:pPr>
          </w:p>
        </w:tc>
        <w:tc>
          <w:tcPr>
            <w:tcW w:w="7745" w:type="dxa"/>
            <w:gridSpan w:val="6"/>
            <w:vAlign w:val="center"/>
          </w:tcPr>
          <w:p w14:paraId="39F36DA1" w14:textId="77777777" w:rsidR="00482BFD" w:rsidRPr="00446E53" w:rsidRDefault="00482BFD">
            <w:pPr>
              <w:rPr>
                <w:rFonts w:ascii="Arial Narrow" w:hAnsi="Arial Narrow"/>
                <w:b/>
                <w:bCs/>
                <w:color w:val="333333"/>
                <w:sz w:val="20"/>
                <w:szCs w:val="20"/>
              </w:rPr>
            </w:pPr>
            <w:r w:rsidRPr="00446E53">
              <w:rPr>
                <w:rFonts w:ascii="Arial Narrow" w:hAnsi="Arial Narrow"/>
                <w:b/>
                <w:bCs/>
                <w:color w:val="333333"/>
                <w:sz w:val="20"/>
                <w:szCs w:val="20"/>
              </w:rPr>
              <w:t>AND</w:t>
            </w:r>
          </w:p>
        </w:tc>
      </w:tr>
      <w:tr w:rsidR="00482BFD" w:rsidRPr="00446E53" w14:paraId="0645DE59" w14:textId="77777777">
        <w:tblPrEx>
          <w:tblCellMar>
            <w:top w:w="15" w:type="dxa"/>
            <w:bottom w:w="15" w:type="dxa"/>
          </w:tblCellMar>
          <w:tblLook w:val="04A0" w:firstRow="1" w:lastRow="0" w:firstColumn="1" w:lastColumn="0" w:noHBand="0" w:noVBand="1"/>
        </w:tblPrEx>
        <w:trPr>
          <w:cantSplit/>
          <w:trHeight w:val="20"/>
        </w:trPr>
        <w:tc>
          <w:tcPr>
            <w:tcW w:w="1271" w:type="dxa"/>
          </w:tcPr>
          <w:p w14:paraId="7F5A8DE4" w14:textId="3E04FEBD" w:rsidR="00482BFD" w:rsidRDefault="00482BFD">
            <w:pPr>
              <w:jc w:val="center"/>
              <w:rPr>
                <w:rFonts w:ascii="Arial Narrow" w:eastAsia="Calibri" w:hAnsi="Arial Narrow"/>
                <w:sz w:val="20"/>
                <w:szCs w:val="20"/>
              </w:rPr>
            </w:pPr>
          </w:p>
        </w:tc>
        <w:tc>
          <w:tcPr>
            <w:tcW w:w="7745" w:type="dxa"/>
            <w:gridSpan w:val="6"/>
            <w:vAlign w:val="center"/>
          </w:tcPr>
          <w:p w14:paraId="500260BC" w14:textId="77777777" w:rsidR="00482BFD" w:rsidRPr="00446E53" w:rsidRDefault="00482BFD">
            <w:pPr>
              <w:rPr>
                <w:rFonts w:ascii="Arial Narrow" w:hAnsi="Arial Narrow"/>
                <w:b/>
                <w:bCs/>
                <w:color w:val="333333"/>
                <w:sz w:val="20"/>
                <w:szCs w:val="20"/>
              </w:rPr>
            </w:pPr>
            <w:r w:rsidRPr="00446E53">
              <w:rPr>
                <w:rFonts w:ascii="Arial Narrow" w:hAnsi="Arial Narrow"/>
                <w:b/>
                <w:bCs/>
                <w:color w:val="333333"/>
                <w:sz w:val="20"/>
                <w:szCs w:val="20"/>
              </w:rPr>
              <w:t xml:space="preserve">Clinical criteria: </w:t>
            </w:r>
          </w:p>
        </w:tc>
      </w:tr>
      <w:tr w:rsidR="00482BFD" w:rsidRPr="00446E53" w14:paraId="0D2E7D33" w14:textId="77777777">
        <w:tblPrEx>
          <w:tblCellMar>
            <w:top w:w="15" w:type="dxa"/>
            <w:bottom w:w="15" w:type="dxa"/>
          </w:tblCellMar>
          <w:tblLook w:val="04A0" w:firstRow="1" w:lastRow="0" w:firstColumn="1" w:lastColumn="0" w:noHBand="0" w:noVBand="1"/>
        </w:tblPrEx>
        <w:trPr>
          <w:cantSplit/>
          <w:trHeight w:val="20"/>
        </w:trPr>
        <w:tc>
          <w:tcPr>
            <w:tcW w:w="1271" w:type="dxa"/>
          </w:tcPr>
          <w:p w14:paraId="416FABD6" w14:textId="60AD61CA" w:rsidR="00482BFD" w:rsidRDefault="00482BFD">
            <w:pPr>
              <w:jc w:val="center"/>
              <w:rPr>
                <w:rFonts w:ascii="Arial Narrow" w:eastAsia="Calibri" w:hAnsi="Arial Narrow"/>
                <w:sz w:val="20"/>
                <w:szCs w:val="20"/>
              </w:rPr>
            </w:pPr>
          </w:p>
        </w:tc>
        <w:tc>
          <w:tcPr>
            <w:tcW w:w="7745" w:type="dxa"/>
            <w:gridSpan w:val="6"/>
            <w:vAlign w:val="center"/>
          </w:tcPr>
          <w:p w14:paraId="742010B9" w14:textId="77777777" w:rsidR="00482BFD" w:rsidRPr="00446E53" w:rsidRDefault="00482BFD">
            <w:pPr>
              <w:rPr>
                <w:rFonts w:ascii="Arial Narrow" w:hAnsi="Arial Narrow"/>
                <w:b/>
                <w:bCs/>
                <w:color w:val="333333"/>
                <w:sz w:val="20"/>
                <w:szCs w:val="20"/>
              </w:rPr>
            </w:pPr>
            <w:r w:rsidRPr="00724459">
              <w:rPr>
                <w:rFonts w:ascii="Arial Narrow" w:hAnsi="Arial Narrow"/>
                <w:sz w:val="20"/>
                <w:szCs w:val="20"/>
              </w:rPr>
              <w:t xml:space="preserve">The condition must have had at least 2 of the following Eczema Area and Severity Index (EASI) symptom sub-scores for erythema, oedema/papulation, excoriation, </w:t>
            </w:r>
            <w:proofErr w:type="spellStart"/>
            <w:r w:rsidRPr="00724459">
              <w:rPr>
                <w:rFonts w:ascii="Arial Narrow" w:hAnsi="Arial Narrow"/>
                <w:sz w:val="20"/>
                <w:szCs w:val="20"/>
              </w:rPr>
              <w:t>lichenification</w:t>
            </w:r>
            <w:proofErr w:type="spellEnd"/>
            <w:r w:rsidRPr="00724459">
              <w:rPr>
                <w:rFonts w:ascii="Arial Narrow" w:hAnsi="Arial Narrow"/>
                <w:sz w:val="20"/>
                <w:szCs w:val="20"/>
              </w:rPr>
              <w:t xml:space="preserve"> rated as severe despite treatment with daily topical therapy (corticosteroid of medium to high potency/calcineurin inhibitor), for at least 28 days, prior to commencing non-PBS-subsidised therapy with this biological medicine; or</w:t>
            </w:r>
          </w:p>
        </w:tc>
      </w:tr>
      <w:tr w:rsidR="00482BFD" w:rsidRPr="00446E53" w14:paraId="0763E19B" w14:textId="77777777">
        <w:tblPrEx>
          <w:tblCellMar>
            <w:top w:w="15" w:type="dxa"/>
            <w:bottom w:w="15" w:type="dxa"/>
          </w:tblCellMar>
          <w:tblLook w:val="04A0" w:firstRow="1" w:lastRow="0" w:firstColumn="1" w:lastColumn="0" w:noHBand="0" w:noVBand="1"/>
        </w:tblPrEx>
        <w:trPr>
          <w:cantSplit/>
          <w:trHeight w:val="20"/>
        </w:trPr>
        <w:tc>
          <w:tcPr>
            <w:tcW w:w="1271" w:type="dxa"/>
          </w:tcPr>
          <w:p w14:paraId="4B85C7E5" w14:textId="768D6702" w:rsidR="00482BFD" w:rsidRDefault="00482BFD">
            <w:pPr>
              <w:jc w:val="center"/>
              <w:rPr>
                <w:rFonts w:ascii="Arial Narrow" w:eastAsia="Calibri" w:hAnsi="Arial Narrow"/>
                <w:sz w:val="20"/>
                <w:szCs w:val="20"/>
              </w:rPr>
            </w:pPr>
          </w:p>
        </w:tc>
        <w:tc>
          <w:tcPr>
            <w:tcW w:w="7745" w:type="dxa"/>
            <w:gridSpan w:val="6"/>
            <w:vAlign w:val="center"/>
          </w:tcPr>
          <w:p w14:paraId="66528923" w14:textId="77777777" w:rsidR="00482BFD" w:rsidRPr="00446E53" w:rsidRDefault="00482BFD">
            <w:pPr>
              <w:rPr>
                <w:rFonts w:ascii="Arial Narrow" w:hAnsi="Arial Narrow"/>
                <w:b/>
                <w:bCs/>
                <w:color w:val="333333"/>
                <w:sz w:val="20"/>
                <w:szCs w:val="20"/>
              </w:rPr>
            </w:pPr>
            <w:r w:rsidRPr="006F61A4">
              <w:rPr>
                <w:rFonts w:ascii="Arial Narrow" w:hAnsi="Arial Narrow"/>
                <w:sz w:val="20"/>
                <w:szCs w:val="20"/>
              </w:rPr>
              <w:t>The condition must have affected at least 30% of the face/hands surface area despite treatment with daily topical therapy (corticosteroid of medium to high potency/calcineurin inhibitor), for at least 28 days, prior to commencing non-PBS-subsidised therapy with this biological medicine</w:t>
            </w:r>
          </w:p>
        </w:tc>
      </w:tr>
      <w:tr w:rsidR="00482BFD" w:rsidRPr="00446E53" w14:paraId="765A6A52" w14:textId="77777777">
        <w:tblPrEx>
          <w:tblCellMar>
            <w:top w:w="15" w:type="dxa"/>
            <w:bottom w:w="15" w:type="dxa"/>
          </w:tblCellMar>
          <w:tblLook w:val="04A0" w:firstRow="1" w:lastRow="0" w:firstColumn="1" w:lastColumn="0" w:noHBand="0" w:noVBand="1"/>
        </w:tblPrEx>
        <w:trPr>
          <w:cantSplit/>
          <w:trHeight w:val="20"/>
        </w:trPr>
        <w:tc>
          <w:tcPr>
            <w:tcW w:w="1271" w:type="dxa"/>
          </w:tcPr>
          <w:p w14:paraId="1DD29B47" w14:textId="77777777" w:rsidR="00482BFD" w:rsidRDefault="00482BFD">
            <w:pPr>
              <w:jc w:val="center"/>
              <w:rPr>
                <w:rFonts w:ascii="Arial Narrow" w:eastAsia="Calibri" w:hAnsi="Arial Narrow"/>
                <w:sz w:val="20"/>
                <w:szCs w:val="20"/>
              </w:rPr>
            </w:pPr>
          </w:p>
        </w:tc>
        <w:tc>
          <w:tcPr>
            <w:tcW w:w="7745" w:type="dxa"/>
            <w:gridSpan w:val="6"/>
            <w:vAlign w:val="center"/>
          </w:tcPr>
          <w:p w14:paraId="339BAD77" w14:textId="77777777" w:rsidR="00482BFD" w:rsidRPr="00446E53" w:rsidRDefault="00482BFD">
            <w:pPr>
              <w:rPr>
                <w:rFonts w:ascii="Arial Narrow" w:hAnsi="Arial Narrow"/>
                <w:b/>
                <w:bCs/>
                <w:color w:val="333333"/>
                <w:sz w:val="20"/>
                <w:szCs w:val="20"/>
              </w:rPr>
            </w:pPr>
            <w:r w:rsidRPr="00446E53">
              <w:rPr>
                <w:rFonts w:ascii="Arial Narrow" w:hAnsi="Arial Narrow"/>
                <w:b/>
                <w:bCs/>
                <w:color w:val="333333"/>
                <w:sz w:val="20"/>
                <w:szCs w:val="20"/>
              </w:rPr>
              <w:t>AND</w:t>
            </w:r>
          </w:p>
        </w:tc>
      </w:tr>
      <w:tr w:rsidR="00482BFD" w:rsidRPr="00446E53" w14:paraId="41C07353" w14:textId="77777777">
        <w:tblPrEx>
          <w:tblCellMar>
            <w:top w:w="15" w:type="dxa"/>
            <w:bottom w:w="15" w:type="dxa"/>
          </w:tblCellMar>
          <w:tblLook w:val="04A0" w:firstRow="1" w:lastRow="0" w:firstColumn="1" w:lastColumn="0" w:noHBand="0" w:noVBand="1"/>
        </w:tblPrEx>
        <w:trPr>
          <w:cantSplit/>
          <w:trHeight w:val="20"/>
        </w:trPr>
        <w:tc>
          <w:tcPr>
            <w:tcW w:w="1271" w:type="dxa"/>
          </w:tcPr>
          <w:p w14:paraId="05ADBF8F" w14:textId="29B5B5C2" w:rsidR="00482BFD" w:rsidRDefault="00482BFD">
            <w:pPr>
              <w:jc w:val="center"/>
              <w:rPr>
                <w:rFonts w:ascii="Arial Narrow" w:eastAsia="Calibri" w:hAnsi="Arial Narrow"/>
                <w:sz w:val="20"/>
                <w:szCs w:val="20"/>
              </w:rPr>
            </w:pPr>
          </w:p>
        </w:tc>
        <w:tc>
          <w:tcPr>
            <w:tcW w:w="7745" w:type="dxa"/>
            <w:gridSpan w:val="6"/>
            <w:vAlign w:val="center"/>
          </w:tcPr>
          <w:p w14:paraId="759A767C" w14:textId="77777777" w:rsidR="00482BFD" w:rsidRPr="00446E53" w:rsidRDefault="00482BFD">
            <w:pPr>
              <w:rPr>
                <w:rFonts w:ascii="Arial Narrow" w:hAnsi="Arial Narrow"/>
                <w:b/>
                <w:bCs/>
                <w:color w:val="333333"/>
                <w:sz w:val="20"/>
                <w:szCs w:val="20"/>
              </w:rPr>
            </w:pPr>
            <w:r w:rsidRPr="00446E53">
              <w:rPr>
                <w:rFonts w:ascii="Arial Narrow" w:hAnsi="Arial Narrow"/>
                <w:b/>
                <w:bCs/>
                <w:color w:val="333333"/>
                <w:sz w:val="20"/>
                <w:szCs w:val="20"/>
              </w:rPr>
              <w:t xml:space="preserve">Clinical criteria: </w:t>
            </w:r>
          </w:p>
        </w:tc>
      </w:tr>
      <w:tr w:rsidR="00482BFD" w:rsidRPr="00446E53" w14:paraId="7A05CC0D" w14:textId="77777777">
        <w:tblPrEx>
          <w:tblCellMar>
            <w:top w:w="15" w:type="dxa"/>
            <w:bottom w:w="15" w:type="dxa"/>
          </w:tblCellMar>
          <w:tblLook w:val="04A0" w:firstRow="1" w:lastRow="0" w:firstColumn="1" w:lastColumn="0" w:noHBand="0" w:noVBand="1"/>
        </w:tblPrEx>
        <w:trPr>
          <w:cantSplit/>
          <w:trHeight w:val="20"/>
        </w:trPr>
        <w:tc>
          <w:tcPr>
            <w:tcW w:w="1271" w:type="dxa"/>
          </w:tcPr>
          <w:p w14:paraId="0F150FCC" w14:textId="3B0A9B09" w:rsidR="00482BFD" w:rsidRDefault="00482BFD">
            <w:pPr>
              <w:jc w:val="center"/>
              <w:rPr>
                <w:rFonts w:ascii="Arial Narrow" w:eastAsia="Calibri" w:hAnsi="Arial Narrow"/>
                <w:sz w:val="20"/>
                <w:szCs w:val="20"/>
              </w:rPr>
            </w:pPr>
          </w:p>
        </w:tc>
        <w:tc>
          <w:tcPr>
            <w:tcW w:w="7745" w:type="dxa"/>
            <w:gridSpan w:val="6"/>
            <w:vAlign w:val="center"/>
          </w:tcPr>
          <w:p w14:paraId="360BB404" w14:textId="77777777" w:rsidR="00482BFD" w:rsidRPr="00446E53" w:rsidRDefault="00482BFD">
            <w:pPr>
              <w:rPr>
                <w:rFonts w:ascii="Arial Narrow" w:hAnsi="Arial Narrow"/>
                <w:b/>
                <w:bCs/>
                <w:color w:val="333333"/>
                <w:sz w:val="20"/>
                <w:szCs w:val="20"/>
              </w:rPr>
            </w:pPr>
            <w:r w:rsidRPr="00E47F3C">
              <w:rPr>
                <w:rFonts w:ascii="Arial Narrow" w:hAnsi="Arial Narrow"/>
                <w:sz w:val="20"/>
                <w:szCs w:val="20"/>
              </w:rPr>
              <w:t>Patient must have an age appropriate Dermatology Life Quality Index (DLQI) baseline score (of any value) measured following treatment with daily topical therapy (corticosteroid of medium to high potency/calcineurin inhibitor), for at least 28 days, prior to commencing non-PBS-subsidised therapy with this biological medicine; or</w:t>
            </w:r>
          </w:p>
        </w:tc>
      </w:tr>
      <w:tr w:rsidR="00482BFD" w:rsidRPr="00446E53" w14:paraId="509709A6" w14:textId="77777777">
        <w:tblPrEx>
          <w:tblCellMar>
            <w:top w:w="15" w:type="dxa"/>
            <w:bottom w:w="15" w:type="dxa"/>
          </w:tblCellMar>
          <w:tblLook w:val="04A0" w:firstRow="1" w:lastRow="0" w:firstColumn="1" w:lastColumn="0" w:noHBand="0" w:noVBand="1"/>
        </w:tblPrEx>
        <w:trPr>
          <w:cantSplit/>
          <w:trHeight w:val="20"/>
        </w:trPr>
        <w:tc>
          <w:tcPr>
            <w:tcW w:w="1271" w:type="dxa"/>
          </w:tcPr>
          <w:p w14:paraId="4B71FD51" w14:textId="20EA6DA8" w:rsidR="00482BFD" w:rsidRDefault="00482BFD">
            <w:pPr>
              <w:jc w:val="center"/>
              <w:rPr>
                <w:rFonts w:ascii="Arial Narrow" w:eastAsia="Calibri" w:hAnsi="Arial Narrow"/>
                <w:sz w:val="20"/>
                <w:szCs w:val="20"/>
              </w:rPr>
            </w:pPr>
          </w:p>
        </w:tc>
        <w:tc>
          <w:tcPr>
            <w:tcW w:w="7745" w:type="dxa"/>
            <w:gridSpan w:val="6"/>
            <w:vAlign w:val="center"/>
          </w:tcPr>
          <w:p w14:paraId="6F0FEA29" w14:textId="77777777" w:rsidR="00482BFD" w:rsidRPr="00446E53" w:rsidRDefault="00482BFD">
            <w:pPr>
              <w:rPr>
                <w:rFonts w:ascii="Arial Narrow" w:hAnsi="Arial Narrow"/>
                <w:b/>
                <w:bCs/>
                <w:color w:val="333333"/>
                <w:sz w:val="20"/>
                <w:szCs w:val="20"/>
              </w:rPr>
            </w:pPr>
            <w:r w:rsidRPr="00E47F3C">
              <w:rPr>
                <w:rFonts w:ascii="Arial Narrow" w:hAnsi="Arial Narrow"/>
                <w:sz w:val="20"/>
                <w:szCs w:val="20"/>
              </w:rPr>
              <w:t>Patient must have, where the above baseline DLQI was not recorded in the patient's medical records, a current age-appropriate DLQI score (of any value) measured</w:t>
            </w:r>
          </w:p>
        </w:tc>
      </w:tr>
      <w:tr w:rsidR="00482BFD" w:rsidRPr="00446E53" w14:paraId="31AD3B2F" w14:textId="77777777">
        <w:tblPrEx>
          <w:tblCellMar>
            <w:top w:w="15" w:type="dxa"/>
            <w:bottom w:w="15" w:type="dxa"/>
          </w:tblCellMar>
          <w:tblLook w:val="04A0" w:firstRow="1" w:lastRow="0" w:firstColumn="1" w:lastColumn="0" w:noHBand="0" w:noVBand="1"/>
        </w:tblPrEx>
        <w:trPr>
          <w:cantSplit/>
          <w:trHeight w:val="20"/>
        </w:trPr>
        <w:tc>
          <w:tcPr>
            <w:tcW w:w="1271" w:type="dxa"/>
          </w:tcPr>
          <w:p w14:paraId="4D5A0EBA" w14:textId="77777777" w:rsidR="00482BFD" w:rsidRDefault="00482BFD">
            <w:pPr>
              <w:jc w:val="center"/>
              <w:rPr>
                <w:rFonts w:ascii="Arial Narrow" w:eastAsia="Calibri" w:hAnsi="Arial Narrow"/>
                <w:sz w:val="20"/>
                <w:szCs w:val="20"/>
              </w:rPr>
            </w:pPr>
          </w:p>
        </w:tc>
        <w:tc>
          <w:tcPr>
            <w:tcW w:w="7745" w:type="dxa"/>
            <w:gridSpan w:val="6"/>
            <w:vAlign w:val="center"/>
          </w:tcPr>
          <w:p w14:paraId="12F3E537" w14:textId="77777777" w:rsidR="00482BFD" w:rsidRPr="00446E53" w:rsidRDefault="00482BFD">
            <w:pPr>
              <w:rPr>
                <w:rFonts w:ascii="Arial Narrow" w:hAnsi="Arial Narrow"/>
                <w:b/>
                <w:bCs/>
                <w:color w:val="333333"/>
                <w:sz w:val="20"/>
                <w:szCs w:val="20"/>
              </w:rPr>
            </w:pPr>
            <w:r w:rsidRPr="00446E53">
              <w:rPr>
                <w:rFonts w:ascii="Arial Narrow" w:hAnsi="Arial Narrow"/>
                <w:b/>
                <w:bCs/>
                <w:color w:val="333333"/>
                <w:sz w:val="20"/>
                <w:szCs w:val="20"/>
              </w:rPr>
              <w:t>AND</w:t>
            </w:r>
          </w:p>
        </w:tc>
      </w:tr>
      <w:tr w:rsidR="00482BFD" w:rsidRPr="00446E53" w14:paraId="3448B2CD" w14:textId="77777777">
        <w:tblPrEx>
          <w:tblCellMar>
            <w:top w:w="15" w:type="dxa"/>
            <w:bottom w:w="15" w:type="dxa"/>
          </w:tblCellMar>
          <w:tblLook w:val="04A0" w:firstRow="1" w:lastRow="0" w:firstColumn="1" w:lastColumn="0" w:noHBand="0" w:noVBand="1"/>
        </w:tblPrEx>
        <w:trPr>
          <w:cantSplit/>
          <w:trHeight w:val="20"/>
        </w:trPr>
        <w:tc>
          <w:tcPr>
            <w:tcW w:w="1271" w:type="dxa"/>
          </w:tcPr>
          <w:p w14:paraId="5DC4497F" w14:textId="5C7D8126" w:rsidR="00482BFD" w:rsidRDefault="00482BFD">
            <w:pPr>
              <w:jc w:val="center"/>
              <w:rPr>
                <w:rFonts w:ascii="Arial Narrow" w:eastAsia="Calibri" w:hAnsi="Arial Narrow"/>
                <w:sz w:val="20"/>
                <w:szCs w:val="20"/>
              </w:rPr>
            </w:pPr>
          </w:p>
        </w:tc>
        <w:tc>
          <w:tcPr>
            <w:tcW w:w="7745" w:type="dxa"/>
            <w:gridSpan w:val="6"/>
            <w:vAlign w:val="center"/>
          </w:tcPr>
          <w:p w14:paraId="4E447BA8" w14:textId="77777777" w:rsidR="00482BFD" w:rsidRPr="00446E53" w:rsidRDefault="00482BFD">
            <w:pPr>
              <w:rPr>
                <w:rFonts w:ascii="Arial Narrow" w:hAnsi="Arial Narrow"/>
                <w:b/>
                <w:bCs/>
                <w:color w:val="333333"/>
                <w:sz w:val="20"/>
                <w:szCs w:val="20"/>
              </w:rPr>
            </w:pPr>
            <w:r w:rsidRPr="00446E53">
              <w:rPr>
                <w:rFonts w:ascii="Arial Narrow" w:hAnsi="Arial Narrow"/>
                <w:b/>
                <w:bCs/>
                <w:color w:val="333333"/>
                <w:sz w:val="20"/>
                <w:szCs w:val="20"/>
              </w:rPr>
              <w:t xml:space="preserve">Clinical criteria: </w:t>
            </w:r>
          </w:p>
        </w:tc>
      </w:tr>
      <w:tr w:rsidR="00482BFD" w:rsidRPr="00446E53" w14:paraId="7D4328A4" w14:textId="77777777">
        <w:tblPrEx>
          <w:tblCellMar>
            <w:top w:w="15" w:type="dxa"/>
            <w:bottom w:w="15" w:type="dxa"/>
          </w:tblCellMar>
          <w:tblLook w:val="04A0" w:firstRow="1" w:lastRow="0" w:firstColumn="1" w:lastColumn="0" w:noHBand="0" w:noVBand="1"/>
        </w:tblPrEx>
        <w:trPr>
          <w:cantSplit/>
          <w:trHeight w:val="20"/>
        </w:trPr>
        <w:tc>
          <w:tcPr>
            <w:tcW w:w="1271" w:type="dxa"/>
          </w:tcPr>
          <w:p w14:paraId="640022FC" w14:textId="55D074B5" w:rsidR="00482BFD" w:rsidRDefault="00482BFD">
            <w:pPr>
              <w:jc w:val="center"/>
              <w:rPr>
                <w:rFonts w:ascii="Arial Narrow" w:eastAsia="Calibri" w:hAnsi="Arial Narrow"/>
                <w:sz w:val="20"/>
                <w:szCs w:val="20"/>
              </w:rPr>
            </w:pPr>
          </w:p>
        </w:tc>
        <w:tc>
          <w:tcPr>
            <w:tcW w:w="7745" w:type="dxa"/>
            <w:gridSpan w:val="6"/>
            <w:vAlign w:val="center"/>
          </w:tcPr>
          <w:p w14:paraId="744B0672" w14:textId="77777777" w:rsidR="00482BFD" w:rsidRPr="00446E53" w:rsidRDefault="00482BFD">
            <w:pPr>
              <w:rPr>
                <w:rFonts w:ascii="Arial Narrow" w:hAnsi="Arial Narrow"/>
                <w:b/>
                <w:bCs/>
                <w:color w:val="333333"/>
                <w:sz w:val="20"/>
                <w:szCs w:val="20"/>
              </w:rPr>
            </w:pPr>
            <w:r w:rsidRPr="00766355">
              <w:rPr>
                <w:rFonts w:ascii="Arial Narrow" w:hAnsi="Arial Narrow"/>
                <w:sz w:val="20"/>
                <w:szCs w:val="20"/>
              </w:rPr>
              <w:t>The condition must have had lesions for at least 6 months from the time of the initial diagnosis of chronic severe atopic dermatitis affecting either of: (i) the whole body, (ii) face/hands</w:t>
            </w:r>
            <w:r>
              <w:rPr>
                <w:rFonts w:ascii="Arial Narrow" w:hAnsi="Arial Narrow"/>
                <w:i/>
                <w:iCs/>
                <w:sz w:val="20"/>
                <w:szCs w:val="20"/>
              </w:rPr>
              <w:t>, prior to commencing non-PBS-subsidised therapy with this biological medicine</w:t>
            </w:r>
          </w:p>
        </w:tc>
      </w:tr>
      <w:tr w:rsidR="00482BFD" w:rsidRPr="00446E53" w14:paraId="43837E74" w14:textId="77777777">
        <w:tblPrEx>
          <w:tblCellMar>
            <w:top w:w="15" w:type="dxa"/>
            <w:bottom w:w="15" w:type="dxa"/>
          </w:tblCellMar>
          <w:tblLook w:val="04A0" w:firstRow="1" w:lastRow="0" w:firstColumn="1" w:lastColumn="0" w:noHBand="0" w:noVBand="1"/>
        </w:tblPrEx>
        <w:trPr>
          <w:cantSplit/>
          <w:trHeight w:val="20"/>
        </w:trPr>
        <w:tc>
          <w:tcPr>
            <w:tcW w:w="1271" w:type="dxa"/>
          </w:tcPr>
          <w:p w14:paraId="147B04B5" w14:textId="77777777" w:rsidR="00482BFD" w:rsidRDefault="00482BFD">
            <w:pPr>
              <w:jc w:val="center"/>
              <w:rPr>
                <w:rFonts w:ascii="Arial Narrow" w:eastAsia="Calibri" w:hAnsi="Arial Narrow"/>
                <w:sz w:val="20"/>
                <w:szCs w:val="20"/>
              </w:rPr>
            </w:pPr>
          </w:p>
        </w:tc>
        <w:tc>
          <w:tcPr>
            <w:tcW w:w="7745" w:type="dxa"/>
            <w:gridSpan w:val="6"/>
            <w:vAlign w:val="center"/>
          </w:tcPr>
          <w:p w14:paraId="4E70413C" w14:textId="77777777" w:rsidR="00482BFD" w:rsidRPr="00446E53" w:rsidRDefault="00482BFD">
            <w:pPr>
              <w:rPr>
                <w:rFonts w:ascii="Arial Narrow" w:hAnsi="Arial Narrow"/>
                <w:b/>
                <w:bCs/>
                <w:color w:val="333333"/>
                <w:sz w:val="20"/>
                <w:szCs w:val="20"/>
              </w:rPr>
            </w:pPr>
            <w:r w:rsidRPr="00446E53">
              <w:rPr>
                <w:rFonts w:ascii="Arial Narrow" w:hAnsi="Arial Narrow"/>
                <w:b/>
                <w:bCs/>
                <w:color w:val="333333"/>
                <w:sz w:val="20"/>
                <w:szCs w:val="20"/>
              </w:rPr>
              <w:t>AND</w:t>
            </w:r>
          </w:p>
        </w:tc>
      </w:tr>
      <w:tr w:rsidR="00482BFD" w:rsidRPr="00446E53" w14:paraId="5143E558" w14:textId="77777777">
        <w:tblPrEx>
          <w:tblCellMar>
            <w:top w:w="15" w:type="dxa"/>
            <w:bottom w:w="15" w:type="dxa"/>
          </w:tblCellMar>
          <w:tblLook w:val="04A0" w:firstRow="1" w:lastRow="0" w:firstColumn="1" w:lastColumn="0" w:noHBand="0" w:noVBand="1"/>
        </w:tblPrEx>
        <w:trPr>
          <w:cantSplit/>
          <w:trHeight w:val="20"/>
        </w:trPr>
        <w:tc>
          <w:tcPr>
            <w:tcW w:w="1271" w:type="dxa"/>
          </w:tcPr>
          <w:p w14:paraId="2696F1F2" w14:textId="391A1ECB" w:rsidR="00482BFD" w:rsidRDefault="00482BFD">
            <w:pPr>
              <w:jc w:val="center"/>
              <w:rPr>
                <w:rFonts w:ascii="Arial Narrow" w:eastAsia="Calibri" w:hAnsi="Arial Narrow"/>
                <w:sz w:val="20"/>
                <w:szCs w:val="20"/>
              </w:rPr>
            </w:pPr>
          </w:p>
        </w:tc>
        <w:tc>
          <w:tcPr>
            <w:tcW w:w="7745" w:type="dxa"/>
            <w:gridSpan w:val="6"/>
            <w:vAlign w:val="center"/>
          </w:tcPr>
          <w:p w14:paraId="07CCA789" w14:textId="77777777" w:rsidR="00482BFD" w:rsidRPr="00446E53" w:rsidRDefault="00482BFD">
            <w:pPr>
              <w:rPr>
                <w:rFonts w:ascii="Arial Narrow" w:hAnsi="Arial Narrow"/>
                <w:b/>
                <w:bCs/>
                <w:color w:val="333333"/>
                <w:sz w:val="20"/>
                <w:szCs w:val="20"/>
              </w:rPr>
            </w:pPr>
            <w:r w:rsidRPr="00446E53">
              <w:rPr>
                <w:rFonts w:ascii="Arial Narrow" w:hAnsi="Arial Narrow"/>
                <w:b/>
                <w:bCs/>
                <w:color w:val="333333"/>
                <w:sz w:val="20"/>
                <w:szCs w:val="20"/>
              </w:rPr>
              <w:t xml:space="preserve">Clinical criteria: </w:t>
            </w:r>
          </w:p>
        </w:tc>
      </w:tr>
      <w:tr w:rsidR="00482BFD" w:rsidRPr="00446E53" w14:paraId="0ABB3067" w14:textId="77777777">
        <w:tblPrEx>
          <w:tblCellMar>
            <w:top w:w="15" w:type="dxa"/>
            <w:bottom w:w="15" w:type="dxa"/>
          </w:tblCellMar>
          <w:tblLook w:val="04A0" w:firstRow="1" w:lastRow="0" w:firstColumn="1" w:lastColumn="0" w:noHBand="0" w:noVBand="1"/>
        </w:tblPrEx>
        <w:trPr>
          <w:cantSplit/>
          <w:trHeight w:val="20"/>
        </w:trPr>
        <w:tc>
          <w:tcPr>
            <w:tcW w:w="1271" w:type="dxa"/>
          </w:tcPr>
          <w:p w14:paraId="34C2521D" w14:textId="3A1C1FD2" w:rsidR="00482BFD" w:rsidRDefault="00482BFD">
            <w:pPr>
              <w:jc w:val="center"/>
              <w:rPr>
                <w:rFonts w:ascii="Arial Narrow" w:eastAsia="Calibri" w:hAnsi="Arial Narrow"/>
                <w:sz w:val="20"/>
                <w:szCs w:val="20"/>
              </w:rPr>
            </w:pPr>
          </w:p>
        </w:tc>
        <w:tc>
          <w:tcPr>
            <w:tcW w:w="7745" w:type="dxa"/>
            <w:gridSpan w:val="6"/>
          </w:tcPr>
          <w:p w14:paraId="1DD4E0A7" w14:textId="77777777" w:rsidR="00482BFD" w:rsidRPr="00446E53" w:rsidRDefault="00482BFD">
            <w:pPr>
              <w:rPr>
                <w:rFonts w:ascii="Arial Narrow" w:hAnsi="Arial Narrow"/>
                <w:b/>
                <w:bCs/>
                <w:color w:val="333333"/>
                <w:sz w:val="20"/>
                <w:szCs w:val="20"/>
              </w:rPr>
            </w:pPr>
            <w:r w:rsidRPr="00B02B1D">
              <w:rPr>
                <w:rFonts w:ascii="Arial Narrow" w:hAnsi="Arial Narrow"/>
                <w:sz w:val="20"/>
                <w:szCs w:val="20"/>
              </w:rPr>
              <w:t>The treatment must be the sole PBS-subsidised biological medicine for this PBS indication</w:t>
            </w:r>
          </w:p>
        </w:tc>
      </w:tr>
      <w:tr w:rsidR="00482BFD" w:rsidRPr="00446E53" w14:paraId="5449B28B" w14:textId="77777777">
        <w:tblPrEx>
          <w:tblCellMar>
            <w:top w:w="15" w:type="dxa"/>
            <w:bottom w:w="15" w:type="dxa"/>
          </w:tblCellMar>
          <w:tblLook w:val="04A0" w:firstRow="1" w:lastRow="0" w:firstColumn="1" w:lastColumn="0" w:noHBand="0" w:noVBand="1"/>
        </w:tblPrEx>
        <w:trPr>
          <w:cantSplit/>
          <w:trHeight w:val="20"/>
        </w:trPr>
        <w:tc>
          <w:tcPr>
            <w:tcW w:w="1271" w:type="dxa"/>
          </w:tcPr>
          <w:p w14:paraId="4A3C88B4" w14:textId="77777777" w:rsidR="00482BFD" w:rsidRDefault="00482BFD">
            <w:pPr>
              <w:jc w:val="center"/>
              <w:rPr>
                <w:rFonts w:ascii="Arial Narrow" w:eastAsia="Calibri" w:hAnsi="Arial Narrow"/>
                <w:sz w:val="20"/>
                <w:szCs w:val="20"/>
              </w:rPr>
            </w:pPr>
          </w:p>
        </w:tc>
        <w:tc>
          <w:tcPr>
            <w:tcW w:w="7745" w:type="dxa"/>
            <w:gridSpan w:val="6"/>
            <w:vAlign w:val="center"/>
          </w:tcPr>
          <w:p w14:paraId="0F553E74" w14:textId="77777777" w:rsidR="00482BFD" w:rsidRPr="00446E53" w:rsidRDefault="00482BFD">
            <w:pPr>
              <w:rPr>
                <w:rFonts w:ascii="Arial Narrow" w:hAnsi="Arial Narrow"/>
                <w:b/>
                <w:bCs/>
                <w:color w:val="333333"/>
                <w:sz w:val="20"/>
                <w:szCs w:val="20"/>
              </w:rPr>
            </w:pPr>
            <w:r w:rsidRPr="00446E53">
              <w:rPr>
                <w:rFonts w:ascii="Arial Narrow" w:hAnsi="Arial Narrow"/>
                <w:b/>
                <w:bCs/>
                <w:color w:val="333333"/>
                <w:sz w:val="20"/>
                <w:szCs w:val="20"/>
              </w:rPr>
              <w:t>AND</w:t>
            </w:r>
          </w:p>
        </w:tc>
      </w:tr>
      <w:tr w:rsidR="00482BFD" w:rsidRPr="00446E53" w14:paraId="0D0A5B9B" w14:textId="77777777">
        <w:tblPrEx>
          <w:tblCellMar>
            <w:top w:w="15" w:type="dxa"/>
            <w:bottom w:w="15" w:type="dxa"/>
          </w:tblCellMar>
          <w:tblLook w:val="04A0" w:firstRow="1" w:lastRow="0" w:firstColumn="1" w:lastColumn="0" w:noHBand="0" w:noVBand="1"/>
        </w:tblPrEx>
        <w:trPr>
          <w:cantSplit/>
          <w:trHeight w:val="20"/>
        </w:trPr>
        <w:tc>
          <w:tcPr>
            <w:tcW w:w="1271" w:type="dxa"/>
          </w:tcPr>
          <w:p w14:paraId="5C8FF478" w14:textId="23F9293A" w:rsidR="00482BFD" w:rsidRPr="004E21BC" w:rsidRDefault="00482BFD">
            <w:pPr>
              <w:jc w:val="center"/>
              <w:rPr>
                <w:rFonts w:ascii="Arial Narrow" w:eastAsia="Calibri" w:hAnsi="Arial Narrow"/>
                <w:i/>
                <w:iCs/>
                <w:sz w:val="20"/>
                <w:szCs w:val="20"/>
              </w:rPr>
            </w:pPr>
          </w:p>
        </w:tc>
        <w:tc>
          <w:tcPr>
            <w:tcW w:w="7745" w:type="dxa"/>
            <w:gridSpan w:val="6"/>
            <w:vAlign w:val="center"/>
          </w:tcPr>
          <w:p w14:paraId="19A293BC" w14:textId="77777777" w:rsidR="00482BFD" w:rsidRPr="00446E53" w:rsidRDefault="00482BFD">
            <w:pPr>
              <w:rPr>
                <w:rFonts w:ascii="Arial Narrow" w:hAnsi="Arial Narrow"/>
                <w:b/>
                <w:bCs/>
                <w:color w:val="333333"/>
                <w:sz w:val="20"/>
                <w:szCs w:val="20"/>
              </w:rPr>
            </w:pPr>
            <w:r w:rsidRPr="00446E53">
              <w:rPr>
                <w:rFonts w:ascii="Arial Narrow" w:hAnsi="Arial Narrow"/>
                <w:b/>
                <w:bCs/>
                <w:color w:val="333333"/>
                <w:sz w:val="20"/>
                <w:szCs w:val="20"/>
              </w:rPr>
              <w:t xml:space="preserve">Clinical criteria: </w:t>
            </w:r>
          </w:p>
        </w:tc>
      </w:tr>
      <w:tr w:rsidR="00482BFD" w:rsidRPr="00446E53" w14:paraId="669BA0ED" w14:textId="77777777">
        <w:tblPrEx>
          <w:tblCellMar>
            <w:top w:w="15" w:type="dxa"/>
            <w:bottom w:w="15" w:type="dxa"/>
          </w:tblCellMar>
          <w:tblLook w:val="04A0" w:firstRow="1" w:lastRow="0" w:firstColumn="1" w:lastColumn="0" w:noHBand="0" w:noVBand="1"/>
        </w:tblPrEx>
        <w:trPr>
          <w:cantSplit/>
          <w:trHeight w:val="20"/>
        </w:trPr>
        <w:tc>
          <w:tcPr>
            <w:tcW w:w="1271" w:type="dxa"/>
          </w:tcPr>
          <w:p w14:paraId="155749F1" w14:textId="1EB5CF94" w:rsidR="00482BFD" w:rsidRPr="004E21BC" w:rsidRDefault="00482BFD">
            <w:pPr>
              <w:jc w:val="center"/>
              <w:rPr>
                <w:rFonts w:ascii="Arial Narrow" w:eastAsia="Calibri" w:hAnsi="Arial Narrow"/>
                <w:i/>
                <w:iCs/>
                <w:sz w:val="20"/>
                <w:szCs w:val="20"/>
              </w:rPr>
            </w:pPr>
          </w:p>
        </w:tc>
        <w:tc>
          <w:tcPr>
            <w:tcW w:w="7745" w:type="dxa"/>
            <w:gridSpan w:val="6"/>
          </w:tcPr>
          <w:p w14:paraId="50BC65D6" w14:textId="77777777" w:rsidR="00482BFD" w:rsidRPr="004E21BC" w:rsidRDefault="00482BFD">
            <w:pPr>
              <w:rPr>
                <w:rFonts w:ascii="Arial Narrow" w:hAnsi="Arial Narrow"/>
                <w:b/>
                <w:bCs/>
                <w:i/>
                <w:iCs/>
                <w:color w:val="333333"/>
                <w:sz w:val="20"/>
                <w:szCs w:val="20"/>
              </w:rPr>
            </w:pPr>
            <w:r w:rsidRPr="001E6462">
              <w:rPr>
                <w:rFonts w:ascii="Arial Narrow" w:hAnsi="Arial Narrow"/>
                <w:sz w:val="20"/>
                <w:szCs w:val="20"/>
              </w:rPr>
              <w:t>Patient must not be experiencing an inadequate response to current non-PBS-subsidised therapy with this biological medicine</w:t>
            </w:r>
            <w:r>
              <w:rPr>
                <w:rFonts w:ascii="Arial Narrow" w:hAnsi="Arial Narrow"/>
                <w:i/>
                <w:iCs/>
                <w:sz w:val="20"/>
                <w:szCs w:val="20"/>
              </w:rPr>
              <w:t xml:space="preserve">, if they have received at least 16 weeks of therapy. </w:t>
            </w:r>
          </w:p>
        </w:tc>
      </w:tr>
      <w:tr w:rsidR="00482BFD" w:rsidRPr="00446E53" w14:paraId="33A4DE59" w14:textId="77777777">
        <w:tblPrEx>
          <w:tblCellMar>
            <w:top w:w="15" w:type="dxa"/>
            <w:bottom w:w="15" w:type="dxa"/>
          </w:tblCellMar>
          <w:tblLook w:val="04A0" w:firstRow="1" w:lastRow="0" w:firstColumn="1" w:lastColumn="0" w:noHBand="0" w:noVBand="1"/>
        </w:tblPrEx>
        <w:trPr>
          <w:cantSplit/>
          <w:trHeight w:val="20"/>
        </w:trPr>
        <w:tc>
          <w:tcPr>
            <w:tcW w:w="1271" w:type="dxa"/>
          </w:tcPr>
          <w:p w14:paraId="7B798A4C" w14:textId="77777777" w:rsidR="00482BFD" w:rsidRDefault="00482BFD">
            <w:pPr>
              <w:jc w:val="center"/>
              <w:rPr>
                <w:rFonts w:ascii="Arial Narrow" w:eastAsia="Calibri" w:hAnsi="Arial Narrow"/>
                <w:sz w:val="20"/>
                <w:szCs w:val="20"/>
              </w:rPr>
            </w:pPr>
          </w:p>
        </w:tc>
        <w:tc>
          <w:tcPr>
            <w:tcW w:w="7745" w:type="dxa"/>
            <w:gridSpan w:val="6"/>
            <w:vAlign w:val="center"/>
          </w:tcPr>
          <w:p w14:paraId="00BB7C86" w14:textId="77777777" w:rsidR="00482BFD" w:rsidRPr="001E6462" w:rsidRDefault="00482BFD">
            <w:pPr>
              <w:rPr>
                <w:rFonts w:ascii="Arial Narrow" w:hAnsi="Arial Narrow"/>
                <w:sz w:val="20"/>
                <w:szCs w:val="20"/>
              </w:rPr>
            </w:pPr>
            <w:r w:rsidRPr="001E6462">
              <w:rPr>
                <w:rFonts w:ascii="Arial Narrow" w:hAnsi="Arial Narrow"/>
                <w:b/>
                <w:bCs/>
                <w:strike/>
                <w:color w:val="333333"/>
                <w:sz w:val="20"/>
                <w:szCs w:val="20"/>
              </w:rPr>
              <w:t>AND</w:t>
            </w:r>
          </w:p>
        </w:tc>
      </w:tr>
      <w:tr w:rsidR="00482BFD" w:rsidRPr="00446E53" w14:paraId="1D607825" w14:textId="77777777">
        <w:tblPrEx>
          <w:tblCellMar>
            <w:top w:w="15" w:type="dxa"/>
            <w:bottom w:w="15" w:type="dxa"/>
          </w:tblCellMar>
          <w:tblLook w:val="04A0" w:firstRow="1" w:lastRow="0" w:firstColumn="1" w:lastColumn="0" w:noHBand="0" w:noVBand="1"/>
        </w:tblPrEx>
        <w:trPr>
          <w:cantSplit/>
          <w:trHeight w:val="20"/>
        </w:trPr>
        <w:tc>
          <w:tcPr>
            <w:tcW w:w="1271" w:type="dxa"/>
          </w:tcPr>
          <w:p w14:paraId="56F2C29D" w14:textId="3FE92626" w:rsidR="00482BFD" w:rsidRDefault="00482BFD">
            <w:pPr>
              <w:jc w:val="center"/>
              <w:rPr>
                <w:rFonts w:ascii="Arial Narrow" w:eastAsia="Calibri" w:hAnsi="Arial Narrow"/>
                <w:sz w:val="20"/>
                <w:szCs w:val="20"/>
              </w:rPr>
            </w:pPr>
          </w:p>
        </w:tc>
        <w:tc>
          <w:tcPr>
            <w:tcW w:w="7745" w:type="dxa"/>
            <w:gridSpan w:val="6"/>
          </w:tcPr>
          <w:p w14:paraId="3A20F4EA" w14:textId="77777777" w:rsidR="00482BFD" w:rsidRPr="001E6462" w:rsidRDefault="00482BFD">
            <w:pPr>
              <w:rPr>
                <w:rFonts w:ascii="Arial Narrow" w:hAnsi="Arial Narrow"/>
                <w:sz w:val="20"/>
                <w:szCs w:val="20"/>
              </w:rPr>
            </w:pPr>
            <w:r>
              <w:rPr>
                <w:rFonts w:ascii="Arial Narrow" w:eastAsia="Calibri" w:hAnsi="Arial Narrow"/>
                <w:b/>
                <w:bCs/>
                <w:sz w:val="20"/>
                <w:szCs w:val="20"/>
              </w:rPr>
              <w:t xml:space="preserve">Treatment criteria: </w:t>
            </w:r>
          </w:p>
        </w:tc>
      </w:tr>
      <w:tr w:rsidR="00482BFD" w:rsidRPr="00446E53" w14:paraId="5A31A066" w14:textId="77777777">
        <w:tblPrEx>
          <w:tblCellMar>
            <w:top w:w="15" w:type="dxa"/>
            <w:bottom w:w="15" w:type="dxa"/>
          </w:tblCellMar>
          <w:tblLook w:val="04A0" w:firstRow="1" w:lastRow="0" w:firstColumn="1" w:lastColumn="0" w:noHBand="0" w:noVBand="1"/>
        </w:tblPrEx>
        <w:trPr>
          <w:cantSplit/>
          <w:trHeight w:val="20"/>
        </w:trPr>
        <w:tc>
          <w:tcPr>
            <w:tcW w:w="1271" w:type="dxa"/>
          </w:tcPr>
          <w:p w14:paraId="18EDF3B1" w14:textId="6E696149" w:rsidR="00482BFD" w:rsidRDefault="00482BFD">
            <w:pPr>
              <w:jc w:val="center"/>
              <w:rPr>
                <w:rFonts w:ascii="Arial Narrow" w:eastAsia="Calibri" w:hAnsi="Arial Narrow"/>
                <w:sz w:val="20"/>
                <w:szCs w:val="20"/>
              </w:rPr>
            </w:pPr>
          </w:p>
        </w:tc>
        <w:tc>
          <w:tcPr>
            <w:tcW w:w="7745" w:type="dxa"/>
            <w:gridSpan w:val="6"/>
          </w:tcPr>
          <w:p w14:paraId="7BAA9561" w14:textId="77777777" w:rsidR="00482BFD" w:rsidRPr="001E6462" w:rsidRDefault="00482BFD">
            <w:pPr>
              <w:rPr>
                <w:rFonts w:ascii="Arial Narrow" w:hAnsi="Arial Narrow"/>
                <w:sz w:val="20"/>
                <w:szCs w:val="20"/>
              </w:rPr>
            </w:pPr>
            <w:r w:rsidRPr="00176579">
              <w:rPr>
                <w:rFonts w:ascii="Arial Narrow" w:eastAsia="Calibri" w:hAnsi="Arial Narrow"/>
                <w:sz w:val="20"/>
                <w:szCs w:val="20"/>
              </w:rPr>
              <w:t>Must be treated by a dermatologist; or</w:t>
            </w:r>
          </w:p>
        </w:tc>
      </w:tr>
      <w:tr w:rsidR="00482BFD" w:rsidRPr="00446E53" w14:paraId="61C54687" w14:textId="77777777">
        <w:tblPrEx>
          <w:tblCellMar>
            <w:top w:w="15" w:type="dxa"/>
            <w:bottom w:w="15" w:type="dxa"/>
          </w:tblCellMar>
          <w:tblLook w:val="04A0" w:firstRow="1" w:lastRow="0" w:firstColumn="1" w:lastColumn="0" w:noHBand="0" w:noVBand="1"/>
        </w:tblPrEx>
        <w:trPr>
          <w:cantSplit/>
          <w:trHeight w:val="20"/>
        </w:trPr>
        <w:tc>
          <w:tcPr>
            <w:tcW w:w="1271" w:type="dxa"/>
          </w:tcPr>
          <w:p w14:paraId="3CE35421" w14:textId="5BC6136C" w:rsidR="00482BFD" w:rsidRDefault="00482BFD">
            <w:pPr>
              <w:jc w:val="center"/>
              <w:rPr>
                <w:rFonts w:ascii="Arial Narrow" w:eastAsia="Calibri" w:hAnsi="Arial Narrow"/>
                <w:sz w:val="20"/>
                <w:szCs w:val="20"/>
              </w:rPr>
            </w:pPr>
          </w:p>
        </w:tc>
        <w:tc>
          <w:tcPr>
            <w:tcW w:w="7745" w:type="dxa"/>
            <w:gridSpan w:val="6"/>
          </w:tcPr>
          <w:p w14:paraId="781F3F1D" w14:textId="77777777" w:rsidR="00482BFD" w:rsidRPr="001E6462" w:rsidRDefault="00482BFD">
            <w:pPr>
              <w:rPr>
                <w:rFonts w:ascii="Arial Narrow" w:hAnsi="Arial Narrow"/>
                <w:sz w:val="20"/>
                <w:szCs w:val="20"/>
              </w:rPr>
            </w:pPr>
            <w:r w:rsidRPr="00176579">
              <w:rPr>
                <w:rFonts w:ascii="Arial Narrow" w:eastAsia="Calibri" w:hAnsi="Arial Narrow"/>
                <w:sz w:val="20"/>
                <w:szCs w:val="20"/>
              </w:rPr>
              <w:t>Must be treated by a clinical immunologist</w:t>
            </w:r>
          </w:p>
        </w:tc>
      </w:tr>
      <w:tr w:rsidR="00482BFD" w:rsidRPr="00446E53" w14:paraId="37AD9562" w14:textId="77777777">
        <w:tblPrEx>
          <w:tblCellMar>
            <w:top w:w="15" w:type="dxa"/>
            <w:bottom w:w="15" w:type="dxa"/>
          </w:tblCellMar>
          <w:tblLook w:val="04A0" w:firstRow="1" w:lastRow="0" w:firstColumn="1" w:lastColumn="0" w:noHBand="0" w:noVBand="1"/>
        </w:tblPrEx>
        <w:trPr>
          <w:cantSplit/>
          <w:trHeight w:val="20"/>
        </w:trPr>
        <w:tc>
          <w:tcPr>
            <w:tcW w:w="1271" w:type="dxa"/>
          </w:tcPr>
          <w:p w14:paraId="682F80C8" w14:textId="77777777" w:rsidR="00482BFD" w:rsidRDefault="00482BFD">
            <w:pPr>
              <w:jc w:val="center"/>
              <w:rPr>
                <w:rFonts w:ascii="Arial Narrow" w:eastAsia="Calibri" w:hAnsi="Arial Narrow"/>
                <w:sz w:val="20"/>
                <w:szCs w:val="20"/>
              </w:rPr>
            </w:pPr>
          </w:p>
        </w:tc>
        <w:tc>
          <w:tcPr>
            <w:tcW w:w="7745" w:type="dxa"/>
            <w:gridSpan w:val="6"/>
            <w:vAlign w:val="center"/>
          </w:tcPr>
          <w:p w14:paraId="016C6D66" w14:textId="77777777" w:rsidR="00482BFD" w:rsidRPr="001E6462" w:rsidRDefault="00482BFD">
            <w:pPr>
              <w:rPr>
                <w:rFonts w:ascii="Arial Narrow" w:hAnsi="Arial Narrow"/>
                <w:sz w:val="20"/>
                <w:szCs w:val="20"/>
              </w:rPr>
            </w:pPr>
            <w:r w:rsidRPr="001E6462">
              <w:rPr>
                <w:rFonts w:ascii="Arial Narrow" w:hAnsi="Arial Narrow"/>
                <w:b/>
                <w:bCs/>
                <w:strike/>
                <w:color w:val="333333"/>
                <w:sz w:val="20"/>
                <w:szCs w:val="20"/>
              </w:rPr>
              <w:t>AND</w:t>
            </w:r>
          </w:p>
        </w:tc>
      </w:tr>
      <w:tr w:rsidR="00482BFD" w:rsidRPr="00446E53" w14:paraId="239A9311" w14:textId="77777777">
        <w:tblPrEx>
          <w:tblCellMar>
            <w:top w:w="15" w:type="dxa"/>
            <w:bottom w:w="15" w:type="dxa"/>
          </w:tblCellMar>
          <w:tblLook w:val="04A0" w:firstRow="1" w:lastRow="0" w:firstColumn="1" w:lastColumn="0" w:noHBand="0" w:noVBand="1"/>
        </w:tblPrEx>
        <w:trPr>
          <w:cantSplit/>
          <w:trHeight w:val="20"/>
        </w:trPr>
        <w:tc>
          <w:tcPr>
            <w:tcW w:w="1271" w:type="dxa"/>
          </w:tcPr>
          <w:p w14:paraId="19489457" w14:textId="58E3F145" w:rsidR="00482BFD" w:rsidRDefault="00482BFD">
            <w:pPr>
              <w:jc w:val="center"/>
              <w:rPr>
                <w:rFonts w:ascii="Arial Narrow" w:eastAsia="Calibri" w:hAnsi="Arial Narrow"/>
                <w:sz w:val="20"/>
                <w:szCs w:val="20"/>
              </w:rPr>
            </w:pPr>
          </w:p>
        </w:tc>
        <w:tc>
          <w:tcPr>
            <w:tcW w:w="7745" w:type="dxa"/>
            <w:gridSpan w:val="6"/>
            <w:vAlign w:val="center"/>
          </w:tcPr>
          <w:p w14:paraId="106F9457" w14:textId="77777777" w:rsidR="00482BFD" w:rsidRPr="00446E53" w:rsidRDefault="00482BFD">
            <w:pPr>
              <w:rPr>
                <w:rFonts w:ascii="Arial Narrow" w:hAnsi="Arial Narrow"/>
                <w:b/>
                <w:bCs/>
                <w:color w:val="333333"/>
                <w:sz w:val="20"/>
                <w:szCs w:val="20"/>
              </w:rPr>
            </w:pPr>
            <w:r w:rsidRPr="00446E53">
              <w:rPr>
                <w:rFonts w:ascii="Arial Narrow" w:hAnsi="Arial Narrow"/>
                <w:b/>
                <w:bCs/>
                <w:color w:val="333333"/>
                <w:sz w:val="20"/>
                <w:szCs w:val="20"/>
              </w:rPr>
              <w:t>Population criteria:</w:t>
            </w:r>
          </w:p>
        </w:tc>
      </w:tr>
      <w:tr w:rsidR="00482BFD" w:rsidRPr="00446E53" w14:paraId="3753EC59" w14:textId="77777777">
        <w:tblPrEx>
          <w:tblCellMar>
            <w:top w:w="15" w:type="dxa"/>
            <w:bottom w:w="15" w:type="dxa"/>
          </w:tblCellMar>
          <w:tblLook w:val="04A0" w:firstRow="1" w:lastRow="0" w:firstColumn="1" w:lastColumn="0" w:noHBand="0" w:noVBand="1"/>
        </w:tblPrEx>
        <w:trPr>
          <w:cantSplit/>
          <w:trHeight w:val="20"/>
        </w:trPr>
        <w:tc>
          <w:tcPr>
            <w:tcW w:w="1271" w:type="dxa"/>
          </w:tcPr>
          <w:p w14:paraId="7C08B542" w14:textId="3BABD881" w:rsidR="00482BFD" w:rsidRDefault="00482BFD">
            <w:pPr>
              <w:jc w:val="center"/>
              <w:rPr>
                <w:rFonts w:ascii="Arial Narrow" w:eastAsia="Calibri" w:hAnsi="Arial Narrow"/>
                <w:sz w:val="20"/>
                <w:szCs w:val="20"/>
              </w:rPr>
            </w:pPr>
          </w:p>
        </w:tc>
        <w:tc>
          <w:tcPr>
            <w:tcW w:w="7745" w:type="dxa"/>
            <w:gridSpan w:val="6"/>
            <w:vAlign w:val="center"/>
          </w:tcPr>
          <w:p w14:paraId="751EAD1E" w14:textId="77777777" w:rsidR="00482BFD" w:rsidRDefault="00482BFD">
            <w:pPr>
              <w:rPr>
                <w:rFonts w:ascii="Arial Narrow" w:eastAsia="Calibri" w:hAnsi="Arial Narrow"/>
                <w:strike/>
                <w:sz w:val="20"/>
                <w:szCs w:val="20"/>
              </w:rPr>
            </w:pPr>
            <w:r w:rsidRPr="00AA6EA8">
              <w:rPr>
                <w:rFonts w:ascii="Arial Narrow" w:eastAsia="Calibri" w:hAnsi="Arial Narrow"/>
                <w:strike/>
                <w:sz w:val="20"/>
                <w:szCs w:val="20"/>
              </w:rPr>
              <w:t>Patient must be 12 years of age or older</w:t>
            </w:r>
          </w:p>
          <w:p w14:paraId="34E459C0" w14:textId="77777777" w:rsidR="00482BFD" w:rsidRPr="00446E53" w:rsidRDefault="00482BFD">
            <w:pPr>
              <w:rPr>
                <w:rFonts w:ascii="Arial Narrow" w:hAnsi="Arial Narrow"/>
                <w:b/>
                <w:bCs/>
                <w:color w:val="333333"/>
                <w:sz w:val="20"/>
                <w:szCs w:val="20"/>
              </w:rPr>
            </w:pPr>
            <w:r>
              <w:rPr>
                <w:rFonts w:ascii="Arial Narrow" w:eastAsia="Calibri" w:hAnsi="Arial Narrow"/>
                <w:i/>
                <w:iCs/>
                <w:sz w:val="20"/>
                <w:szCs w:val="20"/>
              </w:rPr>
              <w:t xml:space="preserve">Patient must be at least 12 years of age. </w:t>
            </w:r>
          </w:p>
        </w:tc>
      </w:tr>
      <w:tr w:rsidR="00482BFD" w:rsidRPr="00446E53" w14:paraId="35A18E1D" w14:textId="77777777">
        <w:tblPrEx>
          <w:tblCellMar>
            <w:top w:w="15" w:type="dxa"/>
            <w:bottom w:w="15" w:type="dxa"/>
          </w:tblCellMar>
          <w:tblLook w:val="04A0" w:firstRow="1" w:lastRow="0" w:firstColumn="1" w:lastColumn="0" w:noHBand="0" w:noVBand="1"/>
        </w:tblPrEx>
        <w:trPr>
          <w:cantSplit/>
          <w:trHeight w:val="20"/>
        </w:trPr>
        <w:tc>
          <w:tcPr>
            <w:tcW w:w="1271" w:type="dxa"/>
          </w:tcPr>
          <w:p w14:paraId="4FBA9275" w14:textId="25F0691E" w:rsidR="00482BFD" w:rsidRDefault="00482BFD">
            <w:pPr>
              <w:jc w:val="center"/>
              <w:rPr>
                <w:rFonts w:ascii="Arial Narrow" w:eastAsia="Calibri" w:hAnsi="Arial Narrow"/>
                <w:sz w:val="20"/>
                <w:szCs w:val="20"/>
              </w:rPr>
            </w:pPr>
          </w:p>
        </w:tc>
        <w:tc>
          <w:tcPr>
            <w:tcW w:w="7745" w:type="dxa"/>
            <w:gridSpan w:val="6"/>
            <w:vAlign w:val="center"/>
          </w:tcPr>
          <w:p w14:paraId="4391843F" w14:textId="77777777" w:rsidR="00482BFD" w:rsidRPr="00844691" w:rsidRDefault="00482BFD">
            <w:pPr>
              <w:rPr>
                <w:rFonts w:ascii="Arial Narrow" w:hAnsi="Arial Narrow"/>
                <w:b/>
                <w:bCs/>
                <w:i/>
                <w:iCs/>
                <w:color w:val="333333"/>
                <w:sz w:val="20"/>
                <w:szCs w:val="20"/>
              </w:rPr>
            </w:pPr>
            <w:r w:rsidRPr="00844691">
              <w:rPr>
                <w:rFonts w:ascii="Arial Narrow" w:hAnsi="Arial Narrow"/>
                <w:b/>
                <w:bCs/>
                <w:i/>
                <w:iCs/>
                <w:color w:val="333333"/>
                <w:sz w:val="20"/>
                <w:szCs w:val="20"/>
              </w:rPr>
              <w:t>Prescribing Instructions:</w:t>
            </w:r>
          </w:p>
          <w:p w14:paraId="408B3463" w14:textId="77777777" w:rsidR="00482BFD" w:rsidRPr="00637508" w:rsidRDefault="00482BFD">
            <w:pPr>
              <w:rPr>
                <w:rFonts w:ascii="Arial Narrow" w:hAnsi="Arial Narrow"/>
                <w:i/>
                <w:iCs/>
                <w:sz w:val="20"/>
                <w:szCs w:val="20"/>
              </w:rPr>
            </w:pPr>
            <w:r w:rsidRPr="004E21BC">
              <w:rPr>
                <w:rFonts w:ascii="Arial Narrow" w:hAnsi="Arial Narrow"/>
                <w:i/>
                <w:iCs/>
                <w:sz w:val="20"/>
                <w:szCs w:val="20"/>
              </w:rPr>
              <w:t xml:space="preserve">State each of the 4 Eczema Area and Severity Index (EASI) symptom sub-score ratings for erythema, oedema/papulation, excoriation, </w:t>
            </w:r>
            <w:proofErr w:type="spellStart"/>
            <w:r w:rsidRPr="004E21BC">
              <w:rPr>
                <w:rFonts w:ascii="Arial Narrow" w:hAnsi="Arial Narrow"/>
                <w:i/>
                <w:iCs/>
                <w:sz w:val="20"/>
                <w:szCs w:val="20"/>
              </w:rPr>
              <w:t>lichenification</w:t>
            </w:r>
            <w:proofErr w:type="spellEnd"/>
            <w:r w:rsidRPr="004E21BC">
              <w:rPr>
                <w:rFonts w:ascii="Arial Narrow" w:hAnsi="Arial Narrow"/>
                <w:i/>
                <w:iCs/>
                <w:sz w:val="20"/>
                <w:szCs w:val="20"/>
              </w:rPr>
              <w:t xml:space="preserve"> that were present prior to having commenced non-PBS-subsidised therapy, in the authority application. The name/s of the medium to high potency topical corticosteroids trialled prior to commencing treatment with this biological medicine is/are to be documented in the patient's medical records.</w:t>
            </w:r>
          </w:p>
          <w:p w14:paraId="37658917" w14:textId="77777777" w:rsidR="00482BFD" w:rsidRPr="00637508" w:rsidRDefault="00482BFD">
            <w:pPr>
              <w:rPr>
                <w:rFonts w:ascii="Arial Narrow" w:eastAsia="Calibri" w:hAnsi="Arial Narrow"/>
                <w:i/>
                <w:sz w:val="20"/>
                <w:szCs w:val="20"/>
              </w:rPr>
            </w:pPr>
            <w:r w:rsidRPr="00637508">
              <w:rPr>
                <w:rFonts w:ascii="Arial Narrow" w:eastAsia="Calibri" w:hAnsi="Arial Narrow"/>
                <w:i/>
                <w:iCs/>
                <w:sz w:val="20"/>
                <w:szCs w:val="20"/>
              </w:rPr>
              <w:t xml:space="preserve">Alternatively, state the percentage of face/hand surface area affected by the condition (must be at least 30%) where EASI symptom sub-scores are not provided. </w:t>
            </w:r>
            <w:r w:rsidRPr="00637508">
              <w:rPr>
                <w:rFonts w:ascii="Arial Narrow" w:hAnsi="Arial Narrow"/>
                <w:i/>
                <w:sz w:val="20"/>
                <w:szCs w:val="20"/>
              </w:rPr>
              <w:t>This percentage surface area can also be stated in addition to the EASI symptom sub-scores.</w:t>
            </w:r>
          </w:p>
          <w:p w14:paraId="4D490A00" w14:textId="77777777" w:rsidR="00482BFD" w:rsidRPr="00637508" w:rsidRDefault="00482BFD">
            <w:pPr>
              <w:rPr>
                <w:rFonts w:ascii="Arial Narrow" w:hAnsi="Arial Narrow"/>
                <w:i/>
                <w:sz w:val="20"/>
                <w:szCs w:val="20"/>
              </w:rPr>
            </w:pPr>
          </w:p>
          <w:p w14:paraId="06118941" w14:textId="77777777" w:rsidR="00482BFD" w:rsidRPr="00637508" w:rsidRDefault="00482BFD">
            <w:pPr>
              <w:rPr>
                <w:rFonts w:ascii="Arial Narrow" w:hAnsi="Arial Narrow"/>
                <w:i/>
                <w:sz w:val="20"/>
                <w:szCs w:val="20"/>
              </w:rPr>
            </w:pPr>
            <w:r w:rsidRPr="00637508">
              <w:rPr>
                <w:rFonts w:ascii="Arial Narrow" w:hAnsi="Arial Narrow"/>
                <w:i/>
                <w:sz w:val="20"/>
                <w:szCs w:val="20"/>
              </w:rPr>
              <w:t>The EASI/percentage surface area and DLQI baseline measurements are to form the basis of determining if an adequate response to treatment has been achieved under the Continuing treatment restriction. In addition to stating them in this authority application, document them in the patient’s medical records.</w:t>
            </w:r>
          </w:p>
          <w:p w14:paraId="69CB41A0" w14:textId="77777777" w:rsidR="00482BFD" w:rsidRPr="00446E53" w:rsidRDefault="00482BFD">
            <w:pPr>
              <w:rPr>
                <w:rFonts w:ascii="Arial Narrow" w:hAnsi="Arial Narrow"/>
                <w:b/>
                <w:bCs/>
                <w:color w:val="333333"/>
                <w:sz w:val="20"/>
                <w:szCs w:val="20"/>
              </w:rPr>
            </w:pPr>
          </w:p>
        </w:tc>
      </w:tr>
      <w:tr w:rsidR="00482BFD" w:rsidRPr="00446E53" w14:paraId="1F3ABC74" w14:textId="77777777">
        <w:tblPrEx>
          <w:tblCellMar>
            <w:top w:w="15" w:type="dxa"/>
            <w:bottom w:w="15" w:type="dxa"/>
          </w:tblCellMar>
          <w:tblLook w:val="04A0" w:firstRow="1" w:lastRow="0" w:firstColumn="1" w:lastColumn="0" w:noHBand="0" w:noVBand="1"/>
        </w:tblPrEx>
        <w:trPr>
          <w:cantSplit/>
          <w:trHeight w:val="20"/>
        </w:trPr>
        <w:tc>
          <w:tcPr>
            <w:tcW w:w="1271" w:type="dxa"/>
          </w:tcPr>
          <w:p w14:paraId="11D5B319" w14:textId="12FD591A" w:rsidR="00482BFD" w:rsidRDefault="00482BFD">
            <w:pPr>
              <w:jc w:val="center"/>
              <w:rPr>
                <w:rFonts w:ascii="Arial Narrow" w:eastAsia="Calibri" w:hAnsi="Arial Narrow"/>
                <w:sz w:val="20"/>
                <w:szCs w:val="20"/>
              </w:rPr>
            </w:pPr>
          </w:p>
        </w:tc>
        <w:tc>
          <w:tcPr>
            <w:tcW w:w="7745" w:type="dxa"/>
            <w:gridSpan w:val="6"/>
            <w:vAlign w:val="center"/>
          </w:tcPr>
          <w:p w14:paraId="4E448146" w14:textId="77777777" w:rsidR="00482BFD" w:rsidRPr="0069367A" w:rsidRDefault="00482BFD">
            <w:pPr>
              <w:rPr>
                <w:rFonts w:ascii="Arial Narrow" w:eastAsia="Calibri" w:hAnsi="Arial Narrow"/>
                <w:sz w:val="20"/>
                <w:szCs w:val="20"/>
              </w:rPr>
            </w:pPr>
            <w:r w:rsidRPr="00446E53">
              <w:rPr>
                <w:rFonts w:ascii="Arial Narrow" w:hAnsi="Arial Narrow"/>
                <w:b/>
                <w:bCs/>
                <w:color w:val="333333"/>
                <w:sz w:val="20"/>
                <w:szCs w:val="20"/>
              </w:rPr>
              <w:t>Prescribing Instructions:</w:t>
            </w:r>
          </w:p>
          <w:p w14:paraId="3520474D" w14:textId="77777777" w:rsidR="00482BFD" w:rsidRPr="00800D20" w:rsidRDefault="00482BFD">
            <w:pPr>
              <w:rPr>
                <w:rFonts w:ascii="Arial Narrow" w:eastAsia="Calibri" w:hAnsi="Arial Narrow"/>
                <w:strike/>
                <w:sz w:val="20"/>
                <w:szCs w:val="20"/>
              </w:rPr>
            </w:pPr>
            <w:r w:rsidRPr="00800D20">
              <w:rPr>
                <w:rFonts w:ascii="Arial Narrow" w:eastAsia="Calibri" w:hAnsi="Arial Narrow"/>
                <w:strike/>
                <w:sz w:val="20"/>
                <w:szCs w:val="20"/>
              </w:rPr>
              <w:t>A Grandfathered patient may qualify for PBS-subsidised treatment under this restriction once only.</w:t>
            </w:r>
          </w:p>
          <w:p w14:paraId="325C2BE4" w14:textId="77777777" w:rsidR="00482BFD" w:rsidRPr="00800D20" w:rsidRDefault="00482BFD">
            <w:pPr>
              <w:rPr>
                <w:rFonts w:ascii="Arial Narrow" w:eastAsia="Calibri" w:hAnsi="Arial Narrow"/>
                <w:strike/>
                <w:sz w:val="20"/>
                <w:szCs w:val="20"/>
              </w:rPr>
            </w:pPr>
            <w:r w:rsidRPr="00800D20">
              <w:rPr>
                <w:rFonts w:ascii="Arial Narrow" w:eastAsia="Calibri" w:hAnsi="Arial Narrow"/>
                <w:strike/>
                <w:sz w:val="20"/>
                <w:szCs w:val="20"/>
              </w:rPr>
              <w:t>For continuing PBS-subsidised treatment, a Grandfathered patient must qualify under the Continuing treatment criteria.</w:t>
            </w:r>
          </w:p>
          <w:p w14:paraId="150C9848" w14:textId="77777777" w:rsidR="00482BFD" w:rsidRPr="00446E53" w:rsidRDefault="00482BFD">
            <w:pPr>
              <w:rPr>
                <w:rFonts w:ascii="Arial Narrow" w:hAnsi="Arial Narrow"/>
                <w:b/>
                <w:bCs/>
                <w:color w:val="333333"/>
                <w:sz w:val="20"/>
                <w:szCs w:val="20"/>
              </w:rPr>
            </w:pPr>
            <w:r w:rsidRPr="00DA47AC">
              <w:rPr>
                <w:rFonts w:ascii="Arial Narrow" w:hAnsi="Arial Narrow"/>
                <w:i/>
                <w:iCs/>
                <w:sz w:val="20"/>
                <w:szCs w:val="20"/>
              </w:rPr>
              <w:t>A patient may qualify for PBS-subsidised treatment under this restriction once only. For continuing PBS-subsidised treatment, a Grandfathered patient must qualify under the Continuing treatment criteria.</w:t>
            </w:r>
          </w:p>
        </w:tc>
      </w:tr>
      <w:tr w:rsidR="00482BFD" w:rsidRPr="00446E53" w14:paraId="4EC35489" w14:textId="77777777">
        <w:tblPrEx>
          <w:tblCellMar>
            <w:top w:w="15" w:type="dxa"/>
            <w:bottom w:w="15" w:type="dxa"/>
          </w:tblCellMar>
          <w:tblLook w:val="04A0" w:firstRow="1" w:lastRow="0" w:firstColumn="1" w:lastColumn="0" w:noHBand="0" w:noVBand="1"/>
        </w:tblPrEx>
        <w:trPr>
          <w:cantSplit/>
          <w:trHeight w:val="20"/>
        </w:trPr>
        <w:tc>
          <w:tcPr>
            <w:tcW w:w="1271" w:type="dxa"/>
          </w:tcPr>
          <w:p w14:paraId="2B5C6DC2" w14:textId="77777777" w:rsidR="00482BFD" w:rsidRDefault="00482BFD">
            <w:pPr>
              <w:jc w:val="center"/>
              <w:rPr>
                <w:rFonts w:ascii="Arial Narrow" w:eastAsia="Calibri" w:hAnsi="Arial Narrow"/>
                <w:sz w:val="20"/>
                <w:szCs w:val="20"/>
              </w:rPr>
            </w:pPr>
            <w:r>
              <w:rPr>
                <w:rFonts w:ascii="Arial Narrow" w:eastAsia="Calibri" w:hAnsi="Arial Narrow"/>
                <w:sz w:val="20"/>
                <w:szCs w:val="20"/>
              </w:rPr>
              <w:t>25398</w:t>
            </w:r>
          </w:p>
        </w:tc>
        <w:tc>
          <w:tcPr>
            <w:tcW w:w="7745" w:type="dxa"/>
            <w:gridSpan w:val="6"/>
            <w:vAlign w:val="center"/>
          </w:tcPr>
          <w:p w14:paraId="13EB671F" w14:textId="77777777" w:rsidR="00482BFD" w:rsidRDefault="00482BFD">
            <w:pPr>
              <w:rPr>
                <w:rFonts w:ascii="Arial Narrow" w:eastAsia="Calibri" w:hAnsi="Arial Narrow"/>
                <w:sz w:val="20"/>
                <w:szCs w:val="20"/>
              </w:rPr>
            </w:pPr>
            <w:r w:rsidRPr="00446E53">
              <w:rPr>
                <w:rFonts w:ascii="Arial Narrow" w:hAnsi="Arial Narrow"/>
                <w:b/>
                <w:bCs/>
                <w:color w:val="333333"/>
                <w:sz w:val="20"/>
                <w:szCs w:val="20"/>
              </w:rPr>
              <w:t>Prescribing Instructions:</w:t>
            </w:r>
          </w:p>
          <w:p w14:paraId="48DFDA37" w14:textId="77777777" w:rsidR="00482BFD" w:rsidRPr="00446E53" w:rsidRDefault="00482BFD">
            <w:pPr>
              <w:rPr>
                <w:rFonts w:ascii="Arial Narrow" w:hAnsi="Arial Narrow"/>
                <w:b/>
                <w:bCs/>
                <w:color w:val="333333"/>
                <w:sz w:val="20"/>
                <w:szCs w:val="20"/>
              </w:rPr>
            </w:pPr>
            <w:r w:rsidRPr="005A3A65">
              <w:rPr>
                <w:rFonts w:ascii="Arial Narrow" w:eastAsia="Calibri" w:hAnsi="Arial Narrow"/>
                <w:sz w:val="20"/>
                <w:szCs w:val="20"/>
              </w:rPr>
              <w:t>This grandfather restriction will cease to operate from 12 months after the date specified in the clinical criteria.</w:t>
            </w:r>
          </w:p>
        </w:tc>
      </w:tr>
    </w:tbl>
    <w:p w14:paraId="368EDC78" w14:textId="77777777" w:rsidR="00482BFD" w:rsidRPr="00891FE5" w:rsidRDefault="00482BFD" w:rsidP="00482BFD">
      <w:pPr>
        <w:pStyle w:val="3-BodyText"/>
        <w:numPr>
          <w:ilvl w:val="0"/>
          <w:numId w:val="0"/>
        </w:numPr>
        <w:rPr>
          <w:b/>
          <w:bCs/>
        </w:rPr>
      </w:pPr>
      <w:r w:rsidRPr="00891FE5">
        <w:rPr>
          <w:b/>
          <w:bCs/>
        </w:rPr>
        <w:t xml:space="preserve">Continuing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2"/>
        <w:gridCol w:w="2668"/>
        <w:gridCol w:w="811"/>
        <w:gridCol w:w="812"/>
        <w:gridCol w:w="811"/>
        <w:gridCol w:w="812"/>
        <w:gridCol w:w="1831"/>
      </w:tblGrid>
      <w:tr w:rsidR="00482BFD" w:rsidRPr="00446E53" w14:paraId="61408F8D" w14:textId="77777777">
        <w:trPr>
          <w:cantSplit/>
          <w:trHeight w:val="20"/>
        </w:trPr>
        <w:tc>
          <w:tcPr>
            <w:tcW w:w="3939" w:type="dxa"/>
            <w:gridSpan w:val="2"/>
            <w:vAlign w:val="center"/>
          </w:tcPr>
          <w:p w14:paraId="21ACB320" w14:textId="77777777" w:rsidR="00482BFD" w:rsidRPr="00446E53" w:rsidRDefault="00482BFD">
            <w:pPr>
              <w:keepLines/>
              <w:rPr>
                <w:rFonts w:ascii="Arial Narrow" w:hAnsi="Arial Narrow"/>
                <w:b/>
                <w:bCs/>
                <w:sz w:val="20"/>
                <w:szCs w:val="20"/>
              </w:rPr>
            </w:pPr>
            <w:r w:rsidRPr="00446E53">
              <w:rPr>
                <w:rFonts w:ascii="Arial Narrow" w:hAnsi="Arial Narrow"/>
                <w:b/>
                <w:bCs/>
                <w:sz w:val="20"/>
                <w:szCs w:val="20"/>
              </w:rPr>
              <w:lastRenderedPageBreak/>
              <w:t>MEDICINAL PRODUCT</w:t>
            </w:r>
          </w:p>
          <w:p w14:paraId="796089B2" w14:textId="77777777" w:rsidR="00482BFD" w:rsidRPr="00446E53" w:rsidRDefault="00482BFD">
            <w:pPr>
              <w:keepLines/>
              <w:rPr>
                <w:rFonts w:ascii="Arial Narrow" w:hAnsi="Arial Narrow"/>
                <w:b/>
                <w:sz w:val="20"/>
                <w:szCs w:val="20"/>
              </w:rPr>
            </w:pPr>
            <w:r w:rsidRPr="00446E53">
              <w:rPr>
                <w:rFonts w:ascii="Arial Narrow" w:hAnsi="Arial Narrow"/>
                <w:b/>
                <w:bCs/>
                <w:sz w:val="20"/>
                <w:szCs w:val="20"/>
              </w:rPr>
              <w:t>medicinal product pack</w:t>
            </w:r>
          </w:p>
        </w:tc>
        <w:tc>
          <w:tcPr>
            <w:tcW w:w="811" w:type="dxa"/>
            <w:vAlign w:val="center"/>
          </w:tcPr>
          <w:p w14:paraId="078F5EEA" w14:textId="77777777" w:rsidR="00482BFD" w:rsidRPr="00446E53" w:rsidRDefault="00482BFD">
            <w:pPr>
              <w:keepLines/>
              <w:jc w:val="center"/>
              <w:rPr>
                <w:rFonts w:ascii="Arial Narrow" w:hAnsi="Arial Narrow"/>
                <w:b/>
                <w:sz w:val="20"/>
                <w:szCs w:val="20"/>
              </w:rPr>
            </w:pPr>
            <w:r w:rsidRPr="00446E53">
              <w:rPr>
                <w:rFonts w:ascii="Arial Narrow" w:hAnsi="Arial Narrow"/>
                <w:b/>
                <w:sz w:val="20"/>
                <w:szCs w:val="20"/>
              </w:rPr>
              <w:t>PBS item code</w:t>
            </w:r>
          </w:p>
        </w:tc>
        <w:tc>
          <w:tcPr>
            <w:tcW w:w="812" w:type="dxa"/>
            <w:vAlign w:val="center"/>
          </w:tcPr>
          <w:p w14:paraId="2238E431" w14:textId="77777777" w:rsidR="00482BFD" w:rsidRPr="00446E53" w:rsidRDefault="00482BFD">
            <w:pPr>
              <w:keepLines/>
              <w:jc w:val="center"/>
              <w:rPr>
                <w:rFonts w:ascii="Arial Narrow" w:hAnsi="Arial Narrow"/>
                <w:b/>
                <w:sz w:val="20"/>
                <w:szCs w:val="20"/>
              </w:rPr>
            </w:pPr>
            <w:r w:rsidRPr="00446E53">
              <w:rPr>
                <w:rFonts w:ascii="Arial Narrow" w:hAnsi="Arial Narrow"/>
                <w:b/>
                <w:sz w:val="20"/>
                <w:szCs w:val="20"/>
              </w:rPr>
              <w:t>Max. qty packs</w:t>
            </w:r>
          </w:p>
        </w:tc>
        <w:tc>
          <w:tcPr>
            <w:tcW w:w="811" w:type="dxa"/>
            <w:vAlign w:val="center"/>
          </w:tcPr>
          <w:p w14:paraId="7B96F394" w14:textId="77777777" w:rsidR="00482BFD" w:rsidRPr="00446E53" w:rsidRDefault="00482BFD">
            <w:pPr>
              <w:keepLines/>
              <w:jc w:val="center"/>
              <w:rPr>
                <w:rFonts w:ascii="Arial Narrow" w:hAnsi="Arial Narrow"/>
                <w:b/>
                <w:sz w:val="20"/>
                <w:szCs w:val="20"/>
              </w:rPr>
            </w:pPr>
            <w:r w:rsidRPr="00446E53">
              <w:rPr>
                <w:rFonts w:ascii="Arial Narrow" w:hAnsi="Arial Narrow"/>
                <w:b/>
                <w:sz w:val="20"/>
                <w:szCs w:val="20"/>
              </w:rPr>
              <w:t>Max. qty units</w:t>
            </w:r>
          </w:p>
        </w:tc>
        <w:tc>
          <w:tcPr>
            <w:tcW w:w="812" w:type="dxa"/>
            <w:vAlign w:val="center"/>
          </w:tcPr>
          <w:p w14:paraId="690B756A" w14:textId="77777777" w:rsidR="00482BFD" w:rsidRPr="00446E53" w:rsidRDefault="00482BFD">
            <w:pPr>
              <w:keepLines/>
              <w:jc w:val="center"/>
              <w:rPr>
                <w:rFonts w:ascii="Arial Narrow" w:hAnsi="Arial Narrow"/>
                <w:b/>
                <w:sz w:val="20"/>
                <w:szCs w:val="20"/>
              </w:rPr>
            </w:pPr>
            <w:r w:rsidRPr="00446E53">
              <w:rPr>
                <w:rFonts w:ascii="Arial Narrow" w:hAnsi="Arial Narrow"/>
                <w:b/>
                <w:sz w:val="20"/>
                <w:szCs w:val="20"/>
              </w:rPr>
              <w:t>№.of</w:t>
            </w:r>
          </w:p>
          <w:p w14:paraId="77A45F10" w14:textId="77777777" w:rsidR="00482BFD" w:rsidRPr="00446E53" w:rsidRDefault="00482BFD">
            <w:pPr>
              <w:keepLines/>
              <w:jc w:val="center"/>
              <w:rPr>
                <w:rFonts w:ascii="Arial Narrow" w:hAnsi="Arial Narrow"/>
                <w:b/>
                <w:sz w:val="20"/>
                <w:szCs w:val="20"/>
              </w:rPr>
            </w:pPr>
            <w:r w:rsidRPr="00446E53">
              <w:rPr>
                <w:rFonts w:ascii="Arial Narrow" w:hAnsi="Arial Narrow"/>
                <w:b/>
                <w:sz w:val="20"/>
                <w:szCs w:val="20"/>
              </w:rPr>
              <w:t>Rpts</w:t>
            </w:r>
          </w:p>
        </w:tc>
        <w:tc>
          <w:tcPr>
            <w:tcW w:w="1831" w:type="dxa"/>
            <w:vAlign w:val="center"/>
          </w:tcPr>
          <w:p w14:paraId="77DFD6CE" w14:textId="77777777" w:rsidR="00482BFD" w:rsidRPr="00446E53" w:rsidRDefault="00482BFD">
            <w:pPr>
              <w:keepLines/>
              <w:rPr>
                <w:rFonts w:ascii="Arial Narrow" w:hAnsi="Arial Narrow"/>
                <w:b/>
                <w:sz w:val="20"/>
                <w:szCs w:val="20"/>
                <w:lang w:val="fr-FR"/>
              </w:rPr>
            </w:pPr>
            <w:r w:rsidRPr="00446E53">
              <w:rPr>
                <w:rFonts w:ascii="Arial Narrow" w:hAnsi="Arial Narrow"/>
                <w:b/>
                <w:sz w:val="20"/>
                <w:szCs w:val="20"/>
              </w:rPr>
              <w:t>Available brands</w:t>
            </w:r>
          </w:p>
        </w:tc>
      </w:tr>
      <w:tr w:rsidR="00482BFD" w:rsidRPr="00446E53" w14:paraId="3876A747" w14:textId="77777777">
        <w:trPr>
          <w:cantSplit/>
          <w:trHeight w:val="20"/>
        </w:trPr>
        <w:tc>
          <w:tcPr>
            <w:tcW w:w="9016" w:type="dxa"/>
            <w:gridSpan w:val="7"/>
            <w:vAlign w:val="center"/>
          </w:tcPr>
          <w:p w14:paraId="04CFF1AA" w14:textId="77777777" w:rsidR="00482BFD" w:rsidRPr="00446E53" w:rsidRDefault="00482BFD">
            <w:pPr>
              <w:keepLines/>
              <w:rPr>
                <w:rFonts w:ascii="Arial Narrow" w:hAnsi="Arial Narrow"/>
                <w:sz w:val="20"/>
                <w:szCs w:val="20"/>
              </w:rPr>
            </w:pPr>
            <w:r>
              <w:rPr>
                <w:rFonts w:ascii="Arial Narrow" w:hAnsi="Arial Narrow"/>
                <w:sz w:val="20"/>
                <w:szCs w:val="20"/>
              </w:rPr>
              <w:t>NEMOLIZUMAB</w:t>
            </w:r>
          </w:p>
        </w:tc>
      </w:tr>
      <w:tr w:rsidR="00482BFD" w:rsidRPr="00446E53" w14:paraId="7DC69227" w14:textId="77777777">
        <w:trPr>
          <w:cantSplit/>
          <w:trHeight w:val="20"/>
        </w:trPr>
        <w:tc>
          <w:tcPr>
            <w:tcW w:w="3939" w:type="dxa"/>
            <w:gridSpan w:val="2"/>
            <w:vAlign w:val="center"/>
          </w:tcPr>
          <w:p w14:paraId="3AFC2230" w14:textId="77777777" w:rsidR="00482BFD" w:rsidRDefault="00482BFD">
            <w:pPr>
              <w:keepLines/>
              <w:rPr>
                <w:rFonts w:ascii="Arial Narrow" w:hAnsi="Arial Narrow"/>
                <w:i/>
                <w:iCs/>
                <w:strike/>
                <w:sz w:val="20"/>
                <w:szCs w:val="20"/>
              </w:rPr>
            </w:pPr>
            <w:r w:rsidRPr="009C0970">
              <w:rPr>
                <w:rFonts w:ascii="Arial Narrow" w:hAnsi="Arial Narrow"/>
                <w:strike/>
                <w:sz w:val="20"/>
                <w:szCs w:val="20"/>
              </w:rPr>
              <w:t xml:space="preserve">nemolizumab 30 mg/0.49 mL injection, 1 x 0.49 mL pen device </w:t>
            </w:r>
          </w:p>
          <w:p w14:paraId="75B86BA4" w14:textId="77777777" w:rsidR="00482BFD" w:rsidRPr="00E168B8" w:rsidRDefault="00482BFD">
            <w:pPr>
              <w:keepLines/>
              <w:rPr>
                <w:rFonts w:ascii="Arial Narrow" w:hAnsi="Arial Narrow"/>
                <w:sz w:val="20"/>
                <w:szCs w:val="20"/>
              </w:rPr>
            </w:pPr>
            <w:r>
              <w:rPr>
                <w:rFonts w:ascii="Arial Narrow" w:hAnsi="Arial Narrow"/>
                <w:i/>
                <w:iCs/>
                <w:sz w:val="20"/>
                <w:szCs w:val="20"/>
              </w:rPr>
              <w:t xml:space="preserve">Nemolizumab 30 mg injection [1 chamber] (&amp;) inert substance diluent [1 chamber], 1 dual chamber pen device </w:t>
            </w:r>
          </w:p>
        </w:tc>
        <w:tc>
          <w:tcPr>
            <w:tcW w:w="811" w:type="dxa"/>
            <w:vAlign w:val="center"/>
          </w:tcPr>
          <w:p w14:paraId="3F067B79" w14:textId="77777777" w:rsidR="00482BFD" w:rsidRPr="00E168B8" w:rsidRDefault="00482BFD">
            <w:pPr>
              <w:keepLines/>
              <w:jc w:val="center"/>
              <w:rPr>
                <w:rFonts w:ascii="Arial Narrow" w:hAnsi="Arial Narrow"/>
                <w:sz w:val="20"/>
                <w:szCs w:val="20"/>
              </w:rPr>
            </w:pPr>
            <w:r w:rsidRPr="00E168B8">
              <w:rPr>
                <w:rFonts w:ascii="Arial Narrow" w:hAnsi="Arial Narrow"/>
                <w:sz w:val="20"/>
                <w:szCs w:val="20"/>
              </w:rPr>
              <w:t>NEW</w:t>
            </w:r>
          </w:p>
        </w:tc>
        <w:tc>
          <w:tcPr>
            <w:tcW w:w="812" w:type="dxa"/>
            <w:vAlign w:val="center"/>
          </w:tcPr>
          <w:p w14:paraId="76BBA566" w14:textId="77777777" w:rsidR="00482BFD" w:rsidRPr="00E168B8" w:rsidRDefault="00482BFD">
            <w:pPr>
              <w:keepLines/>
              <w:jc w:val="center"/>
              <w:rPr>
                <w:rFonts w:ascii="Arial Narrow" w:hAnsi="Arial Narrow"/>
                <w:sz w:val="20"/>
                <w:szCs w:val="20"/>
              </w:rPr>
            </w:pPr>
            <w:r>
              <w:rPr>
                <w:rFonts w:ascii="Arial Narrow" w:hAnsi="Arial Narrow"/>
                <w:sz w:val="20"/>
                <w:szCs w:val="20"/>
              </w:rPr>
              <w:t>1</w:t>
            </w:r>
          </w:p>
        </w:tc>
        <w:tc>
          <w:tcPr>
            <w:tcW w:w="811" w:type="dxa"/>
            <w:vAlign w:val="center"/>
          </w:tcPr>
          <w:p w14:paraId="17C52F18" w14:textId="77777777" w:rsidR="00482BFD" w:rsidRPr="00E168B8" w:rsidRDefault="00482BFD">
            <w:pPr>
              <w:keepLines/>
              <w:jc w:val="center"/>
              <w:rPr>
                <w:rFonts w:ascii="Arial Narrow" w:hAnsi="Arial Narrow"/>
                <w:sz w:val="20"/>
                <w:szCs w:val="20"/>
              </w:rPr>
            </w:pPr>
            <w:r>
              <w:rPr>
                <w:rFonts w:ascii="Arial Narrow" w:hAnsi="Arial Narrow"/>
                <w:sz w:val="20"/>
                <w:szCs w:val="20"/>
              </w:rPr>
              <w:t>1</w:t>
            </w:r>
          </w:p>
        </w:tc>
        <w:tc>
          <w:tcPr>
            <w:tcW w:w="812" w:type="dxa"/>
            <w:vAlign w:val="center"/>
          </w:tcPr>
          <w:p w14:paraId="02AC7B12" w14:textId="77777777" w:rsidR="00482BFD" w:rsidRPr="00E168B8" w:rsidRDefault="00482BFD">
            <w:pPr>
              <w:keepLines/>
              <w:jc w:val="center"/>
              <w:rPr>
                <w:rFonts w:ascii="Arial Narrow" w:hAnsi="Arial Narrow"/>
                <w:sz w:val="20"/>
                <w:szCs w:val="20"/>
              </w:rPr>
            </w:pPr>
            <w:r w:rsidRPr="00E168B8">
              <w:rPr>
                <w:rFonts w:ascii="Arial Narrow" w:hAnsi="Arial Narrow"/>
                <w:sz w:val="20"/>
                <w:szCs w:val="20"/>
              </w:rPr>
              <w:t>2</w:t>
            </w:r>
          </w:p>
        </w:tc>
        <w:tc>
          <w:tcPr>
            <w:tcW w:w="1831" w:type="dxa"/>
            <w:vAlign w:val="center"/>
          </w:tcPr>
          <w:p w14:paraId="2DFA22BA" w14:textId="77777777" w:rsidR="00482BFD" w:rsidRPr="00E168B8" w:rsidRDefault="00482BFD">
            <w:pPr>
              <w:keepLines/>
              <w:jc w:val="center"/>
              <w:rPr>
                <w:rFonts w:ascii="Arial Narrow" w:hAnsi="Arial Narrow"/>
                <w:sz w:val="20"/>
                <w:szCs w:val="20"/>
              </w:rPr>
            </w:pPr>
          </w:p>
          <w:p w14:paraId="70131475" w14:textId="77777777" w:rsidR="00482BFD" w:rsidRPr="00E168B8" w:rsidRDefault="00482BFD">
            <w:pPr>
              <w:keepLines/>
              <w:jc w:val="center"/>
              <w:rPr>
                <w:rFonts w:ascii="Arial Narrow" w:hAnsi="Arial Narrow"/>
                <w:sz w:val="20"/>
                <w:szCs w:val="20"/>
              </w:rPr>
            </w:pPr>
            <w:proofErr w:type="spellStart"/>
            <w:r w:rsidRPr="00E168B8">
              <w:rPr>
                <w:rFonts w:ascii="Arial Narrow" w:hAnsi="Arial Narrow"/>
                <w:sz w:val="20"/>
                <w:szCs w:val="20"/>
              </w:rPr>
              <w:t>Nemluvio</w:t>
            </w:r>
            <w:proofErr w:type="spellEnd"/>
          </w:p>
          <w:p w14:paraId="2704CA03" w14:textId="77777777" w:rsidR="00482BFD" w:rsidRPr="00E168B8" w:rsidRDefault="00482BFD">
            <w:pPr>
              <w:keepLines/>
              <w:rPr>
                <w:rFonts w:ascii="Arial Narrow" w:hAnsi="Arial Narrow"/>
                <w:sz w:val="20"/>
                <w:szCs w:val="20"/>
              </w:rPr>
            </w:pPr>
          </w:p>
        </w:tc>
      </w:tr>
      <w:tr w:rsidR="00482BFD" w:rsidRPr="00446E53" w14:paraId="05ECC5E1" w14:textId="77777777">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45E1E3CB" w14:textId="77777777" w:rsidR="00482BFD" w:rsidRPr="00E168B8" w:rsidRDefault="00482BFD">
            <w:pPr>
              <w:rPr>
                <w:rFonts w:ascii="Arial Narrow" w:hAnsi="Arial Narrow"/>
                <w:sz w:val="20"/>
                <w:szCs w:val="20"/>
              </w:rPr>
            </w:pPr>
          </w:p>
        </w:tc>
      </w:tr>
      <w:tr w:rsidR="00482BFD" w:rsidRPr="00446E53" w14:paraId="5A22F0EA" w14:textId="77777777">
        <w:tblPrEx>
          <w:tblCellMar>
            <w:top w:w="15" w:type="dxa"/>
            <w:bottom w:w="15" w:type="dxa"/>
          </w:tblCellMar>
          <w:tblLook w:val="04A0" w:firstRow="1" w:lastRow="0" w:firstColumn="1" w:lastColumn="0" w:noHBand="0" w:noVBand="1"/>
        </w:tblPrEx>
        <w:trPr>
          <w:trHeight w:val="20"/>
        </w:trPr>
        <w:tc>
          <w:tcPr>
            <w:tcW w:w="1271" w:type="dxa"/>
            <w:vMerge w:val="restart"/>
            <w:tcBorders>
              <w:top w:val="single" w:sz="4" w:space="0" w:color="auto"/>
              <w:left w:val="single" w:sz="4" w:space="0" w:color="auto"/>
              <w:right w:val="single" w:sz="4" w:space="0" w:color="auto"/>
            </w:tcBorders>
          </w:tcPr>
          <w:p w14:paraId="67700820" w14:textId="77777777" w:rsidR="00482BFD" w:rsidRPr="00446E53" w:rsidRDefault="00482BFD">
            <w:pPr>
              <w:jc w:val="center"/>
              <w:rPr>
                <w:rFonts w:ascii="Arial Narrow" w:hAnsi="Arial Narrow"/>
                <w:sz w:val="20"/>
                <w:szCs w:val="20"/>
              </w:rPr>
            </w:pPr>
            <w:r w:rsidRPr="00446E53">
              <w:rPr>
                <w:rFonts w:ascii="Arial Narrow" w:hAnsi="Arial Narrow"/>
                <w:b/>
                <w:sz w:val="20"/>
                <w:szCs w:val="20"/>
              </w:rPr>
              <w:t>Concept ID</w:t>
            </w:r>
          </w:p>
          <w:p w14:paraId="4FF4A717" w14:textId="77777777" w:rsidR="00482BFD" w:rsidRPr="00446E53" w:rsidRDefault="00482BFD">
            <w:pPr>
              <w:jc w:val="center"/>
              <w:rPr>
                <w:rFonts w:ascii="Arial Narrow" w:hAnsi="Arial Narrow"/>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7BAF3AB" w14:textId="77777777" w:rsidR="00482BFD" w:rsidRPr="00E168B8" w:rsidRDefault="00482BFD">
            <w:pPr>
              <w:keepLines/>
              <w:jc w:val="left"/>
              <w:rPr>
                <w:rFonts w:ascii="Arial Narrow" w:hAnsi="Arial Narrow"/>
                <w:sz w:val="20"/>
                <w:szCs w:val="20"/>
              </w:rPr>
            </w:pPr>
            <w:r w:rsidRPr="00E168B8">
              <w:rPr>
                <w:rFonts w:ascii="Arial Narrow" w:hAnsi="Arial Narrow"/>
                <w:b/>
                <w:sz w:val="20"/>
                <w:szCs w:val="20"/>
              </w:rPr>
              <w:t>Category / Program:</w:t>
            </w:r>
            <w:r w:rsidRPr="00E168B8">
              <w:rPr>
                <w:rFonts w:ascii="Arial Narrow" w:hAnsi="Arial Narrow"/>
                <w:sz w:val="20"/>
                <w:szCs w:val="20"/>
              </w:rPr>
              <w:t xml:space="preserve"> </w:t>
            </w:r>
            <w:r w:rsidRPr="00E168B8">
              <w:rPr>
                <w:rFonts w:ascii="Arial Narrow" w:hAnsi="Arial Narrow"/>
                <w:sz w:val="20"/>
                <w:szCs w:val="20"/>
              </w:rPr>
              <w:fldChar w:fldCharType="begin">
                <w:ffData>
                  <w:name w:val=""/>
                  <w:enabled/>
                  <w:calcOnExit w:val="0"/>
                  <w:checkBox>
                    <w:sizeAuto/>
                    <w:default w:val="1"/>
                  </w:checkBox>
                </w:ffData>
              </w:fldChar>
            </w:r>
            <w:r w:rsidRPr="00E168B8">
              <w:rPr>
                <w:rFonts w:ascii="Arial Narrow" w:hAnsi="Arial Narrow"/>
                <w:sz w:val="20"/>
                <w:szCs w:val="20"/>
              </w:rPr>
              <w:instrText xml:space="preserve"> FORMCHECKBOX </w:instrText>
            </w:r>
            <w:r w:rsidRPr="00E168B8">
              <w:rPr>
                <w:rFonts w:ascii="Arial Narrow" w:hAnsi="Arial Narrow"/>
                <w:sz w:val="20"/>
                <w:szCs w:val="20"/>
              </w:rPr>
            </w:r>
            <w:r w:rsidRPr="00E168B8">
              <w:rPr>
                <w:rFonts w:ascii="Arial Narrow" w:hAnsi="Arial Narrow"/>
                <w:sz w:val="20"/>
                <w:szCs w:val="20"/>
              </w:rPr>
              <w:fldChar w:fldCharType="separate"/>
            </w:r>
            <w:r w:rsidRPr="00E168B8">
              <w:rPr>
                <w:rFonts w:ascii="Arial Narrow" w:hAnsi="Arial Narrow"/>
                <w:sz w:val="20"/>
                <w:szCs w:val="20"/>
              </w:rPr>
              <w:fldChar w:fldCharType="end"/>
            </w:r>
            <w:r w:rsidRPr="00E168B8">
              <w:rPr>
                <w:rFonts w:ascii="Arial Narrow" w:hAnsi="Arial Narrow"/>
                <w:sz w:val="20"/>
                <w:szCs w:val="20"/>
              </w:rPr>
              <w:t xml:space="preserve"> </w:t>
            </w:r>
            <w:r w:rsidRPr="00E168B8">
              <w:rPr>
                <w:rFonts w:ascii="Arial Narrow" w:eastAsia="Calibri" w:hAnsi="Arial Narrow"/>
                <w:sz w:val="20"/>
                <w:szCs w:val="20"/>
              </w:rPr>
              <w:t xml:space="preserve">GENERAL - General Schedule (Code GE) </w:t>
            </w:r>
          </w:p>
        </w:tc>
      </w:tr>
      <w:tr w:rsidR="00482BFD" w:rsidRPr="00446E53" w14:paraId="7F6C1C10" w14:textId="77777777">
        <w:tblPrEx>
          <w:tblCellMar>
            <w:top w:w="15" w:type="dxa"/>
            <w:bottom w:w="15" w:type="dxa"/>
          </w:tblCellMar>
          <w:tblLook w:val="04A0" w:firstRow="1" w:lastRow="0" w:firstColumn="1" w:lastColumn="0" w:noHBand="0" w:noVBand="1"/>
        </w:tblPrEx>
        <w:trPr>
          <w:trHeight w:val="20"/>
        </w:trPr>
        <w:tc>
          <w:tcPr>
            <w:tcW w:w="1271" w:type="dxa"/>
            <w:vMerge/>
            <w:tcBorders>
              <w:left w:val="single" w:sz="4" w:space="0" w:color="auto"/>
              <w:right w:val="single" w:sz="4" w:space="0" w:color="auto"/>
            </w:tcBorders>
          </w:tcPr>
          <w:p w14:paraId="09811C59" w14:textId="77777777" w:rsidR="00482BFD" w:rsidRPr="00446E53" w:rsidRDefault="00482BFD">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392945EB" w14:textId="77777777" w:rsidR="00482BFD" w:rsidRPr="00E168B8" w:rsidRDefault="00482BFD">
            <w:pPr>
              <w:keepLines/>
              <w:jc w:val="left"/>
              <w:rPr>
                <w:rFonts w:ascii="Arial Narrow" w:hAnsi="Arial Narrow"/>
                <w:b/>
                <w:sz w:val="20"/>
                <w:szCs w:val="20"/>
              </w:rPr>
            </w:pPr>
            <w:r w:rsidRPr="00E168B8">
              <w:rPr>
                <w:rFonts w:ascii="Arial Narrow" w:hAnsi="Arial Narrow"/>
                <w:b/>
                <w:sz w:val="20"/>
                <w:szCs w:val="20"/>
              </w:rPr>
              <w:t xml:space="preserve">Prescriber type: </w:t>
            </w:r>
            <w:r w:rsidRPr="00E168B8">
              <w:rPr>
                <w:rFonts w:ascii="Arial Narrow" w:hAnsi="Arial Narrow"/>
                <w:sz w:val="20"/>
                <w:szCs w:val="20"/>
              </w:rPr>
              <w:fldChar w:fldCharType="begin">
                <w:ffData>
                  <w:name w:val=""/>
                  <w:enabled/>
                  <w:calcOnExit w:val="0"/>
                  <w:checkBox>
                    <w:sizeAuto/>
                    <w:default w:val="1"/>
                  </w:checkBox>
                </w:ffData>
              </w:fldChar>
            </w:r>
            <w:r w:rsidRPr="00E168B8">
              <w:rPr>
                <w:rFonts w:ascii="Arial Narrow" w:hAnsi="Arial Narrow"/>
                <w:sz w:val="20"/>
                <w:szCs w:val="20"/>
              </w:rPr>
              <w:instrText xml:space="preserve"> FORMCHECKBOX </w:instrText>
            </w:r>
            <w:r w:rsidRPr="00E168B8">
              <w:rPr>
                <w:rFonts w:ascii="Arial Narrow" w:hAnsi="Arial Narrow"/>
                <w:sz w:val="20"/>
                <w:szCs w:val="20"/>
              </w:rPr>
            </w:r>
            <w:r w:rsidRPr="00E168B8">
              <w:rPr>
                <w:rFonts w:ascii="Arial Narrow" w:hAnsi="Arial Narrow"/>
                <w:sz w:val="20"/>
                <w:szCs w:val="20"/>
              </w:rPr>
              <w:fldChar w:fldCharType="separate"/>
            </w:r>
            <w:r w:rsidRPr="00E168B8">
              <w:rPr>
                <w:rFonts w:ascii="Arial Narrow" w:hAnsi="Arial Narrow"/>
                <w:sz w:val="20"/>
                <w:szCs w:val="20"/>
              </w:rPr>
              <w:fldChar w:fldCharType="end"/>
            </w:r>
            <w:r w:rsidRPr="00E168B8">
              <w:rPr>
                <w:rFonts w:ascii="Arial Narrow" w:hAnsi="Arial Narrow"/>
                <w:sz w:val="20"/>
                <w:szCs w:val="20"/>
              </w:rPr>
              <w:t xml:space="preserve"> Medical Practitioners </w:t>
            </w:r>
          </w:p>
        </w:tc>
      </w:tr>
      <w:tr w:rsidR="00482BFD" w:rsidRPr="00446E53" w14:paraId="7A14661A" w14:textId="77777777">
        <w:tblPrEx>
          <w:tblCellMar>
            <w:top w:w="15" w:type="dxa"/>
            <w:bottom w:w="15" w:type="dxa"/>
          </w:tblCellMar>
          <w:tblLook w:val="04A0" w:firstRow="1" w:lastRow="0" w:firstColumn="1" w:lastColumn="0" w:noHBand="0" w:noVBand="1"/>
        </w:tblPrEx>
        <w:trPr>
          <w:trHeight w:val="20"/>
        </w:trPr>
        <w:tc>
          <w:tcPr>
            <w:tcW w:w="1271" w:type="dxa"/>
            <w:vMerge/>
            <w:tcBorders>
              <w:left w:val="single" w:sz="4" w:space="0" w:color="auto"/>
              <w:right w:val="single" w:sz="4" w:space="0" w:color="auto"/>
            </w:tcBorders>
          </w:tcPr>
          <w:p w14:paraId="717D8DE4" w14:textId="77777777" w:rsidR="00482BFD" w:rsidRPr="00446E53" w:rsidRDefault="00482BFD">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8B95C3C" w14:textId="77777777" w:rsidR="00482BFD" w:rsidRPr="00E168B8" w:rsidRDefault="00482BFD">
            <w:pPr>
              <w:keepLines/>
              <w:jc w:val="left"/>
              <w:rPr>
                <w:rFonts w:ascii="Arial Narrow" w:hAnsi="Arial Narrow"/>
                <w:sz w:val="20"/>
                <w:szCs w:val="20"/>
              </w:rPr>
            </w:pPr>
            <w:r w:rsidRPr="00E168B8">
              <w:rPr>
                <w:rFonts w:ascii="Arial Narrow" w:hAnsi="Arial Narrow"/>
                <w:b/>
                <w:sz w:val="20"/>
                <w:szCs w:val="20"/>
              </w:rPr>
              <w:t xml:space="preserve">Benefit type: </w:t>
            </w:r>
            <w:r w:rsidRPr="00E168B8">
              <w:rPr>
                <w:rFonts w:ascii="Arial Narrow" w:hAnsi="Arial Narrow"/>
                <w:sz w:val="20"/>
                <w:szCs w:val="20"/>
              </w:rPr>
              <w:fldChar w:fldCharType="begin">
                <w:ffData>
                  <w:name w:val=""/>
                  <w:enabled/>
                  <w:calcOnExit w:val="0"/>
                  <w:checkBox>
                    <w:sizeAuto/>
                    <w:default w:val="1"/>
                  </w:checkBox>
                </w:ffData>
              </w:fldChar>
            </w:r>
            <w:r w:rsidRPr="00E168B8">
              <w:rPr>
                <w:rFonts w:ascii="Arial Narrow" w:hAnsi="Arial Narrow"/>
                <w:sz w:val="20"/>
                <w:szCs w:val="20"/>
              </w:rPr>
              <w:instrText xml:space="preserve"> FORMCHECKBOX </w:instrText>
            </w:r>
            <w:r w:rsidRPr="00E168B8">
              <w:rPr>
                <w:rFonts w:ascii="Arial Narrow" w:hAnsi="Arial Narrow"/>
                <w:sz w:val="20"/>
                <w:szCs w:val="20"/>
              </w:rPr>
            </w:r>
            <w:r w:rsidRPr="00E168B8">
              <w:rPr>
                <w:rFonts w:ascii="Arial Narrow" w:hAnsi="Arial Narrow"/>
                <w:sz w:val="20"/>
                <w:szCs w:val="20"/>
              </w:rPr>
              <w:fldChar w:fldCharType="separate"/>
            </w:r>
            <w:r w:rsidRPr="00E168B8">
              <w:rPr>
                <w:rFonts w:ascii="Arial Narrow" w:hAnsi="Arial Narrow"/>
                <w:sz w:val="20"/>
                <w:szCs w:val="20"/>
              </w:rPr>
              <w:fldChar w:fldCharType="end"/>
            </w:r>
            <w:r w:rsidRPr="00E168B8">
              <w:rPr>
                <w:rFonts w:ascii="Arial Narrow" w:hAnsi="Arial Narrow"/>
                <w:sz w:val="20"/>
                <w:szCs w:val="20"/>
              </w:rPr>
              <w:t xml:space="preserve"> </w:t>
            </w:r>
            <w:r w:rsidRPr="00E168B8">
              <w:rPr>
                <w:rFonts w:ascii="Arial Narrow" w:eastAsia="Calibri" w:hAnsi="Arial Narrow"/>
                <w:sz w:val="20"/>
                <w:szCs w:val="20"/>
              </w:rPr>
              <w:t>Authority Required (</w:t>
            </w:r>
            <w:r>
              <w:rPr>
                <w:rFonts w:ascii="Arial Narrow" w:eastAsia="Calibri" w:hAnsi="Arial Narrow"/>
                <w:sz w:val="20"/>
                <w:szCs w:val="20"/>
              </w:rPr>
              <w:t xml:space="preserve">telephone/electronic) </w:t>
            </w:r>
          </w:p>
        </w:tc>
      </w:tr>
      <w:tr w:rsidR="00482BFD" w:rsidRPr="00446E53" w14:paraId="4C2C4CE4" w14:textId="77777777">
        <w:tblPrEx>
          <w:tblCellMar>
            <w:top w:w="15" w:type="dxa"/>
            <w:bottom w:w="15" w:type="dxa"/>
          </w:tblCellMar>
          <w:tblLook w:val="04A0" w:firstRow="1" w:lastRow="0" w:firstColumn="1" w:lastColumn="0" w:noHBand="0" w:noVBand="1"/>
        </w:tblPrEx>
        <w:trPr>
          <w:trHeight w:val="184"/>
        </w:trPr>
        <w:tc>
          <w:tcPr>
            <w:tcW w:w="1271" w:type="dxa"/>
            <w:tcBorders>
              <w:left w:val="single" w:sz="4" w:space="0" w:color="auto"/>
              <w:bottom w:val="single" w:sz="4" w:space="0" w:color="auto"/>
              <w:right w:val="single" w:sz="4" w:space="0" w:color="auto"/>
            </w:tcBorders>
          </w:tcPr>
          <w:p w14:paraId="7B9DDA78" w14:textId="77777777" w:rsidR="00482BFD" w:rsidRPr="00446E53" w:rsidRDefault="00482BFD">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1D32481" w14:textId="77777777" w:rsidR="00482BFD" w:rsidRPr="00446E53" w:rsidRDefault="00482BFD">
            <w:pPr>
              <w:pStyle w:val="pf0"/>
              <w:spacing w:before="0" w:beforeAutospacing="0" w:after="0" w:afterAutospacing="0"/>
              <w:rPr>
                <w:rFonts w:ascii="Arial Narrow" w:hAnsi="Arial Narrow" w:cs="Arial"/>
                <w:b/>
                <w:sz w:val="20"/>
                <w:szCs w:val="20"/>
              </w:rPr>
            </w:pPr>
            <w:r w:rsidRPr="00446E53">
              <w:rPr>
                <w:rFonts w:ascii="Arial Narrow" w:hAnsi="Arial Narrow" w:cs="Arial"/>
                <w:b/>
                <w:sz w:val="20"/>
                <w:szCs w:val="20"/>
              </w:rPr>
              <w:t xml:space="preserve">Prescribing rule level:  </w:t>
            </w:r>
          </w:p>
        </w:tc>
      </w:tr>
      <w:tr w:rsidR="00482BFD" w:rsidRPr="00446E53" w14:paraId="388BEA0A" w14:textId="77777777">
        <w:tblPrEx>
          <w:tblCellMar>
            <w:top w:w="15" w:type="dxa"/>
            <w:bottom w:w="15" w:type="dxa"/>
          </w:tblCellMar>
          <w:tblLook w:val="04A0" w:firstRow="1" w:lastRow="0" w:firstColumn="1" w:lastColumn="0" w:noHBand="0" w:noVBand="1"/>
        </w:tblPrEx>
        <w:trPr>
          <w:trHeight w:val="184"/>
        </w:trPr>
        <w:tc>
          <w:tcPr>
            <w:tcW w:w="1271" w:type="dxa"/>
            <w:tcBorders>
              <w:left w:val="single" w:sz="4" w:space="0" w:color="auto"/>
              <w:bottom w:val="single" w:sz="4" w:space="0" w:color="auto"/>
              <w:right w:val="single" w:sz="4" w:space="0" w:color="auto"/>
            </w:tcBorders>
          </w:tcPr>
          <w:p w14:paraId="5A8EB38C" w14:textId="1C4FEC93" w:rsidR="00482BFD" w:rsidRPr="00446E53" w:rsidRDefault="00482BFD">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F8AF134" w14:textId="77777777" w:rsidR="00482BFD" w:rsidRDefault="00482BFD">
            <w:pPr>
              <w:rPr>
                <w:rFonts w:ascii="Arial Narrow" w:hAnsi="Arial Narrow"/>
                <w:b/>
                <w:bCs/>
                <w:color w:val="333333"/>
                <w:sz w:val="20"/>
                <w:szCs w:val="20"/>
              </w:rPr>
            </w:pPr>
            <w:r w:rsidRPr="00446E53">
              <w:rPr>
                <w:rFonts w:ascii="Arial Narrow" w:hAnsi="Arial Narrow"/>
                <w:b/>
                <w:bCs/>
                <w:color w:val="333333"/>
                <w:sz w:val="20"/>
                <w:szCs w:val="20"/>
              </w:rPr>
              <w:t>Administrative Advice:</w:t>
            </w:r>
          </w:p>
          <w:p w14:paraId="00542E96" w14:textId="77777777" w:rsidR="00482BFD" w:rsidRPr="00446E53" w:rsidRDefault="00482BFD">
            <w:pPr>
              <w:pStyle w:val="pf0"/>
              <w:spacing w:before="0" w:beforeAutospacing="0" w:after="0" w:afterAutospacing="0"/>
              <w:rPr>
                <w:rFonts w:ascii="Arial Narrow" w:hAnsi="Arial Narrow" w:cs="Arial"/>
                <w:b/>
                <w:sz w:val="20"/>
                <w:szCs w:val="20"/>
              </w:rPr>
            </w:pPr>
            <w:r w:rsidRPr="008903D2">
              <w:rPr>
                <w:rFonts w:ascii="Arial Narrow" w:eastAsia="Calibri" w:hAnsi="Arial Narrow" w:cs="Arial"/>
                <w:sz w:val="20"/>
                <w:szCs w:val="20"/>
                <w14:ligatures w14:val="standardContextual"/>
              </w:rPr>
              <w:t>No increase in the maximum quantity or number of units may be authorised.</w:t>
            </w:r>
          </w:p>
        </w:tc>
      </w:tr>
      <w:tr w:rsidR="00482BFD" w:rsidRPr="00446E53" w14:paraId="1BF5C411" w14:textId="77777777">
        <w:tblPrEx>
          <w:tblCellMar>
            <w:top w:w="15" w:type="dxa"/>
            <w:bottom w:w="15" w:type="dxa"/>
          </w:tblCellMar>
          <w:tblLook w:val="04A0" w:firstRow="1" w:lastRow="0" w:firstColumn="1" w:lastColumn="0" w:noHBand="0" w:noVBand="1"/>
        </w:tblPrEx>
        <w:trPr>
          <w:trHeight w:val="184"/>
        </w:trPr>
        <w:tc>
          <w:tcPr>
            <w:tcW w:w="1271" w:type="dxa"/>
            <w:tcBorders>
              <w:left w:val="single" w:sz="4" w:space="0" w:color="auto"/>
              <w:bottom w:val="single" w:sz="4" w:space="0" w:color="auto"/>
              <w:right w:val="single" w:sz="4" w:space="0" w:color="auto"/>
            </w:tcBorders>
          </w:tcPr>
          <w:p w14:paraId="6A9E484A" w14:textId="41338ABC" w:rsidR="00482BFD" w:rsidRPr="00446E53" w:rsidRDefault="00482BFD">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5548321F" w14:textId="77777777" w:rsidR="00482BFD" w:rsidRPr="001D4E34" w:rsidRDefault="00482BFD">
            <w:pPr>
              <w:rPr>
                <w:rFonts w:ascii="Arial Narrow" w:eastAsia="Calibri" w:hAnsi="Arial Narrow"/>
                <w:b/>
                <w:bCs/>
                <w:sz w:val="20"/>
                <w:szCs w:val="20"/>
              </w:rPr>
            </w:pPr>
            <w:r w:rsidRPr="001D4E34">
              <w:rPr>
                <w:rFonts w:ascii="Arial Narrow" w:eastAsia="Calibri" w:hAnsi="Arial Narrow"/>
                <w:b/>
                <w:bCs/>
                <w:sz w:val="20"/>
                <w:szCs w:val="20"/>
              </w:rPr>
              <w:t>Administrative Advice:</w:t>
            </w:r>
          </w:p>
          <w:p w14:paraId="4DB7B709" w14:textId="77777777" w:rsidR="00482BFD" w:rsidRPr="00E60AF3" w:rsidRDefault="00482BFD">
            <w:pPr>
              <w:pStyle w:val="pf0"/>
              <w:spacing w:before="0" w:beforeAutospacing="0" w:after="0" w:afterAutospacing="0"/>
              <w:rPr>
                <w:rFonts w:ascii="Arial Narrow" w:eastAsia="Calibri" w:hAnsi="Arial Narrow" w:cs="Arial"/>
                <w:sz w:val="20"/>
                <w:szCs w:val="20"/>
                <w14:ligatures w14:val="standardContextual"/>
              </w:rPr>
            </w:pPr>
            <w:r w:rsidRPr="00E60AF3">
              <w:rPr>
                <w:rFonts w:ascii="Arial Narrow" w:eastAsia="Calibri" w:hAnsi="Arial Narrow" w:cs="Arial"/>
                <w:sz w:val="20"/>
                <w:szCs w:val="20"/>
                <w14:ligatures w14:val="standardContextual"/>
              </w:rPr>
              <w:t>No increase in the maximum number of repeats may be authorised.</w:t>
            </w:r>
          </w:p>
        </w:tc>
      </w:tr>
      <w:tr w:rsidR="00482BFD" w:rsidRPr="00446E53" w14:paraId="548B36AC" w14:textId="77777777">
        <w:tblPrEx>
          <w:tblCellMar>
            <w:top w:w="15" w:type="dxa"/>
            <w:bottom w:w="15" w:type="dxa"/>
          </w:tblCellMar>
          <w:tblLook w:val="04A0" w:firstRow="1" w:lastRow="0" w:firstColumn="1" w:lastColumn="0" w:noHBand="0" w:noVBand="1"/>
        </w:tblPrEx>
        <w:trPr>
          <w:trHeight w:val="184"/>
        </w:trPr>
        <w:tc>
          <w:tcPr>
            <w:tcW w:w="1271" w:type="dxa"/>
            <w:tcBorders>
              <w:left w:val="single" w:sz="4" w:space="0" w:color="auto"/>
              <w:bottom w:val="single" w:sz="4" w:space="0" w:color="auto"/>
              <w:right w:val="single" w:sz="4" w:space="0" w:color="auto"/>
            </w:tcBorders>
          </w:tcPr>
          <w:p w14:paraId="3E6F73F4" w14:textId="715E2523" w:rsidR="00482BFD" w:rsidRPr="00446E53" w:rsidRDefault="00482BFD">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54C01ED2" w14:textId="77777777" w:rsidR="00482BFD" w:rsidRPr="001D4E34" w:rsidRDefault="00482BFD">
            <w:pPr>
              <w:rPr>
                <w:rFonts w:ascii="Arial Narrow" w:eastAsia="Calibri" w:hAnsi="Arial Narrow"/>
                <w:b/>
                <w:bCs/>
                <w:sz w:val="20"/>
                <w:szCs w:val="20"/>
              </w:rPr>
            </w:pPr>
            <w:r w:rsidRPr="001D4E34">
              <w:rPr>
                <w:rFonts w:ascii="Arial Narrow" w:eastAsia="Calibri" w:hAnsi="Arial Narrow"/>
                <w:b/>
                <w:bCs/>
                <w:sz w:val="20"/>
                <w:szCs w:val="20"/>
              </w:rPr>
              <w:t>Administrative Advice:</w:t>
            </w:r>
          </w:p>
          <w:p w14:paraId="696B4D8E" w14:textId="77777777" w:rsidR="00482BFD" w:rsidRPr="001D4E34" w:rsidRDefault="00482BFD">
            <w:pPr>
              <w:pStyle w:val="pf0"/>
              <w:spacing w:before="0" w:beforeAutospacing="0" w:after="0" w:afterAutospacing="0"/>
              <w:rPr>
                <w:rFonts w:ascii="Arial Narrow" w:eastAsia="Calibri" w:hAnsi="Arial Narrow" w:cs="Arial"/>
                <w:sz w:val="20"/>
                <w:szCs w:val="20"/>
                <w14:ligatures w14:val="standardContextual"/>
              </w:rPr>
            </w:pPr>
            <w:r w:rsidRPr="001D4E34">
              <w:rPr>
                <w:rFonts w:ascii="Arial Narrow" w:eastAsia="Calibri" w:hAnsi="Arial Narrow" w:cs="Arial"/>
                <w:sz w:val="20"/>
                <w:szCs w:val="20"/>
                <w14:ligatures w14:val="standardContextual"/>
              </w:rPr>
              <w:t>Special Pricing Arrangements apply.</w:t>
            </w:r>
          </w:p>
        </w:tc>
      </w:tr>
      <w:tr w:rsidR="00482BFD" w:rsidRPr="00446E53" w14:paraId="51A9C786" w14:textId="77777777">
        <w:tblPrEx>
          <w:tblCellMar>
            <w:top w:w="15" w:type="dxa"/>
            <w:bottom w:w="15" w:type="dxa"/>
          </w:tblCellMar>
          <w:tblLook w:val="04A0" w:firstRow="1" w:lastRow="0" w:firstColumn="1" w:lastColumn="0" w:noHBand="0" w:noVBand="1"/>
        </w:tblPrEx>
        <w:trPr>
          <w:trHeight w:val="20"/>
        </w:trPr>
        <w:tc>
          <w:tcPr>
            <w:tcW w:w="1271" w:type="dxa"/>
            <w:tcBorders>
              <w:left w:val="single" w:sz="4" w:space="0" w:color="auto"/>
              <w:bottom w:val="single" w:sz="4" w:space="0" w:color="auto"/>
              <w:right w:val="single" w:sz="4" w:space="0" w:color="auto"/>
            </w:tcBorders>
          </w:tcPr>
          <w:p w14:paraId="7BBD4883" w14:textId="43C39D8F" w:rsidR="00482BFD" w:rsidRPr="00BA1A71" w:rsidRDefault="00482BFD">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793B63D" w14:textId="77777777" w:rsidR="00482BFD" w:rsidRPr="00BA1A71" w:rsidRDefault="00482BFD">
            <w:pPr>
              <w:rPr>
                <w:rFonts w:ascii="Arial Narrow" w:hAnsi="Arial Narrow"/>
                <w:b/>
                <w:bCs/>
                <w:color w:val="333333"/>
                <w:sz w:val="20"/>
                <w:szCs w:val="20"/>
              </w:rPr>
            </w:pPr>
            <w:r w:rsidRPr="00BA1A71">
              <w:rPr>
                <w:rFonts w:ascii="Arial Narrow" w:hAnsi="Arial Narrow"/>
                <w:b/>
                <w:bCs/>
                <w:color w:val="333333"/>
                <w:sz w:val="20"/>
                <w:szCs w:val="20"/>
              </w:rPr>
              <w:t>Administrative Advice:</w:t>
            </w:r>
          </w:p>
          <w:p w14:paraId="68C30452" w14:textId="77777777" w:rsidR="00482BFD" w:rsidRPr="00BA1A71" w:rsidRDefault="00482BFD">
            <w:pPr>
              <w:pStyle w:val="TableCentre"/>
              <w:jc w:val="left"/>
              <w:rPr>
                <w:rFonts w:ascii="Arial Narrow" w:eastAsia="Calibri" w:hAnsi="Arial Narrow" w:cs="Arial"/>
                <w:sz w:val="20"/>
                <w:szCs w:val="20"/>
                <w:lang w:eastAsia="en-AU" w:bidi="ar-SA"/>
                <w14:ligatures w14:val="standardContextual"/>
              </w:rPr>
            </w:pPr>
            <w:r w:rsidRPr="00BA1A71">
              <w:rPr>
                <w:rFonts w:ascii="Arial Narrow" w:eastAsia="Calibri" w:hAnsi="Arial Narrow" w:cs="Arial"/>
                <w:sz w:val="20"/>
                <w:szCs w:val="20"/>
                <w:lang w:eastAsia="en-AU" w:bidi="ar-SA"/>
                <w14:ligatures w14:val="standardContextual"/>
              </w:rPr>
              <w:t>The Eczema Area and Severity Index (EASI) referenced in this restriction is that described in the following literature publications:</w:t>
            </w:r>
          </w:p>
          <w:p w14:paraId="1C89A68B" w14:textId="77777777" w:rsidR="00482BFD" w:rsidRPr="00BA1A71" w:rsidRDefault="00482BFD">
            <w:pPr>
              <w:pStyle w:val="TableCentre"/>
              <w:jc w:val="left"/>
              <w:rPr>
                <w:rFonts w:ascii="Arial Narrow" w:eastAsia="Calibri" w:hAnsi="Arial Narrow" w:cs="Arial"/>
                <w:sz w:val="20"/>
                <w:szCs w:val="20"/>
                <w:lang w:eastAsia="en-AU" w:bidi="ar-SA"/>
                <w14:ligatures w14:val="standardContextual"/>
              </w:rPr>
            </w:pPr>
            <w:r w:rsidRPr="00BA1A71">
              <w:rPr>
                <w:rFonts w:ascii="Arial Narrow" w:eastAsia="Calibri" w:hAnsi="Arial Narrow" w:cs="Arial"/>
                <w:sz w:val="20"/>
                <w:szCs w:val="20"/>
                <w:lang w:eastAsia="en-AU" w:bidi="ar-SA"/>
                <w14:ligatures w14:val="standardContextual"/>
              </w:rPr>
              <w:t>Chalmers JR et al. Report from the third international consensus meeting to harmonise core outcome measures for atopic eczema/dermatitis clinical trials (HOME). </w:t>
            </w:r>
            <w:r w:rsidRPr="00BA1A71">
              <w:rPr>
                <w:rFonts w:ascii="Arial Narrow" w:eastAsia="Calibri" w:hAnsi="Arial Narrow" w:cs="Arial"/>
                <w:i/>
                <w:iCs/>
                <w:sz w:val="20"/>
                <w:szCs w:val="20"/>
                <w:lang w:eastAsia="en-AU" w:bidi="ar-SA"/>
                <w14:ligatures w14:val="standardContextual"/>
              </w:rPr>
              <w:t>British Journal of Dermatology</w:t>
            </w:r>
            <w:r w:rsidRPr="00BA1A71">
              <w:rPr>
                <w:rFonts w:ascii="Arial Narrow" w:eastAsia="Calibri" w:hAnsi="Arial Narrow" w:cs="Arial"/>
                <w:sz w:val="20"/>
                <w:szCs w:val="20"/>
                <w:lang w:eastAsia="en-AU" w:bidi="ar-SA"/>
                <w14:ligatures w14:val="standardContextual"/>
              </w:rPr>
              <w:t> 2014 December;171(6):1318-25.</w:t>
            </w:r>
          </w:p>
          <w:p w14:paraId="67C6D36C" w14:textId="77777777" w:rsidR="00482BFD" w:rsidRPr="00BA1A71" w:rsidRDefault="00482BFD">
            <w:pPr>
              <w:rPr>
                <w:rFonts w:ascii="Arial Narrow" w:hAnsi="Arial Narrow"/>
                <w:color w:val="333333"/>
                <w:sz w:val="20"/>
                <w:szCs w:val="20"/>
              </w:rPr>
            </w:pPr>
            <w:r w:rsidRPr="00BA1A71">
              <w:rPr>
                <w:rFonts w:ascii="Arial Narrow" w:eastAsia="Calibri" w:hAnsi="Arial Narrow"/>
                <w:sz w:val="20"/>
                <w:szCs w:val="20"/>
              </w:rPr>
              <w:t>Schmitt J et al. HOME initiative collaborators. The Harmonising Outcome Measures for Eczema (HOME) statement to assess clinical signs of atopic eczema in trials. </w:t>
            </w:r>
            <w:r w:rsidRPr="00BA1A71">
              <w:rPr>
                <w:rFonts w:ascii="Arial Narrow" w:eastAsia="Calibri" w:hAnsi="Arial Narrow"/>
                <w:i/>
                <w:iCs/>
                <w:sz w:val="20"/>
                <w:szCs w:val="20"/>
              </w:rPr>
              <w:t>The Journal of Allergy and Clinical Immunology</w:t>
            </w:r>
            <w:r w:rsidRPr="00BA1A71">
              <w:rPr>
                <w:rFonts w:ascii="Arial Narrow" w:eastAsia="Calibri" w:hAnsi="Arial Narrow"/>
                <w:sz w:val="20"/>
                <w:szCs w:val="20"/>
              </w:rPr>
              <w:t> 2014 October;134(4):800-7</w:t>
            </w:r>
          </w:p>
        </w:tc>
      </w:tr>
      <w:tr w:rsidR="00482BFD" w:rsidRPr="00446E53" w14:paraId="0041C573" w14:textId="77777777">
        <w:tblPrEx>
          <w:tblCellMar>
            <w:top w:w="15" w:type="dxa"/>
            <w:bottom w:w="15" w:type="dxa"/>
          </w:tblCellMar>
          <w:tblLook w:val="04A0" w:firstRow="1" w:lastRow="0" w:firstColumn="1" w:lastColumn="0" w:noHBand="0" w:noVBand="1"/>
        </w:tblPrEx>
        <w:trPr>
          <w:trHeight w:val="20"/>
        </w:trPr>
        <w:tc>
          <w:tcPr>
            <w:tcW w:w="1271" w:type="dxa"/>
            <w:tcBorders>
              <w:left w:val="single" w:sz="4" w:space="0" w:color="auto"/>
              <w:bottom w:val="single" w:sz="4" w:space="0" w:color="auto"/>
              <w:right w:val="single" w:sz="4" w:space="0" w:color="auto"/>
            </w:tcBorders>
          </w:tcPr>
          <w:p w14:paraId="79585218" w14:textId="42805BE1" w:rsidR="00482BFD" w:rsidRPr="00446E53" w:rsidRDefault="00482BFD">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C524A92" w14:textId="77777777" w:rsidR="00482BFD" w:rsidRDefault="00482BFD">
            <w:pPr>
              <w:keepLines/>
              <w:rPr>
                <w:rFonts w:ascii="Arial Narrow" w:hAnsi="Arial Narrow"/>
                <w:b/>
                <w:bCs/>
                <w:color w:val="333333"/>
                <w:sz w:val="20"/>
                <w:szCs w:val="20"/>
              </w:rPr>
            </w:pPr>
            <w:r w:rsidRPr="00446E53">
              <w:rPr>
                <w:rFonts w:ascii="Arial Narrow" w:hAnsi="Arial Narrow"/>
                <w:b/>
                <w:bCs/>
                <w:color w:val="333333"/>
                <w:sz w:val="20"/>
                <w:szCs w:val="20"/>
              </w:rPr>
              <w:t>Administrative Advice:</w:t>
            </w:r>
          </w:p>
          <w:p w14:paraId="0C039397" w14:textId="77777777" w:rsidR="00482BFD" w:rsidRPr="00446E53" w:rsidRDefault="00482BFD">
            <w:pPr>
              <w:keepLines/>
              <w:rPr>
                <w:rFonts w:ascii="Arial Narrow" w:hAnsi="Arial Narrow"/>
                <w:b/>
                <w:sz w:val="20"/>
                <w:szCs w:val="20"/>
              </w:rPr>
            </w:pPr>
            <w:r w:rsidRPr="00D32CAA">
              <w:rPr>
                <w:rFonts w:ascii="Arial Narrow" w:eastAsia="Calibri" w:hAnsi="Arial Narrow"/>
                <w:sz w:val="20"/>
                <w:szCs w:val="20"/>
              </w:rPr>
              <w:t>Instructions on the use of the Dermatology Life Quality Index and copyright details can be found here:</w:t>
            </w:r>
            <w:r w:rsidRPr="00686449">
              <w:rPr>
                <w:rFonts w:ascii="Arial Narrow" w:eastAsia="Calibri" w:hAnsi="Arial Narrow"/>
                <w:strike/>
                <w:sz w:val="20"/>
                <w:szCs w:val="20"/>
              </w:rPr>
              <w:t>,</w:t>
            </w:r>
            <w:r w:rsidRPr="00D32CAA">
              <w:rPr>
                <w:rFonts w:ascii="Arial Narrow" w:eastAsia="Calibri" w:hAnsi="Arial Narrow"/>
                <w:sz w:val="20"/>
                <w:szCs w:val="20"/>
              </w:rPr>
              <w:t xml:space="preserve"> </w:t>
            </w:r>
            <w:hyperlink r:id="rId16" w:history="1">
              <w:r w:rsidRPr="00D32CAA">
                <w:rPr>
                  <w:rFonts w:ascii="Arial Narrow" w:eastAsia="Calibri" w:hAnsi="Arial Narrow"/>
                  <w:sz w:val="20"/>
                  <w:szCs w:val="20"/>
                </w:rPr>
                <w:t>https://www.cardiff.ac.uk/medicine/resources/quality-of-life-questionnaires/dermatology-life-quality-index</w:t>
              </w:r>
            </w:hyperlink>
            <w:r>
              <w:rPr>
                <w:rFonts w:ascii="Arial Narrow" w:eastAsia="Calibri" w:hAnsi="Arial Narrow"/>
                <w:sz w:val="20"/>
                <w:szCs w:val="20"/>
              </w:rPr>
              <w:t xml:space="preserve">  </w:t>
            </w:r>
            <w:r w:rsidRPr="00E82BEE">
              <w:t xml:space="preserve">  </w:t>
            </w:r>
          </w:p>
        </w:tc>
      </w:tr>
      <w:tr w:rsidR="00482BFD" w:rsidRPr="00446E53" w14:paraId="0AC9DF55" w14:textId="77777777">
        <w:tblPrEx>
          <w:tblCellMar>
            <w:top w:w="15" w:type="dxa"/>
            <w:bottom w:w="15" w:type="dxa"/>
          </w:tblCellMar>
          <w:tblLook w:val="04A0" w:firstRow="1" w:lastRow="0" w:firstColumn="1" w:lastColumn="0" w:noHBand="0" w:noVBand="1"/>
        </w:tblPrEx>
        <w:trPr>
          <w:trHeight w:val="20"/>
        </w:trPr>
        <w:tc>
          <w:tcPr>
            <w:tcW w:w="1271" w:type="dxa"/>
            <w:tcBorders>
              <w:left w:val="single" w:sz="4" w:space="0" w:color="auto"/>
              <w:bottom w:val="single" w:sz="4" w:space="0" w:color="auto"/>
              <w:right w:val="single" w:sz="4" w:space="0" w:color="auto"/>
            </w:tcBorders>
          </w:tcPr>
          <w:p w14:paraId="76408C17" w14:textId="515193EA" w:rsidR="00482BFD" w:rsidRPr="00BA1A71" w:rsidRDefault="00482BFD">
            <w:pPr>
              <w:jc w:val="center"/>
              <w:rPr>
                <w:rFonts w:ascii="Arial Narrow" w:hAnsi="Arial Narrow"/>
                <w:color w:val="333333"/>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54B3ADB" w14:textId="77777777" w:rsidR="00482BFD" w:rsidRPr="00BA1A71" w:rsidRDefault="00482BFD">
            <w:pPr>
              <w:keepLines/>
              <w:rPr>
                <w:rFonts w:ascii="Arial Narrow" w:hAnsi="Arial Narrow"/>
                <w:b/>
                <w:bCs/>
                <w:color w:val="333333"/>
                <w:sz w:val="20"/>
                <w:szCs w:val="20"/>
              </w:rPr>
            </w:pPr>
            <w:r w:rsidRPr="00BA1A71">
              <w:rPr>
                <w:rFonts w:ascii="Arial Narrow" w:hAnsi="Arial Narrow"/>
                <w:b/>
                <w:bCs/>
                <w:color w:val="333333"/>
                <w:sz w:val="20"/>
                <w:szCs w:val="20"/>
              </w:rPr>
              <w:t>Administrative Advice:</w:t>
            </w:r>
          </w:p>
          <w:p w14:paraId="521DA605" w14:textId="77777777" w:rsidR="00482BFD" w:rsidRPr="00BA1A71" w:rsidRDefault="00482BFD">
            <w:pPr>
              <w:pStyle w:val="TableCentre"/>
              <w:jc w:val="left"/>
              <w:rPr>
                <w:rFonts w:ascii="Arial Narrow" w:eastAsia="Calibri" w:hAnsi="Arial Narrow" w:cs="Arial"/>
                <w:sz w:val="20"/>
                <w:szCs w:val="20"/>
                <w:lang w:eastAsia="en-AU" w:bidi="ar-SA"/>
                <w14:ligatures w14:val="standardContextual"/>
              </w:rPr>
            </w:pPr>
            <w:r w:rsidRPr="00BA1A71">
              <w:rPr>
                <w:rFonts w:ascii="Arial Narrow" w:eastAsia="Calibri" w:hAnsi="Arial Narrow" w:cs="Arial"/>
                <w:sz w:val="20"/>
                <w:szCs w:val="20"/>
                <w:lang w:eastAsia="en-AU" w:bidi="ar-SA"/>
                <w14:ligatures w14:val="standardContextual"/>
              </w:rPr>
              <w:t>The Physician's Global Assessment (5-point scale) referenced in this restriction is that described in the following literature publication:</w:t>
            </w:r>
          </w:p>
          <w:p w14:paraId="5676EC13" w14:textId="77777777" w:rsidR="00482BFD" w:rsidRPr="00BA1A71" w:rsidRDefault="00482BFD">
            <w:pPr>
              <w:pStyle w:val="TableCentre"/>
              <w:jc w:val="left"/>
              <w:rPr>
                <w:rFonts w:ascii="Arial Narrow" w:eastAsia="Calibri" w:hAnsi="Arial Narrow" w:cs="Arial"/>
                <w:sz w:val="20"/>
                <w:szCs w:val="20"/>
                <w:lang w:eastAsia="en-AU" w:bidi="ar-SA"/>
                <w14:ligatures w14:val="standardContextual"/>
              </w:rPr>
            </w:pPr>
            <w:proofErr w:type="spellStart"/>
            <w:r w:rsidRPr="00BA1A71">
              <w:rPr>
                <w:rFonts w:ascii="Arial Narrow" w:eastAsia="Calibri" w:hAnsi="Arial Narrow" w:cs="Arial"/>
                <w:sz w:val="20"/>
                <w:szCs w:val="20"/>
                <w:lang w:eastAsia="en-AU" w:bidi="ar-SA"/>
                <w14:ligatures w14:val="standardContextual"/>
              </w:rPr>
              <w:t>Fatumura</w:t>
            </w:r>
            <w:proofErr w:type="spellEnd"/>
            <w:r w:rsidRPr="00BA1A71">
              <w:rPr>
                <w:rFonts w:ascii="Arial Narrow" w:eastAsia="Calibri" w:hAnsi="Arial Narrow" w:cs="Arial"/>
                <w:sz w:val="20"/>
                <w:szCs w:val="20"/>
                <w:lang w:eastAsia="en-AU" w:bidi="ar-SA"/>
                <w14:ligatures w14:val="standardContextual"/>
              </w:rPr>
              <w:t xml:space="preserve"> M et al. A systematic review of Investigator Global Assessment (IGA) in atopic dermatitis (AD) trials: Many options, no standards Journal of the American Academy of Dermatology 2016; 674(2): 288-94 </w:t>
            </w:r>
          </w:p>
          <w:p w14:paraId="2B4B8213" w14:textId="77777777" w:rsidR="00482BFD" w:rsidRPr="00BA1A71" w:rsidRDefault="00482BFD">
            <w:pPr>
              <w:keepLines/>
              <w:rPr>
                <w:rFonts w:ascii="Arial Narrow" w:hAnsi="Arial Narrow"/>
                <w:b/>
                <w:bCs/>
                <w:color w:val="333333"/>
                <w:sz w:val="20"/>
                <w:szCs w:val="20"/>
              </w:rPr>
            </w:pPr>
            <w:r w:rsidRPr="00BA1A71">
              <w:rPr>
                <w:rFonts w:ascii="Arial Narrow" w:eastAsia="Calibri" w:hAnsi="Arial Narrow"/>
                <w:sz w:val="20"/>
                <w:szCs w:val="20"/>
              </w:rPr>
              <w:t>The overall appearance of dermatitis lesions is rated as 4 (severe) if the lesions are best described as featuring: deep/dark red erythema, with marked and extensive induration/papulation; excoriation and oozing/crusting are present.</w:t>
            </w:r>
          </w:p>
        </w:tc>
      </w:tr>
      <w:tr w:rsidR="00482BFD" w:rsidRPr="00446E53" w14:paraId="51BE3081" w14:textId="77777777">
        <w:tblPrEx>
          <w:tblCellMar>
            <w:top w:w="15" w:type="dxa"/>
            <w:bottom w:w="15" w:type="dxa"/>
          </w:tblCellMar>
          <w:tblLook w:val="04A0" w:firstRow="1" w:lastRow="0" w:firstColumn="1" w:lastColumn="0" w:noHBand="0" w:noVBand="1"/>
        </w:tblPrEx>
        <w:trPr>
          <w:trHeight w:val="20"/>
        </w:trPr>
        <w:tc>
          <w:tcPr>
            <w:tcW w:w="1271" w:type="dxa"/>
            <w:tcBorders>
              <w:left w:val="single" w:sz="4" w:space="0" w:color="auto"/>
              <w:bottom w:val="single" w:sz="4" w:space="0" w:color="auto"/>
              <w:right w:val="single" w:sz="4" w:space="0" w:color="auto"/>
            </w:tcBorders>
          </w:tcPr>
          <w:p w14:paraId="7D897DD7" w14:textId="41A4554B" w:rsidR="00482BFD" w:rsidRPr="00446E53" w:rsidRDefault="00482BFD">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1EADA9A1" w14:textId="77777777" w:rsidR="00482BFD" w:rsidRDefault="00482BFD">
            <w:pPr>
              <w:keepLines/>
              <w:rPr>
                <w:rFonts w:ascii="Arial Narrow" w:hAnsi="Arial Narrow"/>
                <w:b/>
                <w:bCs/>
                <w:color w:val="333333"/>
                <w:sz w:val="20"/>
                <w:szCs w:val="20"/>
              </w:rPr>
            </w:pPr>
            <w:r w:rsidRPr="00446E53">
              <w:rPr>
                <w:rFonts w:ascii="Arial Narrow" w:hAnsi="Arial Narrow"/>
                <w:b/>
                <w:bCs/>
                <w:color w:val="333333"/>
                <w:sz w:val="20"/>
                <w:szCs w:val="20"/>
              </w:rPr>
              <w:t>Administrative Advice:</w:t>
            </w:r>
          </w:p>
          <w:p w14:paraId="0751372B" w14:textId="77777777" w:rsidR="00482BFD" w:rsidRPr="00446E53" w:rsidRDefault="00482BFD">
            <w:pPr>
              <w:keepLines/>
              <w:rPr>
                <w:rFonts w:ascii="Arial Narrow" w:hAnsi="Arial Narrow"/>
                <w:b/>
                <w:sz w:val="20"/>
                <w:szCs w:val="20"/>
              </w:rPr>
            </w:pPr>
            <w:r w:rsidRPr="003D23AA">
              <w:rPr>
                <w:rFonts w:ascii="Arial Narrow" w:eastAsia="Calibri" w:hAnsi="Arial Narrow"/>
                <w:sz w:val="20"/>
                <w:szCs w:val="20"/>
              </w:rPr>
              <w:t>Applications for authorisation under this restriction may be made in real time using the Online PBS Authorities system (see www.servicesaustralia.gov.au/HPOS) or by telephone by contacting Services Australia on 1800 888 333.</w:t>
            </w:r>
            <w:r>
              <w:rPr>
                <w:rFonts w:ascii="Arial Narrow" w:eastAsia="Calibri" w:hAnsi="Arial Narrow"/>
                <w:sz w:val="20"/>
                <w:szCs w:val="20"/>
              </w:rPr>
              <w:t xml:space="preserve"> </w:t>
            </w:r>
          </w:p>
        </w:tc>
      </w:tr>
      <w:tr w:rsidR="00482BFD" w:rsidRPr="00446E53" w14:paraId="6ADB007E" w14:textId="77777777">
        <w:tblPrEx>
          <w:tblCellMar>
            <w:top w:w="15" w:type="dxa"/>
            <w:bottom w:w="15" w:type="dxa"/>
          </w:tblCellMar>
          <w:tblLook w:val="04A0" w:firstRow="1" w:lastRow="0" w:firstColumn="1" w:lastColumn="0" w:noHBand="0" w:noVBand="1"/>
        </w:tblPrEx>
        <w:trPr>
          <w:trHeight w:val="20"/>
        </w:trPr>
        <w:tc>
          <w:tcPr>
            <w:tcW w:w="1271" w:type="dxa"/>
            <w:tcBorders>
              <w:left w:val="single" w:sz="4" w:space="0" w:color="auto"/>
              <w:bottom w:val="single" w:sz="4" w:space="0" w:color="auto"/>
              <w:right w:val="single" w:sz="4" w:space="0" w:color="auto"/>
            </w:tcBorders>
            <w:shd w:val="clear" w:color="auto" w:fill="BFBFBF" w:themeFill="background1" w:themeFillShade="BF"/>
          </w:tcPr>
          <w:p w14:paraId="0857B46F" w14:textId="77777777" w:rsidR="00482BFD" w:rsidRPr="00446E53" w:rsidRDefault="00482BFD">
            <w:pPr>
              <w:jc w:val="center"/>
              <w:rPr>
                <w:rFonts w:ascii="Arial Narrow" w:hAnsi="Arial Narrow"/>
                <w:color w:val="333333"/>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7B1CB8F" w14:textId="77777777" w:rsidR="00482BFD" w:rsidRPr="00AC5ED2" w:rsidRDefault="00482BFD">
            <w:pPr>
              <w:keepLines/>
              <w:rPr>
                <w:rFonts w:ascii="Arial Narrow" w:hAnsi="Arial Narrow"/>
                <w:b/>
                <w:bCs/>
                <w:sz w:val="20"/>
                <w:szCs w:val="20"/>
              </w:rPr>
            </w:pPr>
            <w:r w:rsidRPr="00AC5ED2">
              <w:rPr>
                <w:rFonts w:ascii="Arial Narrow" w:hAnsi="Arial Narrow"/>
                <w:b/>
                <w:sz w:val="20"/>
                <w:szCs w:val="20"/>
              </w:rPr>
              <w:t>Restriction Summary [new</w:t>
            </w:r>
            <w:r>
              <w:rPr>
                <w:rFonts w:ascii="Arial Narrow" w:hAnsi="Arial Narrow"/>
                <w:b/>
                <w:sz w:val="20"/>
                <w:szCs w:val="20"/>
              </w:rPr>
              <w:t>5</w:t>
            </w:r>
            <w:r w:rsidRPr="00AC5ED2">
              <w:rPr>
                <w:rFonts w:ascii="Arial Narrow" w:hAnsi="Arial Narrow"/>
                <w:b/>
                <w:sz w:val="20"/>
                <w:szCs w:val="20"/>
              </w:rPr>
              <w:t>] / Treatment of Concept: [new</w:t>
            </w:r>
            <w:r>
              <w:rPr>
                <w:rFonts w:ascii="Arial Narrow" w:hAnsi="Arial Narrow"/>
                <w:b/>
                <w:sz w:val="20"/>
                <w:szCs w:val="20"/>
              </w:rPr>
              <w:t>5</w:t>
            </w:r>
            <w:r w:rsidRPr="00AC5ED2">
              <w:rPr>
                <w:rFonts w:ascii="Arial Narrow" w:hAnsi="Arial Narrow"/>
                <w:b/>
                <w:sz w:val="20"/>
                <w:szCs w:val="20"/>
              </w:rPr>
              <w:t>A]</w:t>
            </w:r>
          </w:p>
        </w:tc>
      </w:tr>
      <w:tr w:rsidR="00482BFD" w:rsidRPr="00446E53" w14:paraId="053B9C55" w14:textId="77777777" w:rsidTr="003111CD">
        <w:tblPrEx>
          <w:tblCellMar>
            <w:top w:w="15" w:type="dxa"/>
            <w:bottom w:w="15" w:type="dxa"/>
          </w:tblCellMar>
          <w:tblLook w:val="04A0" w:firstRow="1" w:lastRow="0" w:firstColumn="1" w:lastColumn="0" w:noHBand="0" w:noVBand="1"/>
        </w:tblPrEx>
        <w:trPr>
          <w:cantSplit/>
          <w:trHeight w:val="20"/>
        </w:trPr>
        <w:tc>
          <w:tcPr>
            <w:tcW w:w="1271" w:type="dxa"/>
          </w:tcPr>
          <w:p w14:paraId="6EAECFEA" w14:textId="5868FD8E" w:rsidR="00482BFD" w:rsidRPr="00446E53" w:rsidRDefault="00482BFD">
            <w:pPr>
              <w:keepLines/>
              <w:jc w:val="center"/>
              <w:rPr>
                <w:rFonts w:ascii="Arial Narrow" w:hAnsi="Arial Narrow"/>
                <w:color w:val="333333"/>
                <w:sz w:val="20"/>
                <w:szCs w:val="20"/>
              </w:rPr>
            </w:pPr>
          </w:p>
        </w:tc>
        <w:tc>
          <w:tcPr>
            <w:tcW w:w="7745" w:type="dxa"/>
            <w:gridSpan w:val="6"/>
            <w:vAlign w:val="center"/>
            <w:hideMark/>
          </w:tcPr>
          <w:p w14:paraId="436B44CF" w14:textId="77777777" w:rsidR="00482BFD" w:rsidRPr="0069367A" w:rsidRDefault="00482BFD">
            <w:pPr>
              <w:keepLines/>
              <w:rPr>
                <w:rFonts w:ascii="Arial Narrow" w:hAnsi="Arial Narrow"/>
                <w:sz w:val="20"/>
                <w:szCs w:val="20"/>
              </w:rPr>
            </w:pPr>
            <w:r w:rsidRPr="0069367A">
              <w:rPr>
                <w:rFonts w:ascii="Arial Narrow" w:hAnsi="Arial Narrow"/>
                <w:b/>
                <w:bCs/>
                <w:sz w:val="20"/>
                <w:szCs w:val="20"/>
              </w:rPr>
              <w:t>Indication:</w:t>
            </w:r>
            <w:r w:rsidRPr="0069367A">
              <w:rPr>
                <w:rFonts w:ascii="Arial Narrow" w:hAnsi="Arial Narrow"/>
                <w:sz w:val="20"/>
                <w:szCs w:val="20"/>
              </w:rPr>
              <w:t xml:space="preserve"> Chronic severe atopic dermatitis </w:t>
            </w:r>
          </w:p>
        </w:tc>
      </w:tr>
      <w:tr w:rsidR="00482BFD" w:rsidRPr="00446E53" w14:paraId="3D6BC3F0" w14:textId="77777777" w:rsidTr="003111CD">
        <w:tblPrEx>
          <w:tblCellMar>
            <w:top w:w="15" w:type="dxa"/>
            <w:bottom w:w="15" w:type="dxa"/>
          </w:tblCellMar>
          <w:tblLook w:val="04A0" w:firstRow="1" w:lastRow="0" w:firstColumn="1" w:lastColumn="0" w:noHBand="0" w:noVBand="1"/>
        </w:tblPrEx>
        <w:trPr>
          <w:cantSplit/>
          <w:trHeight w:val="20"/>
        </w:trPr>
        <w:tc>
          <w:tcPr>
            <w:tcW w:w="1271" w:type="dxa"/>
          </w:tcPr>
          <w:p w14:paraId="5AE92844" w14:textId="77777777" w:rsidR="00482BFD" w:rsidRPr="00446E53" w:rsidRDefault="00482BFD">
            <w:pPr>
              <w:jc w:val="center"/>
              <w:rPr>
                <w:rFonts w:ascii="Arial Narrow" w:hAnsi="Arial Narrow"/>
                <w:color w:val="333333"/>
                <w:sz w:val="20"/>
                <w:szCs w:val="20"/>
              </w:rPr>
            </w:pPr>
          </w:p>
        </w:tc>
        <w:tc>
          <w:tcPr>
            <w:tcW w:w="7745" w:type="dxa"/>
            <w:gridSpan w:val="6"/>
            <w:vAlign w:val="center"/>
            <w:hideMark/>
          </w:tcPr>
          <w:p w14:paraId="3DBAAC2B" w14:textId="77777777" w:rsidR="00482BFD" w:rsidRPr="0069367A" w:rsidRDefault="00482BFD">
            <w:pPr>
              <w:rPr>
                <w:rFonts w:ascii="Arial Narrow" w:hAnsi="Arial Narrow"/>
                <w:sz w:val="20"/>
                <w:szCs w:val="20"/>
              </w:rPr>
            </w:pPr>
            <w:r w:rsidRPr="0069367A">
              <w:rPr>
                <w:rFonts w:ascii="Arial Narrow" w:hAnsi="Arial Narrow"/>
                <w:b/>
                <w:bCs/>
                <w:sz w:val="20"/>
                <w:szCs w:val="20"/>
              </w:rPr>
              <w:t>Treatment Phase:</w:t>
            </w:r>
            <w:r w:rsidRPr="0069367A">
              <w:rPr>
                <w:rFonts w:ascii="Arial Narrow" w:hAnsi="Arial Narrow"/>
                <w:sz w:val="20"/>
                <w:szCs w:val="20"/>
              </w:rPr>
              <w:t xml:space="preserve"> </w:t>
            </w:r>
            <w:r>
              <w:rPr>
                <w:rFonts w:ascii="Arial Narrow" w:hAnsi="Arial Narrow"/>
                <w:sz w:val="20"/>
                <w:szCs w:val="20"/>
              </w:rPr>
              <w:t>Continuing or resuming</w:t>
            </w:r>
            <w:r w:rsidRPr="0069367A">
              <w:rPr>
                <w:rFonts w:ascii="Arial Narrow" w:hAnsi="Arial Narrow"/>
                <w:sz w:val="20"/>
                <w:szCs w:val="20"/>
              </w:rPr>
              <w:t xml:space="preserve"> treatment of the whole body </w:t>
            </w:r>
          </w:p>
        </w:tc>
      </w:tr>
      <w:tr w:rsidR="00482BFD" w:rsidRPr="00446E53" w14:paraId="105B9761" w14:textId="77777777">
        <w:tblPrEx>
          <w:tblCellMar>
            <w:top w:w="15" w:type="dxa"/>
            <w:bottom w:w="15" w:type="dxa"/>
          </w:tblCellMar>
          <w:tblLook w:val="04A0" w:firstRow="1" w:lastRow="0" w:firstColumn="1" w:lastColumn="0" w:noHBand="0" w:noVBand="1"/>
        </w:tblPrEx>
        <w:trPr>
          <w:cantSplit/>
          <w:trHeight w:val="20"/>
        </w:trPr>
        <w:tc>
          <w:tcPr>
            <w:tcW w:w="1271" w:type="dxa"/>
          </w:tcPr>
          <w:p w14:paraId="6A48B19D" w14:textId="4ED40C39" w:rsidR="00482BFD" w:rsidRPr="00446E53" w:rsidRDefault="00482BFD">
            <w:pPr>
              <w:jc w:val="center"/>
              <w:rPr>
                <w:rFonts w:ascii="Arial Narrow" w:hAnsi="Arial Narrow"/>
                <w:color w:val="333333"/>
                <w:sz w:val="20"/>
                <w:szCs w:val="20"/>
              </w:rPr>
            </w:pPr>
          </w:p>
        </w:tc>
        <w:tc>
          <w:tcPr>
            <w:tcW w:w="7745" w:type="dxa"/>
            <w:gridSpan w:val="6"/>
            <w:vAlign w:val="center"/>
            <w:hideMark/>
          </w:tcPr>
          <w:p w14:paraId="01D2D5AA" w14:textId="77777777" w:rsidR="00482BFD" w:rsidRPr="00446E53" w:rsidRDefault="00482BFD">
            <w:pPr>
              <w:rPr>
                <w:rFonts w:ascii="Arial Narrow" w:hAnsi="Arial Narrow"/>
                <w:sz w:val="20"/>
                <w:szCs w:val="20"/>
              </w:rPr>
            </w:pPr>
            <w:r w:rsidRPr="00446E53">
              <w:rPr>
                <w:rFonts w:ascii="Arial Narrow" w:hAnsi="Arial Narrow"/>
                <w:b/>
                <w:bCs/>
                <w:color w:val="333333"/>
                <w:sz w:val="20"/>
                <w:szCs w:val="20"/>
              </w:rPr>
              <w:t xml:space="preserve">Clinical criteria: </w:t>
            </w:r>
          </w:p>
        </w:tc>
      </w:tr>
      <w:tr w:rsidR="00482BFD" w:rsidRPr="00446E53" w14:paraId="505A93CE" w14:textId="77777777">
        <w:tblPrEx>
          <w:tblCellMar>
            <w:top w:w="15" w:type="dxa"/>
            <w:bottom w:w="15" w:type="dxa"/>
          </w:tblCellMar>
          <w:tblLook w:val="04A0" w:firstRow="1" w:lastRow="0" w:firstColumn="1" w:lastColumn="0" w:noHBand="0" w:noVBand="1"/>
        </w:tblPrEx>
        <w:trPr>
          <w:cantSplit/>
          <w:trHeight w:val="20"/>
        </w:trPr>
        <w:tc>
          <w:tcPr>
            <w:tcW w:w="1271" w:type="dxa"/>
          </w:tcPr>
          <w:p w14:paraId="24CB15B2" w14:textId="37E5C62B" w:rsidR="00482BFD" w:rsidRPr="00446E53" w:rsidRDefault="00482BFD">
            <w:pPr>
              <w:jc w:val="center"/>
              <w:rPr>
                <w:rFonts w:ascii="Arial Narrow" w:hAnsi="Arial Narrow"/>
                <w:color w:val="333333"/>
                <w:sz w:val="20"/>
                <w:szCs w:val="20"/>
              </w:rPr>
            </w:pPr>
          </w:p>
        </w:tc>
        <w:tc>
          <w:tcPr>
            <w:tcW w:w="7745" w:type="dxa"/>
            <w:gridSpan w:val="6"/>
            <w:hideMark/>
          </w:tcPr>
          <w:p w14:paraId="1E0C13A6" w14:textId="77777777" w:rsidR="00482BFD" w:rsidRPr="00C630E3" w:rsidRDefault="00482BFD">
            <w:pPr>
              <w:rPr>
                <w:rFonts w:ascii="Arial Narrow" w:hAnsi="Arial Narrow"/>
                <w:sz w:val="20"/>
                <w:szCs w:val="20"/>
              </w:rPr>
            </w:pPr>
            <w:r w:rsidRPr="00C630E3">
              <w:rPr>
                <w:rFonts w:ascii="Arial Narrow" w:hAnsi="Arial Narrow"/>
                <w:sz w:val="20"/>
                <w:szCs w:val="20"/>
              </w:rPr>
              <w:t>Patient must have received PBS-subsidised treatment with this biological medicine for the treatment of chronic severe atopic dermatitis affecting the whole body</w:t>
            </w:r>
          </w:p>
        </w:tc>
      </w:tr>
      <w:tr w:rsidR="00482BFD" w:rsidRPr="00446E53" w14:paraId="7846853A" w14:textId="77777777" w:rsidTr="003111CD">
        <w:tblPrEx>
          <w:tblCellMar>
            <w:top w:w="15" w:type="dxa"/>
            <w:bottom w:w="15" w:type="dxa"/>
          </w:tblCellMar>
          <w:tblLook w:val="04A0" w:firstRow="1" w:lastRow="0" w:firstColumn="1" w:lastColumn="0" w:noHBand="0" w:noVBand="1"/>
        </w:tblPrEx>
        <w:trPr>
          <w:cantSplit/>
          <w:trHeight w:val="20"/>
        </w:trPr>
        <w:tc>
          <w:tcPr>
            <w:tcW w:w="1271" w:type="dxa"/>
          </w:tcPr>
          <w:p w14:paraId="3DE53122" w14:textId="77777777" w:rsidR="00482BFD" w:rsidRPr="00446E53" w:rsidRDefault="00482BFD">
            <w:pPr>
              <w:jc w:val="center"/>
              <w:rPr>
                <w:rFonts w:ascii="Arial Narrow" w:hAnsi="Arial Narrow"/>
                <w:color w:val="333333"/>
                <w:sz w:val="20"/>
                <w:szCs w:val="20"/>
              </w:rPr>
            </w:pPr>
          </w:p>
        </w:tc>
        <w:tc>
          <w:tcPr>
            <w:tcW w:w="7745" w:type="dxa"/>
            <w:gridSpan w:val="6"/>
            <w:vAlign w:val="center"/>
            <w:hideMark/>
          </w:tcPr>
          <w:p w14:paraId="1C9AC364" w14:textId="77777777" w:rsidR="00482BFD" w:rsidRPr="00446E53" w:rsidRDefault="00482BFD">
            <w:pPr>
              <w:rPr>
                <w:rFonts w:ascii="Arial Narrow" w:hAnsi="Arial Narrow"/>
                <w:color w:val="333333"/>
                <w:sz w:val="20"/>
                <w:szCs w:val="20"/>
              </w:rPr>
            </w:pPr>
            <w:r w:rsidRPr="00446E53">
              <w:rPr>
                <w:rFonts w:ascii="Arial Narrow" w:hAnsi="Arial Narrow"/>
                <w:b/>
                <w:bCs/>
                <w:color w:val="333333"/>
                <w:sz w:val="20"/>
                <w:szCs w:val="20"/>
              </w:rPr>
              <w:t>AND</w:t>
            </w:r>
          </w:p>
        </w:tc>
      </w:tr>
      <w:tr w:rsidR="00482BFD" w:rsidRPr="00446E53" w14:paraId="4769193C" w14:textId="77777777">
        <w:tblPrEx>
          <w:tblCellMar>
            <w:top w:w="15" w:type="dxa"/>
            <w:bottom w:w="15" w:type="dxa"/>
          </w:tblCellMar>
          <w:tblLook w:val="04A0" w:firstRow="1" w:lastRow="0" w:firstColumn="1" w:lastColumn="0" w:noHBand="0" w:noVBand="1"/>
        </w:tblPrEx>
        <w:trPr>
          <w:cantSplit/>
          <w:trHeight w:val="20"/>
        </w:trPr>
        <w:tc>
          <w:tcPr>
            <w:tcW w:w="1271" w:type="dxa"/>
          </w:tcPr>
          <w:p w14:paraId="44720139" w14:textId="04F022D6" w:rsidR="00482BFD" w:rsidRPr="00D801D8" w:rsidRDefault="00482BFD">
            <w:pPr>
              <w:jc w:val="center"/>
              <w:rPr>
                <w:rFonts w:ascii="Arial Narrow" w:hAnsi="Arial Narrow"/>
                <w:sz w:val="20"/>
                <w:szCs w:val="20"/>
              </w:rPr>
            </w:pPr>
          </w:p>
        </w:tc>
        <w:tc>
          <w:tcPr>
            <w:tcW w:w="7745" w:type="dxa"/>
            <w:gridSpan w:val="6"/>
            <w:vAlign w:val="center"/>
            <w:hideMark/>
          </w:tcPr>
          <w:p w14:paraId="64A5CAFC" w14:textId="77777777" w:rsidR="00482BFD" w:rsidRPr="00446E53" w:rsidRDefault="00482BFD">
            <w:pPr>
              <w:rPr>
                <w:rFonts w:ascii="Arial Narrow" w:hAnsi="Arial Narrow"/>
                <w:color w:val="333333"/>
                <w:sz w:val="20"/>
                <w:szCs w:val="20"/>
              </w:rPr>
            </w:pPr>
            <w:r w:rsidRPr="00446E53">
              <w:rPr>
                <w:rFonts w:ascii="Arial Narrow" w:hAnsi="Arial Narrow"/>
                <w:b/>
                <w:bCs/>
                <w:color w:val="333333"/>
                <w:sz w:val="20"/>
                <w:szCs w:val="20"/>
              </w:rPr>
              <w:t>Clinical criteria:</w:t>
            </w:r>
          </w:p>
        </w:tc>
      </w:tr>
      <w:tr w:rsidR="00482BFD" w:rsidRPr="00446E53" w14:paraId="5F375961" w14:textId="77777777">
        <w:tblPrEx>
          <w:tblCellMar>
            <w:top w:w="15" w:type="dxa"/>
            <w:bottom w:w="15" w:type="dxa"/>
          </w:tblCellMar>
          <w:tblLook w:val="04A0" w:firstRow="1" w:lastRow="0" w:firstColumn="1" w:lastColumn="0" w:noHBand="0" w:noVBand="1"/>
        </w:tblPrEx>
        <w:trPr>
          <w:cantSplit/>
          <w:trHeight w:val="20"/>
        </w:trPr>
        <w:tc>
          <w:tcPr>
            <w:tcW w:w="1271" w:type="dxa"/>
          </w:tcPr>
          <w:p w14:paraId="0292DCE3" w14:textId="7793A098" w:rsidR="00482BFD" w:rsidRPr="00820B98" w:rsidRDefault="00482BFD">
            <w:pPr>
              <w:jc w:val="center"/>
              <w:rPr>
                <w:rFonts w:ascii="Arial Narrow" w:hAnsi="Arial Narrow"/>
                <w:sz w:val="20"/>
                <w:szCs w:val="20"/>
              </w:rPr>
            </w:pPr>
          </w:p>
        </w:tc>
        <w:tc>
          <w:tcPr>
            <w:tcW w:w="7745" w:type="dxa"/>
            <w:gridSpan w:val="6"/>
          </w:tcPr>
          <w:p w14:paraId="5730A67D" w14:textId="77777777" w:rsidR="00482BFD" w:rsidRPr="00653865" w:rsidRDefault="00482BFD">
            <w:pPr>
              <w:rPr>
                <w:rFonts w:ascii="Arial Narrow" w:hAnsi="Arial Narrow"/>
                <w:strike/>
                <w:sz w:val="20"/>
                <w:szCs w:val="20"/>
              </w:rPr>
            </w:pPr>
            <w:r w:rsidRPr="00653865">
              <w:rPr>
                <w:rFonts w:ascii="Arial Narrow" w:hAnsi="Arial Narrow"/>
                <w:strike/>
                <w:sz w:val="20"/>
                <w:szCs w:val="20"/>
              </w:rPr>
              <w:t>Patient must have achieved an adequate response prior to this first continuing treatment authority application; or</w:t>
            </w:r>
          </w:p>
          <w:p w14:paraId="006FE1D5" w14:textId="77777777" w:rsidR="00482BFD" w:rsidRPr="00820B98" w:rsidRDefault="00482BFD">
            <w:pPr>
              <w:rPr>
                <w:rFonts w:ascii="Arial Narrow" w:hAnsi="Arial Narrow"/>
                <w:sz w:val="20"/>
                <w:szCs w:val="20"/>
              </w:rPr>
            </w:pPr>
            <w:r w:rsidRPr="00653865">
              <w:rPr>
                <w:rFonts w:ascii="Arial Narrow" w:hAnsi="Arial Narrow"/>
                <w:i/>
                <w:iCs/>
                <w:color w:val="333333"/>
                <w:sz w:val="20"/>
                <w:szCs w:val="20"/>
              </w:rPr>
              <w:t>Patient must have achieved an adequate response within the first 16 weeks of treatment; or</w:t>
            </w:r>
          </w:p>
        </w:tc>
      </w:tr>
      <w:tr w:rsidR="00482BFD" w:rsidRPr="00446E53" w14:paraId="00679467" w14:textId="77777777">
        <w:tblPrEx>
          <w:tblCellMar>
            <w:top w:w="15" w:type="dxa"/>
            <w:bottom w:w="15" w:type="dxa"/>
          </w:tblCellMar>
          <w:tblLook w:val="04A0" w:firstRow="1" w:lastRow="0" w:firstColumn="1" w:lastColumn="0" w:noHBand="0" w:noVBand="1"/>
        </w:tblPrEx>
        <w:trPr>
          <w:cantSplit/>
          <w:trHeight w:val="20"/>
        </w:trPr>
        <w:tc>
          <w:tcPr>
            <w:tcW w:w="1271" w:type="dxa"/>
          </w:tcPr>
          <w:p w14:paraId="696CD67F" w14:textId="7584E180" w:rsidR="00482BFD" w:rsidRPr="00D801D8" w:rsidRDefault="00482BFD">
            <w:pPr>
              <w:jc w:val="center"/>
              <w:rPr>
                <w:rFonts w:ascii="Arial Narrow" w:hAnsi="Arial Narrow"/>
                <w:sz w:val="20"/>
                <w:szCs w:val="20"/>
              </w:rPr>
            </w:pPr>
          </w:p>
        </w:tc>
        <w:tc>
          <w:tcPr>
            <w:tcW w:w="7745" w:type="dxa"/>
            <w:gridSpan w:val="6"/>
          </w:tcPr>
          <w:p w14:paraId="0F6DBFE6" w14:textId="77777777" w:rsidR="00482BFD" w:rsidRPr="00C630E3" w:rsidRDefault="00482BFD">
            <w:pPr>
              <w:rPr>
                <w:rFonts w:ascii="Arial Narrow" w:hAnsi="Arial Narrow"/>
                <w:sz w:val="20"/>
                <w:szCs w:val="20"/>
              </w:rPr>
            </w:pPr>
            <w:r w:rsidRPr="00C630E3">
              <w:rPr>
                <w:rFonts w:ascii="Arial Narrow" w:hAnsi="Arial Narrow"/>
                <w:sz w:val="20"/>
                <w:szCs w:val="20"/>
              </w:rPr>
              <w:t>Patient must have maintained an adequate response to their most recent course of PBS-subsidised treatment with this biological medicine for this PBS indication if this is the second or subsequent Continuing treatment authority application; or</w:t>
            </w:r>
          </w:p>
        </w:tc>
      </w:tr>
      <w:tr w:rsidR="00482BFD" w:rsidRPr="00446E53" w14:paraId="4817F161" w14:textId="77777777">
        <w:tblPrEx>
          <w:tblCellMar>
            <w:top w:w="15" w:type="dxa"/>
            <w:bottom w:w="15" w:type="dxa"/>
          </w:tblCellMar>
          <w:tblLook w:val="04A0" w:firstRow="1" w:lastRow="0" w:firstColumn="1" w:lastColumn="0" w:noHBand="0" w:noVBand="1"/>
        </w:tblPrEx>
        <w:trPr>
          <w:cantSplit/>
          <w:trHeight w:val="20"/>
        </w:trPr>
        <w:tc>
          <w:tcPr>
            <w:tcW w:w="1271" w:type="dxa"/>
          </w:tcPr>
          <w:p w14:paraId="20B4EF96" w14:textId="05CBD620" w:rsidR="00482BFD" w:rsidRPr="00D801D8" w:rsidRDefault="00482BFD">
            <w:pPr>
              <w:jc w:val="center"/>
              <w:rPr>
                <w:rFonts w:ascii="Arial Narrow" w:hAnsi="Arial Narrow"/>
                <w:sz w:val="20"/>
                <w:szCs w:val="20"/>
              </w:rPr>
            </w:pPr>
          </w:p>
        </w:tc>
        <w:tc>
          <w:tcPr>
            <w:tcW w:w="7745" w:type="dxa"/>
            <w:gridSpan w:val="6"/>
          </w:tcPr>
          <w:p w14:paraId="585821DD" w14:textId="77777777" w:rsidR="00482BFD" w:rsidRPr="00C630E3" w:rsidRDefault="00482BFD">
            <w:pPr>
              <w:rPr>
                <w:rFonts w:ascii="Arial Narrow" w:hAnsi="Arial Narrow"/>
                <w:sz w:val="20"/>
                <w:szCs w:val="20"/>
              </w:rPr>
            </w:pPr>
            <w:r w:rsidRPr="00C630E3">
              <w:rPr>
                <w:rFonts w:ascii="Arial Narrow" w:hAnsi="Arial Narrow"/>
                <w:sz w:val="20"/>
                <w:szCs w:val="20"/>
              </w:rPr>
              <w:t>Patient must have temporarily ceased treatment for reasons other than lack of response (e.g. family planning, vaccination with live vaccines, adverse-effect investigation), thereby being unable to achieve/maintain an adequate response immediately prior to this authority application</w:t>
            </w:r>
          </w:p>
        </w:tc>
      </w:tr>
      <w:tr w:rsidR="00482BFD" w:rsidRPr="00446E53" w14:paraId="5A9E5B16" w14:textId="77777777">
        <w:tblPrEx>
          <w:tblCellMar>
            <w:top w:w="15" w:type="dxa"/>
            <w:bottom w:w="15" w:type="dxa"/>
          </w:tblCellMar>
          <w:tblLook w:val="04A0" w:firstRow="1" w:lastRow="0" w:firstColumn="1" w:lastColumn="0" w:noHBand="0" w:noVBand="1"/>
        </w:tblPrEx>
        <w:trPr>
          <w:cantSplit/>
          <w:trHeight w:val="20"/>
        </w:trPr>
        <w:tc>
          <w:tcPr>
            <w:tcW w:w="1271" w:type="dxa"/>
          </w:tcPr>
          <w:p w14:paraId="5993E4C3" w14:textId="77777777" w:rsidR="00482BFD" w:rsidRPr="00446E53" w:rsidRDefault="00482BFD">
            <w:pPr>
              <w:jc w:val="center"/>
              <w:rPr>
                <w:rFonts w:ascii="Arial Narrow" w:hAnsi="Arial Narrow"/>
                <w:color w:val="FF0000"/>
                <w:sz w:val="20"/>
                <w:szCs w:val="20"/>
              </w:rPr>
            </w:pPr>
          </w:p>
        </w:tc>
        <w:tc>
          <w:tcPr>
            <w:tcW w:w="7745" w:type="dxa"/>
            <w:gridSpan w:val="6"/>
            <w:vAlign w:val="center"/>
          </w:tcPr>
          <w:p w14:paraId="19BBF478" w14:textId="77777777" w:rsidR="00482BFD" w:rsidRPr="00446E53" w:rsidRDefault="00482BFD">
            <w:pPr>
              <w:autoSpaceDE w:val="0"/>
              <w:autoSpaceDN w:val="0"/>
              <w:adjustRightInd w:val="0"/>
              <w:rPr>
                <w:rFonts w:ascii="Arial Narrow" w:hAnsi="Arial Narrow" w:cs="Arial Narrow"/>
                <w:b/>
                <w:bCs/>
                <w:iCs/>
                <w:color w:val="FF0000"/>
                <w:sz w:val="20"/>
                <w:szCs w:val="20"/>
              </w:rPr>
            </w:pPr>
            <w:r w:rsidRPr="00446E53">
              <w:rPr>
                <w:rFonts w:ascii="Arial Narrow" w:hAnsi="Arial Narrow" w:cs="Arial Narrow"/>
                <w:b/>
                <w:bCs/>
                <w:iCs/>
                <w:sz w:val="20"/>
                <w:szCs w:val="20"/>
              </w:rPr>
              <w:t>AND</w:t>
            </w:r>
          </w:p>
        </w:tc>
      </w:tr>
      <w:tr w:rsidR="00482BFD" w:rsidRPr="00446E53" w14:paraId="7CE670A5" w14:textId="77777777">
        <w:tblPrEx>
          <w:tblCellMar>
            <w:top w:w="15" w:type="dxa"/>
            <w:bottom w:w="15" w:type="dxa"/>
          </w:tblCellMar>
          <w:tblLook w:val="04A0" w:firstRow="1" w:lastRow="0" w:firstColumn="1" w:lastColumn="0" w:noHBand="0" w:noVBand="1"/>
        </w:tblPrEx>
        <w:trPr>
          <w:cantSplit/>
          <w:trHeight w:val="20"/>
        </w:trPr>
        <w:tc>
          <w:tcPr>
            <w:tcW w:w="1271" w:type="dxa"/>
          </w:tcPr>
          <w:p w14:paraId="08193D60" w14:textId="77E24F61" w:rsidR="00482BFD" w:rsidRPr="00E60D92" w:rsidRDefault="00482BFD">
            <w:pPr>
              <w:jc w:val="center"/>
              <w:rPr>
                <w:rFonts w:ascii="Arial Narrow" w:hAnsi="Arial Narrow"/>
                <w:sz w:val="20"/>
                <w:szCs w:val="20"/>
              </w:rPr>
            </w:pPr>
          </w:p>
        </w:tc>
        <w:tc>
          <w:tcPr>
            <w:tcW w:w="7745" w:type="dxa"/>
            <w:gridSpan w:val="6"/>
            <w:vAlign w:val="center"/>
          </w:tcPr>
          <w:p w14:paraId="4B54524F" w14:textId="77777777" w:rsidR="00482BFD" w:rsidRPr="00446E53" w:rsidRDefault="00482BFD">
            <w:pPr>
              <w:autoSpaceDE w:val="0"/>
              <w:autoSpaceDN w:val="0"/>
              <w:adjustRightInd w:val="0"/>
              <w:rPr>
                <w:rFonts w:ascii="Arial Narrow" w:hAnsi="Arial Narrow" w:cs="Arial Narrow"/>
                <w:iCs/>
                <w:color w:val="FF0000"/>
                <w:sz w:val="20"/>
                <w:szCs w:val="20"/>
              </w:rPr>
            </w:pPr>
            <w:r>
              <w:rPr>
                <w:rFonts w:ascii="Arial Narrow" w:hAnsi="Arial Narrow"/>
                <w:b/>
                <w:bCs/>
                <w:color w:val="333333"/>
                <w:sz w:val="20"/>
                <w:szCs w:val="20"/>
              </w:rPr>
              <w:t xml:space="preserve">Clinical </w:t>
            </w:r>
            <w:r w:rsidRPr="00446E53">
              <w:rPr>
                <w:rFonts w:ascii="Arial Narrow" w:hAnsi="Arial Narrow"/>
                <w:b/>
                <w:bCs/>
                <w:color w:val="333333"/>
                <w:sz w:val="20"/>
                <w:szCs w:val="20"/>
              </w:rPr>
              <w:t>criteria:</w:t>
            </w:r>
          </w:p>
        </w:tc>
      </w:tr>
      <w:tr w:rsidR="00482BFD" w:rsidRPr="00446E53" w14:paraId="1AD3D546" w14:textId="77777777">
        <w:tblPrEx>
          <w:tblCellMar>
            <w:top w:w="15" w:type="dxa"/>
            <w:bottom w:w="15" w:type="dxa"/>
          </w:tblCellMar>
          <w:tblLook w:val="04A0" w:firstRow="1" w:lastRow="0" w:firstColumn="1" w:lastColumn="0" w:noHBand="0" w:noVBand="1"/>
        </w:tblPrEx>
        <w:trPr>
          <w:cantSplit/>
          <w:trHeight w:val="20"/>
        </w:trPr>
        <w:tc>
          <w:tcPr>
            <w:tcW w:w="1271" w:type="dxa"/>
          </w:tcPr>
          <w:p w14:paraId="2F7C62E1" w14:textId="400C4090" w:rsidR="00482BFD" w:rsidRPr="00E60D92" w:rsidRDefault="00482BFD">
            <w:pPr>
              <w:jc w:val="center"/>
              <w:rPr>
                <w:rFonts w:ascii="Arial Narrow" w:hAnsi="Arial Narrow"/>
                <w:sz w:val="20"/>
                <w:szCs w:val="20"/>
              </w:rPr>
            </w:pPr>
          </w:p>
        </w:tc>
        <w:tc>
          <w:tcPr>
            <w:tcW w:w="7745" w:type="dxa"/>
            <w:gridSpan w:val="6"/>
          </w:tcPr>
          <w:p w14:paraId="51EA0BCF" w14:textId="77777777" w:rsidR="00482BFD" w:rsidRPr="00ED1588" w:rsidRDefault="00482BFD">
            <w:pPr>
              <w:autoSpaceDE w:val="0"/>
              <w:autoSpaceDN w:val="0"/>
              <w:adjustRightInd w:val="0"/>
              <w:rPr>
                <w:rFonts w:ascii="Arial Narrow" w:hAnsi="Arial Narrow"/>
                <w:sz w:val="20"/>
                <w:szCs w:val="20"/>
              </w:rPr>
            </w:pPr>
            <w:r w:rsidRPr="00ED1588">
              <w:rPr>
                <w:rFonts w:ascii="Arial Narrow" w:hAnsi="Arial Narrow"/>
                <w:sz w:val="20"/>
                <w:szCs w:val="20"/>
              </w:rPr>
              <w:t>The treatment must be the sole PBS-subsidised biological medicine for this PBS indication</w:t>
            </w:r>
          </w:p>
        </w:tc>
      </w:tr>
      <w:tr w:rsidR="00482BFD" w:rsidRPr="00446E53" w14:paraId="5A25BA12" w14:textId="77777777">
        <w:tblPrEx>
          <w:tblCellMar>
            <w:top w:w="15" w:type="dxa"/>
            <w:bottom w:w="15" w:type="dxa"/>
          </w:tblCellMar>
          <w:tblLook w:val="04A0" w:firstRow="1" w:lastRow="0" w:firstColumn="1" w:lastColumn="0" w:noHBand="0" w:noVBand="1"/>
        </w:tblPrEx>
        <w:trPr>
          <w:cantSplit/>
          <w:trHeight w:val="20"/>
        </w:trPr>
        <w:tc>
          <w:tcPr>
            <w:tcW w:w="1271" w:type="dxa"/>
          </w:tcPr>
          <w:p w14:paraId="4BA9A66F" w14:textId="77777777" w:rsidR="00482BFD" w:rsidRPr="00E60D92" w:rsidRDefault="00482BFD">
            <w:pPr>
              <w:jc w:val="center"/>
              <w:rPr>
                <w:rFonts w:ascii="Arial Narrow" w:hAnsi="Arial Narrow"/>
                <w:sz w:val="20"/>
                <w:szCs w:val="20"/>
              </w:rPr>
            </w:pPr>
          </w:p>
        </w:tc>
        <w:tc>
          <w:tcPr>
            <w:tcW w:w="7745" w:type="dxa"/>
            <w:gridSpan w:val="6"/>
          </w:tcPr>
          <w:p w14:paraId="4662DF85" w14:textId="77777777" w:rsidR="00482BFD" w:rsidRPr="00ED1588" w:rsidRDefault="00482BFD">
            <w:pPr>
              <w:autoSpaceDE w:val="0"/>
              <w:autoSpaceDN w:val="0"/>
              <w:adjustRightInd w:val="0"/>
              <w:rPr>
                <w:rFonts w:ascii="Arial Narrow" w:hAnsi="Arial Narrow"/>
                <w:sz w:val="20"/>
                <w:szCs w:val="20"/>
              </w:rPr>
            </w:pPr>
            <w:r w:rsidRPr="005A3A65">
              <w:rPr>
                <w:rFonts w:ascii="Arial Narrow" w:hAnsi="Arial Narrow" w:cs="Arial Narrow"/>
                <w:b/>
                <w:bCs/>
                <w:iCs/>
                <w:strike/>
                <w:sz w:val="20"/>
                <w:szCs w:val="20"/>
              </w:rPr>
              <w:t>AND</w:t>
            </w:r>
          </w:p>
        </w:tc>
      </w:tr>
      <w:tr w:rsidR="00482BFD" w:rsidRPr="00446E53" w14:paraId="01A2053B" w14:textId="77777777">
        <w:tblPrEx>
          <w:tblCellMar>
            <w:top w:w="15" w:type="dxa"/>
            <w:bottom w:w="15" w:type="dxa"/>
          </w:tblCellMar>
          <w:tblLook w:val="04A0" w:firstRow="1" w:lastRow="0" w:firstColumn="1" w:lastColumn="0" w:noHBand="0" w:noVBand="1"/>
        </w:tblPrEx>
        <w:trPr>
          <w:cantSplit/>
          <w:trHeight w:val="20"/>
        </w:trPr>
        <w:tc>
          <w:tcPr>
            <w:tcW w:w="1271" w:type="dxa"/>
          </w:tcPr>
          <w:p w14:paraId="74602CB0" w14:textId="3115A5C3" w:rsidR="00482BFD" w:rsidRPr="00E60D92" w:rsidRDefault="00482BFD">
            <w:pPr>
              <w:jc w:val="center"/>
              <w:rPr>
                <w:rFonts w:ascii="Arial Narrow" w:hAnsi="Arial Narrow"/>
                <w:sz w:val="20"/>
                <w:szCs w:val="20"/>
              </w:rPr>
            </w:pPr>
          </w:p>
        </w:tc>
        <w:tc>
          <w:tcPr>
            <w:tcW w:w="7745" w:type="dxa"/>
            <w:gridSpan w:val="6"/>
          </w:tcPr>
          <w:p w14:paraId="289F4836" w14:textId="77777777" w:rsidR="00482BFD" w:rsidRPr="00E62CC5" w:rsidRDefault="00482BFD">
            <w:pPr>
              <w:autoSpaceDE w:val="0"/>
              <w:autoSpaceDN w:val="0"/>
              <w:adjustRightInd w:val="0"/>
              <w:rPr>
                <w:rFonts w:ascii="Arial Narrow" w:eastAsia="Calibri" w:hAnsi="Arial Narrow"/>
                <w:b/>
                <w:bCs/>
                <w:sz w:val="20"/>
                <w:szCs w:val="20"/>
              </w:rPr>
            </w:pPr>
            <w:r>
              <w:rPr>
                <w:rFonts w:ascii="Arial Narrow" w:eastAsia="Calibri" w:hAnsi="Arial Narrow"/>
                <w:b/>
                <w:bCs/>
                <w:sz w:val="20"/>
                <w:szCs w:val="20"/>
              </w:rPr>
              <w:t xml:space="preserve">Treatment criteria: </w:t>
            </w:r>
          </w:p>
        </w:tc>
      </w:tr>
      <w:tr w:rsidR="00482BFD" w:rsidRPr="00446E53" w14:paraId="7F2D9799" w14:textId="77777777">
        <w:tblPrEx>
          <w:tblCellMar>
            <w:top w:w="15" w:type="dxa"/>
            <w:bottom w:w="15" w:type="dxa"/>
          </w:tblCellMar>
          <w:tblLook w:val="04A0" w:firstRow="1" w:lastRow="0" w:firstColumn="1" w:lastColumn="0" w:noHBand="0" w:noVBand="1"/>
        </w:tblPrEx>
        <w:trPr>
          <w:cantSplit/>
          <w:trHeight w:val="20"/>
        </w:trPr>
        <w:tc>
          <w:tcPr>
            <w:tcW w:w="1271" w:type="dxa"/>
          </w:tcPr>
          <w:p w14:paraId="3FAF5218" w14:textId="2684EE54" w:rsidR="00482BFD" w:rsidRPr="00E60D92" w:rsidRDefault="00482BFD">
            <w:pPr>
              <w:jc w:val="center"/>
              <w:rPr>
                <w:rFonts w:ascii="Arial Narrow" w:hAnsi="Arial Narrow"/>
                <w:sz w:val="20"/>
                <w:szCs w:val="20"/>
              </w:rPr>
            </w:pPr>
          </w:p>
        </w:tc>
        <w:tc>
          <w:tcPr>
            <w:tcW w:w="7745" w:type="dxa"/>
            <w:gridSpan w:val="6"/>
          </w:tcPr>
          <w:p w14:paraId="43ED3C42" w14:textId="77777777" w:rsidR="00482BFD" w:rsidRPr="00E62CC5" w:rsidRDefault="00482BFD">
            <w:pPr>
              <w:autoSpaceDE w:val="0"/>
              <w:autoSpaceDN w:val="0"/>
              <w:adjustRightInd w:val="0"/>
              <w:rPr>
                <w:rFonts w:ascii="Arial Narrow" w:eastAsia="Calibri" w:hAnsi="Arial Narrow"/>
                <w:sz w:val="20"/>
                <w:szCs w:val="20"/>
              </w:rPr>
            </w:pPr>
            <w:r w:rsidRPr="00176579">
              <w:rPr>
                <w:rFonts w:ascii="Arial Narrow" w:eastAsia="Calibri" w:hAnsi="Arial Narrow"/>
                <w:sz w:val="20"/>
                <w:szCs w:val="20"/>
              </w:rPr>
              <w:t>Must be treated by a dermatologist; or</w:t>
            </w:r>
          </w:p>
        </w:tc>
      </w:tr>
      <w:tr w:rsidR="00482BFD" w:rsidRPr="00446E53" w14:paraId="27DE99BC" w14:textId="77777777">
        <w:tblPrEx>
          <w:tblCellMar>
            <w:top w:w="15" w:type="dxa"/>
            <w:bottom w:w="15" w:type="dxa"/>
          </w:tblCellMar>
          <w:tblLook w:val="04A0" w:firstRow="1" w:lastRow="0" w:firstColumn="1" w:lastColumn="0" w:noHBand="0" w:noVBand="1"/>
        </w:tblPrEx>
        <w:trPr>
          <w:cantSplit/>
          <w:trHeight w:val="20"/>
        </w:trPr>
        <w:tc>
          <w:tcPr>
            <w:tcW w:w="1271" w:type="dxa"/>
          </w:tcPr>
          <w:p w14:paraId="131DD0CE" w14:textId="54B7C0BD" w:rsidR="00482BFD" w:rsidRDefault="00482BFD">
            <w:pPr>
              <w:jc w:val="center"/>
              <w:rPr>
                <w:rFonts w:ascii="Arial Narrow" w:hAnsi="Arial Narrow"/>
                <w:sz w:val="20"/>
                <w:szCs w:val="20"/>
              </w:rPr>
            </w:pPr>
          </w:p>
        </w:tc>
        <w:tc>
          <w:tcPr>
            <w:tcW w:w="7745" w:type="dxa"/>
            <w:gridSpan w:val="6"/>
          </w:tcPr>
          <w:p w14:paraId="79E02B00" w14:textId="77777777" w:rsidR="00482BFD" w:rsidRPr="00176579" w:rsidRDefault="00482BFD">
            <w:pPr>
              <w:autoSpaceDE w:val="0"/>
              <w:autoSpaceDN w:val="0"/>
              <w:adjustRightInd w:val="0"/>
              <w:rPr>
                <w:rFonts w:ascii="Arial Narrow" w:eastAsia="Calibri" w:hAnsi="Arial Narrow"/>
                <w:sz w:val="20"/>
                <w:szCs w:val="20"/>
              </w:rPr>
            </w:pPr>
            <w:r w:rsidRPr="00176579">
              <w:rPr>
                <w:rFonts w:ascii="Arial Narrow" w:eastAsia="Calibri" w:hAnsi="Arial Narrow"/>
                <w:sz w:val="20"/>
                <w:szCs w:val="20"/>
              </w:rPr>
              <w:t>Must be treated by a clinical immunologist</w:t>
            </w:r>
          </w:p>
        </w:tc>
      </w:tr>
      <w:tr w:rsidR="00482BFD" w:rsidRPr="00446E53" w14:paraId="55042AAB" w14:textId="77777777">
        <w:tblPrEx>
          <w:tblCellMar>
            <w:top w:w="15" w:type="dxa"/>
            <w:bottom w:w="15" w:type="dxa"/>
          </w:tblCellMar>
          <w:tblLook w:val="04A0" w:firstRow="1" w:lastRow="0" w:firstColumn="1" w:lastColumn="0" w:noHBand="0" w:noVBand="1"/>
        </w:tblPrEx>
        <w:trPr>
          <w:cantSplit/>
          <w:trHeight w:val="20"/>
        </w:trPr>
        <w:tc>
          <w:tcPr>
            <w:tcW w:w="1271" w:type="dxa"/>
          </w:tcPr>
          <w:p w14:paraId="21BC8928" w14:textId="286A03A7" w:rsidR="00482BFD" w:rsidRPr="00827B6B" w:rsidRDefault="00482BFD">
            <w:pPr>
              <w:jc w:val="center"/>
              <w:rPr>
                <w:rFonts w:ascii="Arial Narrow" w:eastAsia="Calibri" w:hAnsi="Arial Narrow"/>
                <w:sz w:val="20"/>
                <w:szCs w:val="20"/>
                <w:highlight w:val="yellow"/>
              </w:rPr>
            </w:pPr>
          </w:p>
        </w:tc>
        <w:tc>
          <w:tcPr>
            <w:tcW w:w="7745" w:type="dxa"/>
            <w:gridSpan w:val="6"/>
            <w:vAlign w:val="center"/>
          </w:tcPr>
          <w:p w14:paraId="58E67E6C" w14:textId="77777777" w:rsidR="00482BFD" w:rsidRPr="00867098" w:rsidRDefault="00482BFD">
            <w:pPr>
              <w:rPr>
                <w:rFonts w:ascii="Arial Narrow" w:eastAsia="Calibri" w:hAnsi="Arial Narrow"/>
                <w:sz w:val="20"/>
                <w:szCs w:val="20"/>
              </w:rPr>
            </w:pPr>
            <w:r w:rsidRPr="00867098">
              <w:rPr>
                <w:rFonts w:ascii="Arial Narrow" w:hAnsi="Arial Narrow"/>
                <w:b/>
                <w:bCs/>
                <w:color w:val="333333"/>
                <w:sz w:val="20"/>
                <w:szCs w:val="20"/>
              </w:rPr>
              <w:t>Prescribing Instructions:</w:t>
            </w:r>
          </w:p>
          <w:p w14:paraId="1D8CEC99" w14:textId="77777777" w:rsidR="00482BFD" w:rsidRPr="00867098" w:rsidRDefault="00482BFD">
            <w:pPr>
              <w:rPr>
                <w:rFonts w:ascii="Arial Narrow" w:eastAsia="Calibri" w:hAnsi="Arial Narrow"/>
                <w:sz w:val="20"/>
                <w:szCs w:val="20"/>
              </w:rPr>
            </w:pPr>
            <w:r w:rsidRPr="00867098">
              <w:rPr>
                <w:rFonts w:ascii="Arial Narrow" w:eastAsia="Calibri" w:hAnsi="Arial Narrow"/>
                <w:sz w:val="20"/>
                <w:szCs w:val="20"/>
              </w:rPr>
              <w:t>For the purposes of this restriction, an adequate response to treatment of the whole body is defined as:</w:t>
            </w:r>
          </w:p>
          <w:p w14:paraId="425D6A9F" w14:textId="77777777" w:rsidR="00482BFD" w:rsidRPr="00867098" w:rsidRDefault="00482BFD">
            <w:pPr>
              <w:rPr>
                <w:rFonts w:ascii="Arial Narrow" w:eastAsia="Calibri" w:hAnsi="Arial Narrow"/>
                <w:sz w:val="20"/>
                <w:szCs w:val="20"/>
              </w:rPr>
            </w:pPr>
            <w:r w:rsidRPr="00867098">
              <w:rPr>
                <w:rFonts w:ascii="Arial Narrow" w:eastAsia="Calibri" w:hAnsi="Arial Narrow"/>
                <w:sz w:val="20"/>
                <w:szCs w:val="20"/>
              </w:rPr>
              <w:t>(a) An improvement/maintenance in the Eczema Area and Severity Index (EASI) score of at least 50% compared to baseline; and</w:t>
            </w:r>
          </w:p>
          <w:p w14:paraId="14D022B7" w14:textId="77777777" w:rsidR="00482BFD" w:rsidRDefault="00482BFD">
            <w:pPr>
              <w:rPr>
                <w:rFonts w:ascii="Arial Narrow" w:eastAsia="Calibri" w:hAnsi="Arial Narrow"/>
                <w:i/>
                <w:sz w:val="20"/>
                <w:szCs w:val="20"/>
              </w:rPr>
            </w:pPr>
            <w:r w:rsidRPr="00867098">
              <w:rPr>
                <w:rFonts w:ascii="Arial Narrow" w:eastAsia="Calibri" w:hAnsi="Arial Narrow"/>
                <w:sz w:val="20"/>
                <w:szCs w:val="20"/>
              </w:rPr>
              <w:t>(b) An improvement/maintenance in Dermatology Life Quality Index (DLQI) score of</w:t>
            </w:r>
            <w:r w:rsidRPr="00F01E4A">
              <w:rPr>
                <w:rFonts w:ascii="Arial Narrow" w:eastAsia="Calibri" w:hAnsi="Arial Narrow"/>
                <w:sz w:val="20"/>
                <w:szCs w:val="20"/>
              </w:rPr>
              <w:t xml:space="preserve"> </w:t>
            </w:r>
            <w:r w:rsidRPr="00867098">
              <w:rPr>
                <w:rFonts w:ascii="Arial Narrow" w:eastAsia="Calibri" w:hAnsi="Arial Narrow"/>
                <w:sz w:val="20"/>
                <w:szCs w:val="20"/>
              </w:rPr>
              <w:t>at least 4 points compared to baseline</w:t>
            </w:r>
            <w:r w:rsidRPr="00F01E4A">
              <w:rPr>
                <w:rFonts w:ascii="Arial Narrow" w:eastAsia="Calibri" w:hAnsi="Arial Narrow"/>
                <w:i/>
                <w:iCs/>
                <w:sz w:val="20"/>
                <w:szCs w:val="20"/>
              </w:rPr>
              <w:t xml:space="preserve">, </w:t>
            </w:r>
          </w:p>
          <w:p w14:paraId="0FD08EDD" w14:textId="77777777" w:rsidR="00482BFD" w:rsidRPr="00F01E4A" w:rsidRDefault="00482BFD">
            <w:pPr>
              <w:rPr>
                <w:rFonts w:ascii="Arial Narrow" w:eastAsia="Calibri" w:hAnsi="Arial Narrow"/>
                <w:i/>
                <w:iCs/>
                <w:sz w:val="20"/>
                <w:szCs w:val="20"/>
              </w:rPr>
            </w:pPr>
          </w:p>
          <w:p w14:paraId="4F057998" w14:textId="77777777" w:rsidR="00482BFD" w:rsidRDefault="00482BFD">
            <w:pPr>
              <w:rPr>
                <w:rFonts w:ascii="Arial Narrow" w:eastAsia="Calibri" w:hAnsi="Arial Narrow"/>
                <w:i/>
                <w:sz w:val="20"/>
                <w:szCs w:val="20"/>
              </w:rPr>
            </w:pPr>
            <w:r w:rsidRPr="00F01E4A">
              <w:rPr>
                <w:rFonts w:ascii="Arial Narrow" w:eastAsia="Calibri" w:hAnsi="Arial Narrow"/>
                <w:i/>
                <w:sz w:val="20"/>
                <w:szCs w:val="20"/>
              </w:rPr>
              <w:t>Where an initial baseline (post-topical corticosteroid, pre-biological medicine) DLQI score was not measured for a patient who had commenced treatment through a clinical trial, early access program or through private, non-PBS-subsidised supply, an absence of worsening in the current DLQI score compared to that measured at the time of the 'Grandfather listing' authority application will suffice as an adequate response for requirement (b) above.</w:t>
            </w:r>
          </w:p>
          <w:p w14:paraId="201696BC" w14:textId="77777777" w:rsidR="00482BFD" w:rsidRPr="00F01E4A" w:rsidRDefault="00482BFD">
            <w:pPr>
              <w:rPr>
                <w:rFonts w:ascii="Arial Narrow" w:eastAsia="Calibri" w:hAnsi="Arial Narrow"/>
                <w:i/>
                <w:sz w:val="20"/>
                <w:szCs w:val="20"/>
              </w:rPr>
            </w:pPr>
          </w:p>
          <w:p w14:paraId="1DA16DF6" w14:textId="77777777" w:rsidR="00482BFD" w:rsidRPr="00C55D46" w:rsidRDefault="00482BFD">
            <w:pPr>
              <w:rPr>
                <w:rFonts w:ascii="Arial Narrow" w:eastAsia="Calibri" w:hAnsi="Arial Narrow"/>
                <w:sz w:val="20"/>
                <w:szCs w:val="20"/>
              </w:rPr>
            </w:pPr>
            <w:r w:rsidRPr="00867098">
              <w:rPr>
                <w:rFonts w:ascii="Arial Narrow" w:eastAsia="Calibri" w:hAnsi="Arial Narrow"/>
                <w:sz w:val="20"/>
                <w:szCs w:val="20"/>
              </w:rPr>
              <w:t>State each of the current EASI and DLQI scores for this authority application.</w:t>
            </w:r>
          </w:p>
        </w:tc>
      </w:tr>
      <w:tr w:rsidR="00482BFD" w:rsidRPr="00446E53" w14:paraId="01423F0E" w14:textId="77777777">
        <w:tblPrEx>
          <w:tblCellMar>
            <w:top w:w="15" w:type="dxa"/>
            <w:bottom w:w="15" w:type="dxa"/>
          </w:tblCellMar>
          <w:tblLook w:val="04A0" w:firstRow="1" w:lastRow="0" w:firstColumn="1" w:lastColumn="0" w:noHBand="0" w:noVBand="1"/>
        </w:tblPrEx>
        <w:trPr>
          <w:cantSplit/>
          <w:trHeight w:val="20"/>
        </w:trPr>
        <w:tc>
          <w:tcPr>
            <w:tcW w:w="9016" w:type="dxa"/>
            <w:gridSpan w:val="7"/>
          </w:tcPr>
          <w:p w14:paraId="1BE5B3B8" w14:textId="77777777" w:rsidR="00482BFD" w:rsidRDefault="00482BFD">
            <w:pPr>
              <w:jc w:val="center"/>
              <w:rPr>
                <w:rFonts w:ascii="Arial Narrow" w:eastAsia="Calibri" w:hAnsi="Arial Narrow"/>
                <w:sz w:val="20"/>
                <w:szCs w:val="20"/>
              </w:rPr>
            </w:pPr>
          </w:p>
          <w:p w14:paraId="562C6C44" w14:textId="77777777" w:rsidR="00482BFD" w:rsidRPr="00446E53" w:rsidRDefault="00482BFD">
            <w:pPr>
              <w:rPr>
                <w:rFonts w:ascii="Arial Narrow" w:hAnsi="Arial Narrow"/>
                <w:b/>
                <w:bCs/>
                <w:color w:val="333333"/>
                <w:sz w:val="20"/>
                <w:szCs w:val="20"/>
              </w:rPr>
            </w:pPr>
          </w:p>
        </w:tc>
      </w:tr>
      <w:tr w:rsidR="00482BFD" w:rsidRPr="00446E53" w14:paraId="0256EB82" w14:textId="77777777">
        <w:tblPrEx>
          <w:tblCellMar>
            <w:top w:w="15" w:type="dxa"/>
            <w:bottom w:w="15" w:type="dxa"/>
          </w:tblCellMar>
          <w:tblLook w:val="04A0" w:firstRow="1" w:lastRow="0" w:firstColumn="1" w:lastColumn="0" w:noHBand="0" w:noVBand="1"/>
        </w:tblPrEx>
        <w:trPr>
          <w:cantSplit/>
          <w:trHeight w:val="20"/>
        </w:trPr>
        <w:tc>
          <w:tcPr>
            <w:tcW w:w="1271" w:type="dxa"/>
            <w:shd w:val="clear" w:color="auto" w:fill="BFBFBF" w:themeFill="background1" w:themeFillShade="BF"/>
          </w:tcPr>
          <w:p w14:paraId="6579A119" w14:textId="77777777" w:rsidR="00482BFD" w:rsidRPr="00446E53" w:rsidRDefault="00482BFD">
            <w:pPr>
              <w:keepNext/>
              <w:keepLines/>
              <w:jc w:val="center"/>
              <w:rPr>
                <w:rFonts w:ascii="Arial Narrow" w:hAnsi="Arial Narrow"/>
                <w:b/>
                <w:bCs/>
                <w:color w:val="333333"/>
                <w:sz w:val="20"/>
                <w:szCs w:val="20"/>
              </w:rPr>
            </w:pPr>
          </w:p>
        </w:tc>
        <w:tc>
          <w:tcPr>
            <w:tcW w:w="7745" w:type="dxa"/>
            <w:gridSpan w:val="6"/>
            <w:shd w:val="clear" w:color="auto" w:fill="BFBFBF" w:themeFill="background1" w:themeFillShade="BF"/>
            <w:vAlign w:val="center"/>
          </w:tcPr>
          <w:p w14:paraId="062631F3" w14:textId="77777777" w:rsidR="00482BFD" w:rsidRPr="0069367A" w:rsidRDefault="00482BFD">
            <w:pPr>
              <w:keepNext/>
              <w:keepLines/>
              <w:rPr>
                <w:rFonts w:ascii="Arial Narrow" w:hAnsi="Arial Narrow"/>
                <w:b/>
                <w:bCs/>
                <w:color w:val="FF0000"/>
                <w:sz w:val="20"/>
                <w:szCs w:val="20"/>
              </w:rPr>
            </w:pPr>
            <w:r w:rsidRPr="00446E53">
              <w:rPr>
                <w:rFonts w:ascii="Arial Narrow" w:hAnsi="Arial Narrow"/>
                <w:b/>
                <w:bCs/>
                <w:color w:val="333333"/>
                <w:sz w:val="20"/>
                <w:szCs w:val="20"/>
              </w:rPr>
              <w:t>Restriction Summary [new</w:t>
            </w:r>
            <w:r>
              <w:rPr>
                <w:rFonts w:ascii="Arial Narrow" w:hAnsi="Arial Narrow"/>
                <w:b/>
                <w:bCs/>
                <w:color w:val="333333"/>
                <w:sz w:val="20"/>
                <w:szCs w:val="20"/>
              </w:rPr>
              <w:t>6</w:t>
            </w:r>
            <w:r w:rsidRPr="00446E53">
              <w:rPr>
                <w:rFonts w:ascii="Arial Narrow" w:hAnsi="Arial Narrow"/>
                <w:b/>
                <w:bCs/>
                <w:color w:val="333333"/>
                <w:sz w:val="20"/>
                <w:szCs w:val="20"/>
              </w:rPr>
              <w:t>]</w:t>
            </w:r>
            <w:r w:rsidRPr="00446E53">
              <w:rPr>
                <w:rFonts w:ascii="Arial Narrow" w:hAnsi="Arial Narrow"/>
                <w:b/>
                <w:bCs/>
                <w:color w:val="FF0000"/>
                <w:sz w:val="20"/>
                <w:szCs w:val="20"/>
              </w:rPr>
              <w:t xml:space="preserve"> </w:t>
            </w:r>
            <w:r w:rsidRPr="00446E53">
              <w:rPr>
                <w:rFonts w:ascii="Arial Narrow" w:hAnsi="Arial Narrow"/>
                <w:b/>
                <w:bCs/>
                <w:color w:val="333333"/>
                <w:sz w:val="20"/>
                <w:szCs w:val="20"/>
              </w:rPr>
              <w:t>/ Treatment of Concept: [new</w:t>
            </w:r>
            <w:r>
              <w:rPr>
                <w:rFonts w:ascii="Arial Narrow" w:hAnsi="Arial Narrow"/>
                <w:b/>
                <w:bCs/>
                <w:color w:val="333333"/>
                <w:sz w:val="20"/>
                <w:szCs w:val="20"/>
              </w:rPr>
              <w:t>6A</w:t>
            </w:r>
            <w:r w:rsidRPr="00446E53">
              <w:rPr>
                <w:rFonts w:ascii="Arial Narrow" w:hAnsi="Arial Narrow"/>
                <w:b/>
                <w:bCs/>
                <w:color w:val="333333"/>
                <w:sz w:val="20"/>
                <w:szCs w:val="20"/>
              </w:rPr>
              <w:t>]</w:t>
            </w:r>
          </w:p>
        </w:tc>
      </w:tr>
      <w:tr w:rsidR="00482BFD" w:rsidRPr="00446E53" w14:paraId="7354D266" w14:textId="77777777" w:rsidTr="003111CD">
        <w:tblPrEx>
          <w:tblCellMar>
            <w:top w:w="15" w:type="dxa"/>
            <w:bottom w:w="15" w:type="dxa"/>
          </w:tblCellMar>
          <w:tblLook w:val="04A0" w:firstRow="1" w:lastRow="0" w:firstColumn="1" w:lastColumn="0" w:noHBand="0" w:noVBand="1"/>
        </w:tblPrEx>
        <w:trPr>
          <w:cantSplit/>
          <w:trHeight w:val="20"/>
        </w:trPr>
        <w:tc>
          <w:tcPr>
            <w:tcW w:w="1271" w:type="dxa"/>
          </w:tcPr>
          <w:p w14:paraId="5B957E7E" w14:textId="061AF437" w:rsidR="00482BFD" w:rsidRPr="00446E53" w:rsidRDefault="00482BFD">
            <w:pPr>
              <w:jc w:val="center"/>
              <w:rPr>
                <w:rFonts w:ascii="Arial Narrow" w:hAnsi="Arial Narrow"/>
                <w:color w:val="333333"/>
                <w:sz w:val="20"/>
                <w:szCs w:val="20"/>
              </w:rPr>
            </w:pPr>
          </w:p>
        </w:tc>
        <w:tc>
          <w:tcPr>
            <w:tcW w:w="7745" w:type="dxa"/>
            <w:gridSpan w:val="6"/>
            <w:vAlign w:val="center"/>
            <w:hideMark/>
          </w:tcPr>
          <w:p w14:paraId="11227E52" w14:textId="77777777" w:rsidR="00482BFD" w:rsidRPr="00446E53" w:rsidRDefault="00482BFD">
            <w:pPr>
              <w:rPr>
                <w:rFonts w:ascii="Arial Narrow" w:hAnsi="Arial Narrow"/>
                <w:color w:val="333333"/>
                <w:sz w:val="20"/>
                <w:szCs w:val="20"/>
              </w:rPr>
            </w:pPr>
            <w:r w:rsidRPr="0069367A">
              <w:rPr>
                <w:rFonts w:ascii="Arial Narrow" w:hAnsi="Arial Narrow"/>
                <w:b/>
                <w:bCs/>
                <w:sz w:val="20"/>
                <w:szCs w:val="20"/>
              </w:rPr>
              <w:t>Indication:</w:t>
            </w:r>
            <w:r w:rsidRPr="0069367A">
              <w:rPr>
                <w:rFonts w:ascii="Arial Narrow" w:hAnsi="Arial Narrow"/>
                <w:sz w:val="20"/>
                <w:szCs w:val="20"/>
              </w:rPr>
              <w:t xml:space="preserve"> Chronic severe atopic dermatitis </w:t>
            </w:r>
          </w:p>
        </w:tc>
      </w:tr>
      <w:tr w:rsidR="00482BFD" w:rsidRPr="00446E53" w14:paraId="0AA574E4" w14:textId="77777777">
        <w:tblPrEx>
          <w:tblCellMar>
            <w:top w:w="15" w:type="dxa"/>
            <w:bottom w:w="15" w:type="dxa"/>
          </w:tblCellMar>
          <w:tblLook w:val="04A0" w:firstRow="1" w:lastRow="0" w:firstColumn="1" w:lastColumn="0" w:noHBand="0" w:noVBand="1"/>
        </w:tblPrEx>
        <w:trPr>
          <w:cantSplit/>
          <w:trHeight w:val="20"/>
        </w:trPr>
        <w:tc>
          <w:tcPr>
            <w:tcW w:w="1271" w:type="dxa"/>
          </w:tcPr>
          <w:p w14:paraId="18187F41" w14:textId="77777777" w:rsidR="00482BFD" w:rsidRPr="00446E53" w:rsidRDefault="00482BFD">
            <w:pPr>
              <w:jc w:val="center"/>
              <w:rPr>
                <w:rFonts w:ascii="Arial Narrow" w:hAnsi="Arial Narrow"/>
                <w:color w:val="333333"/>
                <w:sz w:val="20"/>
                <w:szCs w:val="20"/>
              </w:rPr>
            </w:pPr>
          </w:p>
        </w:tc>
        <w:tc>
          <w:tcPr>
            <w:tcW w:w="7745" w:type="dxa"/>
            <w:gridSpan w:val="6"/>
            <w:vAlign w:val="center"/>
            <w:hideMark/>
          </w:tcPr>
          <w:p w14:paraId="7ED69F2D" w14:textId="77777777" w:rsidR="00482BFD" w:rsidRPr="00446E53" w:rsidRDefault="00482BFD">
            <w:pPr>
              <w:rPr>
                <w:rFonts w:ascii="Arial Narrow" w:hAnsi="Arial Narrow"/>
                <w:sz w:val="20"/>
                <w:szCs w:val="20"/>
              </w:rPr>
            </w:pPr>
            <w:r w:rsidRPr="0069367A">
              <w:rPr>
                <w:rFonts w:ascii="Arial Narrow" w:hAnsi="Arial Narrow"/>
                <w:b/>
                <w:bCs/>
                <w:sz w:val="20"/>
                <w:szCs w:val="20"/>
              </w:rPr>
              <w:t>Treatment Phase:</w:t>
            </w:r>
            <w:r w:rsidRPr="0069367A">
              <w:rPr>
                <w:rFonts w:ascii="Arial Narrow" w:hAnsi="Arial Narrow"/>
                <w:sz w:val="20"/>
                <w:szCs w:val="20"/>
              </w:rPr>
              <w:t xml:space="preserve"> </w:t>
            </w:r>
            <w:r>
              <w:rPr>
                <w:rFonts w:ascii="Arial Narrow" w:hAnsi="Arial Narrow"/>
                <w:sz w:val="20"/>
                <w:szCs w:val="20"/>
              </w:rPr>
              <w:t>Continuing or resuming</w:t>
            </w:r>
            <w:r w:rsidRPr="0069367A">
              <w:rPr>
                <w:rFonts w:ascii="Arial Narrow" w:hAnsi="Arial Narrow"/>
                <w:sz w:val="20"/>
                <w:szCs w:val="20"/>
              </w:rPr>
              <w:t xml:space="preserve"> treatment of the </w:t>
            </w:r>
            <w:r>
              <w:rPr>
                <w:rFonts w:ascii="Arial Narrow" w:hAnsi="Arial Narrow"/>
                <w:sz w:val="20"/>
                <w:szCs w:val="20"/>
              </w:rPr>
              <w:t>face and/or hands</w:t>
            </w:r>
            <w:r w:rsidRPr="0069367A">
              <w:rPr>
                <w:rFonts w:ascii="Arial Narrow" w:hAnsi="Arial Narrow"/>
                <w:sz w:val="20"/>
                <w:szCs w:val="20"/>
              </w:rPr>
              <w:t xml:space="preserve"> </w:t>
            </w:r>
          </w:p>
        </w:tc>
      </w:tr>
      <w:tr w:rsidR="00482BFD" w:rsidRPr="00446E53" w14:paraId="6B01CCDE" w14:textId="77777777">
        <w:tblPrEx>
          <w:tblCellMar>
            <w:top w:w="15" w:type="dxa"/>
            <w:bottom w:w="15" w:type="dxa"/>
          </w:tblCellMar>
          <w:tblLook w:val="04A0" w:firstRow="1" w:lastRow="0" w:firstColumn="1" w:lastColumn="0" w:noHBand="0" w:noVBand="1"/>
        </w:tblPrEx>
        <w:trPr>
          <w:cantSplit/>
          <w:trHeight w:val="20"/>
        </w:trPr>
        <w:tc>
          <w:tcPr>
            <w:tcW w:w="1271" w:type="dxa"/>
          </w:tcPr>
          <w:p w14:paraId="088205E7" w14:textId="53178D97" w:rsidR="00482BFD" w:rsidRPr="00446E53" w:rsidRDefault="00482BFD">
            <w:pPr>
              <w:jc w:val="center"/>
              <w:rPr>
                <w:rFonts w:ascii="Arial Narrow" w:hAnsi="Arial Narrow"/>
                <w:color w:val="333333"/>
                <w:sz w:val="20"/>
                <w:szCs w:val="20"/>
              </w:rPr>
            </w:pPr>
          </w:p>
        </w:tc>
        <w:tc>
          <w:tcPr>
            <w:tcW w:w="7745" w:type="dxa"/>
            <w:gridSpan w:val="6"/>
            <w:vAlign w:val="center"/>
          </w:tcPr>
          <w:p w14:paraId="7F2935CC" w14:textId="77777777" w:rsidR="00482BFD" w:rsidRPr="00446E53" w:rsidRDefault="00482BFD">
            <w:pPr>
              <w:rPr>
                <w:rFonts w:ascii="Arial Narrow" w:hAnsi="Arial Narrow"/>
                <w:b/>
                <w:bCs/>
                <w:color w:val="333333"/>
                <w:sz w:val="20"/>
                <w:szCs w:val="20"/>
              </w:rPr>
            </w:pPr>
            <w:r w:rsidRPr="00446E53">
              <w:rPr>
                <w:rFonts w:ascii="Arial Narrow" w:hAnsi="Arial Narrow"/>
                <w:b/>
                <w:bCs/>
                <w:color w:val="333333"/>
                <w:sz w:val="20"/>
                <w:szCs w:val="20"/>
              </w:rPr>
              <w:t xml:space="preserve">Clinical criteria: </w:t>
            </w:r>
          </w:p>
        </w:tc>
      </w:tr>
      <w:tr w:rsidR="00482BFD" w:rsidRPr="00446E53" w14:paraId="17E3347D" w14:textId="77777777">
        <w:tblPrEx>
          <w:tblCellMar>
            <w:top w:w="15" w:type="dxa"/>
            <w:bottom w:w="15" w:type="dxa"/>
          </w:tblCellMar>
          <w:tblLook w:val="04A0" w:firstRow="1" w:lastRow="0" w:firstColumn="1" w:lastColumn="0" w:noHBand="0" w:noVBand="1"/>
        </w:tblPrEx>
        <w:trPr>
          <w:cantSplit/>
          <w:trHeight w:val="20"/>
        </w:trPr>
        <w:tc>
          <w:tcPr>
            <w:tcW w:w="1271" w:type="dxa"/>
          </w:tcPr>
          <w:p w14:paraId="3F1D40EF" w14:textId="499FA8C1" w:rsidR="00482BFD" w:rsidRPr="00446E53" w:rsidRDefault="00482BFD">
            <w:pPr>
              <w:jc w:val="center"/>
              <w:rPr>
                <w:rFonts w:ascii="Arial Narrow" w:hAnsi="Arial Narrow"/>
                <w:color w:val="333333"/>
                <w:sz w:val="20"/>
                <w:szCs w:val="20"/>
              </w:rPr>
            </w:pPr>
          </w:p>
        </w:tc>
        <w:tc>
          <w:tcPr>
            <w:tcW w:w="7745" w:type="dxa"/>
            <w:gridSpan w:val="6"/>
          </w:tcPr>
          <w:p w14:paraId="6050D409" w14:textId="77777777" w:rsidR="00482BFD" w:rsidRPr="00CD7E60" w:rsidRDefault="00482BFD">
            <w:pPr>
              <w:rPr>
                <w:rFonts w:ascii="Arial Narrow" w:hAnsi="Arial Narrow"/>
                <w:color w:val="333333"/>
                <w:sz w:val="20"/>
                <w:szCs w:val="20"/>
              </w:rPr>
            </w:pPr>
            <w:r w:rsidRPr="00354B12">
              <w:rPr>
                <w:rFonts w:ascii="Arial Narrow" w:hAnsi="Arial Narrow"/>
                <w:sz w:val="20"/>
                <w:szCs w:val="20"/>
              </w:rPr>
              <w:t>Patient must have received PBS-subsidised treatment with this biological medicine for the treatment of chronic severe atopic dermatitis affecting the face/hands</w:t>
            </w:r>
          </w:p>
        </w:tc>
      </w:tr>
      <w:tr w:rsidR="00482BFD" w:rsidRPr="00446E53" w14:paraId="1950380E" w14:textId="77777777">
        <w:tblPrEx>
          <w:tblCellMar>
            <w:top w:w="15" w:type="dxa"/>
            <w:bottom w:w="15" w:type="dxa"/>
          </w:tblCellMar>
          <w:tblLook w:val="04A0" w:firstRow="1" w:lastRow="0" w:firstColumn="1" w:lastColumn="0" w:noHBand="0" w:noVBand="1"/>
        </w:tblPrEx>
        <w:trPr>
          <w:cantSplit/>
          <w:trHeight w:val="20"/>
        </w:trPr>
        <w:tc>
          <w:tcPr>
            <w:tcW w:w="1271" w:type="dxa"/>
          </w:tcPr>
          <w:p w14:paraId="02616360" w14:textId="77777777" w:rsidR="00482BFD" w:rsidRPr="00446E53" w:rsidRDefault="00482BFD">
            <w:pPr>
              <w:jc w:val="center"/>
              <w:rPr>
                <w:rFonts w:ascii="Arial Narrow" w:hAnsi="Arial Narrow"/>
                <w:color w:val="333333"/>
                <w:sz w:val="20"/>
                <w:szCs w:val="20"/>
              </w:rPr>
            </w:pPr>
          </w:p>
        </w:tc>
        <w:tc>
          <w:tcPr>
            <w:tcW w:w="7745" w:type="dxa"/>
            <w:gridSpan w:val="6"/>
            <w:vAlign w:val="center"/>
          </w:tcPr>
          <w:p w14:paraId="6D2E03AF" w14:textId="77777777" w:rsidR="00482BFD" w:rsidRPr="00446E53" w:rsidRDefault="00482BFD">
            <w:pPr>
              <w:rPr>
                <w:rFonts w:ascii="Arial Narrow" w:hAnsi="Arial Narrow"/>
                <w:b/>
                <w:bCs/>
                <w:color w:val="333333"/>
                <w:sz w:val="20"/>
                <w:szCs w:val="20"/>
              </w:rPr>
            </w:pPr>
            <w:r w:rsidRPr="00446E53">
              <w:rPr>
                <w:rFonts w:ascii="Arial Narrow" w:hAnsi="Arial Narrow"/>
                <w:b/>
                <w:bCs/>
                <w:color w:val="333333"/>
                <w:sz w:val="20"/>
                <w:szCs w:val="20"/>
              </w:rPr>
              <w:t>AND</w:t>
            </w:r>
          </w:p>
        </w:tc>
      </w:tr>
      <w:tr w:rsidR="00482BFD" w:rsidRPr="00446E53" w14:paraId="79F0E101" w14:textId="77777777">
        <w:tblPrEx>
          <w:tblCellMar>
            <w:top w:w="15" w:type="dxa"/>
            <w:bottom w:w="15" w:type="dxa"/>
          </w:tblCellMar>
          <w:tblLook w:val="04A0" w:firstRow="1" w:lastRow="0" w:firstColumn="1" w:lastColumn="0" w:noHBand="0" w:noVBand="1"/>
        </w:tblPrEx>
        <w:trPr>
          <w:cantSplit/>
          <w:trHeight w:val="20"/>
        </w:trPr>
        <w:tc>
          <w:tcPr>
            <w:tcW w:w="1271" w:type="dxa"/>
          </w:tcPr>
          <w:p w14:paraId="358335A5" w14:textId="0D19D839" w:rsidR="00482BFD" w:rsidRPr="00446E53" w:rsidRDefault="00482BFD">
            <w:pPr>
              <w:jc w:val="center"/>
              <w:rPr>
                <w:rFonts w:ascii="Arial Narrow" w:hAnsi="Arial Narrow"/>
                <w:color w:val="333333"/>
                <w:sz w:val="20"/>
                <w:szCs w:val="20"/>
              </w:rPr>
            </w:pPr>
          </w:p>
        </w:tc>
        <w:tc>
          <w:tcPr>
            <w:tcW w:w="7745" w:type="dxa"/>
            <w:gridSpan w:val="6"/>
            <w:vAlign w:val="center"/>
          </w:tcPr>
          <w:p w14:paraId="05ADDC80" w14:textId="77777777" w:rsidR="00482BFD" w:rsidRPr="00446E53" w:rsidRDefault="00482BFD">
            <w:pPr>
              <w:rPr>
                <w:rFonts w:ascii="Arial Narrow" w:hAnsi="Arial Narrow"/>
                <w:b/>
                <w:bCs/>
                <w:color w:val="333333"/>
                <w:sz w:val="20"/>
                <w:szCs w:val="20"/>
              </w:rPr>
            </w:pPr>
            <w:r w:rsidRPr="00446E53">
              <w:rPr>
                <w:rFonts w:ascii="Arial Narrow" w:hAnsi="Arial Narrow"/>
                <w:b/>
                <w:bCs/>
                <w:color w:val="333333"/>
                <w:sz w:val="20"/>
                <w:szCs w:val="20"/>
              </w:rPr>
              <w:t xml:space="preserve">Clinical criteria: </w:t>
            </w:r>
          </w:p>
        </w:tc>
      </w:tr>
      <w:tr w:rsidR="00482BFD" w:rsidRPr="00446E53" w14:paraId="67F09FAF" w14:textId="77777777">
        <w:tblPrEx>
          <w:tblCellMar>
            <w:top w:w="15" w:type="dxa"/>
            <w:bottom w:w="15" w:type="dxa"/>
          </w:tblCellMar>
          <w:tblLook w:val="04A0" w:firstRow="1" w:lastRow="0" w:firstColumn="1" w:lastColumn="0" w:noHBand="0" w:noVBand="1"/>
        </w:tblPrEx>
        <w:trPr>
          <w:cantSplit/>
          <w:trHeight w:val="20"/>
        </w:trPr>
        <w:tc>
          <w:tcPr>
            <w:tcW w:w="1271" w:type="dxa"/>
          </w:tcPr>
          <w:p w14:paraId="555AE864" w14:textId="58D5E074" w:rsidR="00482BFD" w:rsidRPr="00653865" w:rsidRDefault="00482BFD">
            <w:pPr>
              <w:jc w:val="center"/>
              <w:rPr>
                <w:rFonts w:ascii="Arial Narrow" w:hAnsi="Arial Narrow"/>
                <w:i/>
                <w:iCs/>
                <w:color w:val="333333"/>
                <w:sz w:val="20"/>
                <w:szCs w:val="20"/>
              </w:rPr>
            </w:pPr>
          </w:p>
        </w:tc>
        <w:tc>
          <w:tcPr>
            <w:tcW w:w="7745" w:type="dxa"/>
            <w:gridSpan w:val="6"/>
          </w:tcPr>
          <w:p w14:paraId="1B9224FD" w14:textId="77777777" w:rsidR="00482BFD" w:rsidRPr="00653865" w:rsidRDefault="00482BFD">
            <w:pPr>
              <w:rPr>
                <w:rFonts w:ascii="Arial Narrow" w:hAnsi="Arial Narrow"/>
                <w:strike/>
                <w:sz w:val="20"/>
                <w:szCs w:val="20"/>
              </w:rPr>
            </w:pPr>
            <w:r w:rsidRPr="00653865">
              <w:rPr>
                <w:rFonts w:ascii="Arial Narrow" w:hAnsi="Arial Narrow"/>
                <w:strike/>
                <w:sz w:val="20"/>
                <w:szCs w:val="20"/>
              </w:rPr>
              <w:t>Patient must have achieved an adequate response prior to this first continuing treatment authority application; or</w:t>
            </w:r>
          </w:p>
          <w:p w14:paraId="50A1BD86" w14:textId="77777777" w:rsidR="00482BFD" w:rsidRPr="00653865" w:rsidRDefault="00482BFD">
            <w:pPr>
              <w:rPr>
                <w:rFonts w:ascii="Arial Narrow" w:hAnsi="Arial Narrow"/>
                <w:i/>
                <w:iCs/>
                <w:color w:val="333333"/>
                <w:sz w:val="20"/>
                <w:szCs w:val="20"/>
              </w:rPr>
            </w:pPr>
            <w:r w:rsidRPr="00653865">
              <w:rPr>
                <w:rFonts w:ascii="Arial Narrow" w:hAnsi="Arial Narrow"/>
                <w:i/>
                <w:iCs/>
                <w:color w:val="333333"/>
                <w:sz w:val="20"/>
                <w:szCs w:val="20"/>
              </w:rPr>
              <w:t>Patient must have achieved an adequate response within the first 16 weeks of treatment; or</w:t>
            </w:r>
          </w:p>
        </w:tc>
      </w:tr>
      <w:tr w:rsidR="00482BFD" w:rsidRPr="00446E53" w14:paraId="5A5D3F4C" w14:textId="77777777">
        <w:tblPrEx>
          <w:tblCellMar>
            <w:top w:w="15" w:type="dxa"/>
            <w:bottom w:w="15" w:type="dxa"/>
          </w:tblCellMar>
          <w:tblLook w:val="04A0" w:firstRow="1" w:lastRow="0" w:firstColumn="1" w:lastColumn="0" w:noHBand="0" w:noVBand="1"/>
        </w:tblPrEx>
        <w:trPr>
          <w:cantSplit/>
          <w:trHeight w:val="20"/>
        </w:trPr>
        <w:tc>
          <w:tcPr>
            <w:tcW w:w="1271" w:type="dxa"/>
          </w:tcPr>
          <w:p w14:paraId="152AECE5" w14:textId="20109E14" w:rsidR="00482BFD" w:rsidRDefault="00482BFD">
            <w:pPr>
              <w:jc w:val="center"/>
              <w:rPr>
                <w:rFonts w:ascii="Arial Narrow" w:hAnsi="Arial Narrow"/>
                <w:color w:val="333333"/>
                <w:sz w:val="20"/>
                <w:szCs w:val="20"/>
              </w:rPr>
            </w:pPr>
          </w:p>
        </w:tc>
        <w:tc>
          <w:tcPr>
            <w:tcW w:w="7745" w:type="dxa"/>
            <w:gridSpan w:val="6"/>
          </w:tcPr>
          <w:p w14:paraId="2ACECB62" w14:textId="77777777" w:rsidR="00482BFD" w:rsidRPr="00A80426" w:rsidRDefault="00482BFD">
            <w:pPr>
              <w:rPr>
                <w:rFonts w:ascii="Arial Narrow" w:hAnsi="Arial Narrow"/>
                <w:sz w:val="20"/>
                <w:szCs w:val="20"/>
              </w:rPr>
            </w:pPr>
            <w:r w:rsidRPr="003D10E5">
              <w:rPr>
                <w:rFonts w:ascii="Arial Narrow" w:hAnsi="Arial Narrow"/>
                <w:sz w:val="20"/>
                <w:szCs w:val="20"/>
              </w:rPr>
              <w:t>Patient must have maintained an adequate response to their most recent course of PBS-subsidised treatment with this biological medicine for this PBS indication if this is the second or subsequent Continuing treatment authority application; or</w:t>
            </w:r>
          </w:p>
        </w:tc>
      </w:tr>
      <w:tr w:rsidR="00482BFD" w:rsidRPr="00446E53" w14:paraId="695CB511" w14:textId="77777777">
        <w:tblPrEx>
          <w:tblCellMar>
            <w:top w:w="15" w:type="dxa"/>
            <w:bottom w:w="15" w:type="dxa"/>
          </w:tblCellMar>
          <w:tblLook w:val="04A0" w:firstRow="1" w:lastRow="0" w:firstColumn="1" w:lastColumn="0" w:noHBand="0" w:noVBand="1"/>
        </w:tblPrEx>
        <w:trPr>
          <w:cantSplit/>
          <w:trHeight w:val="20"/>
        </w:trPr>
        <w:tc>
          <w:tcPr>
            <w:tcW w:w="1271" w:type="dxa"/>
          </w:tcPr>
          <w:p w14:paraId="46523880" w14:textId="388D3A3C" w:rsidR="00482BFD" w:rsidRDefault="00482BFD">
            <w:pPr>
              <w:jc w:val="center"/>
              <w:rPr>
                <w:rFonts w:ascii="Arial Narrow" w:hAnsi="Arial Narrow"/>
                <w:color w:val="333333"/>
                <w:sz w:val="20"/>
                <w:szCs w:val="20"/>
              </w:rPr>
            </w:pPr>
          </w:p>
        </w:tc>
        <w:tc>
          <w:tcPr>
            <w:tcW w:w="7745" w:type="dxa"/>
            <w:gridSpan w:val="6"/>
          </w:tcPr>
          <w:p w14:paraId="5B4E63EF" w14:textId="77777777" w:rsidR="00482BFD" w:rsidRPr="00A80426" w:rsidRDefault="00482BFD">
            <w:pPr>
              <w:rPr>
                <w:rFonts w:ascii="Arial Narrow" w:hAnsi="Arial Narrow"/>
                <w:sz w:val="20"/>
                <w:szCs w:val="20"/>
              </w:rPr>
            </w:pPr>
            <w:r w:rsidRPr="003D10E5">
              <w:rPr>
                <w:rFonts w:ascii="Arial Narrow" w:hAnsi="Arial Narrow"/>
                <w:sz w:val="20"/>
                <w:szCs w:val="20"/>
              </w:rPr>
              <w:t>Patient must have temporarily ceased treatment for reasons other than lack of response (e.g. family planning, vaccination with live vaccines, adverse-effect investigation), thereby being unable to achieve/maintain an adequate response immediately prior to this authority application</w:t>
            </w:r>
          </w:p>
        </w:tc>
      </w:tr>
      <w:tr w:rsidR="00482BFD" w:rsidRPr="00446E53" w14:paraId="509C5870" w14:textId="77777777">
        <w:tblPrEx>
          <w:tblCellMar>
            <w:top w:w="15" w:type="dxa"/>
            <w:bottom w:w="15" w:type="dxa"/>
          </w:tblCellMar>
          <w:tblLook w:val="04A0" w:firstRow="1" w:lastRow="0" w:firstColumn="1" w:lastColumn="0" w:noHBand="0" w:noVBand="1"/>
        </w:tblPrEx>
        <w:trPr>
          <w:cantSplit/>
          <w:trHeight w:val="20"/>
        </w:trPr>
        <w:tc>
          <w:tcPr>
            <w:tcW w:w="1271" w:type="dxa"/>
          </w:tcPr>
          <w:p w14:paraId="249B46F0" w14:textId="77777777" w:rsidR="00482BFD" w:rsidRDefault="00482BFD">
            <w:pPr>
              <w:jc w:val="center"/>
              <w:rPr>
                <w:rFonts w:ascii="Arial Narrow" w:hAnsi="Arial Narrow"/>
                <w:color w:val="333333"/>
                <w:sz w:val="20"/>
                <w:szCs w:val="20"/>
              </w:rPr>
            </w:pPr>
          </w:p>
        </w:tc>
        <w:tc>
          <w:tcPr>
            <w:tcW w:w="7745" w:type="dxa"/>
            <w:gridSpan w:val="6"/>
            <w:vAlign w:val="center"/>
          </w:tcPr>
          <w:p w14:paraId="73FD1F08" w14:textId="77777777" w:rsidR="00482BFD" w:rsidRPr="000A7AD1" w:rsidRDefault="00482BFD">
            <w:pPr>
              <w:rPr>
                <w:rFonts w:ascii="Arial Narrow" w:hAnsi="Arial Narrow"/>
                <w:sz w:val="20"/>
                <w:szCs w:val="20"/>
              </w:rPr>
            </w:pPr>
            <w:r w:rsidRPr="00446E53">
              <w:rPr>
                <w:rFonts w:ascii="Arial Narrow" w:hAnsi="Arial Narrow" w:cs="Arial Narrow"/>
                <w:b/>
                <w:bCs/>
                <w:iCs/>
                <w:sz w:val="20"/>
                <w:szCs w:val="20"/>
              </w:rPr>
              <w:t>AND</w:t>
            </w:r>
          </w:p>
        </w:tc>
      </w:tr>
      <w:tr w:rsidR="00482BFD" w:rsidRPr="00446E53" w14:paraId="22CFC3BF" w14:textId="77777777">
        <w:tblPrEx>
          <w:tblCellMar>
            <w:top w:w="15" w:type="dxa"/>
            <w:bottom w:w="15" w:type="dxa"/>
          </w:tblCellMar>
          <w:tblLook w:val="04A0" w:firstRow="1" w:lastRow="0" w:firstColumn="1" w:lastColumn="0" w:noHBand="0" w:noVBand="1"/>
        </w:tblPrEx>
        <w:trPr>
          <w:cantSplit/>
          <w:trHeight w:val="20"/>
        </w:trPr>
        <w:tc>
          <w:tcPr>
            <w:tcW w:w="1271" w:type="dxa"/>
          </w:tcPr>
          <w:p w14:paraId="18F99522" w14:textId="1CFFE8E4" w:rsidR="00482BFD" w:rsidRDefault="00482BFD">
            <w:pPr>
              <w:jc w:val="center"/>
              <w:rPr>
                <w:rFonts w:ascii="Arial Narrow" w:hAnsi="Arial Narrow"/>
                <w:color w:val="333333"/>
                <w:sz w:val="20"/>
                <w:szCs w:val="20"/>
              </w:rPr>
            </w:pPr>
          </w:p>
        </w:tc>
        <w:tc>
          <w:tcPr>
            <w:tcW w:w="7745" w:type="dxa"/>
            <w:gridSpan w:val="6"/>
            <w:vAlign w:val="center"/>
          </w:tcPr>
          <w:p w14:paraId="39DB0807" w14:textId="77777777" w:rsidR="00482BFD" w:rsidRPr="000A7AD1" w:rsidRDefault="00482BFD">
            <w:pPr>
              <w:rPr>
                <w:rFonts w:ascii="Arial Narrow" w:hAnsi="Arial Narrow"/>
                <w:sz w:val="20"/>
                <w:szCs w:val="20"/>
              </w:rPr>
            </w:pPr>
            <w:r>
              <w:rPr>
                <w:rFonts w:ascii="Arial Narrow" w:hAnsi="Arial Narrow"/>
                <w:b/>
                <w:bCs/>
                <w:color w:val="333333"/>
                <w:sz w:val="20"/>
                <w:szCs w:val="20"/>
              </w:rPr>
              <w:t xml:space="preserve">Clinical </w:t>
            </w:r>
            <w:r w:rsidRPr="00446E53">
              <w:rPr>
                <w:rFonts w:ascii="Arial Narrow" w:hAnsi="Arial Narrow"/>
                <w:b/>
                <w:bCs/>
                <w:color w:val="333333"/>
                <w:sz w:val="20"/>
                <w:szCs w:val="20"/>
              </w:rPr>
              <w:t>criteria:</w:t>
            </w:r>
          </w:p>
        </w:tc>
      </w:tr>
      <w:tr w:rsidR="00482BFD" w:rsidRPr="00446E53" w14:paraId="3BEA56B9" w14:textId="77777777">
        <w:tblPrEx>
          <w:tblCellMar>
            <w:top w:w="15" w:type="dxa"/>
            <w:bottom w:w="15" w:type="dxa"/>
          </w:tblCellMar>
          <w:tblLook w:val="04A0" w:firstRow="1" w:lastRow="0" w:firstColumn="1" w:lastColumn="0" w:noHBand="0" w:noVBand="1"/>
        </w:tblPrEx>
        <w:trPr>
          <w:cantSplit/>
          <w:trHeight w:val="20"/>
        </w:trPr>
        <w:tc>
          <w:tcPr>
            <w:tcW w:w="1271" w:type="dxa"/>
          </w:tcPr>
          <w:p w14:paraId="179529A4" w14:textId="2096252F" w:rsidR="00482BFD" w:rsidRDefault="00482BFD">
            <w:pPr>
              <w:jc w:val="center"/>
              <w:rPr>
                <w:rFonts w:ascii="Arial Narrow" w:hAnsi="Arial Narrow"/>
                <w:color w:val="333333"/>
                <w:sz w:val="20"/>
                <w:szCs w:val="20"/>
              </w:rPr>
            </w:pPr>
          </w:p>
        </w:tc>
        <w:tc>
          <w:tcPr>
            <w:tcW w:w="7745" w:type="dxa"/>
            <w:gridSpan w:val="6"/>
          </w:tcPr>
          <w:p w14:paraId="506B3558" w14:textId="77777777" w:rsidR="00482BFD" w:rsidRPr="000A7AD1" w:rsidRDefault="00482BFD">
            <w:pPr>
              <w:rPr>
                <w:rFonts w:ascii="Arial Narrow" w:hAnsi="Arial Narrow"/>
                <w:sz w:val="20"/>
                <w:szCs w:val="20"/>
              </w:rPr>
            </w:pPr>
            <w:r w:rsidRPr="00C14CB9">
              <w:rPr>
                <w:rFonts w:ascii="Arial Narrow" w:eastAsia="Calibri" w:hAnsi="Arial Narrow"/>
                <w:sz w:val="20"/>
                <w:szCs w:val="20"/>
              </w:rPr>
              <w:t>The treatment must be the sole PBS-subsidised biological medicine for this PBS indication</w:t>
            </w:r>
          </w:p>
        </w:tc>
      </w:tr>
      <w:tr w:rsidR="00482BFD" w:rsidRPr="00446E53" w14:paraId="753539E1" w14:textId="77777777">
        <w:tblPrEx>
          <w:tblCellMar>
            <w:top w:w="15" w:type="dxa"/>
            <w:bottom w:w="15" w:type="dxa"/>
          </w:tblCellMar>
          <w:tblLook w:val="04A0" w:firstRow="1" w:lastRow="0" w:firstColumn="1" w:lastColumn="0" w:noHBand="0" w:noVBand="1"/>
        </w:tblPrEx>
        <w:trPr>
          <w:cantSplit/>
          <w:trHeight w:val="20"/>
        </w:trPr>
        <w:tc>
          <w:tcPr>
            <w:tcW w:w="1271" w:type="dxa"/>
          </w:tcPr>
          <w:p w14:paraId="280DC44F" w14:textId="77777777" w:rsidR="00482BFD" w:rsidRPr="00E60D92" w:rsidRDefault="00482BFD">
            <w:pPr>
              <w:jc w:val="center"/>
              <w:rPr>
                <w:rFonts w:ascii="Arial Narrow" w:hAnsi="Arial Narrow"/>
                <w:sz w:val="20"/>
                <w:szCs w:val="20"/>
              </w:rPr>
            </w:pPr>
          </w:p>
        </w:tc>
        <w:tc>
          <w:tcPr>
            <w:tcW w:w="7745" w:type="dxa"/>
            <w:gridSpan w:val="6"/>
          </w:tcPr>
          <w:p w14:paraId="3330E105" w14:textId="77777777" w:rsidR="00482BFD" w:rsidRPr="00C14CB9" w:rsidRDefault="00482BFD">
            <w:pPr>
              <w:rPr>
                <w:rFonts w:ascii="Arial Narrow" w:eastAsia="Calibri" w:hAnsi="Arial Narrow"/>
                <w:sz w:val="20"/>
                <w:szCs w:val="20"/>
              </w:rPr>
            </w:pPr>
            <w:r w:rsidRPr="005A3A65">
              <w:rPr>
                <w:rFonts w:ascii="Arial Narrow" w:hAnsi="Arial Narrow" w:cs="Arial Narrow"/>
                <w:b/>
                <w:bCs/>
                <w:iCs/>
                <w:strike/>
                <w:sz w:val="20"/>
                <w:szCs w:val="20"/>
              </w:rPr>
              <w:t>AND</w:t>
            </w:r>
          </w:p>
        </w:tc>
      </w:tr>
      <w:tr w:rsidR="00482BFD" w:rsidRPr="00446E53" w14:paraId="25F09EC3" w14:textId="77777777">
        <w:tblPrEx>
          <w:tblCellMar>
            <w:top w:w="15" w:type="dxa"/>
            <w:bottom w:w="15" w:type="dxa"/>
          </w:tblCellMar>
          <w:tblLook w:val="04A0" w:firstRow="1" w:lastRow="0" w:firstColumn="1" w:lastColumn="0" w:noHBand="0" w:noVBand="1"/>
        </w:tblPrEx>
        <w:trPr>
          <w:cantSplit/>
          <w:trHeight w:val="20"/>
        </w:trPr>
        <w:tc>
          <w:tcPr>
            <w:tcW w:w="1271" w:type="dxa"/>
          </w:tcPr>
          <w:p w14:paraId="15FA6E5E" w14:textId="3B1D31F3" w:rsidR="00482BFD" w:rsidRPr="00446E53" w:rsidRDefault="00482BFD">
            <w:pPr>
              <w:jc w:val="center"/>
              <w:rPr>
                <w:rFonts w:ascii="Arial Narrow" w:hAnsi="Arial Narrow"/>
                <w:color w:val="333333"/>
                <w:sz w:val="20"/>
                <w:szCs w:val="20"/>
              </w:rPr>
            </w:pPr>
          </w:p>
        </w:tc>
        <w:tc>
          <w:tcPr>
            <w:tcW w:w="7745" w:type="dxa"/>
            <w:gridSpan w:val="6"/>
          </w:tcPr>
          <w:p w14:paraId="4368C8EA" w14:textId="77777777" w:rsidR="00482BFD" w:rsidRPr="00446E53" w:rsidRDefault="00482BFD">
            <w:pPr>
              <w:rPr>
                <w:rFonts w:ascii="Arial Narrow" w:hAnsi="Arial Narrow"/>
                <w:b/>
                <w:bCs/>
                <w:color w:val="333333"/>
                <w:sz w:val="20"/>
                <w:szCs w:val="20"/>
              </w:rPr>
            </w:pPr>
            <w:r>
              <w:rPr>
                <w:rFonts w:ascii="Arial Narrow" w:eastAsia="Calibri" w:hAnsi="Arial Narrow"/>
                <w:b/>
                <w:bCs/>
                <w:sz w:val="20"/>
                <w:szCs w:val="20"/>
              </w:rPr>
              <w:t xml:space="preserve">Treatment criteria: </w:t>
            </w:r>
          </w:p>
        </w:tc>
      </w:tr>
      <w:tr w:rsidR="00482BFD" w:rsidRPr="00446E53" w14:paraId="47DA7214" w14:textId="77777777">
        <w:tblPrEx>
          <w:tblCellMar>
            <w:top w:w="15" w:type="dxa"/>
            <w:bottom w:w="15" w:type="dxa"/>
          </w:tblCellMar>
          <w:tblLook w:val="04A0" w:firstRow="1" w:lastRow="0" w:firstColumn="1" w:lastColumn="0" w:noHBand="0" w:noVBand="1"/>
        </w:tblPrEx>
        <w:trPr>
          <w:cantSplit/>
          <w:trHeight w:val="20"/>
        </w:trPr>
        <w:tc>
          <w:tcPr>
            <w:tcW w:w="1271" w:type="dxa"/>
          </w:tcPr>
          <w:p w14:paraId="1B076BF2" w14:textId="6A1201C1" w:rsidR="00482BFD" w:rsidRPr="00446E53" w:rsidRDefault="00482BFD">
            <w:pPr>
              <w:jc w:val="center"/>
              <w:rPr>
                <w:rFonts w:ascii="Arial Narrow" w:hAnsi="Arial Narrow"/>
                <w:color w:val="333333"/>
                <w:sz w:val="20"/>
                <w:szCs w:val="20"/>
              </w:rPr>
            </w:pPr>
          </w:p>
        </w:tc>
        <w:tc>
          <w:tcPr>
            <w:tcW w:w="7745" w:type="dxa"/>
            <w:gridSpan w:val="6"/>
          </w:tcPr>
          <w:p w14:paraId="06C4D2DF" w14:textId="77777777" w:rsidR="00482BFD" w:rsidRPr="00446E53" w:rsidRDefault="00482BFD">
            <w:pPr>
              <w:rPr>
                <w:rFonts w:ascii="Arial Narrow" w:hAnsi="Arial Narrow"/>
                <w:b/>
                <w:bCs/>
                <w:color w:val="333333"/>
                <w:sz w:val="20"/>
                <w:szCs w:val="20"/>
              </w:rPr>
            </w:pPr>
            <w:r w:rsidRPr="00176579">
              <w:rPr>
                <w:rFonts w:ascii="Arial Narrow" w:eastAsia="Calibri" w:hAnsi="Arial Narrow"/>
                <w:sz w:val="20"/>
                <w:szCs w:val="20"/>
              </w:rPr>
              <w:t>Must be treated by a dermatologist; or</w:t>
            </w:r>
          </w:p>
        </w:tc>
      </w:tr>
      <w:tr w:rsidR="00482BFD" w:rsidRPr="00446E53" w14:paraId="00420800" w14:textId="77777777">
        <w:tblPrEx>
          <w:tblCellMar>
            <w:top w:w="15" w:type="dxa"/>
            <w:bottom w:w="15" w:type="dxa"/>
          </w:tblCellMar>
          <w:tblLook w:val="04A0" w:firstRow="1" w:lastRow="0" w:firstColumn="1" w:lastColumn="0" w:noHBand="0" w:noVBand="1"/>
        </w:tblPrEx>
        <w:trPr>
          <w:cantSplit/>
          <w:trHeight w:val="20"/>
        </w:trPr>
        <w:tc>
          <w:tcPr>
            <w:tcW w:w="1271" w:type="dxa"/>
          </w:tcPr>
          <w:p w14:paraId="22574488" w14:textId="4FDA3815" w:rsidR="00482BFD" w:rsidRPr="00446E53" w:rsidRDefault="00482BFD">
            <w:pPr>
              <w:jc w:val="center"/>
              <w:rPr>
                <w:rFonts w:ascii="Arial Narrow" w:hAnsi="Arial Narrow"/>
                <w:color w:val="FF0000"/>
                <w:sz w:val="20"/>
                <w:szCs w:val="20"/>
              </w:rPr>
            </w:pPr>
          </w:p>
        </w:tc>
        <w:tc>
          <w:tcPr>
            <w:tcW w:w="7745" w:type="dxa"/>
            <w:gridSpan w:val="6"/>
          </w:tcPr>
          <w:p w14:paraId="08ECD207" w14:textId="77777777" w:rsidR="00482BFD" w:rsidRPr="00446E53" w:rsidRDefault="00482BFD">
            <w:pPr>
              <w:rPr>
                <w:rFonts w:ascii="Arial Narrow" w:hAnsi="Arial Narrow" w:cs="Arial Narrow"/>
                <w:iCs/>
                <w:color w:val="FF0000"/>
                <w:sz w:val="20"/>
                <w:szCs w:val="20"/>
              </w:rPr>
            </w:pPr>
            <w:r w:rsidRPr="00176579">
              <w:rPr>
                <w:rFonts w:ascii="Arial Narrow" w:eastAsia="Calibri" w:hAnsi="Arial Narrow"/>
                <w:sz w:val="20"/>
                <w:szCs w:val="20"/>
              </w:rPr>
              <w:t>Must be treated by a clinical immunologist</w:t>
            </w:r>
          </w:p>
        </w:tc>
      </w:tr>
      <w:tr w:rsidR="00482BFD" w:rsidRPr="00446E53" w14:paraId="634727A5" w14:textId="77777777">
        <w:tblPrEx>
          <w:tblCellMar>
            <w:top w:w="15" w:type="dxa"/>
            <w:bottom w:w="15" w:type="dxa"/>
          </w:tblCellMar>
          <w:tblLook w:val="04A0" w:firstRow="1" w:lastRow="0" w:firstColumn="1" w:lastColumn="0" w:noHBand="0" w:noVBand="1"/>
        </w:tblPrEx>
        <w:trPr>
          <w:cantSplit/>
          <w:trHeight w:val="20"/>
        </w:trPr>
        <w:tc>
          <w:tcPr>
            <w:tcW w:w="1271" w:type="dxa"/>
          </w:tcPr>
          <w:p w14:paraId="003996FC" w14:textId="01A657D9" w:rsidR="00482BFD" w:rsidRPr="00744208" w:rsidRDefault="00482BFD">
            <w:pPr>
              <w:jc w:val="center"/>
              <w:rPr>
                <w:rFonts w:ascii="Arial Narrow" w:hAnsi="Arial Narrow"/>
                <w:color w:val="FF0000"/>
                <w:sz w:val="20"/>
                <w:szCs w:val="20"/>
                <w:highlight w:val="yellow"/>
              </w:rPr>
            </w:pPr>
          </w:p>
        </w:tc>
        <w:tc>
          <w:tcPr>
            <w:tcW w:w="7745" w:type="dxa"/>
            <w:gridSpan w:val="6"/>
            <w:vAlign w:val="center"/>
          </w:tcPr>
          <w:p w14:paraId="3C61F0C1" w14:textId="77777777" w:rsidR="00482BFD" w:rsidRPr="002D6D18" w:rsidRDefault="00482BFD">
            <w:pPr>
              <w:rPr>
                <w:rFonts w:ascii="Arial Narrow" w:eastAsia="Calibri" w:hAnsi="Arial Narrow"/>
                <w:sz w:val="20"/>
                <w:szCs w:val="20"/>
              </w:rPr>
            </w:pPr>
            <w:r w:rsidRPr="002D6D18">
              <w:rPr>
                <w:rFonts w:ascii="Arial Narrow" w:hAnsi="Arial Narrow"/>
                <w:b/>
                <w:bCs/>
                <w:color w:val="333333"/>
                <w:sz w:val="20"/>
                <w:szCs w:val="20"/>
              </w:rPr>
              <w:t>Prescribing Instructions:</w:t>
            </w:r>
          </w:p>
          <w:p w14:paraId="145DEE9A" w14:textId="77777777" w:rsidR="00482BFD" w:rsidRPr="002D6D18" w:rsidRDefault="00482BFD">
            <w:pPr>
              <w:rPr>
                <w:rFonts w:ascii="Arial Narrow" w:eastAsia="Calibri" w:hAnsi="Arial Narrow"/>
                <w:sz w:val="20"/>
                <w:szCs w:val="20"/>
              </w:rPr>
            </w:pPr>
            <w:r w:rsidRPr="002D6D18">
              <w:rPr>
                <w:rFonts w:ascii="Arial Narrow" w:eastAsia="Calibri" w:hAnsi="Arial Narrow"/>
                <w:sz w:val="20"/>
                <w:szCs w:val="20"/>
              </w:rPr>
              <w:t>For the purposes of this restriction, an adequate response to treatment of the face/hands is defined as:</w:t>
            </w:r>
          </w:p>
          <w:p w14:paraId="72973746" w14:textId="77777777" w:rsidR="00482BFD" w:rsidRPr="002D6D18" w:rsidRDefault="00482BFD">
            <w:pPr>
              <w:rPr>
                <w:rFonts w:ascii="Arial Narrow" w:eastAsia="Calibri" w:hAnsi="Arial Narrow"/>
                <w:sz w:val="20"/>
                <w:szCs w:val="20"/>
              </w:rPr>
            </w:pPr>
            <w:r w:rsidRPr="002D6D18">
              <w:rPr>
                <w:rFonts w:ascii="Arial Narrow" w:eastAsia="Calibri" w:hAnsi="Arial Narrow"/>
                <w:sz w:val="20"/>
                <w:szCs w:val="20"/>
              </w:rPr>
              <w:t xml:space="preserve">(a) (i) A rating of either mild (1) to none (0) on at least 3 of the assessments of erythema, oedema/papulation, excoriation and </w:t>
            </w:r>
            <w:proofErr w:type="spellStart"/>
            <w:r w:rsidRPr="002D6D18">
              <w:rPr>
                <w:rFonts w:ascii="Arial Narrow" w:eastAsia="Calibri" w:hAnsi="Arial Narrow"/>
                <w:sz w:val="20"/>
                <w:szCs w:val="20"/>
              </w:rPr>
              <w:t>lichenification</w:t>
            </w:r>
            <w:proofErr w:type="spellEnd"/>
            <w:r w:rsidRPr="002D6D18">
              <w:rPr>
                <w:rFonts w:ascii="Arial Narrow" w:eastAsia="Calibri" w:hAnsi="Arial Narrow"/>
                <w:sz w:val="20"/>
                <w:szCs w:val="20"/>
              </w:rPr>
              <w:t xml:space="preserve"> mentioned in the Eczema Area and Severity Index (EASI); or</w:t>
            </w:r>
          </w:p>
          <w:p w14:paraId="2E307483" w14:textId="77777777" w:rsidR="00482BFD" w:rsidRPr="002D6D18" w:rsidRDefault="00482BFD">
            <w:pPr>
              <w:rPr>
                <w:rFonts w:ascii="Arial Narrow" w:eastAsia="Calibri" w:hAnsi="Arial Narrow"/>
                <w:sz w:val="20"/>
                <w:szCs w:val="20"/>
              </w:rPr>
            </w:pPr>
            <w:r w:rsidRPr="002D6D18">
              <w:rPr>
                <w:rFonts w:ascii="Arial Narrow" w:eastAsia="Calibri" w:hAnsi="Arial Narrow"/>
                <w:sz w:val="20"/>
                <w:szCs w:val="20"/>
              </w:rPr>
              <w:t>(ii) At least a 75% reduction in the skin area affected by this condition compared to baseline; and</w:t>
            </w:r>
          </w:p>
          <w:p w14:paraId="13F297A4" w14:textId="77777777" w:rsidR="00482BFD" w:rsidRDefault="00482BFD">
            <w:pPr>
              <w:rPr>
                <w:rFonts w:ascii="Arial Narrow" w:eastAsia="Calibri" w:hAnsi="Arial Narrow"/>
                <w:sz w:val="20"/>
                <w:szCs w:val="20"/>
              </w:rPr>
            </w:pPr>
            <w:r w:rsidRPr="002D6D18">
              <w:rPr>
                <w:rFonts w:ascii="Arial Narrow" w:eastAsia="Calibri" w:hAnsi="Arial Narrow"/>
                <w:sz w:val="20"/>
                <w:szCs w:val="20"/>
              </w:rPr>
              <w:t xml:space="preserve">(b) An improvement in Dermatology Life Quality Index (DLQI) score </w:t>
            </w:r>
            <w:r w:rsidRPr="00F01E4A">
              <w:rPr>
                <w:rFonts w:ascii="Arial Narrow" w:eastAsia="Calibri" w:hAnsi="Arial Narrow"/>
                <w:sz w:val="20"/>
                <w:szCs w:val="20"/>
              </w:rPr>
              <w:t>of</w:t>
            </w:r>
            <w:r>
              <w:rPr>
                <w:rFonts w:ascii="Arial Narrow" w:eastAsia="Calibri" w:hAnsi="Arial Narrow"/>
                <w:sz w:val="20"/>
                <w:szCs w:val="20"/>
              </w:rPr>
              <w:t xml:space="preserve"> </w:t>
            </w:r>
            <w:r w:rsidRPr="002D6D18">
              <w:rPr>
                <w:rFonts w:ascii="Arial Narrow" w:eastAsia="Calibri" w:hAnsi="Arial Narrow"/>
                <w:sz w:val="20"/>
                <w:szCs w:val="20"/>
              </w:rPr>
              <w:t>at least 4 points compared to baseline</w:t>
            </w:r>
            <w:r>
              <w:rPr>
                <w:rFonts w:ascii="Arial Narrow" w:eastAsia="Calibri" w:hAnsi="Arial Narrow"/>
                <w:sz w:val="20"/>
                <w:szCs w:val="20"/>
              </w:rPr>
              <w:t>.</w:t>
            </w:r>
          </w:p>
          <w:p w14:paraId="5CB01E15" w14:textId="77777777" w:rsidR="00482BFD" w:rsidRDefault="00482BFD">
            <w:pPr>
              <w:rPr>
                <w:rFonts w:ascii="Arial Narrow" w:hAnsi="Arial Narrow" w:cs="Arial Narrow"/>
                <w:i/>
                <w:color w:val="FF0000"/>
                <w:sz w:val="20"/>
                <w:szCs w:val="20"/>
              </w:rPr>
            </w:pPr>
          </w:p>
          <w:p w14:paraId="6B7EEB9C" w14:textId="77777777" w:rsidR="00482BFD" w:rsidRDefault="00482BFD">
            <w:pPr>
              <w:rPr>
                <w:rFonts w:ascii="Arial Narrow" w:hAnsi="Arial Narrow" w:cs="Arial Narrow"/>
                <w:i/>
                <w:sz w:val="20"/>
                <w:szCs w:val="20"/>
              </w:rPr>
            </w:pPr>
            <w:r w:rsidRPr="00F01E4A">
              <w:rPr>
                <w:rFonts w:ascii="Arial Narrow" w:hAnsi="Arial Narrow" w:cs="Arial Narrow"/>
                <w:i/>
                <w:sz w:val="20"/>
                <w:szCs w:val="20"/>
              </w:rPr>
              <w:t>Where an initial baseline (post-topical corticosteroid, pre-biological medicine) DLQI score was not measured for a patient who had commenced treatment through a clinical trial, early access program or through private, non-PBS-subsidised supply, an absence of worsening in the current DLQI score compared to that measured at the time of the 'Grandfather listing' authority application will suffice as an adequate response for requirement (b) above.</w:t>
            </w:r>
          </w:p>
          <w:p w14:paraId="7F21B3A8" w14:textId="77777777" w:rsidR="00482BFD" w:rsidRPr="00F01E4A" w:rsidRDefault="00482BFD">
            <w:pPr>
              <w:rPr>
                <w:rFonts w:ascii="Arial Narrow" w:hAnsi="Arial Narrow" w:cs="Arial Narrow"/>
                <w:i/>
                <w:sz w:val="20"/>
                <w:szCs w:val="20"/>
              </w:rPr>
            </w:pPr>
          </w:p>
          <w:p w14:paraId="4AF63B20" w14:textId="77777777" w:rsidR="00482BFD" w:rsidRPr="00744208" w:rsidRDefault="00482BFD">
            <w:pPr>
              <w:rPr>
                <w:rFonts w:ascii="Arial Narrow" w:hAnsi="Arial Narrow" w:cs="Arial Narrow"/>
                <w:iCs/>
                <w:color w:val="FF0000"/>
                <w:sz w:val="20"/>
                <w:szCs w:val="20"/>
                <w:highlight w:val="yellow"/>
              </w:rPr>
            </w:pPr>
            <w:r w:rsidRPr="00F01E4A">
              <w:rPr>
                <w:rFonts w:ascii="Arial Narrow" w:hAnsi="Arial Narrow" w:cs="Arial Narrow"/>
                <w:sz w:val="20"/>
                <w:szCs w:val="20"/>
              </w:rPr>
              <w:t xml:space="preserve">State the current EASI ratings or the percentage of face/hand surface area affected by the condition. Also state the </w:t>
            </w:r>
            <w:r w:rsidRPr="00F01E4A">
              <w:rPr>
                <w:rFonts w:ascii="Arial Narrow" w:hAnsi="Arial Narrow" w:cs="Arial Narrow"/>
                <w:i/>
                <w:sz w:val="20"/>
                <w:szCs w:val="20"/>
              </w:rPr>
              <w:t xml:space="preserve">current </w:t>
            </w:r>
            <w:r w:rsidRPr="00F01E4A">
              <w:rPr>
                <w:rFonts w:ascii="Arial Narrow" w:hAnsi="Arial Narrow" w:cs="Arial Narrow"/>
                <w:sz w:val="20"/>
                <w:szCs w:val="20"/>
              </w:rPr>
              <w:t>DLQI score for this authority application.</w:t>
            </w:r>
          </w:p>
        </w:tc>
      </w:tr>
    </w:tbl>
    <w:p w14:paraId="46EF28A2" w14:textId="19C39D01" w:rsidR="00753B29" w:rsidRDefault="00753B29" w:rsidP="004C5E90"/>
    <w:p w14:paraId="25C42BF5" w14:textId="77777777" w:rsidR="00DF6582" w:rsidRPr="00DF6582" w:rsidRDefault="00DF6582" w:rsidP="00DF6582">
      <w:pPr>
        <w:spacing w:before="120"/>
        <w:rPr>
          <w:b/>
          <w:i/>
          <w:iCs/>
          <w:snapToGrid w:val="0"/>
        </w:rPr>
      </w:pPr>
      <w:r w:rsidRPr="00DF6582">
        <w:rPr>
          <w:b/>
          <w:i/>
          <w:iCs/>
          <w:snapToGrid w:val="0"/>
        </w:rPr>
        <w:t>These restrictions may be subject to further review. Should there be any changes made to the restriction the sponsor will be informed.</w:t>
      </w:r>
    </w:p>
    <w:p w14:paraId="71D71F0E" w14:textId="77777777" w:rsidR="00DF6582" w:rsidRPr="00DF6582" w:rsidRDefault="00DF6582" w:rsidP="00DF6582">
      <w:pPr>
        <w:keepNext/>
        <w:numPr>
          <w:ilvl w:val="0"/>
          <w:numId w:val="1"/>
        </w:numPr>
        <w:spacing w:before="240" w:after="120"/>
        <w:jc w:val="left"/>
        <w:outlineLvl w:val="0"/>
        <w:rPr>
          <w:b/>
          <w:snapToGrid w:val="0"/>
          <w:sz w:val="32"/>
          <w:szCs w:val="32"/>
        </w:rPr>
      </w:pPr>
      <w:r w:rsidRPr="00DF6582">
        <w:rPr>
          <w:b/>
          <w:snapToGrid w:val="0"/>
          <w:sz w:val="32"/>
          <w:szCs w:val="32"/>
        </w:rPr>
        <w:t>Context for Decision</w:t>
      </w:r>
    </w:p>
    <w:p w14:paraId="64CF601C" w14:textId="77777777" w:rsidR="00DF6582" w:rsidRPr="00DF6582" w:rsidRDefault="00DF6582" w:rsidP="00DF6582">
      <w:pPr>
        <w:spacing w:after="120"/>
        <w:ind w:left="720"/>
        <w:rPr>
          <w:bCs/>
          <w:lang w:val="en-GB"/>
        </w:rPr>
      </w:pPr>
      <w:r w:rsidRPr="00DF6582">
        <w:rPr>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02A6EE1D" w14:textId="77777777" w:rsidR="00DF6582" w:rsidRPr="00DF6582" w:rsidRDefault="00DF6582" w:rsidP="00DF6582">
      <w:pPr>
        <w:keepNext/>
        <w:numPr>
          <w:ilvl w:val="0"/>
          <w:numId w:val="1"/>
        </w:numPr>
        <w:spacing w:before="240" w:after="120"/>
        <w:jc w:val="left"/>
        <w:outlineLvl w:val="0"/>
        <w:rPr>
          <w:b/>
          <w:snapToGrid w:val="0"/>
          <w:sz w:val="32"/>
          <w:szCs w:val="32"/>
        </w:rPr>
      </w:pPr>
      <w:r w:rsidRPr="00DF6582">
        <w:rPr>
          <w:b/>
          <w:snapToGrid w:val="0"/>
          <w:sz w:val="32"/>
          <w:szCs w:val="32"/>
        </w:rPr>
        <w:t>Sponsor’s Comment</w:t>
      </w:r>
    </w:p>
    <w:p w14:paraId="5C12A72B" w14:textId="77777777" w:rsidR="00DF6582" w:rsidRPr="00DF6582" w:rsidRDefault="00DF6582" w:rsidP="00DF6582">
      <w:pPr>
        <w:spacing w:after="120" w:line="276" w:lineRule="auto"/>
        <w:ind w:left="720"/>
        <w:rPr>
          <w:rFonts w:eastAsia="Calibri"/>
          <w:bCs/>
          <w:szCs w:val="22"/>
          <w:lang w:eastAsia="en-US"/>
        </w:rPr>
      </w:pPr>
      <w:r w:rsidRPr="00DF6582">
        <w:rPr>
          <w:rFonts w:eastAsia="Calibri"/>
          <w:bCs/>
          <w:szCs w:val="22"/>
          <w:lang w:eastAsia="en-US"/>
        </w:rPr>
        <w:t>The sponsor had no comment.</w:t>
      </w:r>
    </w:p>
    <w:p w14:paraId="79533A28" w14:textId="34D990FE" w:rsidR="00DF6582" w:rsidRPr="00210121" w:rsidRDefault="00DF6582" w:rsidP="004C5E90"/>
    <w:sectPr w:rsidR="00DF6582" w:rsidRPr="00210121" w:rsidSect="008028E6">
      <w:headerReference w:type="even" r:id="rId17"/>
      <w:headerReference w:type="default" r:id="rId18"/>
      <w:footerReference w:type="even" r:id="rId19"/>
      <w:footerReference w:type="default" r:id="rId20"/>
      <w:headerReference w:type="first" r:id="rId21"/>
      <w:footerReference w:type="first" r:id="rId22"/>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1575F" w14:textId="77777777" w:rsidR="00903690" w:rsidRDefault="00903690" w:rsidP="00124A51">
      <w:r>
        <w:separator/>
      </w:r>
    </w:p>
    <w:p w14:paraId="7F01C820" w14:textId="77777777" w:rsidR="00903690" w:rsidRDefault="00903690"/>
  </w:endnote>
  <w:endnote w:type="continuationSeparator" w:id="0">
    <w:p w14:paraId="55DBFD73" w14:textId="77777777" w:rsidR="00903690" w:rsidRDefault="00903690" w:rsidP="00124A51">
      <w:r>
        <w:continuationSeparator/>
      </w:r>
    </w:p>
    <w:p w14:paraId="7396FFBD" w14:textId="77777777" w:rsidR="00903690" w:rsidRDefault="00903690"/>
  </w:endnote>
  <w:endnote w:type="continuationNotice" w:id="1">
    <w:p w14:paraId="18D1C997" w14:textId="77777777" w:rsidR="00903690" w:rsidRDefault="009036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abon">
    <w:altName w:val="Cambria"/>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Bold">
    <w:altName w:val="Arial"/>
    <w:panose1 w:val="020B0704020202020204"/>
    <w:charset w:val="00"/>
    <w:family w:val="roman"/>
    <w:pitch w:val="default"/>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D5DB1" w14:textId="77777777" w:rsidR="00590FB9" w:rsidRDefault="00590F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8455851"/>
      <w:docPartObj>
        <w:docPartGallery w:val="Page Numbers (Bottom of Page)"/>
        <w:docPartUnique/>
      </w:docPartObj>
    </w:sdtPr>
    <w:sdtEndPr>
      <w:rPr>
        <w:noProof/>
      </w:rPr>
    </w:sdtEndPr>
    <w:sdtContent>
      <w:p w14:paraId="4F0E7A7F" w14:textId="77777777" w:rsidR="002A3D92" w:rsidRDefault="002A3D92">
        <w:pPr>
          <w:pStyle w:val="Footer"/>
          <w:jc w:val="center"/>
        </w:pPr>
      </w:p>
      <w:p w14:paraId="3561C8A7" w14:textId="53A02738" w:rsidR="00A4201C" w:rsidRPr="00913CB9" w:rsidRDefault="00913CB9" w:rsidP="00913CB9">
        <w:pPr>
          <w:pStyle w:val="Footer"/>
          <w:keepNext/>
          <w:ind w:left="360"/>
          <w:jc w:val="center"/>
          <w:rPr>
            <w:rFonts w:asciiTheme="minorHAnsi" w:hAnsiTheme="minorHAnsi"/>
          </w:rPr>
        </w:pPr>
        <w:r w:rsidRPr="00836F75">
          <w:rPr>
            <w:b/>
          </w:rPr>
          <w:fldChar w:fldCharType="begin"/>
        </w:r>
        <w:r w:rsidRPr="00836F75">
          <w:rPr>
            <w:b/>
          </w:rPr>
          <w:instrText xml:space="preserve"> PAGE   \* MERGEFORMAT </w:instrText>
        </w:r>
        <w:r w:rsidRPr="00836F75">
          <w:rPr>
            <w:b/>
          </w:rPr>
          <w:fldChar w:fldCharType="separate"/>
        </w:r>
        <w:r w:rsidRPr="00836F75">
          <w:rPr>
            <w:b/>
            <w:noProof/>
          </w:rPr>
          <w:t>1</w:t>
        </w:r>
        <w:r w:rsidRPr="00836F75">
          <w:rPr>
            <w:b/>
            <w:noProof/>
          </w:rPr>
          <w:fldChar w:fldCharType="end"/>
        </w:r>
        <w:r>
          <w:rPr>
            <w:b/>
            <w:noProof/>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EC264" w14:textId="77777777" w:rsidR="00590FB9" w:rsidRDefault="00590F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53A68" w14:textId="77777777" w:rsidR="00903690" w:rsidRDefault="00903690">
      <w:r>
        <w:separator/>
      </w:r>
    </w:p>
  </w:footnote>
  <w:footnote w:type="continuationSeparator" w:id="0">
    <w:p w14:paraId="2206E73A" w14:textId="77777777" w:rsidR="00903690" w:rsidRDefault="00903690" w:rsidP="00124A51">
      <w:r>
        <w:continuationSeparator/>
      </w:r>
    </w:p>
    <w:p w14:paraId="7DE15144" w14:textId="77777777" w:rsidR="00903690" w:rsidRDefault="00903690"/>
  </w:footnote>
  <w:footnote w:type="continuationNotice" w:id="1">
    <w:p w14:paraId="013DE15C" w14:textId="77777777" w:rsidR="00903690" w:rsidRDefault="00903690"/>
  </w:footnote>
  <w:footnote w:id="2">
    <w:p w14:paraId="61A4A6EB" w14:textId="77777777" w:rsidR="001447DC" w:rsidRDefault="001447DC" w:rsidP="001447DC">
      <w:pPr>
        <w:pStyle w:val="FootnoteText"/>
      </w:pPr>
      <w:r>
        <w:rPr>
          <w:rStyle w:val="FootnoteReference"/>
        </w:rPr>
        <w:footnoteRef/>
      </w:r>
      <w:r>
        <w:t xml:space="preserve"> </w:t>
      </w:r>
      <w:r w:rsidRPr="001E39FA">
        <w:t xml:space="preserve">Allergy &amp; Anaphylaxis Australia. Eczema (atopic dermatitis). URL: </w:t>
      </w:r>
      <w:hyperlink r:id="rId1" w:history="1">
        <w:r w:rsidRPr="001E39FA">
          <w:rPr>
            <w:rStyle w:val="Hyperlink"/>
          </w:rPr>
          <w:t>https://allergyfacts.org.au /__interest/eczema/</w:t>
        </w:r>
      </w:hyperlink>
    </w:p>
  </w:footnote>
  <w:footnote w:id="3">
    <w:p w14:paraId="04A472D8" w14:textId="77777777" w:rsidR="001447DC" w:rsidRDefault="001447DC" w:rsidP="001447DC">
      <w:pPr>
        <w:pStyle w:val="FootnoteText"/>
      </w:pPr>
      <w:r>
        <w:rPr>
          <w:rStyle w:val="FootnoteReference"/>
        </w:rPr>
        <w:footnoteRef/>
      </w:r>
      <w:r>
        <w:t xml:space="preserve"> </w:t>
      </w:r>
      <w:r w:rsidRPr="001E39FA">
        <w:t>Eichenfield</w:t>
      </w:r>
      <w:r>
        <w:t xml:space="preserve"> LF et al.</w:t>
      </w:r>
      <w:r w:rsidRPr="001E39FA">
        <w:t xml:space="preserve"> Guidelines of care for the management of atopic dermatitis: section 1. Diagnosis and assessment of atopic dermatitis. Journal of the American Academy of Dermatology</w:t>
      </w:r>
      <w:r>
        <w:t>.</w:t>
      </w:r>
      <w:r w:rsidRPr="001E39FA">
        <w:t xml:space="preserve"> </w:t>
      </w:r>
      <w:r>
        <w:t xml:space="preserve">2014; </w:t>
      </w:r>
      <w:r w:rsidRPr="001E39FA">
        <w:t>70(2): 338-351</w:t>
      </w:r>
      <w:r>
        <w:t>.</w:t>
      </w:r>
    </w:p>
  </w:footnote>
  <w:footnote w:id="4">
    <w:p w14:paraId="33D68A68" w14:textId="30797CD1" w:rsidR="001447DC" w:rsidRDefault="001447DC" w:rsidP="001447DC">
      <w:pPr>
        <w:pStyle w:val="FootnoteText"/>
      </w:pPr>
      <w:r>
        <w:rPr>
          <w:rStyle w:val="FootnoteReference"/>
        </w:rPr>
        <w:footnoteRef/>
      </w:r>
      <w:r>
        <w:t xml:space="preserve"> Berke R, Singh A &amp; Guralnick M. Atopic dermatitis: a</w:t>
      </w:r>
      <w:r w:rsidR="003D779B">
        <w:t>n</w:t>
      </w:r>
      <w:r>
        <w:t xml:space="preserve"> overview. American Family Physician. 2012; 86(1): 35-42.</w:t>
      </w:r>
    </w:p>
  </w:footnote>
  <w:footnote w:id="5">
    <w:p w14:paraId="48888BA0" w14:textId="77777777" w:rsidR="001447DC" w:rsidRDefault="001447DC" w:rsidP="001447DC">
      <w:pPr>
        <w:pStyle w:val="FootnoteText"/>
      </w:pPr>
      <w:r>
        <w:rPr>
          <w:rStyle w:val="FootnoteReference"/>
        </w:rPr>
        <w:footnoteRef/>
      </w:r>
      <w:r>
        <w:t xml:space="preserve"> </w:t>
      </w:r>
      <w:r w:rsidRPr="00E307DB">
        <w:t>Drucker</w:t>
      </w:r>
      <w:r>
        <w:t xml:space="preserve"> AM</w:t>
      </w:r>
      <w:r w:rsidRPr="00E307DB">
        <w:t xml:space="preserve"> et al. The Burden of Atopic Dermatitis: Summary of a Report for the National Eczema Association.</w:t>
      </w:r>
      <w:r>
        <w:t xml:space="preserve"> Journal of Investigative Dermatology. 2017; </w:t>
      </w:r>
      <w:r w:rsidRPr="00E307DB">
        <w:t>137(1): 26-30</w:t>
      </w:r>
      <w:r>
        <w:t>.</w:t>
      </w:r>
    </w:p>
  </w:footnote>
  <w:footnote w:id="6">
    <w:p w14:paraId="39615CC8" w14:textId="77777777" w:rsidR="001447DC" w:rsidRDefault="001447DC" w:rsidP="001447DC">
      <w:pPr>
        <w:pStyle w:val="FootnoteText"/>
      </w:pPr>
      <w:r>
        <w:rPr>
          <w:rStyle w:val="FootnoteReference"/>
        </w:rPr>
        <w:footnoteRef/>
      </w:r>
      <w:r>
        <w:t xml:space="preserve"> </w:t>
      </w:r>
      <w:r w:rsidRPr="00E307DB">
        <w:t>Bawany</w:t>
      </w:r>
      <w:r>
        <w:t xml:space="preserve"> F </w:t>
      </w:r>
      <w:r w:rsidRPr="00E307DB">
        <w:t>et al. Sleep Disturbances and Atopic Dermatitis: Relationships, Methods for Assessment, and Therapies.</w:t>
      </w:r>
      <w:r>
        <w:t xml:space="preserve"> The Journal of Allergy and Clinical Immunology: In Practice. 2021; 9(4): 1488-1500.</w:t>
      </w:r>
    </w:p>
  </w:footnote>
  <w:footnote w:id="7">
    <w:p w14:paraId="36E05CEC" w14:textId="7C731A58" w:rsidR="00F374E5" w:rsidRDefault="00F374E5">
      <w:pPr>
        <w:pStyle w:val="FootnoteText"/>
      </w:pPr>
      <w:r>
        <w:rPr>
          <w:rStyle w:val="FootnoteReference"/>
        </w:rPr>
        <w:footnoteRef/>
      </w:r>
      <w:r>
        <w:t xml:space="preserve"> Dubin C, Del Duca E &amp; Guttman-Yassky E. The IL-4, IL-13 and IL-31 pathways in atopic dermatitis. Expert Review of Clinical Immunology. 2021; 17(8): 835-852.</w:t>
      </w:r>
    </w:p>
  </w:footnote>
  <w:footnote w:id="8">
    <w:p w14:paraId="06C20ECB" w14:textId="77777777" w:rsidR="00BF7876" w:rsidRDefault="00BF7876" w:rsidP="00BF7876">
      <w:pPr>
        <w:pStyle w:val="FootnoteText"/>
      </w:pPr>
      <w:r>
        <w:rPr>
          <w:rStyle w:val="FootnoteReference"/>
        </w:rPr>
        <w:footnoteRef/>
      </w:r>
      <w:r>
        <w:t xml:space="preserve"> Smith S et al. </w:t>
      </w:r>
      <w:r w:rsidRPr="003363FA">
        <w:t>Atopic dermatitis in adults: An Australian management consensus</w:t>
      </w:r>
      <w:r>
        <w:t>. Australasian Journal of Dermatology. 2020; 61(1): 23-32.</w:t>
      </w:r>
    </w:p>
  </w:footnote>
  <w:footnote w:id="9">
    <w:p w14:paraId="5DBE2A5B" w14:textId="77777777" w:rsidR="00BF7876" w:rsidRDefault="00BF7876" w:rsidP="00BF7876">
      <w:pPr>
        <w:pStyle w:val="FootnoteText"/>
      </w:pPr>
      <w:r>
        <w:rPr>
          <w:rStyle w:val="FootnoteReference"/>
        </w:rPr>
        <w:footnoteRef/>
      </w:r>
      <w:r>
        <w:t xml:space="preserve"> Wollenberg A et al. </w:t>
      </w:r>
      <w:r w:rsidRPr="003363FA">
        <w:t>European guideline (EuroGuiDerm) on atopic eczema: part I - systemic therapy</w:t>
      </w:r>
      <w:r>
        <w:t>. Journal of the European Academy of Dermatology and Venereology. 2022; 36(9): 1409-1431.</w:t>
      </w:r>
    </w:p>
  </w:footnote>
  <w:footnote w:id="10">
    <w:p w14:paraId="636BD021" w14:textId="77777777" w:rsidR="00BF7876" w:rsidRDefault="00BF7876" w:rsidP="00BF7876">
      <w:pPr>
        <w:pStyle w:val="FootnoteText"/>
      </w:pPr>
      <w:r>
        <w:rPr>
          <w:rStyle w:val="FootnoteReference"/>
        </w:rPr>
        <w:footnoteRef/>
      </w:r>
      <w:r>
        <w:t xml:space="preserve"> Refers to a state in which symptoms are absent or mild without daily activities being disturbed by AD (Smith et al. 2020)</w:t>
      </w:r>
    </w:p>
  </w:footnote>
  <w:footnote w:id="11">
    <w:p w14:paraId="104462CF" w14:textId="77777777" w:rsidR="00C05E17" w:rsidRDefault="00C05E17" w:rsidP="00C05E17">
      <w:pPr>
        <w:pStyle w:val="FootnoteText"/>
      </w:pPr>
      <w:r>
        <w:rPr>
          <w:rStyle w:val="FootnoteReference"/>
        </w:rPr>
        <w:footnoteRef/>
      </w:r>
      <w:r>
        <w:t xml:space="preserve"> AESIs included: injection related reactions, newly diagnosed asthma or worsening of asthma, infections, peripheral oedema, facial oedema, elevated alanine aminotransferase or a</w:t>
      </w:r>
      <w:r w:rsidRPr="00FF7A7C">
        <w:t xml:space="preserve">spartate </w:t>
      </w:r>
      <w:r>
        <w:t>a</w:t>
      </w:r>
      <w:r w:rsidRPr="00FF7A7C">
        <w:t>minotransferase</w:t>
      </w:r>
      <w:r>
        <w:t xml:space="preserve"> (&gt;3 upper limit of normal in combination with elevated bilirubin (&gt; 2 upper limit of normal).</w:t>
      </w:r>
    </w:p>
  </w:footnote>
  <w:footnote w:id="12">
    <w:p w14:paraId="30EC9462" w14:textId="3C20CA90" w:rsidR="003D779B" w:rsidRDefault="003D779B">
      <w:pPr>
        <w:pStyle w:val="FootnoteText"/>
      </w:pPr>
      <w:r>
        <w:rPr>
          <w:rStyle w:val="FootnoteReference"/>
        </w:rPr>
        <w:footnoteRef/>
      </w:r>
      <w:r>
        <w:t xml:space="preserve"> Drucker, AM. et al. Living network meta-analysis to compare n</w:t>
      </w:r>
      <w:r w:rsidR="000D6364">
        <w:t>emo</w:t>
      </w:r>
      <w:r>
        <w:t>l</w:t>
      </w:r>
      <w:r w:rsidR="00184A60">
        <w:t>i</w:t>
      </w:r>
      <w:r>
        <w:t xml:space="preserve">zumab against other available targeted systemic treatments for atopic dermatitis. </w:t>
      </w:r>
      <w:r w:rsidRPr="003D779B">
        <w:rPr>
          <w:i/>
          <w:iCs/>
        </w:rPr>
        <w:t>The British Journal of Dermatology.</w:t>
      </w:r>
      <w:r>
        <w:t xml:space="preserve"> 2025;May 7:ljaf166.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A942E" w14:textId="77777777" w:rsidR="00590FB9" w:rsidRDefault="00590F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5EC00" w14:textId="31EAE38C" w:rsidR="00D6528C" w:rsidRPr="00056684" w:rsidRDefault="003C6A7A" w:rsidP="00D6528C">
    <w:pPr>
      <w:pStyle w:val="Header"/>
      <w:ind w:left="360"/>
      <w:rPr>
        <w:rFonts w:asciiTheme="minorHAnsi" w:hAnsiTheme="minorHAnsi"/>
        <w:i w:val="0"/>
        <w:color w:val="808080"/>
      </w:rPr>
    </w:pPr>
    <w:bookmarkStart w:id="83" w:name="_Hlk76375146"/>
    <w:r w:rsidRPr="003C6A7A">
      <w:rPr>
        <w:rFonts w:asciiTheme="minorHAnsi" w:hAnsiTheme="minorHAnsi"/>
        <w:color w:val="808080"/>
      </w:rPr>
      <w:t>Public Summary Document</w:t>
    </w:r>
    <w:r w:rsidR="00D6528C" w:rsidRPr="00056684">
      <w:rPr>
        <w:rFonts w:asciiTheme="minorHAnsi" w:hAnsiTheme="minorHAnsi"/>
        <w:color w:val="808080"/>
      </w:rPr>
      <w:t xml:space="preserve">– </w:t>
    </w:r>
    <w:r w:rsidR="00D6528C">
      <w:rPr>
        <w:rFonts w:asciiTheme="minorHAnsi" w:hAnsiTheme="minorHAnsi"/>
        <w:color w:val="808080"/>
      </w:rPr>
      <w:t>July 2025</w:t>
    </w:r>
    <w:r w:rsidR="00D6528C" w:rsidRPr="00056684">
      <w:rPr>
        <w:rFonts w:asciiTheme="minorHAnsi" w:hAnsiTheme="minorHAnsi"/>
        <w:color w:val="808080"/>
      </w:rPr>
      <w:t xml:space="preserve"> PBAC Meeting</w:t>
    </w:r>
  </w:p>
  <w:bookmarkEnd w:id="83"/>
  <w:p w14:paraId="227C6F2E" w14:textId="77777777" w:rsidR="00A4201C" w:rsidRDefault="00A420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24A5D" w14:textId="77777777" w:rsidR="00590FB9" w:rsidRDefault="00590F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1D612E7"/>
    <w:multiLevelType w:val="multilevel"/>
    <w:tmpl w:val="3D6A545A"/>
    <w:styleLink w:val="HeadingsVM"/>
    <w:lvl w:ilvl="0">
      <w:start w:val="1"/>
      <w:numFmt w:val="decimal"/>
      <w:pStyle w:val="HeadingVM1"/>
      <w:lvlText w:val="VM %1"/>
      <w:lvlJc w:val="left"/>
      <w:pPr>
        <w:ind w:left="1134" w:hanging="1134"/>
      </w:pPr>
      <w:rPr>
        <w:rFonts w:asciiTheme="majorHAnsi" w:hAnsiTheme="majorHAnsi" w:hint="default"/>
      </w:rPr>
    </w:lvl>
    <w:lvl w:ilvl="1">
      <w:start w:val="1"/>
      <w:numFmt w:val="decimal"/>
      <w:pStyle w:val="HeadingVM2"/>
      <w:lvlText w:val="VM %1.%2"/>
      <w:lvlJc w:val="left"/>
      <w:pPr>
        <w:ind w:left="1134" w:hanging="1134"/>
      </w:pPr>
      <w:rPr>
        <w:rFonts w:hint="default"/>
      </w:rPr>
    </w:lvl>
    <w:lvl w:ilvl="2">
      <w:start w:val="1"/>
      <w:numFmt w:val="lowerRoman"/>
      <w:lvlText w:val="%3)"/>
      <w:lvlJc w:val="left"/>
      <w:pPr>
        <w:ind w:left="1134" w:hanging="1134"/>
      </w:pPr>
      <w:rPr>
        <w:rFonts w:hint="default"/>
      </w:rPr>
    </w:lvl>
    <w:lvl w:ilvl="3">
      <w:start w:val="1"/>
      <w:numFmt w:val="decimal"/>
      <w:lvlText w:val="(%4)"/>
      <w:lvlJc w:val="left"/>
      <w:pPr>
        <w:ind w:left="1134" w:hanging="1134"/>
      </w:pPr>
      <w:rPr>
        <w:rFonts w:hint="default"/>
      </w:rPr>
    </w:lvl>
    <w:lvl w:ilvl="4">
      <w:start w:val="1"/>
      <w:numFmt w:val="lowerLetter"/>
      <w:lvlText w:val="(%5)"/>
      <w:lvlJc w:val="left"/>
      <w:pPr>
        <w:ind w:left="1134" w:hanging="1134"/>
      </w:pPr>
      <w:rPr>
        <w:rFonts w:hint="default"/>
      </w:rPr>
    </w:lvl>
    <w:lvl w:ilvl="5">
      <w:start w:val="1"/>
      <w:numFmt w:val="lowerRoman"/>
      <w:lvlText w:val="(%6)"/>
      <w:lvlJc w:val="left"/>
      <w:pPr>
        <w:ind w:left="1134" w:hanging="1134"/>
      </w:pPr>
      <w:rPr>
        <w:rFonts w:hint="default"/>
      </w:rPr>
    </w:lvl>
    <w:lvl w:ilvl="6">
      <w:start w:val="1"/>
      <w:numFmt w:val="decimal"/>
      <w:lvlText w:val="%7."/>
      <w:lvlJc w:val="left"/>
      <w:pPr>
        <w:ind w:left="1134" w:hanging="1134"/>
      </w:pPr>
      <w:rPr>
        <w:rFonts w:hint="default"/>
      </w:rPr>
    </w:lvl>
    <w:lvl w:ilvl="7">
      <w:start w:val="1"/>
      <w:numFmt w:val="lowerLetter"/>
      <w:lvlText w:val="%8."/>
      <w:lvlJc w:val="left"/>
      <w:pPr>
        <w:ind w:left="1134" w:hanging="1134"/>
      </w:pPr>
      <w:rPr>
        <w:rFonts w:hint="default"/>
      </w:rPr>
    </w:lvl>
    <w:lvl w:ilvl="8">
      <w:start w:val="1"/>
      <w:numFmt w:val="lowerRoman"/>
      <w:lvlText w:val="%9."/>
      <w:lvlJc w:val="left"/>
      <w:pPr>
        <w:ind w:left="1134" w:hanging="1134"/>
      </w:pPr>
      <w:rPr>
        <w:rFonts w:hint="default"/>
      </w:rPr>
    </w:lvl>
  </w:abstractNum>
  <w:abstractNum w:abstractNumId="3" w15:restartNumberingAfterBreak="0">
    <w:nsid w:val="07EF078C"/>
    <w:multiLevelType w:val="hybridMultilevel"/>
    <w:tmpl w:val="8C10CFBA"/>
    <w:lvl w:ilvl="0" w:tplc="0C4E4756">
      <w:start w:val="1"/>
      <w:numFmt w:val="lowerLetter"/>
      <w:pStyle w:val="NormalLetter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AA21A17"/>
    <w:multiLevelType w:val="multilevel"/>
    <w:tmpl w:val="7ACEC14C"/>
    <w:lvl w:ilvl="0">
      <w:start w:val="1"/>
      <w:numFmt w:val="bullet"/>
      <w:pStyle w:val="Bullets1"/>
      <w:lvlText w:val=""/>
      <w:lvlJc w:val="left"/>
      <w:pPr>
        <w:ind w:left="360" w:hanging="360"/>
      </w:pPr>
      <w:rPr>
        <w:rFonts w:ascii="Symbol" w:hAnsi="Symbol" w:hint="default"/>
        <w:color w:val="C0504D" w:themeColor="accent2"/>
      </w:rPr>
    </w:lvl>
    <w:lvl w:ilvl="1">
      <w:start w:val="1"/>
      <w:numFmt w:val="bullet"/>
      <w:lvlText w:val=""/>
      <w:lvlJc w:val="left"/>
      <w:pPr>
        <w:ind w:left="850" w:hanging="425"/>
      </w:pPr>
      <w:rPr>
        <w:rFonts w:ascii="Symbol" w:hAnsi="Symbol" w:hint="default"/>
        <w:color w:val="C0504D" w:themeColor="accent2"/>
      </w:rPr>
    </w:lvl>
    <w:lvl w:ilvl="2">
      <w:start w:val="1"/>
      <w:numFmt w:val="bullet"/>
      <w:lvlText w:val=""/>
      <w:lvlJc w:val="left"/>
      <w:pPr>
        <w:ind w:left="1275" w:hanging="425"/>
      </w:pPr>
      <w:rPr>
        <w:rFonts w:ascii="Symbol" w:hAnsi="Symbol" w:hint="default"/>
        <w:color w:val="4F81BD" w:themeColor="accent1"/>
      </w:rPr>
    </w:lvl>
    <w:lvl w:ilvl="3">
      <w:start w:val="1"/>
      <w:numFmt w:val="bullet"/>
      <w:lvlText w:val=""/>
      <w:lvlJc w:val="left"/>
      <w:pPr>
        <w:ind w:left="1700" w:hanging="425"/>
      </w:pPr>
      <w:rPr>
        <w:rFonts w:ascii="Symbol" w:hAnsi="Symbol" w:hint="default"/>
        <w:color w:val="4F81BD" w:themeColor="accent1"/>
      </w:rPr>
    </w:lvl>
    <w:lvl w:ilvl="4">
      <w:start w:val="1"/>
      <w:numFmt w:val="bullet"/>
      <w:lvlText w:val=""/>
      <w:lvlJc w:val="left"/>
      <w:pPr>
        <w:ind w:left="2125" w:hanging="425"/>
      </w:pPr>
      <w:rPr>
        <w:rFonts w:ascii="Symbol" w:hAnsi="Symbol" w:hint="default"/>
        <w:color w:val="4F81BD" w:themeColor="accent1"/>
      </w:rPr>
    </w:lvl>
    <w:lvl w:ilvl="5">
      <w:start w:val="1"/>
      <w:numFmt w:val="bullet"/>
      <w:lvlText w:val=""/>
      <w:lvlJc w:val="left"/>
      <w:pPr>
        <w:ind w:left="2550" w:hanging="425"/>
      </w:pPr>
      <w:rPr>
        <w:rFonts w:ascii="Symbol" w:hAnsi="Symbol" w:hint="default"/>
        <w:color w:val="4F81BD" w:themeColor="accent1"/>
      </w:rPr>
    </w:lvl>
    <w:lvl w:ilvl="6">
      <w:start w:val="1"/>
      <w:numFmt w:val="bullet"/>
      <w:lvlText w:val=""/>
      <w:lvlJc w:val="left"/>
      <w:pPr>
        <w:ind w:left="2975" w:hanging="425"/>
      </w:pPr>
      <w:rPr>
        <w:rFonts w:ascii="Symbol" w:hAnsi="Symbol" w:hint="default"/>
        <w:color w:val="4F81BD" w:themeColor="accent1"/>
      </w:rPr>
    </w:lvl>
    <w:lvl w:ilvl="7">
      <w:start w:val="1"/>
      <w:numFmt w:val="bullet"/>
      <w:lvlText w:val=""/>
      <w:lvlJc w:val="left"/>
      <w:pPr>
        <w:ind w:left="3400" w:hanging="425"/>
      </w:pPr>
      <w:rPr>
        <w:rFonts w:ascii="Symbol" w:hAnsi="Symbol" w:hint="default"/>
        <w:color w:val="4F81BD" w:themeColor="accent1"/>
      </w:rPr>
    </w:lvl>
    <w:lvl w:ilvl="8">
      <w:start w:val="1"/>
      <w:numFmt w:val="bullet"/>
      <w:lvlText w:val=""/>
      <w:lvlJc w:val="left"/>
      <w:pPr>
        <w:ind w:left="3825" w:hanging="425"/>
      </w:pPr>
      <w:rPr>
        <w:rFonts w:ascii="Symbol" w:hAnsi="Symbol" w:hint="default"/>
        <w:color w:val="4F81BD" w:themeColor="accent1"/>
      </w:rPr>
    </w:lvl>
  </w:abstractNum>
  <w:abstractNum w:abstractNumId="5"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AE7562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B2D72E5"/>
    <w:multiLevelType w:val="hybridMultilevel"/>
    <w:tmpl w:val="1752FA34"/>
    <w:lvl w:ilvl="0" w:tplc="5350B538">
      <w:start w:val="1"/>
      <w:numFmt w:val="bullet"/>
      <w:lvlText w:val=""/>
      <w:lvlJc w:val="left"/>
      <w:pPr>
        <w:ind w:left="1080" w:hanging="360"/>
      </w:pPr>
      <w:rPr>
        <w:rFonts w:ascii="Symbol" w:hAnsi="Symbol"/>
      </w:rPr>
    </w:lvl>
    <w:lvl w:ilvl="1" w:tplc="A594C59C">
      <w:start w:val="1"/>
      <w:numFmt w:val="bullet"/>
      <w:lvlText w:val=""/>
      <w:lvlJc w:val="left"/>
      <w:pPr>
        <w:ind w:left="1080" w:hanging="360"/>
      </w:pPr>
      <w:rPr>
        <w:rFonts w:ascii="Symbol" w:hAnsi="Symbol"/>
      </w:rPr>
    </w:lvl>
    <w:lvl w:ilvl="2" w:tplc="ACA4BB78">
      <w:start w:val="1"/>
      <w:numFmt w:val="bullet"/>
      <w:lvlText w:val=""/>
      <w:lvlJc w:val="left"/>
      <w:pPr>
        <w:ind w:left="1080" w:hanging="360"/>
      </w:pPr>
      <w:rPr>
        <w:rFonts w:ascii="Symbol" w:hAnsi="Symbol"/>
      </w:rPr>
    </w:lvl>
    <w:lvl w:ilvl="3" w:tplc="872AD742">
      <w:start w:val="1"/>
      <w:numFmt w:val="bullet"/>
      <w:lvlText w:val=""/>
      <w:lvlJc w:val="left"/>
      <w:pPr>
        <w:ind w:left="1080" w:hanging="360"/>
      </w:pPr>
      <w:rPr>
        <w:rFonts w:ascii="Symbol" w:hAnsi="Symbol"/>
      </w:rPr>
    </w:lvl>
    <w:lvl w:ilvl="4" w:tplc="79FE9714">
      <w:start w:val="1"/>
      <w:numFmt w:val="bullet"/>
      <w:lvlText w:val=""/>
      <w:lvlJc w:val="left"/>
      <w:pPr>
        <w:ind w:left="1080" w:hanging="360"/>
      </w:pPr>
      <w:rPr>
        <w:rFonts w:ascii="Symbol" w:hAnsi="Symbol"/>
      </w:rPr>
    </w:lvl>
    <w:lvl w:ilvl="5" w:tplc="7D5009CA">
      <w:start w:val="1"/>
      <w:numFmt w:val="bullet"/>
      <w:lvlText w:val=""/>
      <w:lvlJc w:val="left"/>
      <w:pPr>
        <w:ind w:left="1080" w:hanging="360"/>
      </w:pPr>
      <w:rPr>
        <w:rFonts w:ascii="Symbol" w:hAnsi="Symbol"/>
      </w:rPr>
    </w:lvl>
    <w:lvl w:ilvl="6" w:tplc="FB523E94">
      <w:start w:val="1"/>
      <w:numFmt w:val="bullet"/>
      <w:lvlText w:val=""/>
      <w:lvlJc w:val="left"/>
      <w:pPr>
        <w:ind w:left="1080" w:hanging="360"/>
      </w:pPr>
      <w:rPr>
        <w:rFonts w:ascii="Symbol" w:hAnsi="Symbol"/>
      </w:rPr>
    </w:lvl>
    <w:lvl w:ilvl="7" w:tplc="FFB674D2">
      <w:start w:val="1"/>
      <w:numFmt w:val="bullet"/>
      <w:lvlText w:val=""/>
      <w:lvlJc w:val="left"/>
      <w:pPr>
        <w:ind w:left="1080" w:hanging="360"/>
      </w:pPr>
      <w:rPr>
        <w:rFonts w:ascii="Symbol" w:hAnsi="Symbol"/>
      </w:rPr>
    </w:lvl>
    <w:lvl w:ilvl="8" w:tplc="1018A800">
      <w:start w:val="1"/>
      <w:numFmt w:val="bullet"/>
      <w:lvlText w:val=""/>
      <w:lvlJc w:val="left"/>
      <w:pPr>
        <w:ind w:left="1080" w:hanging="360"/>
      </w:pPr>
      <w:rPr>
        <w:rFonts w:ascii="Symbol" w:hAnsi="Symbol"/>
      </w:rPr>
    </w:lvl>
  </w:abstractNum>
  <w:abstractNum w:abstractNumId="8" w15:restartNumberingAfterBreak="0">
    <w:nsid w:val="0DFE6F44"/>
    <w:multiLevelType w:val="hybridMultilevel"/>
    <w:tmpl w:val="90B881B6"/>
    <w:lvl w:ilvl="0" w:tplc="BA5CE466">
      <w:start w:val="1"/>
      <w:numFmt w:val="bullet"/>
      <w:pStyle w:val="Table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B7D35BA"/>
    <w:multiLevelType w:val="multilevel"/>
    <w:tmpl w:val="B530737E"/>
    <w:lvl w:ilvl="0">
      <w:start w:val="1"/>
      <w:numFmt w:val="decimal"/>
      <w:pStyle w:val="Heading1Source"/>
      <w:lvlText w:val="%1."/>
      <w:lvlJc w:val="left"/>
      <w:pPr>
        <w:ind w:left="0" w:firstLine="0"/>
      </w:pPr>
      <w:rPr>
        <w:rFonts w:hint="default"/>
      </w:rPr>
    </w:lvl>
    <w:lvl w:ilvl="1">
      <w:start w:val="1"/>
      <w:numFmt w:val="decimal"/>
      <w:pStyle w:val="Heading2Source"/>
      <w:lvlText w:val="%1.%2."/>
      <w:lvlJc w:val="left"/>
      <w:pPr>
        <w:ind w:left="0" w:firstLine="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pStyle w:val="Heading3Source"/>
      <w:lvlText w:val="%1.%2.%3."/>
      <w:lvlJc w:val="left"/>
      <w:pPr>
        <w:ind w:left="0" w:firstLine="0"/>
      </w:pPr>
      <w:rPr>
        <w:rFonts w:hint="default"/>
      </w:rPr>
    </w:lvl>
    <w:lvl w:ilvl="3">
      <w:start w:val="1"/>
      <w:numFmt w:val="decimal"/>
      <w:pStyle w:val="Heading4Source"/>
      <w:lvlText w:val="%1.%2.%3.%4."/>
      <w:lvlJc w:val="left"/>
      <w:pPr>
        <w:ind w:left="0" w:firstLine="0"/>
      </w:pPr>
      <w:rPr>
        <w:rFonts w:hint="default"/>
      </w:rPr>
    </w:lvl>
    <w:lvl w:ilvl="4">
      <w:start w:val="1"/>
      <w:numFmt w:val="decimal"/>
      <w:pStyle w:val="Heading5Source"/>
      <w:lvlText w:val="%1.%2.%3.%4.%5"/>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3B6274A"/>
    <w:multiLevelType w:val="hybridMultilevel"/>
    <w:tmpl w:val="92B2597E"/>
    <w:lvl w:ilvl="0" w:tplc="B5DE8240">
      <w:start w:val="1"/>
      <w:numFmt w:val="decimal"/>
      <w:lvlText w:val="%1."/>
      <w:lvlJc w:val="left"/>
      <w:pPr>
        <w:ind w:left="502" w:hanging="360"/>
      </w:pPr>
      <w:rPr>
        <w:rFonts w:hint="default"/>
        <w:b w:val="0"/>
        <w:bCs w:val="0"/>
        <w:i w:val="0"/>
        <w:iCs w:val="0"/>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4017832"/>
    <w:multiLevelType w:val="hybridMultilevel"/>
    <w:tmpl w:val="A4F24192"/>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4" w15:restartNumberingAfterBreak="0">
    <w:nsid w:val="2B1B6223"/>
    <w:multiLevelType w:val="hybridMultilevel"/>
    <w:tmpl w:val="991E90AE"/>
    <w:lvl w:ilvl="0" w:tplc="FDD43C1C">
      <w:start w:val="1"/>
      <w:numFmt w:val="bullet"/>
      <w:pStyle w:val="BulletSource"/>
      <w:lvlText w:val=""/>
      <w:lvlJc w:val="left"/>
      <w:pPr>
        <w:ind w:left="720" w:hanging="360"/>
      </w:pPr>
      <w:rPr>
        <w:rFonts w:ascii="Symbol" w:hAnsi="Symbol" w:hint="default"/>
        <w:color w:val="F7A6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86C41CB"/>
    <w:multiLevelType w:val="hybridMultilevel"/>
    <w:tmpl w:val="7F94C816"/>
    <w:lvl w:ilvl="0" w:tplc="903248AE">
      <w:start w:val="1"/>
      <w:numFmt w:val="decimal"/>
      <w:pStyle w:val="NumberedList"/>
      <w:lvlText w:val="%1."/>
      <w:lvlJc w:val="left"/>
      <w:pPr>
        <w:ind w:left="720" w:hanging="360"/>
      </w:pPr>
    </w:lvl>
    <w:lvl w:ilvl="1" w:tplc="ACD2A5C2" w:tentative="1">
      <w:start w:val="1"/>
      <w:numFmt w:val="lowerLetter"/>
      <w:lvlText w:val="%2."/>
      <w:lvlJc w:val="left"/>
      <w:pPr>
        <w:ind w:left="1440" w:hanging="360"/>
      </w:pPr>
    </w:lvl>
    <w:lvl w:ilvl="2" w:tplc="81041AEE" w:tentative="1">
      <w:start w:val="1"/>
      <w:numFmt w:val="lowerRoman"/>
      <w:lvlText w:val="%3."/>
      <w:lvlJc w:val="right"/>
      <w:pPr>
        <w:ind w:left="2160" w:hanging="180"/>
      </w:pPr>
    </w:lvl>
    <w:lvl w:ilvl="3" w:tplc="6F9E5ABC" w:tentative="1">
      <w:start w:val="1"/>
      <w:numFmt w:val="decimal"/>
      <w:lvlText w:val="%4."/>
      <w:lvlJc w:val="left"/>
      <w:pPr>
        <w:ind w:left="2880" w:hanging="360"/>
      </w:pPr>
    </w:lvl>
    <w:lvl w:ilvl="4" w:tplc="79BE0738" w:tentative="1">
      <w:start w:val="1"/>
      <w:numFmt w:val="lowerLetter"/>
      <w:lvlText w:val="%5."/>
      <w:lvlJc w:val="left"/>
      <w:pPr>
        <w:ind w:left="3600" w:hanging="360"/>
      </w:pPr>
    </w:lvl>
    <w:lvl w:ilvl="5" w:tplc="73E0EA72" w:tentative="1">
      <w:start w:val="1"/>
      <w:numFmt w:val="lowerRoman"/>
      <w:lvlText w:val="%6."/>
      <w:lvlJc w:val="right"/>
      <w:pPr>
        <w:ind w:left="4320" w:hanging="180"/>
      </w:pPr>
    </w:lvl>
    <w:lvl w:ilvl="6" w:tplc="AF7840C6" w:tentative="1">
      <w:start w:val="1"/>
      <w:numFmt w:val="decimal"/>
      <w:lvlText w:val="%7."/>
      <w:lvlJc w:val="left"/>
      <w:pPr>
        <w:ind w:left="5040" w:hanging="360"/>
      </w:pPr>
    </w:lvl>
    <w:lvl w:ilvl="7" w:tplc="72047760" w:tentative="1">
      <w:start w:val="1"/>
      <w:numFmt w:val="lowerLetter"/>
      <w:lvlText w:val="%8."/>
      <w:lvlJc w:val="left"/>
      <w:pPr>
        <w:ind w:left="5760" w:hanging="360"/>
      </w:pPr>
    </w:lvl>
    <w:lvl w:ilvl="8" w:tplc="3C167224" w:tentative="1">
      <w:start w:val="1"/>
      <w:numFmt w:val="lowerRoman"/>
      <w:lvlText w:val="%9."/>
      <w:lvlJc w:val="right"/>
      <w:pPr>
        <w:ind w:left="6480" w:hanging="180"/>
      </w:pPr>
    </w:lvl>
  </w:abstractNum>
  <w:abstractNum w:abstractNumId="17" w15:restartNumberingAfterBreak="0">
    <w:nsid w:val="3BC657B8"/>
    <w:multiLevelType w:val="hybridMultilevel"/>
    <w:tmpl w:val="C2F243A8"/>
    <w:lvl w:ilvl="0" w:tplc="9A2ADFFE">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3CFF3A72"/>
    <w:multiLevelType w:val="multilevel"/>
    <w:tmpl w:val="B61014CE"/>
    <w:lvl w:ilvl="0">
      <w:start w:val="1"/>
      <w:numFmt w:val="decimal"/>
      <w:lvlText w:val="%1"/>
      <w:lvlJc w:val="left"/>
      <w:pPr>
        <w:ind w:left="720" w:hanging="720"/>
      </w:pPr>
      <w:rPr>
        <w:rFonts w:hint="default"/>
        <w:b/>
      </w:rPr>
    </w:lvl>
    <w:lvl w:ilvl="1">
      <w:start w:val="1"/>
      <w:numFmt w:val="bullet"/>
      <w:lvlText w:val=""/>
      <w:lvlJc w:val="left"/>
      <w:pPr>
        <w:ind w:left="1211" w:hanging="360"/>
      </w:pPr>
      <w:rPr>
        <w:rFonts w:ascii="Symbol" w:hAnsi="Symbol"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DDF4420"/>
    <w:multiLevelType w:val="hybridMultilevel"/>
    <w:tmpl w:val="9E9C6A5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420B6ECC"/>
    <w:multiLevelType w:val="hybridMultilevel"/>
    <w:tmpl w:val="C23E7B90"/>
    <w:lvl w:ilvl="0" w:tplc="ED1E5F1E">
      <w:start w:val="1"/>
      <w:numFmt w:val="bullet"/>
      <w:pStyle w:val="NormalBullets"/>
      <w:lvlText w:val=""/>
      <w:lvlJc w:val="left"/>
      <w:pPr>
        <w:ind w:left="1077" w:hanging="360"/>
      </w:pPr>
      <w:rPr>
        <w:rFonts w:ascii="Symbol" w:hAnsi="Symbol" w:hint="default"/>
      </w:rPr>
    </w:lvl>
    <w:lvl w:ilvl="1" w:tplc="9452778A" w:tentative="1">
      <w:start w:val="1"/>
      <w:numFmt w:val="bullet"/>
      <w:lvlText w:val="o"/>
      <w:lvlJc w:val="left"/>
      <w:pPr>
        <w:ind w:left="1797" w:hanging="360"/>
      </w:pPr>
      <w:rPr>
        <w:rFonts w:ascii="Courier New" w:hAnsi="Courier New" w:cs="Courier New" w:hint="default"/>
      </w:rPr>
    </w:lvl>
    <w:lvl w:ilvl="2" w:tplc="87E4D1D6" w:tentative="1">
      <w:start w:val="1"/>
      <w:numFmt w:val="bullet"/>
      <w:lvlText w:val=""/>
      <w:lvlJc w:val="left"/>
      <w:pPr>
        <w:ind w:left="2517" w:hanging="360"/>
      </w:pPr>
      <w:rPr>
        <w:rFonts w:ascii="Wingdings" w:hAnsi="Wingdings" w:hint="default"/>
      </w:rPr>
    </w:lvl>
    <w:lvl w:ilvl="3" w:tplc="B26EBE3C" w:tentative="1">
      <w:start w:val="1"/>
      <w:numFmt w:val="bullet"/>
      <w:lvlText w:val=""/>
      <w:lvlJc w:val="left"/>
      <w:pPr>
        <w:ind w:left="3237" w:hanging="360"/>
      </w:pPr>
      <w:rPr>
        <w:rFonts w:ascii="Symbol" w:hAnsi="Symbol" w:hint="default"/>
      </w:rPr>
    </w:lvl>
    <w:lvl w:ilvl="4" w:tplc="AF3E72D2" w:tentative="1">
      <w:start w:val="1"/>
      <w:numFmt w:val="bullet"/>
      <w:lvlText w:val="o"/>
      <w:lvlJc w:val="left"/>
      <w:pPr>
        <w:ind w:left="3957" w:hanging="360"/>
      </w:pPr>
      <w:rPr>
        <w:rFonts w:ascii="Courier New" w:hAnsi="Courier New" w:cs="Courier New" w:hint="default"/>
      </w:rPr>
    </w:lvl>
    <w:lvl w:ilvl="5" w:tplc="79F2BED2" w:tentative="1">
      <w:start w:val="1"/>
      <w:numFmt w:val="bullet"/>
      <w:lvlText w:val=""/>
      <w:lvlJc w:val="left"/>
      <w:pPr>
        <w:ind w:left="4677" w:hanging="360"/>
      </w:pPr>
      <w:rPr>
        <w:rFonts w:ascii="Wingdings" w:hAnsi="Wingdings" w:hint="default"/>
      </w:rPr>
    </w:lvl>
    <w:lvl w:ilvl="6" w:tplc="19321076" w:tentative="1">
      <w:start w:val="1"/>
      <w:numFmt w:val="bullet"/>
      <w:lvlText w:val=""/>
      <w:lvlJc w:val="left"/>
      <w:pPr>
        <w:ind w:left="5397" w:hanging="360"/>
      </w:pPr>
      <w:rPr>
        <w:rFonts w:ascii="Symbol" w:hAnsi="Symbol" w:hint="default"/>
      </w:rPr>
    </w:lvl>
    <w:lvl w:ilvl="7" w:tplc="C7A826BC" w:tentative="1">
      <w:start w:val="1"/>
      <w:numFmt w:val="bullet"/>
      <w:lvlText w:val="o"/>
      <w:lvlJc w:val="left"/>
      <w:pPr>
        <w:ind w:left="6117" w:hanging="360"/>
      </w:pPr>
      <w:rPr>
        <w:rFonts w:ascii="Courier New" w:hAnsi="Courier New" w:cs="Courier New" w:hint="default"/>
      </w:rPr>
    </w:lvl>
    <w:lvl w:ilvl="8" w:tplc="6F3A9138" w:tentative="1">
      <w:start w:val="1"/>
      <w:numFmt w:val="bullet"/>
      <w:lvlText w:val=""/>
      <w:lvlJc w:val="left"/>
      <w:pPr>
        <w:ind w:left="6837" w:hanging="360"/>
      </w:pPr>
      <w:rPr>
        <w:rFonts w:ascii="Wingdings" w:hAnsi="Wingdings" w:hint="default"/>
      </w:rPr>
    </w:lvl>
  </w:abstractNum>
  <w:abstractNum w:abstractNumId="21" w15:restartNumberingAfterBreak="0">
    <w:nsid w:val="42376C72"/>
    <w:multiLevelType w:val="hybridMultilevel"/>
    <w:tmpl w:val="EDB6EBBA"/>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2F070D"/>
    <w:multiLevelType w:val="multilevel"/>
    <w:tmpl w:val="A1ACD1F4"/>
    <w:lvl w:ilvl="0">
      <w:start w:val="1"/>
      <w:numFmt w:val="bullet"/>
      <w:pStyle w:val="1Bullet1"/>
      <w:lvlText w:val=""/>
      <w:lvlJc w:val="left"/>
      <w:pPr>
        <w:tabs>
          <w:tab w:val="num" w:pos="720"/>
        </w:tabs>
        <w:ind w:left="720" w:hanging="360"/>
      </w:pPr>
      <w:rPr>
        <w:rFonts w:ascii="Symbol" w:hAnsi="Symbol" w:hint="default"/>
        <w:sz w:val="20"/>
      </w:rPr>
    </w:lvl>
    <w:lvl w:ilvl="1">
      <w:start w:val="1"/>
      <w:numFmt w:val="bullet"/>
      <w:pStyle w:val="1Bullet1"/>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C023056"/>
    <w:multiLevelType w:val="hybridMultilevel"/>
    <w:tmpl w:val="09C66D6E"/>
    <w:lvl w:ilvl="0" w:tplc="AABEBF1C">
      <w:start w:val="1"/>
      <w:numFmt w:val="bullet"/>
      <w:lvlText w:val="•"/>
      <w:lvlJc w:val="left"/>
      <w:pPr>
        <w:tabs>
          <w:tab w:val="num" w:pos="720"/>
        </w:tabs>
        <w:ind w:left="720" w:hanging="360"/>
      </w:pPr>
      <w:rPr>
        <w:rFonts w:ascii="Arial" w:hAnsi="Arial" w:hint="default"/>
      </w:rPr>
    </w:lvl>
    <w:lvl w:ilvl="1" w:tplc="4F224F0A" w:tentative="1">
      <w:start w:val="1"/>
      <w:numFmt w:val="bullet"/>
      <w:lvlText w:val="•"/>
      <w:lvlJc w:val="left"/>
      <w:pPr>
        <w:tabs>
          <w:tab w:val="num" w:pos="1440"/>
        </w:tabs>
        <w:ind w:left="1440" w:hanging="360"/>
      </w:pPr>
      <w:rPr>
        <w:rFonts w:ascii="Arial" w:hAnsi="Arial" w:hint="default"/>
      </w:rPr>
    </w:lvl>
    <w:lvl w:ilvl="2" w:tplc="86EC943E" w:tentative="1">
      <w:start w:val="1"/>
      <w:numFmt w:val="bullet"/>
      <w:lvlText w:val="•"/>
      <w:lvlJc w:val="left"/>
      <w:pPr>
        <w:tabs>
          <w:tab w:val="num" w:pos="2160"/>
        </w:tabs>
        <w:ind w:left="2160" w:hanging="360"/>
      </w:pPr>
      <w:rPr>
        <w:rFonts w:ascii="Arial" w:hAnsi="Arial" w:hint="default"/>
      </w:rPr>
    </w:lvl>
    <w:lvl w:ilvl="3" w:tplc="9BEEAA52" w:tentative="1">
      <w:start w:val="1"/>
      <w:numFmt w:val="bullet"/>
      <w:lvlText w:val="•"/>
      <w:lvlJc w:val="left"/>
      <w:pPr>
        <w:tabs>
          <w:tab w:val="num" w:pos="2880"/>
        </w:tabs>
        <w:ind w:left="2880" w:hanging="360"/>
      </w:pPr>
      <w:rPr>
        <w:rFonts w:ascii="Arial" w:hAnsi="Arial" w:hint="default"/>
      </w:rPr>
    </w:lvl>
    <w:lvl w:ilvl="4" w:tplc="A02428BE" w:tentative="1">
      <w:start w:val="1"/>
      <w:numFmt w:val="bullet"/>
      <w:lvlText w:val="•"/>
      <w:lvlJc w:val="left"/>
      <w:pPr>
        <w:tabs>
          <w:tab w:val="num" w:pos="3600"/>
        </w:tabs>
        <w:ind w:left="3600" w:hanging="360"/>
      </w:pPr>
      <w:rPr>
        <w:rFonts w:ascii="Arial" w:hAnsi="Arial" w:hint="default"/>
      </w:rPr>
    </w:lvl>
    <w:lvl w:ilvl="5" w:tplc="7988DA08" w:tentative="1">
      <w:start w:val="1"/>
      <w:numFmt w:val="bullet"/>
      <w:lvlText w:val="•"/>
      <w:lvlJc w:val="left"/>
      <w:pPr>
        <w:tabs>
          <w:tab w:val="num" w:pos="4320"/>
        </w:tabs>
        <w:ind w:left="4320" w:hanging="360"/>
      </w:pPr>
      <w:rPr>
        <w:rFonts w:ascii="Arial" w:hAnsi="Arial" w:hint="default"/>
      </w:rPr>
    </w:lvl>
    <w:lvl w:ilvl="6" w:tplc="23D870A2" w:tentative="1">
      <w:start w:val="1"/>
      <w:numFmt w:val="bullet"/>
      <w:lvlText w:val="•"/>
      <w:lvlJc w:val="left"/>
      <w:pPr>
        <w:tabs>
          <w:tab w:val="num" w:pos="5040"/>
        </w:tabs>
        <w:ind w:left="5040" w:hanging="360"/>
      </w:pPr>
      <w:rPr>
        <w:rFonts w:ascii="Arial" w:hAnsi="Arial" w:hint="default"/>
      </w:rPr>
    </w:lvl>
    <w:lvl w:ilvl="7" w:tplc="5ABA116C" w:tentative="1">
      <w:start w:val="1"/>
      <w:numFmt w:val="bullet"/>
      <w:lvlText w:val="•"/>
      <w:lvlJc w:val="left"/>
      <w:pPr>
        <w:tabs>
          <w:tab w:val="num" w:pos="5760"/>
        </w:tabs>
        <w:ind w:left="5760" w:hanging="360"/>
      </w:pPr>
      <w:rPr>
        <w:rFonts w:ascii="Arial" w:hAnsi="Arial" w:hint="default"/>
      </w:rPr>
    </w:lvl>
    <w:lvl w:ilvl="8" w:tplc="B68E1A7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95F4AB5"/>
    <w:multiLevelType w:val="hybridMultilevel"/>
    <w:tmpl w:val="79B0E472"/>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5BF1793F"/>
    <w:multiLevelType w:val="hybridMultilevel"/>
    <w:tmpl w:val="1F927906"/>
    <w:lvl w:ilvl="0" w:tplc="89CAAFFE">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8"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9"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0" w15:restartNumberingAfterBreak="0">
    <w:nsid w:val="6787731C"/>
    <w:multiLevelType w:val="multilevel"/>
    <w:tmpl w:val="2B6C3142"/>
    <w:lvl w:ilvl="0">
      <w:start w:val="1"/>
      <w:numFmt w:val="bullet"/>
      <w:lvlText w:val=""/>
      <w:lvlJc w:val="left"/>
      <w:pPr>
        <w:ind w:left="1440" w:hanging="720"/>
      </w:pPr>
      <w:rPr>
        <w:rFonts w:ascii="Symbol" w:hAnsi="Symbol" w:hint="default"/>
        <w:b/>
      </w:rPr>
    </w:lvl>
    <w:lvl w:ilvl="1">
      <w:start w:val="1"/>
      <w:numFmt w:val="bullet"/>
      <w:lvlText w:val=""/>
      <w:lvlJc w:val="left"/>
      <w:pPr>
        <w:ind w:left="1080" w:hanging="360"/>
      </w:pPr>
      <w:rPr>
        <w:rFonts w:ascii="Symbol" w:hAnsi="Symbol"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520" w:hanging="1800"/>
      </w:pPr>
      <w:rPr>
        <w:rFonts w:hint="default"/>
      </w:rPr>
    </w:lvl>
  </w:abstractNum>
  <w:abstractNum w:abstractNumId="31" w15:restartNumberingAfterBreak="0">
    <w:nsid w:val="69B877FF"/>
    <w:multiLevelType w:val="multilevel"/>
    <w:tmpl w:val="B4B4FCBC"/>
    <w:lvl w:ilvl="0">
      <w:start w:val="1"/>
      <w:numFmt w:val="bullet"/>
      <w:pStyle w:val="C-Bullet"/>
      <w:lvlText w:val=""/>
      <w:lvlJc w:val="left"/>
      <w:pPr>
        <w:tabs>
          <w:tab w:val="num" w:pos="1080"/>
        </w:tabs>
        <w:ind w:left="1080" w:hanging="360"/>
      </w:pPr>
      <w:rPr>
        <w:rFonts w:ascii="Symbol" w:hAnsi="Symbol" w:hint="default"/>
        <w:sz w:val="24"/>
      </w:rPr>
    </w:lvl>
    <w:lvl w:ilvl="1">
      <w:start w:val="2226"/>
      <w:numFmt w:val="bullet"/>
      <w:pStyle w:val="C-BulletIndented"/>
      <w:lvlText w:val="–"/>
      <w:lvlJc w:val="left"/>
      <w:pPr>
        <w:tabs>
          <w:tab w:val="num" w:pos="1440"/>
        </w:tabs>
        <w:ind w:left="1440" w:hanging="360"/>
      </w:pPr>
      <w:rPr>
        <w:rFonts w:ascii="Calibri" w:hAnsi="Calibri" w:hint="default"/>
      </w:rPr>
    </w:lvl>
    <w:lvl w:ilvl="2">
      <w:start w:val="1"/>
      <w:numFmt w:val="bullet"/>
      <w:lvlText w:val=""/>
      <w:lvlJc w:val="left"/>
      <w:pPr>
        <w:ind w:left="1080" w:firstLine="0"/>
      </w:pPr>
      <w:rPr>
        <w:rFonts w:ascii="Symbol" w:hAnsi="Symbol" w:hint="default"/>
      </w:rPr>
    </w:lvl>
    <w:lvl w:ilvl="3">
      <w:start w:val="1"/>
      <w:numFmt w:val="bullet"/>
      <w:lvlText w:val=""/>
      <w:lvlJc w:val="left"/>
      <w:pPr>
        <w:ind w:left="1080" w:firstLine="0"/>
      </w:pPr>
      <w:rPr>
        <w:rFonts w:ascii="Symbol" w:hAnsi="Symbol" w:hint="default"/>
      </w:rPr>
    </w:lvl>
    <w:lvl w:ilvl="4">
      <w:start w:val="1"/>
      <w:numFmt w:val="bullet"/>
      <w:lvlText w:val=""/>
      <w:lvlJc w:val="left"/>
      <w:pPr>
        <w:ind w:left="1080" w:firstLine="0"/>
      </w:pPr>
      <w:rPr>
        <w:rFonts w:ascii="Symbol" w:hAnsi="Symbol" w:hint="default"/>
      </w:rPr>
    </w:lvl>
    <w:lvl w:ilvl="5">
      <w:start w:val="1"/>
      <w:numFmt w:val="bullet"/>
      <w:lvlText w:val=""/>
      <w:lvlJc w:val="left"/>
      <w:pPr>
        <w:ind w:left="1080" w:firstLine="0"/>
      </w:pPr>
      <w:rPr>
        <w:rFonts w:ascii="Symbol" w:hAnsi="Symbol" w:hint="default"/>
      </w:rPr>
    </w:lvl>
    <w:lvl w:ilvl="6">
      <w:start w:val="1"/>
      <w:numFmt w:val="bullet"/>
      <w:lvlText w:val=""/>
      <w:lvlJc w:val="left"/>
      <w:pPr>
        <w:ind w:left="1080" w:firstLine="0"/>
      </w:pPr>
      <w:rPr>
        <w:rFonts w:ascii="Symbol" w:hAnsi="Symbol" w:hint="default"/>
      </w:rPr>
    </w:lvl>
    <w:lvl w:ilvl="7">
      <w:start w:val="1"/>
      <w:numFmt w:val="bullet"/>
      <w:lvlText w:val=""/>
      <w:lvlJc w:val="left"/>
      <w:pPr>
        <w:ind w:left="1080" w:firstLine="0"/>
      </w:pPr>
      <w:rPr>
        <w:rFonts w:ascii="Symbol" w:hAnsi="Symbol" w:hint="default"/>
      </w:rPr>
    </w:lvl>
    <w:lvl w:ilvl="8">
      <w:start w:val="1"/>
      <w:numFmt w:val="bullet"/>
      <w:lvlText w:val=""/>
      <w:lvlJc w:val="left"/>
      <w:pPr>
        <w:ind w:left="1080" w:firstLine="0"/>
      </w:pPr>
      <w:rPr>
        <w:rFonts w:ascii="Symbol" w:hAnsi="Symbol" w:hint="default"/>
      </w:rPr>
    </w:lvl>
  </w:abstractNum>
  <w:abstractNum w:abstractNumId="32"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DF81CA7"/>
    <w:multiLevelType w:val="hybridMultilevel"/>
    <w:tmpl w:val="F9C6DA42"/>
    <w:lvl w:ilvl="0" w:tplc="0C090003">
      <w:start w:val="1"/>
      <w:numFmt w:val="bullet"/>
      <w:lvlText w:val="o"/>
      <w:lvlJc w:val="left"/>
      <w:pPr>
        <w:ind w:left="360" w:hanging="360"/>
      </w:pPr>
      <w:rPr>
        <w:rFonts w:ascii="Courier New" w:hAnsi="Courier New" w:cs="Courier New" w:hint="default"/>
      </w:rPr>
    </w:lvl>
    <w:lvl w:ilvl="1" w:tplc="FFFFFFFF">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6E8B0DB8"/>
    <w:multiLevelType w:val="hybridMultilevel"/>
    <w:tmpl w:val="22B6F818"/>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35" w15:restartNumberingAfterBreak="0">
    <w:nsid w:val="784D033C"/>
    <w:multiLevelType w:val="multilevel"/>
    <w:tmpl w:val="520ABF06"/>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816186631">
    <w:abstractNumId w:val="35"/>
  </w:num>
  <w:num w:numId="2" w16cid:durableId="917793048">
    <w:abstractNumId w:val="22"/>
  </w:num>
  <w:num w:numId="3" w16cid:durableId="263461728">
    <w:abstractNumId w:val="0"/>
  </w:num>
  <w:num w:numId="4" w16cid:durableId="1533883230">
    <w:abstractNumId w:val="21"/>
  </w:num>
  <w:num w:numId="5" w16cid:durableId="220360847">
    <w:abstractNumId w:val="29"/>
  </w:num>
  <w:num w:numId="6" w16cid:durableId="1048839230">
    <w:abstractNumId w:val="35"/>
  </w:num>
  <w:num w:numId="7" w16cid:durableId="647633941">
    <w:abstractNumId w:val="8"/>
  </w:num>
  <w:num w:numId="8" w16cid:durableId="1096899493">
    <w:abstractNumId w:val="30"/>
  </w:num>
  <w:num w:numId="9" w16cid:durableId="1638144254">
    <w:abstractNumId w:val="18"/>
  </w:num>
  <w:num w:numId="10" w16cid:durableId="414519679">
    <w:abstractNumId w:val="20"/>
  </w:num>
  <w:num w:numId="11" w16cid:durableId="167137581">
    <w:abstractNumId w:val="16"/>
  </w:num>
  <w:num w:numId="12" w16cid:durableId="1887713449">
    <w:abstractNumId w:val="3"/>
  </w:num>
  <w:num w:numId="13" w16cid:durableId="806047641">
    <w:abstractNumId w:val="23"/>
  </w:num>
  <w:num w:numId="14" w16cid:durableId="1558738968">
    <w:abstractNumId w:val="9"/>
  </w:num>
  <w:num w:numId="15" w16cid:durableId="1253124508">
    <w:abstractNumId w:val="14"/>
  </w:num>
  <w:num w:numId="16" w16cid:durableId="2146653526">
    <w:abstractNumId w:val="2"/>
  </w:num>
  <w:num w:numId="17" w16cid:durableId="1640724416">
    <w:abstractNumId w:val="4"/>
  </w:num>
  <w:num w:numId="18" w16cid:durableId="1890845586">
    <w:abstractNumId w:val="31"/>
  </w:num>
  <w:num w:numId="19" w16cid:durableId="654380436">
    <w:abstractNumId w:val="11"/>
  </w:num>
  <w:num w:numId="20" w16cid:durableId="1855682155">
    <w:abstractNumId w:val="27"/>
  </w:num>
  <w:num w:numId="21" w16cid:durableId="915552519">
    <w:abstractNumId w:val="34"/>
  </w:num>
  <w:num w:numId="22" w16cid:durableId="2130194835">
    <w:abstractNumId w:val="13"/>
  </w:num>
  <w:num w:numId="23" w16cid:durableId="1990475092">
    <w:abstractNumId w:val="33"/>
  </w:num>
  <w:num w:numId="24" w16cid:durableId="408699874">
    <w:abstractNumId w:val="25"/>
  </w:num>
  <w:num w:numId="25" w16cid:durableId="1569418770">
    <w:abstractNumId w:val="5"/>
  </w:num>
  <w:num w:numId="26" w16cid:durableId="705176722">
    <w:abstractNumId w:val="1"/>
  </w:num>
  <w:num w:numId="27" w16cid:durableId="1926569401">
    <w:abstractNumId w:val="12"/>
  </w:num>
  <w:num w:numId="28" w16cid:durableId="1979457665">
    <w:abstractNumId w:val="15"/>
  </w:num>
  <w:num w:numId="29" w16cid:durableId="2038313566">
    <w:abstractNumId w:val="10"/>
  </w:num>
  <w:num w:numId="30" w16cid:durableId="1297443176">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9997201">
    <w:abstractNumId w:val="32"/>
  </w:num>
  <w:num w:numId="32" w16cid:durableId="901063933">
    <w:abstractNumId w:val="6"/>
  </w:num>
  <w:num w:numId="33" w16cid:durableId="1539588549">
    <w:abstractNumId w:val="24"/>
  </w:num>
  <w:num w:numId="34" w16cid:durableId="723530813">
    <w:abstractNumId w:val="19"/>
  </w:num>
  <w:num w:numId="35" w16cid:durableId="1551841339">
    <w:abstractNumId w:val="35"/>
  </w:num>
  <w:num w:numId="36" w16cid:durableId="2059471342">
    <w:abstractNumId w:val="35"/>
  </w:num>
  <w:num w:numId="37" w16cid:durableId="1299991368">
    <w:abstractNumId w:val="26"/>
  </w:num>
  <w:num w:numId="38" w16cid:durableId="531647274">
    <w:abstractNumId w:val="17"/>
  </w:num>
  <w:num w:numId="39" w16cid:durableId="653799724">
    <w:abstractNumId w:val="35"/>
  </w:num>
  <w:num w:numId="40" w16cid:durableId="1161429645">
    <w:abstractNumId w:val="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 modified&lt;/Style&gt;&lt;LeftDelim&gt;{&lt;/LeftDelim&gt;&lt;RightDelim&gt;}&lt;/RightDelim&gt;&lt;FontName&gt;Arial Narrow&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srzadesvvrtfwew2pepvszp9ev5vtrz22zp&quot;&gt;NEMO Endnote_OC&lt;record-ids&gt;&lt;item&gt;1&lt;/item&gt;&lt;item&gt;2&lt;/item&gt;&lt;item&gt;3&lt;/item&gt;&lt;item&gt;5&lt;/item&gt;&lt;item&gt;6&lt;/item&gt;&lt;item&gt;7&lt;/item&gt;&lt;item&gt;8&lt;/item&gt;&lt;item&gt;9&lt;/item&gt;&lt;item&gt;10&lt;/item&gt;&lt;item&gt;11&lt;/item&gt;&lt;item&gt;12&lt;/item&gt;&lt;item&gt;13&lt;/item&gt;&lt;item&gt;14&lt;/item&gt;&lt;item&gt;15&lt;/item&gt;&lt;item&gt;16&lt;/item&gt;&lt;item&gt;18&lt;/item&gt;&lt;item&gt;19&lt;/item&gt;&lt;item&gt;20&lt;/item&gt;&lt;item&gt;21&lt;/item&gt;&lt;item&gt;22&lt;/item&gt;&lt;/record-ids&gt;&lt;/item&gt;&lt;/Libraries&gt;"/>
  </w:docVars>
  <w:rsids>
    <w:rsidRoot w:val="00E65E79"/>
    <w:rsid w:val="00000790"/>
    <w:rsid w:val="00000FD0"/>
    <w:rsid w:val="0000110B"/>
    <w:rsid w:val="00002B85"/>
    <w:rsid w:val="00002D66"/>
    <w:rsid w:val="00003499"/>
    <w:rsid w:val="000037A2"/>
    <w:rsid w:val="000039B7"/>
    <w:rsid w:val="00003B7E"/>
    <w:rsid w:val="00004805"/>
    <w:rsid w:val="000049E0"/>
    <w:rsid w:val="000056B9"/>
    <w:rsid w:val="00005E55"/>
    <w:rsid w:val="0000639A"/>
    <w:rsid w:val="000064BE"/>
    <w:rsid w:val="000101EB"/>
    <w:rsid w:val="0001157E"/>
    <w:rsid w:val="0001161D"/>
    <w:rsid w:val="00011A2C"/>
    <w:rsid w:val="00011BBD"/>
    <w:rsid w:val="000124A3"/>
    <w:rsid w:val="0001292A"/>
    <w:rsid w:val="0001298B"/>
    <w:rsid w:val="00013247"/>
    <w:rsid w:val="000150C8"/>
    <w:rsid w:val="000152DC"/>
    <w:rsid w:val="00015886"/>
    <w:rsid w:val="0001619B"/>
    <w:rsid w:val="000162EF"/>
    <w:rsid w:val="00016F27"/>
    <w:rsid w:val="000170CC"/>
    <w:rsid w:val="0001747B"/>
    <w:rsid w:val="0001750A"/>
    <w:rsid w:val="000207C9"/>
    <w:rsid w:val="0002225F"/>
    <w:rsid w:val="0002276C"/>
    <w:rsid w:val="00023485"/>
    <w:rsid w:val="00023763"/>
    <w:rsid w:val="00024966"/>
    <w:rsid w:val="00024EB5"/>
    <w:rsid w:val="000260B2"/>
    <w:rsid w:val="00026B4B"/>
    <w:rsid w:val="00026D60"/>
    <w:rsid w:val="000274B8"/>
    <w:rsid w:val="000302C1"/>
    <w:rsid w:val="00030962"/>
    <w:rsid w:val="00031411"/>
    <w:rsid w:val="00031643"/>
    <w:rsid w:val="00031F92"/>
    <w:rsid w:val="00032673"/>
    <w:rsid w:val="00033863"/>
    <w:rsid w:val="000339F6"/>
    <w:rsid w:val="00035AFD"/>
    <w:rsid w:val="00035DC0"/>
    <w:rsid w:val="000365F7"/>
    <w:rsid w:val="00036829"/>
    <w:rsid w:val="0003773E"/>
    <w:rsid w:val="000378EE"/>
    <w:rsid w:val="00037CC4"/>
    <w:rsid w:val="00037E49"/>
    <w:rsid w:val="00040043"/>
    <w:rsid w:val="00040895"/>
    <w:rsid w:val="000409F2"/>
    <w:rsid w:val="000410A0"/>
    <w:rsid w:val="0004135E"/>
    <w:rsid w:val="000417CB"/>
    <w:rsid w:val="00041ADE"/>
    <w:rsid w:val="000422B2"/>
    <w:rsid w:val="0004233A"/>
    <w:rsid w:val="00042E85"/>
    <w:rsid w:val="00043218"/>
    <w:rsid w:val="000432E2"/>
    <w:rsid w:val="0004348E"/>
    <w:rsid w:val="0004356D"/>
    <w:rsid w:val="000435EE"/>
    <w:rsid w:val="00043C37"/>
    <w:rsid w:val="00044A76"/>
    <w:rsid w:val="00045017"/>
    <w:rsid w:val="00045A2B"/>
    <w:rsid w:val="00045C40"/>
    <w:rsid w:val="000468E1"/>
    <w:rsid w:val="0004698F"/>
    <w:rsid w:val="00046D64"/>
    <w:rsid w:val="00047C0B"/>
    <w:rsid w:val="0005021A"/>
    <w:rsid w:val="0005051D"/>
    <w:rsid w:val="00050780"/>
    <w:rsid w:val="000508C2"/>
    <w:rsid w:val="00050E71"/>
    <w:rsid w:val="000539D0"/>
    <w:rsid w:val="00054621"/>
    <w:rsid w:val="000546D7"/>
    <w:rsid w:val="00054A8D"/>
    <w:rsid w:val="00055C53"/>
    <w:rsid w:val="00056ECF"/>
    <w:rsid w:val="000604DF"/>
    <w:rsid w:val="000614B3"/>
    <w:rsid w:val="00061781"/>
    <w:rsid w:val="000618F8"/>
    <w:rsid w:val="0006191C"/>
    <w:rsid w:val="00062324"/>
    <w:rsid w:val="00062FCB"/>
    <w:rsid w:val="0006366B"/>
    <w:rsid w:val="000636EC"/>
    <w:rsid w:val="00063AAE"/>
    <w:rsid w:val="00064B27"/>
    <w:rsid w:val="00064FAF"/>
    <w:rsid w:val="000653B5"/>
    <w:rsid w:val="0006544F"/>
    <w:rsid w:val="00066360"/>
    <w:rsid w:val="00066AF8"/>
    <w:rsid w:val="00066EB3"/>
    <w:rsid w:val="00067B66"/>
    <w:rsid w:val="0007086B"/>
    <w:rsid w:val="00070B07"/>
    <w:rsid w:val="00070FA5"/>
    <w:rsid w:val="00071248"/>
    <w:rsid w:val="000720B9"/>
    <w:rsid w:val="00072FC8"/>
    <w:rsid w:val="000732D8"/>
    <w:rsid w:val="000737F7"/>
    <w:rsid w:val="0007405F"/>
    <w:rsid w:val="0007454E"/>
    <w:rsid w:val="0007672F"/>
    <w:rsid w:val="00076A7D"/>
    <w:rsid w:val="00076B54"/>
    <w:rsid w:val="00077437"/>
    <w:rsid w:val="000774F0"/>
    <w:rsid w:val="00080568"/>
    <w:rsid w:val="00080828"/>
    <w:rsid w:val="000808C2"/>
    <w:rsid w:val="00080909"/>
    <w:rsid w:val="000812CA"/>
    <w:rsid w:val="00081E63"/>
    <w:rsid w:val="00082077"/>
    <w:rsid w:val="0008258D"/>
    <w:rsid w:val="000837B2"/>
    <w:rsid w:val="000838B0"/>
    <w:rsid w:val="000839B9"/>
    <w:rsid w:val="000839E2"/>
    <w:rsid w:val="00083E99"/>
    <w:rsid w:val="00084776"/>
    <w:rsid w:val="00084FA8"/>
    <w:rsid w:val="00085324"/>
    <w:rsid w:val="00085582"/>
    <w:rsid w:val="000856C5"/>
    <w:rsid w:val="00085C31"/>
    <w:rsid w:val="00087251"/>
    <w:rsid w:val="000878B2"/>
    <w:rsid w:val="0009007E"/>
    <w:rsid w:val="000902D9"/>
    <w:rsid w:val="000904B8"/>
    <w:rsid w:val="00090537"/>
    <w:rsid w:val="00090981"/>
    <w:rsid w:val="00090C7E"/>
    <w:rsid w:val="00091100"/>
    <w:rsid w:val="000911AC"/>
    <w:rsid w:val="00091279"/>
    <w:rsid w:val="00091CD6"/>
    <w:rsid w:val="0009235A"/>
    <w:rsid w:val="000925FE"/>
    <w:rsid w:val="00092600"/>
    <w:rsid w:val="0009262B"/>
    <w:rsid w:val="00093310"/>
    <w:rsid w:val="0009445C"/>
    <w:rsid w:val="00095104"/>
    <w:rsid w:val="00095200"/>
    <w:rsid w:val="00095FC0"/>
    <w:rsid w:val="00095FE5"/>
    <w:rsid w:val="00096284"/>
    <w:rsid w:val="00096F80"/>
    <w:rsid w:val="000A0A51"/>
    <w:rsid w:val="000A1BC0"/>
    <w:rsid w:val="000A2F9E"/>
    <w:rsid w:val="000A35E7"/>
    <w:rsid w:val="000A3E47"/>
    <w:rsid w:val="000A47F7"/>
    <w:rsid w:val="000A522B"/>
    <w:rsid w:val="000A559D"/>
    <w:rsid w:val="000A55DB"/>
    <w:rsid w:val="000A6039"/>
    <w:rsid w:val="000A7453"/>
    <w:rsid w:val="000A7476"/>
    <w:rsid w:val="000A7D08"/>
    <w:rsid w:val="000B0121"/>
    <w:rsid w:val="000B0670"/>
    <w:rsid w:val="000B0D33"/>
    <w:rsid w:val="000B0E75"/>
    <w:rsid w:val="000B0F0A"/>
    <w:rsid w:val="000B1FC7"/>
    <w:rsid w:val="000B217D"/>
    <w:rsid w:val="000B2214"/>
    <w:rsid w:val="000B29FE"/>
    <w:rsid w:val="000B2DCB"/>
    <w:rsid w:val="000B46CC"/>
    <w:rsid w:val="000B4EB5"/>
    <w:rsid w:val="000B5635"/>
    <w:rsid w:val="000B5CE0"/>
    <w:rsid w:val="000B5F72"/>
    <w:rsid w:val="000B6CAC"/>
    <w:rsid w:val="000B72E5"/>
    <w:rsid w:val="000B7612"/>
    <w:rsid w:val="000B78AE"/>
    <w:rsid w:val="000C04BE"/>
    <w:rsid w:val="000C0BF6"/>
    <w:rsid w:val="000C1D36"/>
    <w:rsid w:val="000C1D73"/>
    <w:rsid w:val="000C1F0D"/>
    <w:rsid w:val="000C2F57"/>
    <w:rsid w:val="000C3DF9"/>
    <w:rsid w:val="000C455A"/>
    <w:rsid w:val="000C4C7D"/>
    <w:rsid w:val="000C4CF2"/>
    <w:rsid w:val="000C5345"/>
    <w:rsid w:val="000C5B7A"/>
    <w:rsid w:val="000C5FB9"/>
    <w:rsid w:val="000C61BB"/>
    <w:rsid w:val="000C655A"/>
    <w:rsid w:val="000C6713"/>
    <w:rsid w:val="000C78C6"/>
    <w:rsid w:val="000C7A58"/>
    <w:rsid w:val="000D0780"/>
    <w:rsid w:val="000D0E55"/>
    <w:rsid w:val="000D1BFC"/>
    <w:rsid w:val="000D1D5D"/>
    <w:rsid w:val="000D281A"/>
    <w:rsid w:val="000D2848"/>
    <w:rsid w:val="000D2A44"/>
    <w:rsid w:val="000D326A"/>
    <w:rsid w:val="000D36C9"/>
    <w:rsid w:val="000D3C96"/>
    <w:rsid w:val="000D3D0A"/>
    <w:rsid w:val="000D3E01"/>
    <w:rsid w:val="000D43F5"/>
    <w:rsid w:val="000D467B"/>
    <w:rsid w:val="000D51FB"/>
    <w:rsid w:val="000D52D9"/>
    <w:rsid w:val="000D5E6F"/>
    <w:rsid w:val="000D6364"/>
    <w:rsid w:val="000D6C11"/>
    <w:rsid w:val="000D759F"/>
    <w:rsid w:val="000E0640"/>
    <w:rsid w:val="000E079A"/>
    <w:rsid w:val="000E113E"/>
    <w:rsid w:val="000E135D"/>
    <w:rsid w:val="000E1CA5"/>
    <w:rsid w:val="000E28D7"/>
    <w:rsid w:val="000E29A3"/>
    <w:rsid w:val="000E2AA9"/>
    <w:rsid w:val="000E3040"/>
    <w:rsid w:val="000E3F99"/>
    <w:rsid w:val="000E4739"/>
    <w:rsid w:val="000E4C4B"/>
    <w:rsid w:val="000E6661"/>
    <w:rsid w:val="000E6BD5"/>
    <w:rsid w:val="000E78EB"/>
    <w:rsid w:val="000E7A94"/>
    <w:rsid w:val="000F00BA"/>
    <w:rsid w:val="000F149A"/>
    <w:rsid w:val="000F1B6D"/>
    <w:rsid w:val="000F23CC"/>
    <w:rsid w:val="000F2753"/>
    <w:rsid w:val="000F2944"/>
    <w:rsid w:val="000F316A"/>
    <w:rsid w:val="000F328F"/>
    <w:rsid w:val="000F3575"/>
    <w:rsid w:val="000F38C9"/>
    <w:rsid w:val="000F3C74"/>
    <w:rsid w:val="000F3FDE"/>
    <w:rsid w:val="000F4AB9"/>
    <w:rsid w:val="000F4B68"/>
    <w:rsid w:val="000F4BB8"/>
    <w:rsid w:val="000F4FA9"/>
    <w:rsid w:val="000F53FB"/>
    <w:rsid w:val="000F61C4"/>
    <w:rsid w:val="000F7127"/>
    <w:rsid w:val="000F7B54"/>
    <w:rsid w:val="000F7E07"/>
    <w:rsid w:val="00100063"/>
    <w:rsid w:val="001000B3"/>
    <w:rsid w:val="0010064A"/>
    <w:rsid w:val="00100F8A"/>
    <w:rsid w:val="001010D5"/>
    <w:rsid w:val="0010144C"/>
    <w:rsid w:val="00101473"/>
    <w:rsid w:val="001015E7"/>
    <w:rsid w:val="00101E6E"/>
    <w:rsid w:val="0010320E"/>
    <w:rsid w:val="00103EBC"/>
    <w:rsid w:val="00104248"/>
    <w:rsid w:val="0010452E"/>
    <w:rsid w:val="00105AE2"/>
    <w:rsid w:val="001060C6"/>
    <w:rsid w:val="00106B80"/>
    <w:rsid w:val="00106D51"/>
    <w:rsid w:val="0010707F"/>
    <w:rsid w:val="0010736F"/>
    <w:rsid w:val="001078E3"/>
    <w:rsid w:val="00107B93"/>
    <w:rsid w:val="0011032E"/>
    <w:rsid w:val="001111C5"/>
    <w:rsid w:val="00112090"/>
    <w:rsid w:val="00112EAF"/>
    <w:rsid w:val="0011348B"/>
    <w:rsid w:val="00113700"/>
    <w:rsid w:val="00115097"/>
    <w:rsid w:val="00115982"/>
    <w:rsid w:val="001159D9"/>
    <w:rsid w:val="00116096"/>
    <w:rsid w:val="00116C53"/>
    <w:rsid w:val="00117258"/>
    <w:rsid w:val="00117606"/>
    <w:rsid w:val="00117E3E"/>
    <w:rsid w:val="00120A76"/>
    <w:rsid w:val="0012120B"/>
    <w:rsid w:val="001213E1"/>
    <w:rsid w:val="00121799"/>
    <w:rsid w:val="001222FC"/>
    <w:rsid w:val="001228D3"/>
    <w:rsid w:val="00123018"/>
    <w:rsid w:val="00123902"/>
    <w:rsid w:val="00124A51"/>
    <w:rsid w:val="00125B91"/>
    <w:rsid w:val="00126621"/>
    <w:rsid w:val="00126B1D"/>
    <w:rsid w:val="0012737C"/>
    <w:rsid w:val="001301E9"/>
    <w:rsid w:val="00131D82"/>
    <w:rsid w:val="0013215F"/>
    <w:rsid w:val="001328D6"/>
    <w:rsid w:val="00132B22"/>
    <w:rsid w:val="00132B76"/>
    <w:rsid w:val="00132C5A"/>
    <w:rsid w:val="00132FC1"/>
    <w:rsid w:val="00133A25"/>
    <w:rsid w:val="00133D36"/>
    <w:rsid w:val="00134228"/>
    <w:rsid w:val="00134690"/>
    <w:rsid w:val="001354F0"/>
    <w:rsid w:val="00137645"/>
    <w:rsid w:val="0014015A"/>
    <w:rsid w:val="00140E99"/>
    <w:rsid w:val="00141BA3"/>
    <w:rsid w:val="00141C7D"/>
    <w:rsid w:val="0014204D"/>
    <w:rsid w:val="00142558"/>
    <w:rsid w:val="0014274D"/>
    <w:rsid w:val="001427FE"/>
    <w:rsid w:val="00142BE3"/>
    <w:rsid w:val="001439E2"/>
    <w:rsid w:val="00143A21"/>
    <w:rsid w:val="00143F67"/>
    <w:rsid w:val="001447DC"/>
    <w:rsid w:val="00144C9B"/>
    <w:rsid w:val="00145218"/>
    <w:rsid w:val="00145234"/>
    <w:rsid w:val="0014553E"/>
    <w:rsid w:val="00145540"/>
    <w:rsid w:val="001456B0"/>
    <w:rsid w:val="001467C0"/>
    <w:rsid w:val="0014789D"/>
    <w:rsid w:val="00150428"/>
    <w:rsid w:val="00151384"/>
    <w:rsid w:val="00151938"/>
    <w:rsid w:val="00151ADE"/>
    <w:rsid w:val="00151F27"/>
    <w:rsid w:val="001547AB"/>
    <w:rsid w:val="0015486F"/>
    <w:rsid w:val="0015549C"/>
    <w:rsid w:val="001565F2"/>
    <w:rsid w:val="00156D4E"/>
    <w:rsid w:val="00156F8F"/>
    <w:rsid w:val="00157130"/>
    <w:rsid w:val="001576B1"/>
    <w:rsid w:val="0016047B"/>
    <w:rsid w:val="00160629"/>
    <w:rsid w:val="001609FF"/>
    <w:rsid w:val="00160A4C"/>
    <w:rsid w:val="00161C32"/>
    <w:rsid w:val="00162066"/>
    <w:rsid w:val="00162913"/>
    <w:rsid w:val="00162A72"/>
    <w:rsid w:val="00162BA8"/>
    <w:rsid w:val="00163EFF"/>
    <w:rsid w:val="00163F66"/>
    <w:rsid w:val="00164569"/>
    <w:rsid w:val="0016478E"/>
    <w:rsid w:val="00165EC4"/>
    <w:rsid w:val="001661FB"/>
    <w:rsid w:val="0016695A"/>
    <w:rsid w:val="001671A0"/>
    <w:rsid w:val="00167674"/>
    <w:rsid w:val="0016767F"/>
    <w:rsid w:val="00167892"/>
    <w:rsid w:val="0017262C"/>
    <w:rsid w:val="00172885"/>
    <w:rsid w:val="00172AA6"/>
    <w:rsid w:val="00173565"/>
    <w:rsid w:val="00173B07"/>
    <w:rsid w:val="001741A1"/>
    <w:rsid w:val="001751FA"/>
    <w:rsid w:val="00175C16"/>
    <w:rsid w:val="001760FA"/>
    <w:rsid w:val="00177A63"/>
    <w:rsid w:val="001811FD"/>
    <w:rsid w:val="0018171D"/>
    <w:rsid w:val="00181C10"/>
    <w:rsid w:val="00181CD5"/>
    <w:rsid w:val="00181D9C"/>
    <w:rsid w:val="001828E5"/>
    <w:rsid w:val="0018324D"/>
    <w:rsid w:val="001837FF"/>
    <w:rsid w:val="00183DEB"/>
    <w:rsid w:val="00184A60"/>
    <w:rsid w:val="00184B0E"/>
    <w:rsid w:val="00184C87"/>
    <w:rsid w:val="001867E7"/>
    <w:rsid w:val="0018752F"/>
    <w:rsid w:val="00190B96"/>
    <w:rsid w:val="001914B8"/>
    <w:rsid w:val="001920DF"/>
    <w:rsid w:val="0019259A"/>
    <w:rsid w:val="0019259D"/>
    <w:rsid w:val="0019274C"/>
    <w:rsid w:val="00192849"/>
    <w:rsid w:val="00193838"/>
    <w:rsid w:val="00193BE3"/>
    <w:rsid w:val="00194AD8"/>
    <w:rsid w:val="00194FEE"/>
    <w:rsid w:val="0019509B"/>
    <w:rsid w:val="00195222"/>
    <w:rsid w:val="00195452"/>
    <w:rsid w:val="00196EA6"/>
    <w:rsid w:val="001975D8"/>
    <w:rsid w:val="00197A8A"/>
    <w:rsid w:val="001A06F7"/>
    <w:rsid w:val="001A0795"/>
    <w:rsid w:val="001A119E"/>
    <w:rsid w:val="001A178E"/>
    <w:rsid w:val="001A1B01"/>
    <w:rsid w:val="001A2169"/>
    <w:rsid w:val="001A314A"/>
    <w:rsid w:val="001A3DA8"/>
    <w:rsid w:val="001A3E76"/>
    <w:rsid w:val="001A3FE2"/>
    <w:rsid w:val="001A43FA"/>
    <w:rsid w:val="001A47C5"/>
    <w:rsid w:val="001A4F3C"/>
    <w:rsid w:val="001A59FB"/>
    <w:rsid w:val="001A5CC6"/>
    <w:rsid w:val="001A5E9E"/>
    <w:rsid w:val="001A5F22"/>
    <w:rsid w:val="001A6354"/>
    <w:rsid w:val="001A6366"/>
    <w:rsid w:val="001A67D4"/>
    <w:rsid w:val="001A6904"/>
    <w:rsid w:val="001A6946"/>
    <w:rsid w:val="001A6A1B"/>
    <w:rsid w:val="001A6E8E"/>
    <w:rsid w:val="001A7AE8"/>
    <w:rsid w:val="001B0538"/>
    <w:rsid w:val="001B204E"/>
    <w:rsid w:val="001B2372"/>
    <w:rsid w:val="001B2B67"/>
    <w:rsid w:val="001B3443"/>
    <w:rsid w:val="001B4D20"/>
    <w:rsid w:val="001B5807"/>
    <w:rsid w:val="001B5DF8"/>
    <w:rsid w:val="001B79CA"/>
    <w:rsid w:val="001B7F84"/>
    <w:rsid w:val="001C1095"/>
    <w:rsid w:val="001C1A06"/>
    <w:rsid w:val="001C1A3B"/>
    <w:rsid w:val="001C1E12"/>
    <w:rsid w:val="001C1E5A"/>
    <w:rsid w:val="001C2A9B"/>
    <w:rsid w:val="001C2D73"/>
    <w:rsid w:val="001C3C3C"/>
    <w:rsid w:val="001C3DD6"/>
    <w:rsid w:val="001C4299"/>
    <w:rsid w:val="001C4874"/>
    <w:rsid w:val="001C5842"/>
    <w:rsid w:val="001C5936"/>
    <w:rsid w:val="001C5F94"/>
    <w:rsid w:val="001C62AB"/>
    <w:rsid w:val="001C6E2D"/>
    <w:rsid w:val="001C6E66"/>
    <w:rsid w:val="001C7BF2"/>
    <w:rsid w:val="001C7D8B"/>
    <w:rsid w:val="001D1100"/>
    <w:rsid w:val="001D1391"/>
    <w:rsid w:val="001D1984"/>
    <w:rsid w:val="001D1D32"/>
    <w:rsid w:val="001D1D52"/>
    <w:rsid w:val="001D223B"/>
    <w:rsid w:val="001D25D7"/>
    <w:rsid w:val="001D286D"/>
    <w:rsid w:val="001D50B2"/>
    <w:rsid w:val="001D55D0"/>
    <w:rsid w:val="001D5B6E"/>
    <w:rsid w:val="001D71F4"/>
    <w:rsid w:val="001D7645"/>
    <w:rsid w:val="001D7852"/>
    <w:rsid w:val="001E0D70"/>
    <w:rsid w:val="001E1215"/>
    <w:rsid w:val="001E1E86"/>
    <w:rsid w:val="001E238E"/>
    <w:rsid w:val="001E2483"/>
    <w:rsid w:val="001E24F6"/>
    <w:rsid w:val="001E29A3"/>
    <w:rsid w:val="001E2A7D"/>
    <w:rsid w:val="001E2B1E"/>
    <w:rsid w:val="001E2CFF"/>
    <w:rsid w:val="001E2F24"/>
    <w:rsid w:val="001E30D4"/>
    <w:rsid w:val="001E34DF"/>
    <w:rsid w:val="001E36BE"/>
    <w:rsid w:val="001E36D3"/>
    <w:rsid w:val="001E423E"/>
    <w:rsid w:val="001E48E1"/>
    <w:rsid w:val="001E4CFE"/>
    <w:rsid w:val="001E5246"/>
    <w:rsid w:val="001E52EB"/>
    <w:rsid w:val="001E5420"/>
    <w:rsid w:val="001E61D2"/>
    <w:rsid w:val="001E651B"/>
    <w:rsid w:val="001E740C"/>
    <w:rsid w:val="001F07D9"/>
    <w:rsid w:val="001F1163"/>
    <w:rsid w:val="001F1235"/>
    <w:rsid w:val="001F15CD"/>
    <w:rsid w:val="001F1CB3"/>
    <w:rsid w:val="001F1CDA"/>
    <w:rsid w:val="001F3399"/>
    <w:rsid w:val="001F33B0"/>
    <w:rsid w:val="001F38B5"/>
    <w:rsid w:val="001F4081"/>
    <w:rsid w:val="001F5E45"/>
    <w:rsid w:val="001F6066"/>
    <w:rsid w:val="001F677D"/>
    <w:rsid w:val="001F689E"/>
    <w:rsid w:val="001F7361"/>
    <w:rsid w:val="001F741C"/>
    <w:rsid w:val="00200E26"/>
    <w:rsid w:val="002011B0"/>
    <w:rsid w:val="002011C4"/>
    <w:rsid w:val="002016B9"/>
    <w:rsid w:val="00203181"/>
    <w:rsid w:val="00203421"/>
    <w:rsid w:val="00203750"/>
    <w:rsid w:val="00203783"/>
    <w:rsid w:val="0020385F"/>
    <w:rsid w:val="00203A52"/>
    <w:rsid w:val="00203FAE"/>
    <w:rsid w:val="0020444C"/>
    <w:rsid w:val="00204E6B"/>
    <w:rsid w:val="0020511A"/>
    <w:rsid w:val="00205D7F"/>
    <w:rsid w:val="002060F8"/>
    <w:rsid w:val="002068A0"/>
    <w:rsid w:val="00207021"/>
    <w:rsid w:val="00207045"/>
    <w:rsid w:val="0020732F"/>
    <w:rsid w:val="00207D00"/>
    <w:rsid w:val="00210121"/>
    <w:rsid w:val="002105C1"/>
    <w:rsid w:val="00211247"/>
    <w:rsid w:val="002113AE"/>
    <w:rsid w:val="002116FD"/>
    <w:rsid w:val="00211B0B"/>
    <w:rsid w:val="00211E1F"/>
    <w:rsid w:val="00212D3F"/>
    <w:rsid w:val="00213149"/>
    <w:rsid w:val="00213999"/>
    <w:rsid w:val="00213EF5"/>
    <w:rsid w:val="00214726"/>
    <w:rsid w:val="00214A1B"/>
    <w:rsid w:val="00214B64"/>
    <w:rsid w:val="00215203"/>
    <w:rsid w:val="002163C0"/>
    <w:rsid w:val="00216BF5"/>
    <w:rsid w:val="00216CC4"/>
    <w:rsid w:val="00217163"/>
    <w:rsid w:val="00220E63"/>
    <w:rsid w:val="0022104E"/>
    <w:rsid w:val="0022164D"/>
    <w:rsid w:val="002223F9"/>
    <w:rsid w:val="0022240A"/>
    <w:rsid w:val="00222882"/>
    <w:rsid w:val="002228D8"/>
    <w:rsid w:val="00222D16"/>
    <w:rsid w:val="002234AF"/>
    <w:rsid w:val="00223B49"/>
    <w:rsid w:val="00223C5A"/>
    <w:rsid w:val="00223D5A"/>
    <w:rsid w:val="00223D9E"/>
    <w:rsid w:val="00224600"/>
    <w:rsid w:val="002246C5"/>
    <w:rsid w:val="00224DD4"/>
    <w:rsid w:val="0022530D"/>
    <w:rsid w:val="00225552"/>
    <w:rsid w:val="00225E1A"/>
    <w:rsid w:val="002278A0"/>
    <w:rsid w:val="00230254"/>
    <w:rsid w:val="00230393"/>
    <w:rsid w:val="002309CC"/>
    <w:rsid w:val="002318B0"/>
    <w:rsid w:val="00231BA9"/>
    <w:rsid w:val="0023209F"/>
    <w:rsid w:val="00232AEC"/>
    <w:rsid w:val="002333B5"/>
    <w:rsid w:val="00233C01"/>
    <w:rsid w:val="0023406B"/>
    <w:rsid w:val="0023413C"/>
    <w:rsid w:val="002342C4"/>
    <w:rsid w:val="002346F0"/>
    <w:rsid w:val="00234F86"/>
    <w:rsid w:val="00235541"/>
    <w:rsid w:val="0023629D"/>
    <w:rsid w:val="002366E5"/>
    <w:rsid w:val="00236995"/>
    <w:rsid w:val="00237255"/>
    <w:rsid w:val="002372E4"/>
    <w:rsid w:val="00237883"/>
    <w:rsid w:val="002401EF"/>
    <w:rsid w:val="00240402"/>
    <w:rsid w:val="00240F4B"/>
    <w:rsid w:val="0024108A"/>
    <w:rsid w:val="0024117A"/>
    <w:rsid w:val="002424AF"/>
    <w:rsid w:val="00242756"/>
    <w:rsid w:val="00243234"/>
    <w:rsid w:val="0024379E"/>
    <w:rsid w:val="002439DC"/>
    <w:rsid w:val="00243E95"/>
    <w:rsid w:val="00244152"/>
    <w:rsid w:val="002441D2"/>
    <w:rsid w:val="002449CC"/>
    <w:rsid w:val="00244DC8"/>
    <w:rsid w:val="002450B5"/>
    <w:rsid w:val="002452FF"/>
    <w:rsid w:val="002458BA"/>
    <w:rsid w:val="00245CE9"/>
    <w:rsid w:val="0024636C"/>
    <w:rsid w:val="00247925"/>
    <w:rsid w:val="0025098D"/>
    <w:rsid w:val="00250BED"/>
    <w:rsid w:val="00251006"/>
    <w:rsid w:val="002524D5"/>
    <w:rsid w:val="00252F68"/>
    <w:rsid w:val="002538DE"/>
    <w:rsid w:val="00253A29"/>
    <w:rsid w:val="00253B1D"/>
    <w:rsid w:val="002540A7"/>
    <w:rsid w:val="00254CBA"/>
    <w:rsid w:val="00254DCF"/>
    <w:rsid w:val="0025534B"/>
    <w:rsid w:val="00255BB7"/>
    <w:rsid w:val="00255BDF"/>
    <w:rsid w:val="00257541"/>
    <w:rsid w:val="00257A39"/>
    <w:rsid w:val="00257AC4"/>
    <w:rsid w:val="00257BBE"/>
    <w:rsid w:val="002600FB"/>
    <w:rsid w:val="002601CB"/>
    <w:rsid w:val="002602A0"/>
    <w:rsid w:val="00260552"/>
    <w:rsid w:val="0026191A"/>
    <w:rsid w:val="00261C45"/>
    <w:rsid w:val="00261EEF"/>
    <w:rsid w:val="00261F6B"/>
    <w:rsid w:val="00262266"/>
    <w:rsid w:val="002624DF"/>
    <w:rsid w:val="00262A1A"/>
    <w:rsid w:val="00262A87"/>
    <w:rsid w:val="002637A7"/>
    <w:rsid w:val="00263EB4"/>
    <w:rsid w:val="00264D26"/>
    <w:rsid w:val="0026703B"/>
    <w:rsid w:val="0026748C"/>
    <w:rsid w:val="0026753A"/>
    <w:rsid w:val="00267642"/>
    <w:rsid w:val="00267AEA"/>
    <w:rsid w:val="002700E6"/>
    <w:rsid w:val="002717C6"/>
    <w:rsid w:val="00271C0C"/>
    <w:rsid w:val="0027294B"/>
    <w:rsid w:val="00273107"/>
    <w:rsid w:val="00273431"/>
    <w:rsid w:val="00273AE0"/>
    <w:rsid w:val="00273EB4"/>
    <w:rsid w:val="00274682"/>
    <w:rsid w:val="00275158"/>
    <w:rsid w:val="0027554A"/>
    <w:rsid w:val="00275C5A"/>
    <w:rsid w:val="00276173"/>
    <w:rsid w:val="002761C9"/>
    <w:rsid w:val="0027628C"/>
    <w:rsid w:val="00277AA8"/>
    <w:rsid w:val="0028081D"/>
    <w:rsid w:val="00281014"/>
    <w:rsid w:val="00281BA7"/>
    <w:rsid w:val="00281BB3"/>
    <w:rsid w:val="002820E5"/>
    <w:rsid w:val="002823A6"/>
    <w:rsid w:val="00282C92"/>
    <w:rsid w:val="002833B2"/>
    <w:rsid w:val="00285BCE"/>
    <w:rsid w:val="00285C5D"/>
    <w:rsid w:val="0028665D"/>
    <w:rsid w:val="0028670F"/>
    <w:rsid w:val="00286DF6"/>
    <w:rsid w:val="00286F1D"/>
    <w:rsid w:val="002870F0"/>
    <w:rsid w:val="00287727"/>
    <w:rsid w:val="00290471"/>
    <w:rsid w:val="00290E46"/>
    <w:rsid w:val="0029130D"/>
    <w:rsid w:val="0029198E"/>
    <w:rsid w:val="00292023"/>
    <w:rsid w:val="00293F18"/>
    <w:rsid w:val="00294250"/>
    <w:rsid w:val="0029428C"/>
    <w:rsid w:val="002946AD"/>
    <w:rsid w:val="00294B3D"/>
    <w:rsid w:val="0029598D"/>
    <w:rsid w:val="002959CC"/>
    <w:rsid w:val="00295BEF"/>
    <w:rsid w:val="00295E52"/>
    <w:rsid w:val="00296A31"/>
    <w:rsid w:val="00297131"/>
    <w:rsid w:val="002971C3"/>
    <w:rsid w:val="00297D6D"/>
    <w:rsid w:val="002A0876"/>
    <w:rsid w:val="002A0F85"/>
    <w:rsid w:val="002A14AB"/>
    <w:rsid w:val="002A2716"/>
    <w:rsid w:val="002A2ADE"/>
    <w:rsid w:val="002A2F50"/>
    <w:rsid w:val="002A3745"/>
    <w:rsid w:val="002A3D92"/>
    <w:rsid w:val="002A47BF"/>
    <w:rsid w:val="002A4B60"/>
    <w:rsid w:val="002A52BB"/>
    <w:rsid w:val="002A7943"/>
    <w:rsid w:val="002A7BB1"/>
    <w:rsid w:val="002B05A1"/>
    <w:rsid w:val="002B09A4"/>
    <w:rsid w:val="002B1465"/>
    <w:rsid w:val="002B1C1F"/>
    <w:rsid w:val="002B320B"/>
    <w:rsid w:val="002B432F"/>
    <w:rsid w:val="002B48FA"/>
    <w:rsid w:val="002B4E4B"/>
    <w:rsid w:val="002B4E77"/>
    <w:rsid w:val="002B5A49"/>
    <w:rsid w:val="002B622E"/>
    <w:rsid w:val="002B62B3"/>
    <w:rsid w:val="002B6754"/>
    <w:rsid w:val="002B6CCE"/>
    <w:rsid w:val="002B6E97"/>
    <w:rsid w:val="002B73DA"/>
    <w:rsid w:val="002C00D9"/>
    <w:rsid w:val="002C04CE"/>
    <w:rsid w:val="002C1135"/>
    <w:rsid w:val="002C2510"/>
    <w:rsid w:val="002C2775"/>
    <w:rsid w:val="002C27C1"/>
    <w:rsid w:val="002C3305"/>
    <w:rsid w:val="002C36E3"/>
    <w:rsid w:val="002C495C"/>
    <w:rsid w:val="002C5099"/>
    <w:rsid w:val="002C5889"/>
    <w:rsid w:val="002C5C00"/>
    <w:rsid w:val="002C70B1"/>
    <w:rsid w:val="002C71CE"/>
    <w:rsid w:val="002C7840"/>
    <w:rsid w:val="002D08F8"/>
    <w:rsid w:val="002D0DBF"/>
    <w:rsid w:val="002D0F62"/>
    <w:rsid w:val="002D14F3"/>
    <w:rsid w:val="002D1883"/>
    <w:rsid w:val="002D1E83"/>
    <w:rsid w:val="002D30A7"/>
    <w:rsid w:val="002D352A"/>
    <w:rsid w:val="002D3B51"/>
    <w:rsid w:val="002D3D32"/>
    <w:rsid w:val="002D4CC3"/>
    <w:rsid w:val="002D577C"/>
    <w:rsid w:val="002D6345"/>
    <w:rsid w:val="002D687E"/>
    <w:rsid w:val="002D77D2"/>
    <w:rsid w:val="002D7832"/>
    <w:rsid w:val="002E05FE"/>
    <w:rsid w:val="002E0E91"/>
    <w:rsid w:val="002E0F05"/>
    <w:rsid w:val="002E1071"/>
    <w:rsid w:val="002E15B9"/>
    <w:rsid w:val="002E212B"/>
    <w:rsid w:val="002E2158"/>
    <w:rsid w:val="002E324C"/>
    <w:rsid w:val="002E34AB"/>
    <w:rsid w:val="002E39F5"/>
    <w:rsid w:val="002E4DB9"/>
    <w:rsid w:val="002E4F02"/>
    <w:rsid w:val="002E6040"/>
    <w:rsid w:val="002E604E"/>
    <w:rsid w:val="002E65D8"/>
    <w:rsid w:val="002E7722"/>
    <w:rsid w:val="002F0769"/>
    <w:rsid w:val="002F07BA"/>
    <w:rsid w:val="002F0DA9"/>
    <w:rsid w:val="002F1014"/>
    <w:rsid w:val="002F11B5"/>
    <w:rsid w:val="002F1E3B"/>
    <w:rsid w:val="002F1E9E"/>
    <w:rsid w:val="002F3D2B"/>
    <w:rsid w:val="002F4BD0"/>
    <w:rsid w:val="002F62E1"/>
    <w:rsid w:val="002F643C"/>
    <w:rsid w:val="002F686F"/>
    <w:rsid w:val="002F6DEA"/>
    <w:rsid w:val="002F71C0"/>
    <w:rsid w:val="002F74F1"/>
    <w:rsid w:val="002F798B"/>
    <w:rsid w:val="00301017"/>
    <w:rsid w:val="0030155F"/>
    <w:rsid w:val="003017C8"/>
    <w:rsid w:val="00301941"/>
    <w:rsid w:val="0030224D"/>
    <w:rsid w:val="0030293D"/>
    <w:rsid w:val="003030E2"/>
    <w:rsid w:val="003035B2"/>
    <w:rsid w:val="003039FE"/>
    <w:rsid w:val="00303C8F"/>
    <w:rsid w:val="00304154"/>
    <w:rsid w:val="00304162"/>
    <w:rsid w:val="0030587B"/>
    <w:rsid w:val="00306D98"/>
    <w:rsid w:val="0030786C"/>
    <w:rsid w:val="00307E4A"/>
    <w:rsid w:val="00307F24"/>
    <w:rsid w:val="0031031A"/>
    <w:rsid w:val="00310828"/>
    <w:rsid w:val="00310981"/>
    <w:rsid w:val="003110EE"/>
    <w:rsid w:val="003111CD"/>
    <w:rsid w:val="00311C7F"/>
    <w:rsid w:val="00311D9B"/>
    <w:rsid w:val="003124D9"/>
    <w:rsid w:val="00312594"/>
    <w:rsid w:val="00312C7F"/>
    <w:rsid w:val="00312CB1"/>
    <w:rsid w:val="00312DC4"/>
    <w:rsid w:val="00313229"/>
    <w:rsid w:val="003136B5"/>
    <w:rsid w:val="003138AC"/>
    <w:rsid w:val="003144C5"/>
    <w:rsid w:val="0031473E"/>
    <w:rsid w:val="0031483D"/>
    <w:rsid w:val="00315198"/>
    <w:rsid w:val="00315498"/>
    <w:rsid w:val="00315731"/>
    <w:rsid w:val="00315820"/>
    <w:rsid w:val="003158CA"/>
    <w:rsid w:val="00316474"/>
    <w:rsid w:val="00316506"/>
    <w:rsid w:val="00316604"/>
    <w:rsid w:val="00317ABD"/>
    <w:rsid w:val="0032087F"/>
    <w:rsid w:val="00320911"/>
    <w:rsid w:val="003214E1"/>
    <w:rsid w:val="00321A96"/>
    <w:rsid w:val="00322107"/>
    <w:rsid w:val="00322355"/>
    <w:rsid w:val="00322846"/>
    <w:rsid w:val="0032386E"/>
    <w:rsid w:val="00324190"/>
    <w:rsid w:val="003246F8"/>
    <w:rsid w:val="0032536A"/>
    <w:rsid w:val="003259A1"/>
    <w:rsid w:val="00325B3E"/>
    <w:rsid w:val="00326DA7"/>
    <w:rsid w:val="00326EDD"/>
    <w:rsid w:val="003270E4"/>
    <w:rsid w:val="00327AC8"/>
    <w:rsid w:val="00327C21"/>
    <w:rsid w:val="00330733"/>
    <w:rsid w:val="00330B33"/>
    <w:rsid w:val="00330DAA"/>
    <w:rsid w:val="00330F5C"/>
    <w:rsid w:val="00331148"/>
    <w:rsid w:val="0033143D"/>
    <w:rsid w:val="0033248C"/>
    <w:rsid w:val="00332615"/>
    <w:rsid w:val="003329D5"/>
    <w:rsid w:val="0033301D"/>
    <w:rsid w:val="003366C9"/>
    <w:rsid w:val="003371B0"/>
    <w:rsid w:val="003376F7"/>
    <w:rsid w:val="003378F4"/>
    <w:rsid w:val="00340AB2"/>
    <w:rsid w:val="00340DF1"/>
    <w:rsid w:val="0034101A"/>
    <w:rsid w:val="003416DC"/>
    <w:rsid w:val="003419BD"/>
    <w:rsid w:val="0034357A"/>
    <w:rsid w:val="003449CA"/>
    <w:rsid w:val="00345358"/>
    <w:rsid w:val="00345597"/>
    <w:rsid w:val="0034585A"/>
    <w:rsid w:val="00345BF4"/>
    <w:rsid w:val="00346B8A"/>
    <w:rsid w:val="003517F9"/>
    <w:rsid w:val="00351BA9"/>
    <w:rsid w:val="0035221C"/>
    <w:rsid w:val="003538F0"/>
    <w:rsid w:val="0035410D"/>
    <w:rsid w:val="0035455A"/>
    <w:rsid w:val="00354F64"/>
    <w:rsid w:val="00355042"/>
    <w:rsid w:val="0035611A"/>
    <w:rsid w:val="0035620E"/>
    <w:rsid w:val="003575BE"/>
    <w:rsid w:val="00360345"/>
    <w:rsid w:val="0036125C"/>
    <w:rsid w:val="00361A05"/>
    <w:rsid w:val="003624C4"/>
    <w:rsid w:val="00362544"/>
    <w:rsid w:val="003638F2"/>
    <w:rsid w:val="00363B00"/>
    <w:rsid w:val="00365402"/>
    <w:rsid w:val="003654AC"/>
    <w:rsid w:val="003656BA"/>
    <w:rsid w:val="00365894"/>
    <w:rsid w:val="003668E1"/>
    <w:rsid w:val="0036797E"/>
    <w:rsid w:val="00367C8A"/>
    <w:rsid w:val="003710CF"/>
    <w:rsid w:val="00371577"/>
    <w:rsid w:val="0037199A"/>
    <w:rsid w:val="0037270A"/>
    <w:rsid w:val="00372FC5"/>
    <w:rsid w:val="0037358A"/>
    <w:rsid w:val="00373CCE"/>
    <w:rsid w:val="003740FF"/>
    <w:rsid w:val="003750F6"/>
    <w:rsid w:val="0037535C"/>
    <w:rsid w:val="00375C86"/>
    <w:rsid w:val="003760FC"/>
    <w:rsid w:val="00376586"/>
    <w:rsid w:val="0038142B"/>
    <w:rsid w:val="00382278"/>
    <w:rsid w:val="003822EE"/>
    <w:rsid w:val="00383497"/>
    <w:rsid w:val="0038351B"/>
    <w:rsid w:val="0038365C"/>
    <w:rsid w:val="0038369B"/>
    <w:rsid w:val="00383B78"/>
    <w:rsid w:val="00384A31"/>
    <w:rsid w:val="00385A9D"/>
    <w:rsid w:val="00386291"/>
    <w:rsid w:val="003864C3"/>
    <w:rsid w:val="00387121"/>
    <w:rsid w:val="003877C3"/>
    <w:rsid w:val="003902B1"/>
    <w:rsid w:val="00390A6D"/>
    <w:rsid w:val="0039179C"/>
    <w:rsid w:val="00392E2F"/>
    <w:rsid w:val="00393191"/>
    <w:rsid w:val="00393D51"/>
    <w:rsid w:val="00394127"/>
    <w:rsid w:val="00394477"/>
    <w:rsid w:val="0039460D"/>
    <w:rsid w:val="003960D9"/>
    <w:rsid w:val="00396896"/>
    <w:rsid w:val="00396FD0"/>
    <w:rsid w:val="00397946"/>
    <w:rsid w:val="00397E6F"/>
    <w:rsid w:val="003A13D4"/>
    <w:rsid w:val="003A1944"/>
    <w:rsid w:val="003A1A7A"/>
    <w:rsid w:val="003A2392"/>
    <w:rsid w:val="003A2831"/>
    <w:rsid w:val="003A32BA"/>
    <w:rsid w:val="003A3612"/>
    <w:rsid w:val="003A3CB6"/>
    <w:rsid w:val="003A3ED1"/>
    <w:rsid w:val="003A44DB"/>
    <w:rsid w:val="003A4901"/>
    <w:rsid w:val="003A4C05"/>
    <w:rsid w:val="003A4C14"/>
    <w:rsid w:val="003B0125"/>
    <w:rsid w:val="003B3971"/>
    <w:rsid w:val="003B3D1B"/>
    <w:rsid w:val="003B4606"/>
    <w:rsid w:val="003B55D1"/>
    <w:rsid w:val="003B5B61"/>
    <w:rsid w:val="003B70D1"/>
    <w:rsid w:val="003C0052"/>
    <w:rsid w:val="003C107B"/>
    <w:rsid w:val="003C10DA"/>
    <w:rsid w:val="003C10FA"/>
    <w:rsid w:val="003C1654"/>
    <w:rsid w:val="003C1C1E"/>
    <w:rsid w:val="003C25B7"/>
    <w:rsid w:val="003C42E8"/>
    <w:rsid w:val="003C4E36"/>
    <w:rsid w:val="003C5542"/>
    <w:rsid w:val="003C5882"/>
    <w:rsid w:val="003C6734"/>
    <w:rsid w:val="003C6A7A"/>
    <w:rsid w:val="003C7483"/>
    <w:rsid w:val="003C7C15"/>
    <w:rsid w:val="003C7D19"/>
    <w:rsid w:val="003C7D2F"/>
    <w:rsid w:val="003D0C5A"/>
    <w:rsid w:val="003D1828"/>
    <w:rsid w:val="003D1DE4"/>
    <w:rsid w:val="003D1E9A"/>
    <w:rsid w:val="003D2422"/>
    <w:rsid w:val="003D27AE"/>
    <w:rsid w:val="003D39A1"/>
    <w:rsid w:val="003D3B3B"/>
    <w:rsid w:val="003D3FBF"/>
    <w:rsid w:val="003D411E"/>
    <w:rsid w:val="003D49E1"/>
    <w:rsid w:val="003D4A30"/>
    <w:rsid w:val="003D4CD5"/>
    <w:rsid w:val="003D6389"/>
    <w:rsid w:val="003D7452"/>
    <w:rsid w:val="003D779B"/>
    <w:rsid w:val="003D79BB"/>
    <w:rsid w:val="003D7C98"/>
    <w:rsid w:val="003D7D9D"/>
    <w:rsid w:val="003E028C"/>
    <w:rsid w:val="003E02ED"/>
    <w:rsid w:val="003E0543"/>
    <w:rsid w:val="003E096C"/>
    <w:rsid w:val="003E0D32"/>
    <w:rsid w:val="003E146A"/>
    <w:rsid w:val="003E28F5"/>
    <w:rsid w:val="003E39EF"/>
    <w:rsid w:val="003E3A76"/>
    <w:rsid w:val="003E3B78"/>
    <w:rsid w:val="003E5603"/>
    <w:rsid w:val="003E5AF5"/>
    <w:rsid w:val="003E5C80"/>
    <w:rsid w:val="003E63F7"/>
    <w:rsid w:val="003E749E"/>
    <w:rsid w:val="003E7560"/>
    <w:rsid w:val="003F13EE"/>
    <w:rsid w:val="003F25E5"/>
    <w:rsid w:val="003F26FA"/>
    <w:rsid w:val="003F2762"/>
    <w:rsid w:val="003F4156"/>
    <w:rsid w:val="003F4375"/>
    <w:rsid w:val="003F4D2E"/>
    <w:rsid w:val="003F56BA"/>
    <w:rsid w:val="003F5ADF"/>
    <w:rsid w:val="003F6566"/>
    <w:rsid w:val="003F6688"/>
    <w:rsid w:val="003F68F1"/>
    <w:rsid w:val="003F6DF7"/>
    <w:rsid w:val="003F7210"/>
    <w:rsid w:val="0040065F"/>
    <w:rsid w:val="00400B29"/>
    <w:rsid w:val="00401653"/>
    <w:rsid w:val="004016C6"/>
    <w:rsid w:val="00402812"/>
    <w:rsid w:val="00402D22"/>
    <w:rsid w:val="00403227"/>
    <w:rsid w:val="00403366"/>
    <w:rsid w:val="00403380"/>
    <w:rsid w:val="0040377B"/>
    <w:rsid w:val="00403D9B"/>
    <w:rsid w:val="0040504B"/>
    <w:rsid w:val="004059F4"/>
    <w:rsid w:val="00405F34"/>
    <w:rsid w:val="00407BF4"/>
    <w:rsid w:val="00407FAF"/>
    <w:rsid w:val="00407FE5"/>
    <w:rsid w:val="004101B0"/>
    <w:rsid w:val="00410326"/>
    <w:rsid w:val="00410708"/>
    <w:rsid w:val="00410EC7"/>
    <w:rsid w:val="00411B39"/>
    <w:rsid w:val="00412193"/>
    <w:rsid w:val="004127A7"/>
    <w:rsid w:val="00413141"/>
    <w:rsid w:val="0041328A"/>
    <w:rsid w:val="00413A1E"/>
    <w:rsid w:val="00413B38"/>
    <w:rsid w:val="00413E0B"/>
    <w:rsid w:val="00414476"/>
    <w:rsid w:val="00414C2E"/>
    <w:rsid w:val="00414F31"/>
    <w:rsid w:val="004151CF"/>
    <w:rsid w:val="00416364"/>
    <w:rsid w:val="00416884"/>
    <w:rsid w:val="00416F31"/>
    <w:rsid w:val="0042047F"/>
    <w:rsid w:val="00420AA6"/>
    <w:rsid w:val="00420B9F"/>
    <w:rsid w:val="0042192C"/>
    <w:rsid w:val="004221F2"/>
    <w:rsid w:val="00422260"/>
    <w:rsid w:val="004233C2"/>
    <w:rsid w:val="00423A29"/>
    <w:rsid w:val="0042413F"/>
    <w:rsid w:val="004307AD"/>
    <w:rsid w:val="004319F8"/>
    <w:rsid w:val="00431E55"/>
    <w:rsid w:val="004321F6"/>
    <w:rsid w:val="0043255C"/>
    <w:rsid w:val="00433044"/>
    <w:rsid w:val="00433764"/>
    <w:rsid w:val="00434088"/>
    <w:rsid w:val="0043480A"/>
    <w:rsid w:val="004351E1"/>
    <w:rsid w:val="00436CFF"/>
    <w:rsid w:val="0043709B"/>
    <w:rsid w:val="004375B9"/>
    <w:rsid w:val="00441308"/>
    <w:rsid w:val="00441951"/>
    <w:rsid w:val="00441B64"/>
    <w:rsid w:val="00441F8E"/>
    <w:rsid w:val="004428D0"/>
    <w:rsid w:val="00442916"/>
    <w:rsid w:val="00443B79"/>
    <w:rsid w:val="004440D0"/>
    <w:rsid w:val="00444185"/>
    <w:rsid w:val="004443A7"/>
    <w:rsid w:val="0044441C"/>
    <w:rsid w:val="0044442C"/>
    <w:rsid w:val="0044442D"/>
    <w:rsid w:val="00445238"/>
    <w:rsid w:val="004456D3"/>
    <w:rsid w:val="00445941"/>
    <w:rsid w:val="0044597F"/>
    <w:rsid w:val="00445F7F"/>
    <w:rsid w:val="004464EB"/>
    <w:rsid w:val="004465CE"/>
    <w:rsid w:val="00446739"/>
    <w:rsid w:val="00446AB9"/>
    <w:rsid w:val="00446CC3"/>
    <w:rsid w:val="00447D26"/>
    <w:rsid w:val="00447DFC"/>
    <w:rsid w:val="00450530"/>
    <w:rsid w:val="004513F3"/>
    <w:rsid w:val="004522DB"/>
    <w:rsid w:val="0045256B"/>
    <w:rsid w:val="004529DC"/>
    <w:rsid w:val="00454C8C"/>
    <w:rsid w:val="00455B42"/>
    <w:rsid w:val="00455CC5"/>
    <w:rsid w:val="00455D45"/>
    <w:rsid w:val="0045633F"/>
    <w:rsid w:val="00457837"/>
    <w:rsid w:val="00461F63"/>
    <w:rsid w:val="00462492"/>
    <w:rsid w:val="0046298E"/>
    <w:rsid w:val="00462E2F"/>
    <w:rsid w:val="004633A8"/>
    <w:rsid w:val="00464595"/>
    <w:rsid w:val="00464B47"/>
    <w:rsid w:val="004658B5"/>
    <w:rsid w:val="00467468"/>
    <w:rsid w:val="0046762D"/>
    <w:rsid w:val="00467FAF"/>
    <w:rsid w:val="00470627"/>
    <w:rsid w:val="00470FC5"/>
    <w:rsid w:val="00471EA5"/>
    <w:rsid w:val="00472289"/>
    <w:rsid w:val="00472A79"/>
    <w:rsid w:val="00473F19"/>
    <w:rsid w:val="00474EAF"/>
    <w:rsid w:val="004759D1"/>
    <w:rsid w:val="00475E22"/>
    <w:rsid w:val="004763C0"/>
    <w:rsid w:val="004771D6"/>
    <w:rsid w:val="00477FBA"/>
    <w:rsid w:val="0048088E"/>
    <w:rsid w:val="00480F2B"/>
    <w:rsid w:val="00481D79"/>
    <w:rsid w:val="0048215A"/>
    <w:rsid w:val="00482720"/>
    <w:rsid w:val="00482BFD"/>
    <w:rsid w:val="00482E17"/>
    <w:rsid w:val="004835E7"/>
    <w:rsid w:val="00483DDD"/>
    <w:rsid w:val="00484868"/>
    <w:rsid w:val="004859E1"/>
    <w:rsid w:val="004861EE"/>
    <w:rsid w:val="004867E2"/>
    <w:rsid w:val="00486848"/>
    <w:rsid w:val="00487CE2"/>
    <w:rsid w:val="00490053"/>
    <w:rsid w:val="00490B17"/>
    <w:rsid w:val="00491B3A"/>
    <w:rsid w:val="0049217D"/>
    <w:rsid w:val="0049248B"/>
    <w:rsid w:val="00492CFD"/>
    <w:rsid w:val="00494207"/>
    <w:rsid w:val="00494492"/>
    <w:rsid w:val="00494DD5"/>
    <w:rsid w:val="004956D3"/>
    <w:rsid w:val="0049603A"/>
    <w:rsid w:val="004962D2"/>
    <w:rsid w:val="004A0DA1"/>
    <w:rsid w:val="004A13D6"/>
    <w:rsid w:val="004A206B"/>
    <w:rsid w:val="004A2CE3"/>
    <w:rsid w:val="004A2E6D"/>
    <w:rsid w:val="004A36CC"/>
    <w:rsid w:val="004A42BD"/>
    <w:rsid w:val="004A4D3B"/>
    <w:rsid w:val="004A52E9"/>
    <w:rsid w:val="004A5A0E"/>
    <w:rsid w:val="004A6040"/>
    <w:rsid w:val="004A6597"/>
    <w:rsid w:val="004A7122"/>
    <w:rsid w:val="004A7848"/>
    <w:rsid w:val="004A793B"/>
    <w:rsid w:val="004A7CD9"/>
    <w:rsid w:val="004A7DDE"/>
    <w:rsid w:val="004A7ED3"/>
    <w:rsid w:val="004B0CF5"/>
    <w:rsid w:val="004B120E"/>
    <w:rsid w:val="004B1CB4"/>
    <w:rsid w:val="004B2C66"/>
    <w:rsid w:val="004B2F18"/>
    <w:rsid w:val="004B3CDD"/>
    <w:rsid w:val="004B3DDB"/>
    <w:rsid w:val="004B44FD"/>
    <w:rsid w:val="004B52C5"/>
    <w:rsid w:val="004B5585"/>
    <w:rsid w:val="004B5CFC"/>
    <w:rsid w:val="004B6255"/>
    <w:rsid w:val="004B679A"/>
    <w:rsid w:val="004B68FB"/>
    <w:rsid w:val="004B6F79"/>
    <w:rsid w:val="004B6F8F"/>
    <w:rsid w:val="004B774D"/>
    <w:rsid w:val="004B7CE0"/>
    <w:rsid w:val="004C0BF5"/>
    <w:rsid w:val="004C0DBC"/>
    <w:rsid w:val="004C0F23"/>
    <w:rsid w:val="004C2AC2"/>
    <w:rsid w:val="004C35B9"/>
    <w:rsid w:val="004C3B02"/>
    <w:rsid w:val="004C4104"/>
    <w:rsid w:val="004C41E7"/>
    <w:rsid w:val="004C4AED"/>
    <w:rsid w:val="004C5E90"/>
    <w:rsid w:val="004C72E2"/>
    <w:rsid w:val="004C7C13"/>
    <w:rsid w:val="004D00B2"/>
    <w:rsid w:val="004D0208"/>
    <w:rsid w:val="004D07E1"/>
    <w:rsid w:val="004D2C2D"/>
    <w:rsid w:val="004D331B"/>
    <w:rsid w:val="004D3B49"/>
    <w:rsid w:val="004D4936"/>
    <w:rsid w:val="004D4A4A"/>
    <w:rsid w:val="004D69B5"/>
    <w:rsid w:val="004D6F71"/>
    <w:rsid w:val="004D7227"/>
    <w:rsid w:val="004D7B5E"/>
    <w:rsid w:val="004E0E7F"/>
    <w:rsid w:val="004E0EB8"/>
    <w:rsid w:val="004E18E9"/>
    <w:rsid w:val="004E255C"/>
    <w:rsid w:val="004E2A5B"/>
    <w:rsid w:val="004E2ADC"/>
    <w:rsid w:val="004E360A"/>
    <w:rsid w:val="004E43B2"/>
    <w:rsid w:val="004E4C17"/>
    <w:rsid w:val="004E4E55"/>
    <w:rsid w:val="004E514A"/>
    <w:rsid w:val="004E690F"/>
    <w:rsid w:val="004E738E"/>
    <w:rsid w:val="004E7998"/>
    <w:rsid w:val="004F0D11"/>
    <w:rsid w:val="004F1302"/>
    <w:rsid w:val="004F1D02"/>
    <w:rsid w:val="004F20AE"/>
    <w:rsid w:val="004F20B6"/>
    <w:rsid w:val="004F2679"/>
    <w:rsid w:val="004F2AA1"/>
    <w:rsid w:val="004F2F21"/>
    <w:rsid w:val="004F3A4A"/>
    <w:rsid w:val="004F3DA3"/>
    <w:rsid w:val="004F3DE5"/>
    <w:rsid w:val="004F3FCB"/>
    <w:rsid w:val="004F4C6C"/>
    <w:rsid w:val="004F5930"/>
    <w:rsid w:val="004F5DE9"/>
    <w:rsid w:val="004F62FF"/>
    <w:rsid w:val="004F6913"/>
    <w:rsid w:val="004F7865"/>
    <w:rsid w:val="005012B3"/>
    <w:rsid w:val="0050174E"/>
    <w:rsid w:val="00501854"/>
    <w:rsid w:val="0050219B"/>
    <w:rsid w:val="0050222B"/>
    <w:rsid w:val="005029B3"/>
    <w:rsid w:val="00502DF6"/>
    <w:rsid w:val="00503F17"/>
    <w:rsid w:val="00503F3A"/>
    <w:rsid w:val="00504FF4"/>
    <w:rsid w:val="0050552D"/>
    <w:rsid w:val="00505D65"/>
    <w:rsid w:val="00505F86"/>
    <w:rsid w:val="00506928"/>
    <w:rsid w:val="0050741D"/>
    <w:rsid w:val="005077EF"/>
    <w:rsid w:val="00507857"/>
    <w:rsid w:val="0051002C"/>
    <w:rsid w:val="00510134"/>
    <w:rsid w:val="005117CE"/>
    <w:rsid w:val="00511AD5"/>
    <w:rsid w:val="00511DC7"/>
    <w:rsid w:val="00511E3D"/>
    <w:rsid w:val="005120AA"/>
    <w:rsid w:val="0051210A"/>
    <w:rsid w:val="00512AF5"/>
    <w:rsid w:val="005142C5"/>
    <w:rsid w:val="0051501B"/>
    <w:rsid w:val="005152B5"/>
    <w:rsid w:val="00515886"/>
    <w:rsid w:val="0051616E"/>
    <w:rsid w:val="00520D19"/>
    <w:rsid w:val="00520EFA"/>
    <w:rsid w:val="0052123C"/>
    <w:rsid w:val="00521319"/>
    <w:rsid w:val="00521393"/>
    <w:rsid w:val="005213CF"/>
    <w:rsid w:val="00521B96"/>
    <w:rsid w:val="00521C52"/>
    <w:rsid w:val="005223A7"/>
    <w:rsid w:val="00522BC8"/>
    <w:rsid w:val="00523177"/>
    <w:rsid w:val="00523395"/>
    <w:rsid w:val="00523A4E"/>
    <w:rsid w:val="00523C28"/>
    <w:rsid w:val="00524591"/>
    <w:rsid w:val="00524ABB"/>
    <w:rsid w:val="00525039"/>
    <w:rsid w:val="0052551A"/>
    <w:rsid w:val="00525BE0"/>
    <w:rsid w:val="00525DE6"/>
    <w:rsid w:val="00526992"/>
    <w:rsid w:val="005271B4"/>
    <w:rsid w:val="0052794D"/>
    <w:rsid w:val="00527A3C"/>
    <w:rsid w:val="00527BCD"/>
    <w:rsid w:val="00527F0B"/>
    <w:rsid w:val="00527F8E"/>
    <w:rsid w:val="0053003B"/>
    <w:rsid w:val="00530142"/>
    <w:rsid w:val="0053038C"/>
    <w:rsid w:val="0053176B"/>
    <w:rsid w:val="00531D23"/>
    <w:rsid w:val="0053241A"/>
    <w:rsid w:val="005324C2"/>
    <w:rsid w:val="0053330F"/>
    <w:rsid w:val="00533577"/>
    <w:rsid w:val="0053392B"/>
    <w:rsid w:val="005341B3"/>
    <w:rsid w:val="0053424A"/>
    <w:rsid w:val="005347CF"/>
    <w:rsid w:val="00536634"/>
    <w:rsid w:val="0053697F"/>
    <w:rsid w:val="00536C3F"/>
    <w:rsid w:val="00536D88"/>
    <w:rsid w:val="00536F42"/>
    <w:rsid w:val="00537010"/>
    <w:rsid w:val="00537182"/>
    <w:rsid w:val="00537DA1"/>
    <w:rsid w:val="005401B9"/>
    <w:rsid w:val="005416C1"/>
    <w:rsid w:val="00541EDD"/>
    <w:rsid w:val="00542743"/>
    <w:rsid w:val="00542767"/>
    <w:rsid w:val="00542C2D"/>
    <w:rsid w:val="00543C57"/>
    <w:rsid w:val="0054459F"/>
    <w:rsid w:val="00544B84"/>
    <w:rsid w:val="00547066"/>
    <w:rsid w:val="00547269"/>
    <w:rsid w:val="005478BD"/>
    <w:rsid w:val="005479E3"/>
    <w:rsid w:val="00550072"/>
    <w:rsid w:val="00550CE3"/>
    <w:rsid w:val="00551334"/>
    <w:rsid w:val="00551956"/>
    <w:rsid w:val="00551985"/>
    <w:rsid w:val="00552BD3"/>
    <w:rsid w:val="005532A0"/>
    <w:rsid w:val="00554353"/>
    <w:rsid w:val="00555109"/>
    <w:rsid w:val="005558A1"/>
    <w:rsid w:val="00555AF2"/>
    <w:rsid w:val="00555B39"/>
    <w:rsid w:val="00555F48"/>
    <w:rsid w:val="00556B35"/>
    <w:rsid w:val="0055713E"/>
    <w:rsid w:val="005571E2"/>
    <w:rsid w:val="0055741A"/>
    <w:rsid w:val="00557517"/>
    <w:rsid w:val="00557545"/>
    <w:rsid w:val="00557C00"/>
    <w:rsid w:val="00557C19"/>
    <w:rsid w:val="005601C4"/>
    <w:rsid w:val="005607D2"/>
    <w:rsid w:val="005611B7"/>
    <w:rsid w:val="005618D4"/>
    <w:rsid w:val="0056264F"/>
    <w:rsid w:val="005636D5"/>
    <w:rsid w:val="005640AF"/>
    <w:rsid w:val="0056444B"/>
    <w:rsid w:val="00564867"/>
    <w:rsid w:val="005648A2"/>
    <w:rsid w:val="00564DB7"/>
    <w:rsid w:val="00564DEC"/>
    <w:rsid w:val="00565C79"/>
    <w:rsid w:val="00565DF0"/>
    <w:rsid w:val="0056696F"/>
    <w:rsid w:val="00566ACD"/>
    <w:rsid w:val="005673A6"/>
    <w:rsid w:val="005717F8"/>
    <w:rsid w:val="005720E2"/>
    <w:rsid w:val="00572129"/>
    <w:rsid w:val="00572269"/>
    <w:rsid w:val="0057244A"/>
    <w:rsid w:val="00572665"/>
    <w:rsid w:val="00572A07"/>
    <w:rsid w:val="00572ACD"/>
    <w:rsid w:val="00572F26"/>
    <w:rsid w:val="00573052"/>
    <w:rsid w:val="0057390B"/>
    <w:rsid w:val="00573BD4"/>
    <w:rsid w:val="005748E4"/>
    <w:rsid w:val="005750C5"/>
    <w:rsid w:val="005752DE"/>
    <w:rsid w:val="005752E1"/>
    <w:rsid w:val="005756AF"/>
    <w:rsid w:val="0057575B"/>
    <w:rsid w:val="00575D60"/>
    <w:rsid w:val="00575D8D"/>
    <w:rsid w:val="00576028"/>
    <w:rsid w:val="005763D3"/>
    <w:rsid w:val="0057666B"/>
    <w:rsid w:val="005766BC"/>
    <w:rsid w:val="00576753"/>
    <w:rsid w:val="00576972"/>
    <w:rsid w:val="00577248"/>
    <w:rsid w:val="00581617"/>
    <w:rsid w:val="00581652"/>
    <w:rsid w:val="00583699"/>
    <w:rsid w:val="00585CDD"/>
    <w:rsid w:val="00586755"/>
    <w:rsid w:val="00587058"/>
    <w:rsid w:val="005903B1"/>
    <w:rsid w:val="005903E8"/>
    <w:rsid w:val="00590DA1"/>
    <w:rsid w:val="00590FB9"/>
    <w:rsid w:val="00590FFD"/>
    <w:rsid w:val="005917A0"/>
    <w:rsid w:val="00591957"/>
    <w:rsid w:val="00592D1A"/>
    <w:rsid w:val="00592E62"/>
    <w:rsid w:val="005945FD"/>
    <w:rsid w:val="005956CE"/>
    <w:rsid w:val="00595807"/>
    <w:rsid w:val="00597583"/>
    <w:rsid w:val="00597804"/>
    <w:rsid w:val="00597BF9"/>
    <w:rsid w:val="005A0141"/>
    <w:rsid w:val="005A0C11"/>
    <w:rsid w:val="005A19F5"/>
    <w:rsid w:val="005A1B4C"/>
    <w:rsid w:val="005A2B6F"/>
    <w:rsid w:val="005A309A"/>
    <w:rsid w:val="005A36EC"/>
    <w:rsid w:val="005A373D"/>
    <w:rsid w:val="005A39CC"/>
    <w:rsid w:val="005A6042"/>
    <w:rsid w:val="005A6092"/>
    <w:rsid w:val="005A7209"/>
    <w:rsid w:val="005A755E"/>
    <w:rsid w:val="005B040D"/>
    <w:rsid w:val="005B0500"/>
    <w:rsid w:val="005B0B58"/>
    <w:rsid w:val="005B2864"/>
    <w:rsid w:val="005B321F"/>
    <w:rsid w:val="005B44D4"/>
    <w:rsid w:val="005B4D89"/>
    <w:rsid w:val="005B4E53"/>
    <w:rsid w:val="005B5857"/>
    <w:rsid w:val="005B7589"/>
    <w:rsid w:val="005B767D"/>
    <w:rsid w:val="005C071A"/>
    <w:rsid w:val="005C19C4"/>
    <w:rsid w:val="005C1B83"/>
    <w:rsid w:val="005C1DE0"/>
    <w:rsid w:val="005C25FF"/>
    <w:rsid w:val="005C2CED"/>
    <w:rsid w:val="005C2D55"/>
    <w:rsid w:val="005C346B"/>
    <w:rsid w:val="005C5ABC"/>
    <w:rsid w:val="005C61DC"/>
    <w:rsid w:val="005C6639"/>
    <w:rsid w:val="005D044D"/>
    <w:rsid w:val="005D0ABD"/>
    <w:rsid w:val="005D1464"/>
    <w:rsid w:val="005D18AD"/>
    <w:rsid w:val="005D22B9"/>
    <w:rsid w:val="005D2500"/>
    <w:rsid w:val="005D26B4"/>
    <w:rsid w:val="005D2814"/>
    <w:rsid w:val="005D2BD6"/>
    <w:rsid w:val="005D33A8"/>
    <w:rsid w:val="005D58A0"/>
    <w:rsid w:val="005D6472"/>
    <w:rsid w:val="005E0E76"/>
    <w:rsid w:val="005E1995"/>
    <w:rsid w:val="005E1D21"/>
    <w:rsid w:val="005E35BE"/>
    <w:rsid w:val="005E3ACD"/>
    <w:rsid w:val="005E4A39"/>
    <w:rsid w:val="005E549E"/>
    <w:rsid w:val="005E6CBC"/>
    <w:rsid w:val="005E71BC"/>
    <w:rsid w:val="005E72FF"/>
    <w:rsid w:val="005E73C0"/>
    <w:rsid w:val="005E75D7"/>
    <w:rsid w:val="005E7D9C"/>
    <w:rsid w:val="005F07ED"/>
    <w:rsid w:val="005F2674"/>
    <w:rsid w:val="005F2706"/>
    <w:rsid w:val="005F2B59"/>
    <w:rsid w:val="005F2C12"/>
    <w:rsid w:val="005F4005"/>
    <w:rsid w:val="005F591D"/>
    <w:rsid w:val="005F6434"/>
    <w:rsid w:val="005F644E"/>
    <w:rsid w:val="005F6A8F"/>
    <w:rsid w:val="005F6BB7"/>
    <w:rsid w:val="005F7588"/>
    <w:rsid w:val="00601306"/>
    <w:rsid w:val="00601590"/>
    <w:rsid w:val="00602175"/>
    <w:rsid w:val="006028D3"/>
    <w:rsid w:val="00603608"/>
    <w:rsid w:val="00603DB9"/>
    <w:rsid w:val="0060417F"/>
    <w:rsid w:val="00604A56"/>
    <w:rsid w:val="00604ED8"/>
    <w:rsid w:val="00605107"/>
    <w:rsid w:val="00605FB9"/>
    <w:rsid w:val="00606811"/>
    <w:rsid w:val="00606DC3"/>
    <w:rsid w:val="00606E85"/>
    <w:rsid w:val="00606FBA"/>
    <w:rsid w:val="00607669"/>
    <w:rsid w:val="006076F4"/>
    <w:rsid w:val="00607AFD"/>
    <w:rsid w:val="006102B2"/>
    <w:rsid w:val="00610AE8"/>
    <w:rsid w:val="00610FA7"/>
    <w:rsid w:val="00611B12"/>
    <w:rsid w:val="00612265"/>
    <w:rsid w:val="00612DD2"/>
    <w:rsid w:val="00612E7D"/>
    <w:rsid w:val="00612F97"/>
    <w:rsid w:val="00612FF9"/>
    <w:rsid w:val="0061343E"/>
    <w:rsid w:val="0061345D"/>
    <w:rsid w:val="00613B3F"/>
    <w:rsid w:val="00613FE5"/>
    <w:rsid w:val="006140CA"/>
    <w:rsid w:val="006151F4"/>
    <w:rsid w:val="0061549B"/>
    <w:rsid w:val="0061561E"/>
    <w:rsid w:val="00615B5C"/>
    <w:rsid w:val="006160E1"/>
    <w:rsid w:val="00616251"/>
    <w:rsid w:val="00616323"/>
    <w:rsid w:val="00616396"/>
    <w:rsid w:val="00616802"/>
    <w:rsid w:val="006169A7"/>
    <w:rsid w:val="00617516"/>
    <w:rsid w:val="00617E12"/>
    <w:rsid w:val="006201E4"/>
    <w:rsid w:val="00620957"/>
    <w:rsid w:val="00620C25"/>
    <w:rsid w:val="00621477"/>
    <w:rsid w:val="00621752"/>
    <w:rsid w:val="00621ADA"/>
    <w:rsid w:val="00621EA3"/>
    <w:rsid w:val="00622AC7"/>
    <w:rsid w:val="00623296"/>
    <w:rsid w:val="00623948"/>
    <w:rsid w:val="00623F7B"/>
    <w:rsid w:val="00624BD4"/>
    <w:rsid w:val="00624EA9"/>
    <w:rsid w:val="00625711"/>
    <w:rsid w:val="00625800"/>
    <w:rsid w:val="00626102"/>
    <w:rsid w:val="006263AE"/>
    <w:rsid w:val="00627B30"/>
    <w:rsid w:val="00630790"/>
    <w:rsid w:val="0063158F"/>
    <w:rsid w:val="00631D6B"/>
    <w:rsid w:val="00632183"/>
    <w:rsid w:val="00632B07"/>
    <w:rsid w:val="00632BE9"/>
    <w:rsid w:val="006330A1"/>
    <w:rsid w:val="006331D9"/>
    <w:rsid w:val="00633411"/>
    <w:rsid w:val="006345AF"/>
    <w:rsid w:val="0063479F"/>
    <w:rsid w:val="00634932"/>
    <w:rsid w:val="006353EA"/>
    <w:rsid w:val="006353F0"/>
    <w:rsid w:val="006357B5"/>
    <w:rsid w:val="006364A1"/>
    <w:rsid w:val="0063651E"/>
    <w:rsid w:val="0063678E"/>
    <w:rsid w:val="0063679E"/>
    <w:rsid w:val="00637072"/>
    <w:rsid w:val="0063749A"/>
    <w:rsid w:val="00637605"/>
    <w:rsid w:val="00637B96"/>
    <w:rsid w:val="00637BFD"/>
    <w:rsid w:val="00637C5C"/>
    <w:rsid w:val="006413FE"/>
    <w:rsid w:val="00641A62"/>
    <w:rsid w:val="00641C4E"/>
    <w:rsid w:val="00641FB3"/>
    <w:rsid w:val="00642691"/>
    <w:rsid w:val="00642DE9"/>
    <w:rsid w:val="00643B00"/>
    <w:rsid w:val="0064434C"/>
    <w:rsid w:val="00644995"/>
    <w:rsid w:val="00645B9A"/>
    <w:rsid w:val="00646464"/>
    <w:rsid w:val="0064705C"/>
    <w:rsid w:val="006471CC"/>
    <w:rsid w:val="006472FE"/>
    <w:rsid w:val="00647A29"/>
    <w:rsid w:val="00647C56"/>
    <w:rsid w:val="00647D19"/>
    <w:rsid w:val="006504EB"/>
    <w:rsid w:val="0065072E"/>
    <w:rsid w:val="0065079F"/>
    <w:rsid w:val="006529F1"/>
    <w:rsid w:val="00652A28"/>
    <w:rsid w:val="0065379F"/>
    <w:rsid w:val="00653FFA"/>
    <w:rsid w:val="00654B79"/>
    <w:rsid w:val="0065503C"/>
    <w:rsid w:val="006553FA"/>
    <w:rsid w:val="00656188"/>
    <w:rsid w:val="0065715A"/>
    <w:rsid w:val="00660029"/>
    <w:rsid w:val="00660081"/>
    <w:rsid w:val="006609EB"/>
    <w:rsid w:val="006610F1"/>
    <w:rsid w:val="00661423"/>
    <w:rsid w:val="00661C6B"/>
    <w:rsid w:val="00662101"/>
    <w:rsid w:val="00662A1F"/>
    <w:rsid w:val="00662CD1"/>
    <w:rsid w:val="00662D3E"/>
    <w:rsid w:val="00663652"/>
    <w:rsid w:val="006639DB"/>
    <w:rsid w:val="006649AE"/>
    <w:rsid w:val="006656DB"/>
    <w:rsid w:val="006662BB"/>
    <w:rsid w:val="006668D6"/>
    <w:rsid w:val="006678E7"/>
    <w:rsid w:val="00667AED"/>
    <w:rsid w:val="00667BE3"/>
    <w:rsid w:val="006704D2"/>
    <w:rsid w:val="00670E0D"/>
    <w:rsid w:val="00671004"/>
    <w:rsid w:val="00672646"/>
    <w:rsid w:val="00672738"/>
    <w:rsid w:val="00672C58"/>
    <w:rsid w:val="00672F37"/>
    <w:rsid w:val="006738F9"/>
    <w:rsid w:val="00673DA9"/>
    <w:rsid w:val="00674711"/>
    <w:rsid w:val="00674E42"/>
    <w:rsid w:val="00676563"/>
    <w:rsid w:val="00680105"/>
    <w:rsid w:val="00680683"/>
    <w:rsid w:val="00680E12"/>
    <w:rsid w:val="006813F8"/>
    <w:rsid w:val="006816DE"/>
    <w:rsid w:val="00681E5A"/>
    <w:rsid w:val="00682112"/>
    <w:rsid w:val="006825DA"/>
    <w:rsid w:val="00682BA6"/>
    <w:rsid w:val="00682ECE"/>
    <w:rsid w:val="00683AEA"/>
    <w:rsid w:val="006840F1"/>
    <w:rsid w:val="006848EE"/>
    <w:rsid w:val="00684C1C"/>
    <w:rsid w:val="00684F05"/>
    <w:rsid w:val="00685D94"/>
    <w:rsid w:val="0068685A"/>
    <w:rsid w:val="00686957"/>
    <w:rsid w:val="006872BA"/>
    <w:rsid w:val="00687F9D"/>
    <w:rsid w:val="00690795"/>
    <w:rsid w:val="00690C83"/>
    <w:rsid w:val="00691648"/>
    <w:rsid w:val="006917D7"/>
    <w:rsid w:val="00691D1B"/>
    <w:rsid w:val="00691E9E"/>
    <w:rsid w:val="0069335C"/>
    <w:rsid w:val="0069434C"/>
    <w:rsid w:val="0069438E"/>
    <w:rsid w:val="0069465E"/>
    <w:rsid w:val="00694CFE"/>
    <w:rsid w:val="00694F44"/>
    <w:rsid w:val="00696EF9"/>
    <w:rsid w:val="00696F51"/>
    <w:rsid w:val="006973E9"/>
    <w:rsid w:val="006979A5"/>
    <w:rsid w:val="00697B30"/>
    <w:rsid w:val="006A016F"/>
    <w:rsid w:val="006A0DF7"/>
    <w:rsid w:val="006A0F23"/>
    <w:rsid w:val="006A12C4"/>
    <w:rsid w:val="006A1CA9"/>
    <w:rsid w:val="006A4321"/>
    <w:rsid w:val="006A43D9"/>
    <w:rsid w:val="006A4F94"/>
    <w:rsid w:val="006A564D"/>
    <w:rsid w:val="006A5EFF"/>
    <w:rsid w:val="006A67E4"/>
    <w:rsid w:val="006A691F"/>
    <w:rsid w:val="006A6B99"/>
    <w:rsid w:val="006A6C67"/>
    <w:rsid w:val="006A7722"/>
    <w:rsid w:val="006A7E5F"/>
    <w:rsid w:val="006B17E4"/>
    <w:rsid w:val="006B1D20"/>
    <w:rsid w:val="006B261B"/>
    <w:rsid w:val="006B29F8"/>
    <w:rsid w:val="006B2C33"/>
    <w:rsid w:val="006B2C90"/>
    <w:rsid w:val="006B3234"/>
    <w:rsid w:val="006B35E6"/>
    <w:rsid w:val="006B465A"/>
    <w:rsid w:val="006B47F2"/>
    <w:rsid w:val="006B5EA9"/>
    <w:rsid w:val="006B6885"/>
    <w:rsid w:val="006B6A2E"/>
    <w:rsid w:val="006B6D74"/>
    <w:rsid w:val="006B6DD0"/>
    <w:rsid w:val="006C0399"/>
    <w:rsid w:val="006C0958"/>
    <w:rsid w:val="006C16DB"/>
    <w:rsid w:val="006C2606"/>
    <w:rsid w:val="006C2721"/>
    <w:rsid w:val="006C2A8E"/>
    <w:rsid w:val="006C2AA5"/>
    <w:rsid w:val="006C3255"/>
    <w:rsid w:val="006C3F26"/>
    <w:rsid w:val="006C4518"/>
    <w:rsid w:val="006C58CB"/>
    <w:rsid w:val="006C62C6"/>
    <w:rsid w:val="006C68D3"/>
    <w:rsid w:val="006C69F9"/>
    <w:rsid w:val="006C6CDB"/>
    <w:rsid w:val="006C7443"/>
    <w:rsid w:val="006C7BF0"/>
    <w:rsid w:val="006D00A5"/>
    <w:rsid w:val="006D0968"/>
    <w:rsid w:val="006D0D17"/>
    <w:rsid w:val="006D0E73"/>
    <w:rsid w:val="006D1F6A"/>
    <w:rsid w:val="006D1FAA"/>
    <w:rsid w:val="006D3059"/>
    <w:rsid w:val="006D3C7D"/>
    <w:rsid w:val="006D4201"/>
    <w:rsid w:val="006D4659"/>
    <w:rsid w:val="006D4C6F"/>
    <w:rsid w:val="006D5291"/>
    <w:rsid w:val="006D5706"/>
    <w:rsid w:val="006D5ADF"/>
    <w:rsid w:val="006D5D33"/>
    <w:rsid w:val="006D5D5F"/>
    <w:rsid w:val="006D6385"/>
    <w:rsid w:val="006D6445"/>
    <w:rsid w:val="006D68FB"/>
    <w:rsid w:val="006D7314"/>
    <w:rsid w:val="006D7A67"/>
    <w:rsid w:val="006E24A8"/>
    <w:rsid w:val="006E2868"/>
    <w:rsid w:val="006E309F"/>
    <w:rsid w:val="006E3F3C"/>
    <w:rsid w:val="006E6242"/>
    <w:rsid w:val="006F0601"/>
    <w:rsid w:val="006F1932"/>
    <w:rsid w:val="006F2730"/>
    <w:rsid w:val="006F2ACA"/>
    <w:rsid w:val="006F2C5B"/>
    <w:rsid w:val="006F2D92"/>
    <w:rsid w:val="006F306C"/>
    <w:rsid w:val="006F325E"/>
    <w:rsid w:val="006F33A4"/>
    <w:rsid w:val="006F3484"/>
    <w:rsid w:val="006F3B19"/>
    <w:rsid w:val="006F408E"/>
    <w:rsid w:val="006F4F2A"/>
    <w:rsid w:val="006F63A5"/>
    <w:rsid w:val="006F7057"/>
    <w:rsid w:val="006F7BE6"/>
    <w:rsid w:val="007000C9"/>
    <w:rsid w:val="007005D6"/>
    <w:rsid w:val="00700B97"/>
    <w:rsid w:val="00701357"/>
    <w:rsid w:val="0070142B"/>
    <w:rsid w:val="00701CB2"/>
    <w:rsid w:val="00702583"/>
    <w:rsid w:val="0070276E"/>
    <w:rsid w:val="00702F8F"/>
    <w:rsid w:val="007053A1"/>
    <w:rsid w:val="00705557"/>
    <w:rsid w:val="00706610"/>
    <w:rsid w:val="00707501"/>
    <w:rsid w:val="0070784D"/>
    <w:rsid w:val="007079FC"/>
    <w:rsid w:val="00710360"/>
    <w:rsid w:val="00711A36"/>
    <w:rsid w:val="007125D3"/>
    <w:rsid w:val="0071322A"/>
    <w:rsid w:val="00714C26"/>
    <w:rsid w:val="00715219"/>
    <w:rsid w:val="0071529C"/>
    <w:rsid w:val="007153D3"/>
    <w:rsid w:val="00716975"/>
    <w:rsid w:val="007170DA"/>
    <w:rsid w:val="007172AD"/>
    <w:rsid w:val="0071737A"/>
    <w:rsid w:val="00717546"/>
    <w:rsid w:val="00720801"/>
    <w:rsid w:val="00721618"/>
    <w:rsid w:val="00721AE3"/>
    <w:rsid w:val="00721AF9"/>
    <w:rsid w:val="007221B7"/>
    <w:rsid w:val="00722B1B"/>
    <w:rsid w:val="007236F7"/>
    <w:rsid w:val="00723DB2"/>
    <w:rsid w:val="007240F1"/>
    <w:rsid w:val="0072416F"/>
    <w:rsid w:val="007244C8"/>
    <w:rsid w:val="00725404"/>
    <w:rsid w:val="00727C94"/>
    <w:rsid w:val="00731043"/>
    <w:rsid w:val="00731B0A"/>
    <w:rsid w:val="00731E12"/>
    <w:rsid w:val="00731EAE"/>
    <w:rsid w:val="0073222F"/>
    <w:rsid w:val="00732799"/>
    <w:rsid w:val="00733073"/>
    <w:rsid w:val="007334D4"/>
    <w:rsid w:val="00733E5C"/>
    <w:rsid w:val="007345E8"/>
    <w:rsid w:val="00734C40"/>
    <w:rsid w:val="00734ECE"/>
    <w:rsid w:val="00735033"/>
    <w:rsid w:val="00735328"/>
    <w:rsid w:val="0073579A"/>
    <w:rsid w:val="007357E0"/>
    <w:rsid w:val="00735C53"/>
    <w:rsid w:val="007364FA"/>
    <w:rsid w:val="0073685B"/>
    <w:rsid w:val="0073715E"/>
    <w:rsid w:val="007379BD"/>
    <w:rsid w:val="00737EB2"/>
    <w:rsid w:val="0074064E"/>
    <w:rsid w:val="007408E1"/>
    <w:rsid w:val="00740AFB"/>
    <w:rsid w:val="0074113F"/>
    <w:rsid w:val="007412D1"/>
    <w:rsid w:val="00741522"/>
    <w:rsid w:val="007425E6"/>
    <w:rsid w:val="007426A2"/>
    <w:rsid w:val="007438E6"/>
    <w:rsid w:val="007445DD"/>
    <w:rsid w:val="007449BF"/>
    <w:rsid w:val="007463FE"/>
    <w:rsid w:val="00746BC0"/>
    <w:rsid w:val="007474E7"/>
    <w:rsid w:val="0074751B"/>
    <w:rsid w:val="00747D21"/>
    <w:rsid w:val="00750699"/>
    <w:rsid w:val="00750E8F"/>
    <w:rsid w:val="007510B4"/>
    <w:rsid w:val="0075208A"/>
    <w:rsid w:val="00752142"/>
    <w:rsid w:val="007523F9"/>
    <w:rsid w:val="00752F95"/>
    <w:rsid w:val="00753218"/>
    <w:rsid w:val="0075357E"/>
    <w:rsid w:val="00753621"/>
    <w:rsid w:val="00753B29"/>
    <w:rsid w:val="00754AD9"/>
    <w:rsid w:val="00755C1C"/>
    <w:rsid w:val="00755E14"/>
    <w:rsid w:val="00756159"/>
    <w:rsid w:val="00756261"/>
    <w:rsid w:val="00756302"/>
    <w:rsid w:val="00756417"/>
    <w:rsid w:val="007568F2"/>
    <w:rsid w:val="007573E8"/>
    <w:rsid w:val="00757411"/>
    <w:rsid w:val="00757467"/>
    <w:rsid w:val="0075753B"/>
    <w:rsid w:val="007579EC"/>
    <w:rsid w:val="0076016D"/>
    <w:rsid w:val="007601FC"/>
    <w:rsid w:val="00760797"/>
    <w:rsid w:val="00760C4E"/>
    <w:rsid w:val="00760C72"/>
    <w:rsid w:val="00760F9E"/>
    <w:rsid w:val="00761415"/>
    <w:rsid w:val="007616E6"/>
    <w:rsid w:val="00761A71"/>
    <w:rsid w:val="007627BE"/>
    <w:rsid w:val="00762B38"/>
    <w:rsid w:val="00764106"/>
    <w:rsid w:val="00764F03"/>
    <w:rsid w:val="00765809"/>
    <w:rsid w:val="00765B1A"/>
    <w:rsid w:val="00765DC1"/>
    <w:rsid w:val="00767170"/>
    <w:rsid w:val="00767B59"/>
    <w:rsid w:val="00771E6A"/>
    <w:rsid w:val="00772356"/>
    <w:rsid w:val="007745AF"/>
    <w:rsid w:val="00776A29"/>
    <w:rsid w:val="00777327"/>
    <w:rsid w:val="00777335"/>
    <w:rsid w:val="00777753"/>
    <w:rsid w:val="00780940"/>
    <w:rsid w:val="00780CF8"/>
    <w:rsid w:val="00782117"/>
    <w:rsid w:val="007821EB"/>
    <w:rsid w:val="00783C33"/>
    <w:rsid w:val="007843F2"/>
    <w:rsid w:val="007846FA"/>
    <w:rsid w:val="00784791"/>
    <w:rsid w:val="00785A9F"/>
    <w:rsid w:val="0078658B"/>
    <w:rsid w:val="007869E3"/>
    <w:rsid w:val="00787AE4"/>
    <w:rsid w:val="00787F29"/>
    <w:rsid w:val="00790BE4"/>
    <w:rsid w:val="00790D0B"/>
    <w:rsid w:val="00791763"/>
    <w:rsid w:val="00792000"/>
    <w:rsid w:val="0079245E"/>
    <w:rsid w:val="007925DF"/>
    <w:rsid w:val="0079355D"/>
    <w:rsid w:val="0079441F"/>
    <w:rsid w:val="007944BE"/>
    <w:rsid w:val="00795492"/>
    <w:rsid w:val="00796746"/>
    <w:rsid w:val="007A0410"/>
    <w:rsid w:val="007A07CF"/>
    <w:rsid w:val="007A08AA"/>
    <w:rsid w:val="007A0A12"/>
    <w:rsid w:val="007A11CB"/>
    <w:rsid w:val="007A132D"/>
    <w:rsid w:val="007A1345"/>
    <w:rsid w:val="007A1D40"/>
    <w:rsid w:val="007A2275"/>
    <w:rsid w:val="007A2580"/>
    <w:rsid w:val="007A293A"/>
    <w:rsid w:val="007A2DDB"/>
    <w:rsid w:val="007A44AC"/>
    <w:rsid w:val="007A498D"/>
    <w:rsid w:val="007A4F4C"/>
    <w:rsid w:val="007A5D04"/>
    <w:rsid w:val="007A5E9F"/>
    <w:rsid w:val="007A63AB"/>
    <w:rsid w:val="007A65FF"/>
    <w:rsid w:val="007A70BA"/>
    <w:rsid w:val="007A718F"/>
    <w:rsid w:val="007A752E"/>
    <w:rsid w:val="007B038C"/>
    <w:rsid w:val="007B0D68"/>
    <w:rsid w:val="007B1CC4"/>
    <w:rsid w:val="007B251D"/>
    <w:rsid w:val="007B3300"/>
    <w:rsid w:val="007B3533"/>
    <w:rsid w:val="007B368E"/>
    <w:rsid w:val="007B3CF2"/>
    <w:rsid w:val="007B45D6"/>
    <w:rsid w:val="007B4ABC"/>
    <w:rsid w:val="007B4F58"/>
    <w:rsid w:val="007B528D"/>
    <w:rsid w:val="007B569C"/>
    <w:rsid w:val="007B636E"/>
    <w:rsid w:val="007B63CA"/>
    <w:rsid w:val="007B77D1"/>
    <w:rsid w:val="007C069D"/>
    <w:rsid w:val="007C07C7"/>
    <w:rsid w:val="007C0CE2"/>
    <w:rsid w:val="007C0F96"/>
    <w:rsid w:val="007C17BF"/>
    <w:rsid w:val="007C1CD9"/>
    <w:rsid w:val="007C2ED8"/>
    <w:rsid w:val="007C2EDB"/>
    <w:rsid w:val="007C2F52"/>
    <w:rsid w:val="007C32EF"/>
    <w:rsid w:val="007C361D"/>
    <w:rsid w:val="007C45BC"/>
    <w:rsid w:val="007C4B84"/>
    <w:rsid w:val="007C5CF5"/>
    <w:rsid w:val="007C6924"/>
    <w:rsid w:val="007C70FF"/>
    <w:rsid w:val="007C71AB"/>
    <w:rsid w:val="007C74C2"/>
    <w:rsid w:val="007C7C25"/>
    <w:rsid w:val="007C7CDA"/>
    <w:rsid w:val="007C7EBC"/>
    <w:rsid w:val="007D004F"/>
    <w:rsid w:val="007D035F"/>
    <w:rsid w:val="007D06B2"/>
    <w:rsid w:val="007D08AA"/>
    <w:rsid w:val="007D0B38"/>
    <w:rsid w:val="007D1C95"/>
    <w:rsid w:val="007D20D1"/>
    <w:rsid w:val="007D2190"/>
    <w:rsid w:val="007D335B"/>
    <w:rsid w:val="007D3FDF"/>
    <w:rsid w:val="007D5440"/>
    <w:rsid w:val="007D5989"/>
    <w:rsid w:val="007D5B03"/>
    <w:rsid w:val="007D649B"/>
    <w:rsid w:val="007D69EB"/>
    <w:rsid w:val="007D73A7"/>
    <w:rsid w:val="007E0233"/>
    <w:rsid w:val="007E0998"/>
    <w:rsid w:val="007E128F"/>
    <w:rsid w:val="007E2D9E"/>
    <w:rsid w:val="007E3DC8"/>
    <w:rsid w:val="007E5405"/>
    <w:rsid w:val="007E7AD6"/>
    <w:rsid w:val="007F04AB"/>
    <w:rsid w:val="007F0677"/>
    <w:rsid w:val="007F0E77"/>
    <w:rsid w:val="007F1017"/>
    <w:rsid w:val="007F2249"/>
    <w:rsid w:val="007F2983"/>
    <w:rsid w:val="007F2E5F"/>
    <w:rsid w:val="007F3503"/>
    <w:rsid w:val="007F43B3"/>
    <w:rsid w:val="007F4A3F"/>
    <w:rsid w:val="007F4A61"/>
    <w:rsid w:val="007F5255"/>
    <w:rsid w:val="007F56CC"/>
    <w:rsid w:val="007F5903"/>
    <w:rsid w:val="007F613A"/>
    <w:rsid w:val="007F61C2"/>
    <w:rsid w:val="007F6AEF"/>
    <w:rsid w:val="00800590"/>
    <w:rsid w:val="00800A0F"/>
    <w:rsid w:val="008014A3"/>
    <w:rsid w:val="00802207"/>
    <w:rsid w:val="008028E6"/>
    <w:rsid w:val="008040A6"/>
    <w:rsid w:val="0080498B"/>
    <w:rsid w:val="00804DA6"/>
    <w:rsid w:val="00804F1D"/>
    <w:rsid w:val="00805142"/>
    <w:rsid w:val="0080566B"/>
    <w:rsid w:val="00805FCE"/>
    <w:rsid w:val="00806921"/>
    <w:rsid w:val="00806A4E"/>
    <w:rsid w:val="00806EE2"/>
    <w:rsid w:val="00807855"/>
    <w:rsid w:val="00807A8B"/>
    <w:rsid w:val="00810FE2"/>
    <w:rsid w:val="00811383"/>
    <w:rsid w:val="00812149"/>
    <w:rsid w:val="00812277"/>
    <w:rsid w:val="008123A0"/>
    <w:rsid w:val="008127D6"/>
    <w:rsid w:val="00812CAC"/>
    <w:rsid w:val="00812FEC"/>
    <w:rsid w:val="008131B6"/>
    <w:rsid w:val="00814BF2"/>
    <w:rsid w:val="008151BB"/>
    <w:rsid w:val="00815CF7"/>
    <w:rsid w:val="00816361"/>
    <w:rsid w:val="008166EF"/>
    <w:rsid w:val="00816FEF"/>
    <w:rsid w:val="008172A3"/>
    <w:rsid w:val="00820A8C"/>
    <w:rsid w:val="00820D5C"/>
    <w:rsid w:val="008211BE"/>
    <w:rsid w:val="008215FB"/>
    <w:rsid w:val="008220CC"/>
    <w:rsid w:val="0082295C"/>
    <w:rsid w:val="008230F0"/>
    <w:rsid w:val="00823174"/>
    <w:rsid w:val="00823780"/>
    <w:rsid w:val="008256CA"/>
    <w:rsid w:val="00825751"/>
    <w:rsid w:val="008264EB"/>
    <w:rsid w:val="008268CE"/>
    <w:rsid w:val="008268CF"/>
    <w:rsid w:val="008278EC"/>
    <w:rsid w:val="00827C23"/>
    <w:rsid w:val="00827CC9"/>
    <w:rsid w:val="00827FB2"/>
    <w:rsid w:val="00830977"/>
    <w:rsid w:val="008313E9"/>
    <w:rsid w:val="008315EF"/>
    <w:rsid w:val="008321F9"/>
    <w:rsid w:val="00832978"/>
    <w:rsid w:val="0083314A"/>
    <w:rsid w:val="00833B05"/>
    <w:rsid w:val="008362B4"/>
    <w:rsid w:val="00836656"/>
    <w:rsid w:val="008368D1"/>
    <w:rsid w:val="008371C4"/>
    <w:rsid w:val="00840980"/>
    <w:rsid w:val="00840CA2"/>
    <w:rsid w:val="008411C9"/>
    <w:rsid w:val="00842F49"/>
    <w:rsid w:val="0084352A"/>
    <w:rsid w:val="00843637"/>
    <w:rsid w:val="0084374F"/>
    <w:rsid w:val="008441F5"/>
    <w:rsid w:val="0084482C"/>
    <w:rsid w:val="00844A22"/>
    <w:rsid w:val="00844ACC"/>
    <w:rsid w:val="00844C61"/>
    <w:rsid w:val="00845F56"/>
    <w:rsid w:val="00847703"/>
    <w:rsid w:val="00847BDE"/>
    <w:rsid w:val="00847D9F"/>
    <w:rsid w:val="00847DF5"/>
    <w:rsid w:val="00847F20"/>
    <w:rsid w:val="008502C1"/>
    <w:rsid w:val="00852100"/>
    <w:rsid w:val="008529E3"/>
    <w:rsid w:val="00852AAC"/>
    <w:rsid w:val="0085309D"/>
    <w:rsid w:val="008533E7"/>
    <w:rsid w:val="008535DC"/>
    <w:rsid w:val="008544BA"/>
    <w:rsid w:val="00854A20"/>
    <w:rsid w:val="00854A56"/>
    <w:rsid w:val="00854DBB"/>
    <w:rsid w:val="00855A66"/>
    <w:rsid w:val="00856897"/>
    <w:rsid w:val="00856D8A"/>
    <w:rsid w:val="00856E2D"/>
    <w:rsid w:val="00856E9A"/>
    <w:rsid w:val="00857C74"/>
    <w:rsid w:val="0086075D"/>
    <w:rsid w:val="00861858"/>
    <w:rsid w:val="008619D9"/>
    <w:rsid w:val="00862502"/>
    <w:rsid w:val="008626E3"/>
    <w:rsid w:val="00862CC1"/>
    <w:rsid w:val="0086302D"/>
    <w:rsid w:val="0086397E"/>
    <w:rsid w:val="008642A7"/>
    <w:rsid w:val="008645FF"/>
    <w:rsid w:val="008648FD"/>
    <w:rsid w:val="00865A44"/>
    <w:rsid w:val="008660D4"/>
    <w:rsid w:val="00866B29"/>
    <w:rsid w:val="0086702B"/>
    <w:rsid w:val="00867E1C"/>
    <w:rsid w:val="0087013D"/>
    <w:rsid w:val="00870291"/>
    <w:rsid w:val="008702B4"/>
    <w:rsid w:val="00870E39"/>
    <w:rsid w:val="00871260"/>
    <w:rsid w:val="00871A41"/>
    <w:rsid w:val="00871DC5"/>
    <w:rsid w:val="00871FA9"/>
    <w:rsid w:val="008728E9"/>
    <w:rsid w:val="00873A3A"/>
    <w:rsid w:val="008746A4"/>
    <w:rsid w:val="00874B25"/>
    <w:rsid w:val="00874C83"/>
    <w:rsid w:val="00875A0B"/>
    <w:rsid w:val="00875AA9"/>
    <w:rsid w:val="00875CA4"/>
    <w:rsid w:val="00875D92"/>
    <w:rsid w:val="00875DA0"/>
    <w:rsid w:val="00875FD7"/>
    <w:rsid w:val="008767F1"/>
    <w:rsid w:val="00877934"/>
    <w:rsid w:val="00877C59"/>
    <w:rsid w:val="00877D48"/>
    <w:rsid w:val="008816EA"/>
    <w:rsid w:val="0088234D"/>
    <w:rsid w:val="00882874"/>
    <w:rsid w:val="00882B64"/>
    <w:rsid w:val="00882E3C"/>
    <w:rsid w:val="0088308A"/>
    <w:rsid w:val="008832FA"/>
    <w:rsid w:val="00883787"/>
    <w:rsid w:val="0088469B"/>
    <w:rsid w:val="00884A03"/>
    <w:rsid w:val="008855E4"/>
    <w:rsid w:val="0088593C"/>
    <w:rsid w:val="00886CD2"/>
    <w:rsid w:val="0088739D"/>
    <w:rsid w:val="00887951"/>
    <w:rsid w:val="00887A3F"/>
    <w:rsid w:val="00891E6F"/>
    <w:rsid w:val="00891F60"/>
    <w:rsid w:val="00891FE5"/>
    <w:rsid w:val="0089275D"/>
    <w:rsid w:val="00892A36"/>
    <w:rsid w:val="00893239"/>
    <w:rsid w:val="008932A5"/>
    <w:rsid w:val="0089407D"/>
    <w:rsid w:val="0089420E"/>
    <w:rsid w:val="00894489"/>
    <w:rsid w:val="00894B54"/>
    <w:rsid w:val="00894CD6"/>
    <w:rsid w:val="00894F7C"/>
    <w:rsid w:val="00894FEF"/>
    <w:rsid w:val="00895D9B"/>
    <w:rsid w:val="008963A5"/>
    <w:rsid w:val="00896702"/>
    <w:rsid w:val="008967DD"/>
    <w:rsid w:val="008968E6"/>
    <w:rsid w:val="00896D5D"/>
    <w:rsid w:val="00896DB9"/>
    <w:rsid w:val="00896E09"/>
    <w:rsid w:val="00897EBB"/>
    <w:rsid w:val="008A0612"/>
    <w:rsid w:val="008A0876"/>
    <w:rsid w:val="008A1471"/>
    <w:rsid w:val="008A162A"/>
    <w:rsid w:val="008A2E64"/>
    <w:rsid w:val="008A3158"/>
    <w:rsid w:val="008A3363"/>
    <w:rsid w:val="008A3371"/>
    <w:rsid w:val="008A3C3E"/>
    <w:rsid w:val="008A48D9"/>
    <w:rsid w:val="008A5FC6"/>
    <w:rsid w:val="008A79DE"/>
    <w:rsid w:val="008B01D4"/>
    <w:rsid w:val="008B1757"/>
    <w:rsid w:val="008B1C33"/>
    <w:rsid w:val="008B2496"/>
    <w:rsid w:val="008B355F"/>
    <w:rsid w:val="008B4B6F"/>
    <w:rsid w:val="008B7992"/>
    <w:rsid w:val="008B7D0A"/>
    <w:rsid w:val="008B7D7E"/>
    <w:rsid w:val="008C125F"/>
    <w:rsid w:val="008C1FFA"/>
    <w:rsid w:val="008C206D"/>
    <w:rsid w:val="008C21D2"/>
    <w:rsid w:val="008C49C0"/>
    <w:rsid w:val="008C517E"/>
    <w:rsid w:val="008C553C"/>
    <w:rsid w:val="008C5610"/>
    <w:rsid w:val="008C5739"/>
    <w:rsid w:val="008C5A44"/>
    <w:rsid w:val="008C5AAB"/>
    <w:rsid w:val="008C64D0"/>
    <w:rsid w:val="008C67AB"/>
    <w:rsid w:val="008C7282"/>
    <w:rsid w:val="008C735B"/>
    <w:rsid w:val="008C7ECB"/>
    <w:rsid w:val="008D03C6"/>
    <w:rsid w:val="008D0BD1"/>
    <w:rsid w:val="008D164C"/>
    <w:rsid w:val="008D1F71"/>
    <w:rsid w:val="008D25BF"/>
    <w:rsid w:val="008D2894"/>
    <w:rsid w:val="008D2F3E"/>
    <w:rsid w:val="008D390E"/>
    <w:rsid w:val="008D3B86"/>
    <w:rsid w:val="008D43FD"/>
    <w:rsid w:val="008D44DD"/>
    <w:rsid w:val="008D4755"/>
    <w:rsid w:val="008D4C3D"/>
    <w:rsid w:val="008D633E"/>
    <w:rsid w:val="008D743C"/>
    <w:rsid w:val="008D779F"/>
    <w:rsid w:val="008D7DF3"/>
    <w:rsid w:val="008E0D3C"/>
    <w:rsid w:val="008E178C"/>
    <w:rsid w:val="008E1B9E"/>
    <w:rsid w:val="008E2459"/>
    <w:rsid w:val="008E2D4B"/>
    <w:rsid w:val="008E4519"/>
    <w:rsid w:val="008E4530"/>
    <w:rsid w:val="008E54E7"/>
    <w:rsid w:val="008E55AB"/>
    <w:rsid w:val="008E55E6"/>
    <w:rsid w:val="008E72F5"/>
    <w:rsid w:val="008E7E78"/>
    <w:rsid w:val="008F0C6B"/>
    <w:rsid w:val="008F0EF9"/>
    <w:rsid w:val="008F1085"/>
    <w:rsid w:val="008F120A"/>
    <w:rsid w:val="008F169C"/>
    <w:rsid w:val="008F1D0B"/>
    <w:rsid w:val="008F20C6"/>
    <w:rsid w:val="008F2587"/>
    <w:rsid w:val="008F27E0"/>
    <w:rsid w:val="008F3A50"/>
    <w:rsid w:val="008F48EB"/>
    <w:rsid w:val="008F4F0B"/>
    <w:rsid w:val="008F55BA"/>
    <w:rsid w:val="008F568F"/>
    <w:rsid w:val="008F57C2"/>
    <w:rsid w:val="008F6B8B"/>
    <w:rsid w:val="008F72CF"/>
    <w:rsid w:val="008F7547"/>
    <w:rsid w:val="008F7CEA"/>
    <w:rsid w:val="00902011"/>
    <w:rsid w:val="00902B6D"/>
    <w:rsid w:val="00903690"/>
    <w:rsid w:val="00903AB1"/>
    <w:rsid w:val="00903B29"/>
    <w:rsid w:val="009042D1"/>
    <w:rsid w:val="0090439F"/>
    <w:rsid w:val="009046C4"/>
    <w:rsid w:val="00905BB0"/>
    <w:rsid w:val="009062A5"/>
    <w:rsid w:val="009064F5"/>
    <w:rsid w:val="0090700F"/>
    <w:rsid w:val="00907699"/>
    <w:rsid w:val="00907BDB"/>
    <w:rsid w:val="00907D14"/>
    <w:rsid w:val="0091026E"/>
    <w:rsid w:val="00910FA7"/>
    <w:rsid w:val="00911272"/>
    <w:rsid w:val="00911339"/>
    <w:rsid w:val="00911480"/>
    <w:rsid w:val="009135D6"/>
    <w:rsid w:val="00913CB9"/>
    <w:rsid w:val="00913FC0"/>
    <w:rsid w:val="00914156"/>
    <w:rsid w:val="00914C77"/>
    <w:rsid w:val="00917137"/>
    <w:rsid w:val="0092091B"/>
    <w:rsid w:val="00920A4C"/>
    <w:rsid w:val="009216E0"/>
    <w:rsid w:val="00921ACB"/>
    <w:rsid w:val="00922F86"/>
    <w:rsid w:val="00922F9E"/>
    <w:rsid w:val="0092369B"/>
    <w:rsid w:val="009236BD"/>
    <w:rsid w:val="00923BD0"/>
    <w:rsid w:val="009249D0"/>
    <w:rsid w:val="0092550F"/>
    <w:rsid w:val="0092565F"/>
    <w:rsid w:val="0092586E"/>
    <w:rsid w:val="00926B30"/>
    <w:rsid w:val="0092796C"/>
    <w:rsid w:val="00927E49"/>
    <w:rsid w:val="00930C73"/>
    <w:rsid w:val="0093113B"/>
    <w:rsid w:val="00931266"/>
    <w:rsid w:val="0093351C"/>
    <w:rsid w:val="009339B4"/>
    <w:rsid w:val="00934614"/>
    <w:rsid w:val="00934988"/>
    <w:rsid w:val="009360FA"/>
    <w:rsid w:val="00937089"/>
    <w:rsid w:val="00940282"/>
    <w:rsid w:val="00940BBF"/>
    <w:rsid w:val="009414C5"/>
    <w:rsid w:val="00941898"/>
    <w:rsid w:val="00941EEE"/>
    <w:rsid w:val="00941FF5"/>
    <w:rsid w:val="009440A4"/>
    <w:rsid w:val="00944853"/>
    <w:rsid w:val="00944A14"/>
    <w:rsid w:val="00944F8A"/>
    <w:rsid w:val="009450FD"/>
    <w:rsid w:val="009453DD"/>
    <w:rsid w:val="0095010D"/>
    <w:rsid w:val="009510A2"/>
    <w:rsid w:val="00952040"/>
    <w:rsid w:val="009523C5"/>
    <w:rsid w:val="00953257"/>
    <w:rsid w:val="009546B3"/>
    <w:rsid w:val="0095474C"/>
    <w:rsid w:val="00955636"/>
    <w:rsid w:val="00955992"/>
    <w:rsid w:val="009565F4"/>
    <w:rsid w:val="00956FB4"/>
    <w:rsid w:val="00957827"/>
    <w:rsid w:val="009578FC"/>
    <w:rsid w:val="00957B55"/>
    <w:rsid w:val="00957D92"/>
    <w:rsid w:val="00960DD0"/>
    <w:rsid w:val="009616C9"/>
    <w:rsid w:val="00961ADD"/>
    <w:rsid w:val="00962CB9"/>
    <w:rsid w:val="00963908"/>
    <w:rsid w:val="00963D25"/>
    <w:rsid w:val="00964312"/>
    <w:rsid w:val="009650F4"/>
    <w:rsid w:val="00965234"/>
    <w:rsid w:val="00965B8A"/>
    <w:rsid w:val="0096754E"/>
    <w:rsid w:val="009675C3"/>
    <w:rsid w:val="0097071F"/>
    <w:rsid w:val="009708FC"/>
    <w:rsid w:val="00970E31"/>
    <w:rsid w:val="009717AC"/>
    <w:rsid w:val="00971C00"/>
    <w:rsid w:val="009726A0"/>
    <w:rsid w:val="00973AAB"/>
    <w:rsid w:val="00974C6F"/>
    <w:rsid w:val="00974D90"/>
    <w:rsid w:val="009750CA"/>
    <w:rsid w:val="0097511D"/>
    <w:rsid w:val="009751C1"/>
    <w:rsid w:val="009754DB"/>
    <w:rsid w:val="00975741"/>
    <w:rsid w:val="00980E3E"/>
    <w:rsid w:val="009811F1"/>
    <w:rsid w:val="0098189A"/>
    <w:rsid w:val="0098262F"/>
    <w:rsid w:val="00983BE8"/>
    <w:rsid w:val="00983CF4"/>
    <w:rsid w:val="00983E57"/>
    <w:rsid w:val="00984256"/>
    <w:rsid w:val="009845ED"/>
    <w:rsid w:val="00985720"/>
    <w:rsid w:val="00985DE2"/>
    <w:rsid w:val="0098675D"/>
    <w:rsid w:val="009868C6"/>
    <w:rsid w:val="00987BA4"/>
    <w:rsid w:val="00987D7C"/>
    <w:rsid w:val="00990E20"/>
    <w:rsid w:val="00991391"/>
    <w:rsid w:val="009926E0"/>
    <w:rsid w:val="00992CE7"/>
    <w:rsid w:val="00993889"/>
    <w:rsid w:val="00994212"/>
    <w:rsid w:val="0099451E"/>
    <w:rsid w:val="009950AC"/>
    <w:rsid w:val="009958D1"/>
    <w:rsid w:val="00996A1B"/>
    <w:rsid w:val="00996B1A"/>
    <w:rsid w:val="00997738"/>
    <w:rsid w:val="009A06DF"/>
    <w:rsid w:val="009A18F6"/>
    <w:rsid w:val="009A2DCC"/>
    <w:rsid w:val="009A2F6A"/>
    <w:rsid w:val="009A3A17"/>
    <w:rsid w:val="009A3D33"/>
    <w:rsid w:val="009A5145"/>
    <w:rsid w:val="009A5ABC"/>
    <w:rsid w:val="009A6860"/>
    <w:rsid w:val="009A7F10"/>
    <w:rsid w:val="009B1646"/>
    <w:rsid w:val="009B178E"/>
    <w:rsid w:val="009B17EF"/>
    <w:rsid w:val="009B3083"/>
    <w:rsid w:val="009B35CB"/>
    <w:rsid w:val="009B3A79"/>
    <w:rsid w:val="009B3E26"/>
    <w:rsid w:val="009B4599"/>
    <w:rsid w:val="009B4FCA"/>
    <w:rsid w:val="009B6584"/>
    <w:rsid w:val="009B6C4C"/>
    <w:rsid w:val="009B7B74"/>
    <w:rsid w:val="009C06EE"/>
    <w:rsid w:val="009C1271"/>
    <w:rsid w:val="009C1780"/>
    <w:rsid w:val="009C2183"/>
    <w:rsid w:val="009C22AD"/>
    <w:rsid w:val="009C239E"/>
    <w:rsid w:val="009C2432"/>
    <w:rsid w:val="009C253C"/>
    <w:rsid w:val="009C27A8"/>
    <w:rsid w:val="009C3706"/>
    <w:rsid w:val="009C3711"/>
    <w:rsid w:val="009C3A3A"/>
    <w:rsid w:val="009C426B"/>
    <w:rsid w:val="009C565E"/>
    <w:rsid w:val="009C5B95"/>
    <w:rsid w:val="009C5CAE"/>
    <w:rsid w:val="009C6341"/>
    <w:rsid w:val="009C6CEA"/>
    <w:rsid w:val="009C74EC"/>
    <w:rsid w:val="009C7B85"/>
    <w:rsid w:val="009C7CBC"/>
    <w:rsid w:val="009D0217"/>
    <w:rsid w:val="009D0254"/>
    <w:rsid w:val="009D0C11"/>
    <w:rsid w:val="009D1A64"/>
    <w:rsid w:val="009D1B9F"/>
    <w:rsid w:val="009D2449"/>
    <w:rsid w:val="009D5B91"/>
    <w:rsid w:val="009D5CFD"/>
    <w:rsid w:val="009D66B9"/>
    <w:rsid w:val="009D6C57"/>
    <w:rsid w:val="009D6CE8"/>
    <w:rsid w:val="009D7339"/>
    <w:rsid w:val="009D792E"/>
    <w:rsid w:val="009E09C5"/>
    <w:rsid w:val="009E0DFE"/>
    <w:rsid w:val="009E0EF8"/>
    <w:rsid w:val="009E190E"/>
    <w:rsid w:val="009E2C45"/>
    <w:rsid w:val="009E31F6"/>
    <w:rsid w:val="009E44AC"/>
    <w:rsid w:val="009E4787"/>
    <w:rsid w:val="009E4C07"/>
    <w:rsid w:val="009E4C39"/>
    <w:rsid w:val="009E5945"/>
    <w:rsid w:val="009E5DB8"/>
    <w:rsid w:val="009E659C"/>
    <w:rsid w:val="009E6700"/>
    <w:rsid w:val="009E7590"/>
    <w:rsid w:val="009E777F"/>
    <w:rsid w:val="009E7FE0"/>
    <w:rsid w:val="009F0B72"/>
    <w:rsid w:val="009F1B94"/>
    <w:rsid w:val="009F24E5"/>
    <w:rsid w:val="009F289E"/>
    <w:rsid w:val="009F2D77"/>
    <w:rsid w:val="009F4D58"/>
    <w:rsid w:val="009F5231"/>
    <w:rsid w:val="009F5CD4"/>
    <w:rsid w:val="009F6120"/>
    <w:rsid w:val="009F625A"/>
    <w:rsid w:val="009F6A67"/>
    <w:rsid w:val="009F6B60"/>
    <w:rsid w:val="009F70F5"/>
    <w:rsid w:val="00A00D76"/>
    <w:rsid w:val="00A01138"/>
    <w:rsid w:val="00A01184"/>
    <w:rsid w:val="00A01449"/>
    <w:rsid w:val="00A014A0"/>
    <w:rsid w:val="00A02FBF"/>
    <w:rsid w:val="00A02FE4"/>
    <w:rsid w:val="00A037C2"/>
    <w:rsid w:val="00A03D43"/>
    <w:rsid w:val="00A04380"/>
    <w:rsid w:val="00A04786"/>
    <w:rsid w:val="00A05472"/>
    <w:rsid w:val="00A05C32"/>
    <w:rsid w:val="00A0653F"/>
    <w:rsid w:val="00A07486"/>
    <w:rsid w:val="00A078A9"/>
    <w:rsid w:val="00A11CD0"/>
    <w:rsid w:val="00A12F24"/>
    <w:rsid w:val="00A12F75"/>
    <w:rsid w:val="00A1310F"/>
    <w:rsid w:val="00A13948"/>
    <w:rsid w:val="00A14D61"/>
    <w:rsid w:val="00A1555B"/>
    <w:rsid w:val="00A155B1"/>
    <w:rsid w:val="00A155C5"/>
    <w:rsid w:val="00A1578F"/>
    <w:rsid w:val="00A159BD"/>
    <w:rsid w:val="00A165DE"/>
    <w:rsid w:val="00A16AD8"/>
    <w:rsid w:val="00A16AD9"/>
    <w:rsid w:val="00A2021E"/>
    <w:rsid w:val="00A20271"/>
    <w:rsid w:val="00A20613"/>
    <w:rsid w:val="00A2064E"/>
    <w:rsid w:val="00A20CCB"/>
    <w:rsid w:val="00A21B15"/>
    <w:rsid w:val="00A21C95"/>
    <w:rsid w:val="00A21CF3"/>
    <w:rsid w:val="00A2380F"/>
    <w:rsid w:val="00A246D4"/>
    <w:rsid w:val="00A24813"/>
    <w:rsid w:val="00A24B55"/>
    <w:rsid w:val="00A26646"/>
    <w:rsid w:val="00A26715"/>
    <w:rsid w:val="00A274FA"/>
    <w:rsid w:val="00A27AEC"/>
    <w:rsid w:val="00A30343"/>
    <w:rsid w:val="00A314B7"/>
    <w:rsid w:val="00A31978"/>
    <w:rsid w:val="00A320DB"/>
    <w:rsid w:val="00A32C60"/>
    <w:rsid w:val="00A34335"/>
    <w:rsid w:val="00A35B30"/>
    <w:rsid w:val="00A35D16"/>
    <w:rsid w:val="00A37034"/>
    <w:rsid w:val="00A37BCD"/>
    <w:rsid w:val="00A40059"/>
    <w:rsid w:val="00A40866"/>
    <w:rsid w:val="00A40D1F"/>
    <w:rsid w:val="00A413AD"/>
    <w:rsid w:val="00A41689"/>
    <w:rsid w:val="00A4201C"/>
    <w:rsid w:val="00A42592"/>
    <w:rsid w:val="00A4305F"/>
    <w:rsid w:val="00A43C59"/>
    <w:rsid w:val="00A44D42"/>
    <w:rsid w:val="00A45DF1"/>
    <w:rsid w:val="00A464F7"/>
    <w:rsid w:val="00A50A28"/>
    <w:rsid w:val="00A50ECD"/>
    <w:rsid w:val="00A518F3"/>
    <w:rsid w:val="00A52568"/>
    <w:rsid w:val="00A525A7"/>
    <w:rsid w:val="00A52729"/>
    <w:rsid w:val="00A52C9D"/>
    <w:rsid w:val="00A533FE"/>
    <w:rsid w:val="00A53675"/>
    <w:rsid w:val="00A54A2E"/>
    <w:rsid w:val="00A564D7"/>
    <w:rsid w:val="00A56B6A"/>
    <w:rsid w:val="00A571EC"/>
    <w:rsid w:val="00A573BF"/>
    <w:rsid w:val="00A573DA"/>
    <w:rsid w:val="00A578DC"/>
    <w:rsid w:val="00A608C1"/>
    <w:rsid w:val="00A61839"/>
    <w:rsid w:val="00A61C18"/>
    <w:rsid w:val="00A61FBC"/>
    <w:rsid w:val="00A63BD5"/>
    <w:rsid w:val="00A640E2"/>
    <w:rsid w:val="00A64D65"/>
    <w:rsid w:val="00A65DB0"/>
    <w:rsid w:val="00A663D1"/>
    <w:rsid w:val="00A6725B"/>
    <w:rsid w:val="00A67931"/>
    <w:rsid w:val="00A70104"/>
    <w:rsid w:val="00A70605"/>
    <w:rsid w:val="00A711F1"/>
    <w:rsid w:val="00A71626"/>
    <w:rsid w:val="00A7172C"/>
    <w:rsid w:val="00A71C5B"/>
    <w:rsid w:val="00A721DA"/>
    <w:rsid w:val="00A72EB1"/>
    <w:rsid w:val="00A73134"/>
    <w:rsid w:val="00A7365A"/>
    <w:rsid w:val="00A748C6"/>
    <w:rsid w:val="00A75493"/>
    <w:rsid w:val="00A75802"/>
    <w:rsid w:val="00A75874"/>
    <w:rsid w:val="00A75B31"/>
    <w:rsid w:val="00A76001"/>
    <w:rsid w:val="00A7715B"/>
    <w:rsid w:val="00A771A6"/>
    <w:rsid w:val="00A771BC"/>
    <w:rsid w:val="00A7746E"/>
    <w:rsid w:val="00A777B2"/>
    <w:rsid w:val="00A8042B"/>
    <w:rsid w:val="00A80EB8"/>
    <w:rsid w:val="00A81ECD"/>
    <w:rsid w:val="00A825D4"/>
    <w:rsid w:val="00A828F6"/>
    <w:rsid w:val="00A829B8"/>
    <w:rsid w:val="00A82B73"/>
    <w:rsid w:val="00A832DB"/>
    <w:rsid w:val="00A848AC"/>
    <w:rsid w:val="00A85092"/>
    <w:rsid w:val="00A85A27"/>
    <w:rsid w:val="00A86712"/>
    <w:rsid w:val="00A86E8B"/>
    <w:rsid w:val="00A86F63"/>
    <w:rsid w:val="00A87164"/>
    <w:rsid w:val="00A871A9"/>
    <w:rsid w:val="00A87C4B"/>
    <w:rsid w:val="00A90B38"/>
    <w:rsid w:val="00A92655"/>
    <w:rsid w:val="00A92FCD"/>
    <w:rsid w:val="00A93072"/>
    <w:rsid w:val="00A93337"/>
    <w:rsid w:val="00A935A6"/>
    <w:rsid w:val="00A9373A"/>
    <w:rsid w:val="00A938BD"/>
    <w:rsid w:val="00A93953"/>
    <w:rsid w:val="00A94D20"/>
    <w:rsid w:val="00A959D8"/>
    <w:rsid w:val="00A964E2"/>
    <w:rsid w:val="00AA0250"/>
    <w:rsid w:val="00AA0537"/>
    <w:rsid w:val="00AA113D"/>
    <w:rsid w:val="00AA2DD0"/>
    <w:rsid w:val="00AA3321"/>
    <w:rsid w:val="00AA342F"/>
    <w:rsid w:val="00AA4D2A"/>
    <w:rsid w:val="00AA5740"/>
    <w:rsid w:val="00AA6360"/>
    <w:rsid w:val="00AA63C9"/>
    <w:rsid w:val="00AA6563"/>
    <w:rsid w:val="00AA6BD5"/>
    <w:rsid w:val="00AA6BD8"/>
    <w:rsid w:val="00AA6C7D"/>
    <w:rsid w:val="00AA7FD6"/>
    <w:rsid w:val="00AB032C"/>
    <w:rsid w:val="00AB042A"/>
    <w:rsid w:val="00AB11AD"/>
    <w:rsid w:val="00AB19EF"/>
    <w:rsid w:val="00AB1B3B"/>
    <w:rsid w:val="00AB1ED1"/>
    <w:rsid w:val="00AB1F69"/>
    <w:rsid w:val="00AB2495"/>
    <w:rsid w:val="00AB2C8C"/>
    <w:rsid w:val="00AB2D34"/>
    <w:rsid w:val="00AB3430"/>
    <w:rsid w:val="00AB37B9"/>
    <w:rsid w:val="00AB4AD1"/>
    <w:rsid w:val="00AB4BA5"/>
    <w:rsid w:val="00AB5430"/>
    <w:rsid w:val="00AB5E07"/>
    <w:rsid w:val="00AB620C"/>
    <w:rsid w:val="00AB6683"/>
    <w:rsid w:val="00AB72E4"/>
    <w:rsid w:val="00AB7CFA"/>
    <w:rsid w:val="00AC2D67"/>
    <w:rsid w:val="00AC2E04"/>
    <w:rsid w:val="00AC30B9"/>
    <w:rsid w:val="00AC46C7"/>
    <w:rsid w:val="00AC48C7"/>
    <w:rsid w:val="00AC4FC7"/>
    <w:rsid w:val="00AC5B42"/>
    <w:rsid w:val="00AC5B48"/>
    <w:rsid w:val="00AD131D"/>
    <w:rsid w:val="00AD1450"/>
    <w:rsid w:val="00AD15E8"/>
    <w:rsid w:val="00AD1F41"/>
    <w:rsid w:val="00AD223D"/>
    <w:rsid w:val="00AD232A"/>
    <w:rsid w:val="00AD2AA1"/>
    <w:rsid w:val="00AD356D"/>
    <w:rsid w:val="00AD389F"/>
    <w:rsid w:val="00AD4561"/>
    <w:rsid w:val="00AD4580"/>
    <w:rsid w:val="00AD4A17"/>
    <w:rsid w:val="00AD57F2"/>
    <w:rsid w:val="00AD58BE"/>
    <w:rsid w:val="00AD5C6F"/>
    <w:rsid w:val="00AD6502"/>
    <w:rsid w:val="00AD67AC"/>
    <w:rsid w:val="00AD7AA1"/>
    <w:rsid w:val="00AD7BB5"/>
    <w:rsid w:val="00AE0695"/>
    <w:rsid w:val="00AE2D87"/>
    <w:rsid w:val="00AE3C88"/>
    <w:rsid w:val="00AE3E7E"/>
    <w:rsid w:val="00AE522F"/>
    <w:rsid w:val="00AE52F0"/>
    <w:rsid w:val="00AE5A8F"/>
    <w:rsid w:val="00AE6454"/>
    <w:rsid w:val="00AE6613"/>
    <w:rsid w:val="00AE6618"/>
    <w:rsid w:val="00AE6876"/>
    <w:rsid w:val="00AE7D69"/>
    <w:rsid w:val="00AE7E53"/>
    <w:rsid w:val="00AF1262"/>
    <w:rsid w:val="00AF1315"/>
    <w:rsid w:val="00AF142D"/>
    <w:rsid w:val="00AF19BF"/>
    <w:rsid w:val="00AF2DC3"/>
    <w:rsid w:val="00AF3251"/>
    <w:rsid w:val="00AF4637"/>
    <w:rsid w:val="00AF476F"/>
    <w:rsid w:val="00AF5250"/>
    <w:rsid w:val="00AF5418"/>
    <w:rsid w:val="00AF5B7B"/>
    <w:rsid w:val="00AF6324"/>
    <w:rsid w:val="00AF64F6"/>
    <w:rsid w:val="00AF67D6"/>
    <w:rsid w:val="00AF7413"/>
    <w:rsid w:val="00AF76D1"/>
    <w:rsid w:val="00AF7B09"/>
    <w:rsid w:val="00B013CF"/>
    <w:rsid w:val="00B032B0"/>
    <w:rsid w:val="00B033E5"/>
    <w:rsid w:val="00B036A7"/>
    <w:rsid w:val="00B03A63"/>
    <w:rsid w:val="00B058E2"/>
    <w:rsid w:val="00B063A6"/>
    <w:rsid w:val="00B064B1"/>
    <w:rsid w:val="00B06C2C"/>
    <w:rsid w:val="00B06E42"/>
    <w:rsid w:val="00B10C17"/>
    <w:rsid w:val="00B10D67"/>
    <w:rsid w:val="00B11878"/>
    <w:rsid w:val="00B11FA2"/>
    <w:rsid w:val="00B1265B"/>
    <w:rsid w:val="00B127E5"/>
    <w:rsid w:val="00B129A4"/>
    <w:rsid w:val="00B140DA"/>
    <w:rsid w:val="00B1657A"/>
    <w:rsid w:val="00B16DBA"/>
    <w:rsid w:val="00B16FE1"/>
    <w:rsid w:val="00B175D9"/>
    <w:rsid w:val="00B201A4"/>
    <w:rsid w:val="00B201D1"/>
    <w:rsid w:val="00B20951"/>
    <w:rsid w:val="00B20EA5"/>
    <w:rsid w:val="00B213A6"/>
    <w:rsid w:val="00B219FB"/>
    <w:rsid w:val="00B21CD0"/>
    <w:rsid w:val="00B22A25"/>
    <w:rsid w:val="00B22BDF"/>
    <w:rsid w:val="00B235B0"/>
    <w:rsid w:val="00B243A7"/>
    <w:rsid w:val="00B2470E"/>
    <w:rsid w:val="00B24DF6"/>
    <w:rsid w:val="00B24E37"/>
    <w:rsid w:val="00B254CF"/>
    <w:rsid w:val="00B255FF"/>
    <w:rsid w:val="00B27044"/>
    <w:rsid w:val="00B27A61"/>
    <w:rsid w:val="00B27A94"/>
    <w:rsid w:val="00B30B38"/>
    <w:rsid w:val="00B32D0A"/>
    <w:rsid w:val="00B33751"/>
    <w:rsid w:val="00B33A4C"/>
    <w:rsid w:val="00B34765"/>
    <w:rsid w:val="00B34FE2"/>
    <w:rsid w:val="00B35166"/>
    <w:rsid w:val="00B351E4"/>
    <w:rsid w:val="00B357D8"/>
    <w:rsid w:val="00B360F4"/>
    <w:rsid w:val="00B36164"/>
    <w:rsid w:val="00B368C8"/>
    <w:rsid w:val="00B36A00"/>
    <w:rsid w:val="00B3792B"/>
    <w:rsid w:val="00B37BFC"/>
    <w:rsid w:val="00B40005"/>
    <w:rsid w:val="00B40037"/>
    <w:rsid w:val="00B40126"/>
    <w:rsid w:val="00B40358"/>
    <w:rsid w:val="00B40393"/>
    <w:rsid w:val="00B404BE"/>
    <w:rsid w:val="00B406F5"/>
    <w:rsid w:val="00B40723"/>
    <w:rsid w:val="00B41614"/>
    <w:rsid w:val="00B42851"/>
    <w:rsid w:val="00B42A0A"/>
    <w:rsid w:val="00B42F80"/>
    <w:rsid w:val="00B435CB"/>
    <w:rsid w:val="00B44942"/>
    <w:rsid w:val="00B44ACE"/>
    <w:rsid w:val="00B45947"/>
    <w:rsid w:val="00B45E7A"/>
    <w:rsid w:val="00B465EC"/>
    <w:rsid w:val="00B477C6"/>
    <w:rsid w:val="00B47EBA"/>
    <w:rsid w:val="00B505C8"/>
    <w:rsid w:val="00B50DB8"/>
    <w:rsid w:val="00B51425"/>
    <w:rsid w:val="00B519B0"/>
    <w:rsid w:val="00B51B2B"/>
    <w:rsid w:val="00B53654"/>
    <w:rsid w:val="00B53905"/>
    <w:rsid w:val="00B54196"/>
    <w:rsid w:val="00B546DB"/>
    <w:rsid w:val="00B54B5B"/>
    <w:rsid w:val="00B54E59"/>
    <w:rsid w:val="00B54F7C"/>
    <w:rsid w:val="00B55134"/>
    <w:rsid w:val="00B55548"/>
    <w:rsid w:val="00B5562E"/>
    <w:rsid w:val="00B557E1"/>
    <w:rsid w:val="00B55862"/>
    <w:rsid w:val="00B559DB"/>
    <w:rsid w:val="00B55D65"/>
    <w:rsid w:val="00B56305"/>
    <w:rsid w:val="00B57000"/>
    <w:rsid w:val="00B5788E"/>
    <w:rsid w:val="00B57AA8"/>
    <w:rsid w:val="00B6076B"/>
    <w:rsid w:val="00B60939"/>
    <w:rsid w:val="00B60AFD"/>
    <w:rsid w:val="00B62138"/>
    <w:rsid w:val="00B62715"/>
    <w:rsid w:val="00B6288D"/>
    <w:rsid w:val="00B633F3"/>
    <w:rsid w:val="00B63BD0"/>
    <w:rsid w:val="00B65611"/>
    <w:rsid w:val="00B65BBE"/>
    <w:rsid w:val="00B65C9F"/>
    <w:rsid w:val="00B65FC0"/>
    <w:rsid w:val="00B66029"/>
    <w:rsid w:val="00B67172"/>
    <w:rsid w:val="00B671A4"/>
    <w:rsid w:val="00B7049C"/>
    <w:rsid w:val="00B70E8E"/>
    <w:rsid w:val="00B72EB3"/>
    <w:rsid w:val="00B73553"/>
    <w:rsid w:val="00B73681"/>
    <w:rsid w:val="00B76095"/>
    <w:rsid w:val="00B760C8"/>
    <w:rsid w:val="00B76C92"/>
    <w:rsid w:val="00B76E76"/>
    <w:rsid w:val="00B77F6D"/>
    <w:rsid w:val="00B80504"/>
    <w:rsid w:val="00B80875"/>
    <w:rsid w:val="00B80EFD"/>
    <w:rsid w:val="00B80FA7"/>
    <w:rsid w:val="00B8178E"/>
    <w:rsid w:val="00B818A4"/>
    <w:rsid w:val="00B81CEF"/>
    <w:rsid w:val="00B82637"/>
    <w:rsid w:val="00B82BAD"/>
    <w:rsid w:val="00B83739"/>
    <w:rsid w:val="00B83AEA"/>
    <w:rsid w:val="00B84117"/>
    <w:rsid w:val="00B841A9"/>
    <w:rsid w:val="00B858F0"/>
    <w:rsid w:val="00B85A79"/>
    <w:rsid w:val="00B85AA2"/>
    <w:rsid w:val="00B8649C"/>
    <w:rsid w:val="00B8695D"/>
    <w:rsid w:val="00B8736D"/>
    <w:rsid w:val="00B87746"/>
    <w:rsid w:val="00B87C8F"/>
    <w:rsid w:val="00B87E95"/>
    <w:rsid w:val="00B87F0A"/>
    <w:rsid w:val="00B92AE3"/>
    <w:rsid w:val="00B92D0B"/>
    <w:rsid w:val="00B92F76"/>
    <w:rsid w:val="00B9327A"/>
    <w:rsid w:val="00B94361"/>
    <w:rsid w:val="00B94945"/>
    <w:rsid w:val="00B94DD6"/>
    <w:rsid w:val="00B961EB"/>
    <w:rsid w:val="00B966D2"/>
    <w:rsid w:val="00B9778F"/>
    <w:rsid w:val="00B97C2B"/>
    <w:rsid w:val="00BA1196"/>
    <w:rsid w:val="00BA209E"/>
    <w:rsid w:val="00BA2B67"/>
    <w:rsid w:val="00BA322D"/>
    <w:rsid w:val="00BA3384"/>
    <w:rsid w:val="00BA3C36"/>
    <w:rsid w:val="00BA3F26"/>
    <w:rsid w:val="00BA4369"/>
    <w:rsid w:val="00BA4F0C"/>
    <w:rsid w:val="00BA4FE4"/>
    <w:rsid w:val="00BA55FA"/>
    <w:rsid w:val="00BA5851"/>
    <w:rsid w:val="00BA60B1"/>
    <w:rsid w:val="00BA63FA"/>
    <w:rsid w:val="00BA645B"/>
    <w:rsid w:val="00BA6475"/>
    <w:rsid w:val="00BA77B1"/>
    <w:rsid w:val="00BA7C58"/>
    <w:rsid w:val="00BA7D6D"/>
    <w:rsid w:val="00BB00B3"/>
    <w:rsid w:val="00BB03E9"/>
    <w:rsid w:val="00BB0BDD"/>
    <w:rsid w:val="00BB0E7D"/>
    <w:rsid w:val="00BB176C"/>
    <w:rsid w:val="00BB1B3C"/>
    <w:rsid w:val="00BB1BA6"/>
    <w:rsid w:val="00BB202A"/>
    <w:rsid w:val="00BB239C"/>
    <w:rsid w:val="00BB2A73"/>
    <w:rsid w:val="00BB30A7"/>
    <w:rsid w:val="00BB3A45"/>
    <w:rsid w:val="00BB4ACC"/>
    <w:rsid w:val="00BB4E9E"/>
    <w:rsid w:val="00BB6F38"/>
    <w:rsid w:val="00BB703E"/>
    <w:rsid w:val="00BB732D"/>
    <w:rsid w:val="00BB7405"/>
    <w:rsid w:val="00BB7D9A"/>
    <w:rsid w:val="00BC0246"/>
    <w:rsid w:val="00BC07E9"/>
    <w:rsid w:val="00BC0F58"/>
    <w:rsid w:val="00BC1287"/>
    <w:rsid w:val="00BC2532"/>
    <w:rsid w:val="00BC2FD4"/>
    <w:rsid w:val="00BC3260"/>
    <w:rsid w:val="00BC34F8"/>
    <w:rsid w:val="00BC3631"/>
    <w:rsid w:val="00BC3A53"/>
    <w:rsid w:val="00BC4523"/>
    <w:rsid w:val="00BC5787"/>
    <w:rsid w:val="00BC591F"/>
    <w:rsid w:val="00BC6DBA"/>
    <w:rsid w:val="00BC7386"/>
    <w:rsid w:val="00BC7D6D"/>
    <w:rsid w:val="00BD03B5"/>
    <w:rsid w:val="00BD2108"/>
    <w:rsid w:val="00BD2417"/>
    <w:rsid w:val="00BD3EAE"/>
    <w:rsid w:val="00BD4115"/>
    <w:rsid w:val="00BD4DA8"/>
    <w:rsid w:val="00BD4E26"/>
    <w:rsid w:val="00BD55AF"/>
    <w:rsid w:val="00BD56A7"/>
    <w:rsid w:val="00BD59D0"/>
    <w:rsid w:val="00BD68A3"/>
    <w:rsid w:val="00BD6938"/>
    <w:rsid w:val="00BD6CF3"/>
    <w:rsid w:val="00BD7375"/>
    <w:rsid w:val="00BD7EAC"/>
    <w:rsid w:val="00BD7F72"/>
    <w:rsid w:val="00BE0508"/>
    <w:rsid w:val="00BE0ECA"/>
    <w:rsid w:val="00BE2180"/>
    <w:rsid w:val="00BE21F2"/>
    <w:rsid w:val="00BE2308"/>
    <w:rsid w:val="00BE34E6"/>
    <w:rsid w:val="00BE4275"/>
    <w:rsid w:val="00BE49DE"/>
    <w:rsid w:val="00BE54A9"/>
    <w:rsid w:val="00BE5B3A"/>
    <w:rsid w:val="00BE5FAA"/>
    <w:rsid w:val="00BE6C10"/>
    <w:rsid w:val="00BF0271"/>
    <w:rsid w:val="00BF06AE"/>
    <w:rsid w:val="00BF0CA0"/>
    <w:rsid w:val="00BF0D39"/>
    <w:rsid w:val="00BF0F95"/>
    <w:rsid w:val="00BF1015"/>
    <w:rsid w:val="00BF1765"/>
    <w:rsid w:val="00BF1B73"/>
    <w:rsid w:val="00BF2433"/>
    <w:rsid w:val="00BF2A24"/>
    <w:rsid w:val="00BF2A28"/>
    <w:rsid w:val="00BF2E6E"/>
    <w:rsid w:val="00BF42A8"/>
    <w:rsid w:val="00BF4E8A"/>
    <w:rsid w:val="00BF50BC"/>
    <w:rsid w:val="00BF557A"/>
    <w:rsid w:val="00BF5DC6"/>
    <w:rsid w:val="00BF5E45"/>
    <w:rsid w:val="00BF61C9"/>
    <w:rsid w:val="00BF61E5"/>
    <w:rsid w:val="00BF6C94"/>
    <w:rsid w:val="00BF7092"/>
    <w:rsid w:val="00BF7876"/>
    <w:rsid w:val="00BF7DCA"/>
    <w:rsid w:val="00BF7E0F"/>
    <w:rsid w:val="00C00424"/>
    <w:rsid w:val="00C00BB0"/>
    <w:rsid w:val="00C0176E"/>
    <w:rsid w:val="00C03D74"/>
    <w:rsid w:val="00C04849"/>
    <w:rsid w:val="00C04F6D"/>
    <w:rsid w:val="00C05A30"/>
    <w:rsid w:val="00C05E17"/>
    <w:rsid w:val="00C07FCF"/>
    <w:rsid w:val="00C1179F"/>
    <w:rsid w:val="00C127B9"/>
    <w:rsid w:val="00C128FA"/>
    <w:rsid w:val="00C12B95"/>
    <w:rsid w:val="00C12C14"/>
    <w:rsid w:val="00C13533"/>
    <w:rsid w:val="00C13797"/>
    <w:rsid w:val="00C150FA"/>
    <w:rsid w:val="00C15918"/>
    <w:rsid w:val="00C15F04"/>
    <w:rsid w:val="00C161F7"/>
    <w:rsid w:val="00C16B51"/>
    <w:rsid w:val="00C179B3"/>
    <w:rsid w:val="00C17BBC"/>
    <w:rsid w:val="00C17E3F"/>
    <w:rsid w:val="00C17F55"/>
    <w:rsid w:val="00C200AA"/>
    <w:rsid w:val="00C20A24"/>
    <w:rsid w:val="00C2117F"/>
    <w:rsid w:val="00C21DA4"/>
    <w:rsid w:val="00C23196"/>
    <w:rsid w:val="00C237ED"/>
    <w:rsid w:val="00C24632"/>
    <w:rsid w:val="00C24A50"/>
    <w:rsid w:val="00C25418"/>
    <w:rsid w:val="00C25426"/>
    <w:rsid w:val="00C25D9C"/>
    <w:rsid w:val="00C25EAD"/>
    <w:rsid w:val="00C264B8"/>
    <w:rsid w:val="00C26589"/>
    <w:rsid w:val="00C26D44"/>
    <w:rsid w:val="00C2778B"/>
    <w:rsid w:val="00C30253"/>
    <w:rsid w:val="00C31649"/>
    <w:rsid w:val="00C32F81"/>
    <w:rsid w:val="00C3434C"/>
    <w:rsid w:val="00C347D6"/>
    <w:rsid w:val="00C35C1E"/>
    <w:rsid w:val="00C3671A"/>
    <w:rsid w:val="00C36C09"/>
    <w:rsid w:val="00C379B2"/>
    <w:rsid w:val="00C40385"/>
    <w:rsid w:val="00C409EE"/>
    <w:rsid w:val="00C410D0"/>
    <w:rsid w:val="00C41768"/>
    <w:rsid w:val="00C44702"/>
    <w:rsid w:val="00C45639"/>
    <w:rsid w:val="00C45F6E"/>
    <w:rsid w:val="00C475AA"/>
    <w:rsid w:val="00C50460"/>
    <w:rsid w:val="00C50567"/>
    <w:rsid w:val="00C50767"/>
    <w:rsid w:val="00C516F9"/>
    <w:rsid w:val="00C522E1"/>
    <w:rsid w:val="00C527C7"/>
    <w:rsid w:val="00C53C98"/>
    <w:rsid w:val="00C540FA"/>
    <w:rsid w:val="00C54A0B"/>
    <w:rsid w:val="00C56761"/>
    <w:rsid w:val="00C56AFF"/>
    <w:rsid w:val="00C56FCF"/>
    <w:rsid w:val="00C57111"/>
    <w:rsid w:val="00C572F6"/>
    <w:rsid w:val="00C57B6C"/>
    <w:rsid w:val="00C57DDA"/>
    <w:rsid w:val="00C60812"/>
    <w:rsid w:val="00C60C0E"/>
    <w:rsid w:val="00C60C18"/>
    <w:rsid w:val="00C60DEB"/>
    <w:rsid w:val="00C614A2"/>
    <w:rsid w:val="00C616E7"/>
    <w:rsid w:val="00C61A59"/>
    <w:rsid w:val="00C624C1"/>
    <w:rsid w:val="00C628A6"/>
    <w:rsid w:val="00C62F51"/>
    <w:rsid w:val="00C630AB"/>
    <w:rsid w:val="00C64344"/>
    <w:rsid w:val="00C65108"/>
    <w:rsid w:val="00C65576"/>
    <w:rsid w:val="00C66165"/>
    <w:rsid w:val="00C66404"/>
    <w:rsid w:val="00C67925"/>
    <w:rsid w:val="00C67D11"/>
    <w:rsid w:val="00C67DC3"/>
    <w:rsid w:val="00C7060A"/>
    <w:rsid w:val="00C7151A"/>
    <w:rsid w:val="00C717E3"/>
    <w:rsid w:val="00C71D67"/>
    <w:rsid w:val="00C71F60"/>
    <w:rsid w:val="00C720CE"/>
    <w:rsid w:val="00C72241"/>
    <w:rsid w:val="00C72D63"/>
    <w:rsid w:val="00C735D3"/>
    <w:rsid w:val="00C7437F"/>
    <w:rsid w:val="00C750C8"/>
    <w:rsid w:val="00C7560F"/>
    <w:rsid w:val="00C76B91"/>
    <w:rsid w:val="00C76E46"/>
    <w:rsid w:val="00C770A5"/>
    <w:rsid w:val="00C77BC5"/>
    <w:rsid w:val="00C77F85"/>
    <w:rsid w:val="00C80A0E"/>
    <w:rsid w:val="00C80DF4"/>
    <w:rsid w:val="00C8213F"/>
    <w:rsid w:val="00C8266B"/>
    <w:rsid w:val="00C8303F"/>
    <w:rsid w:val="00C8312A"/>
    <w:rsid w:val="00C84858"/>
    <w:rsid w:val="00C85154"/>
    <w:rsid w:val="00C85A70"/>
    <w:rsid w:val="00C85A83"/>
    <w:rsid w:val="00C85BF5"/>
    <w:rsid w:val="00C87308"/>
    <w:rsid w:val="00C8797A"/>
    <w:rsid w:val="00C87CDB"/>
    <w:rsid w:val="00C900B8"/>
    <w:rsid w:val="00C90197"/>
    <w:rsid w:val="00C9094C"/>
    <w:rsid w:val="00C90C71"/>
    <w:rsid w:val="00C919A6"/>
    <w:rsid w:val="00C91FD1"/>
    <w:rsid w:val="00C92153"/>
    <w:rsid w:val="00C925EF"/>
    <w:rsid w:val="00C92737"/>
    <w:rsid w:val="00C931CF"/>
    <w:rsid w:val="00C93541"/>
    <w:rsid w:val="00C938CF"/>
    <w:rsid w:val="00C94053"/>
    <w:rsid w:val="00C94DE2"/>
    <w:rsid w:val="00C95173"/>
    <w:rsid w:val="00C9624D"/>
    <w:rsid w:val="00C969DA"/>
    <w:rsid w:val="00C97C9A"/>
    <w:rsid w:val="00CA0667"/>
    <w:rsid w:val="00CA18F7"/>
    <w:rsid w:val="00CA1935"/>
    <w:rsid w:val="00CA1A63"/>
    <w:rsid w:val="00CA1E15"/>
    <w:rsid w:val="00CA1FAE"/>
    <w:rsid w:val="00CA2C77"/>
    <w:rsid w:val="00CA33CE"/>
    <w:rsid w:val="00CA3890"/>
    <w:rsid w:val="00CA444F"/>
    <w:rsid w:val="00CA5245"/>
    <w:rsid w:val="00CA532E"/>
    <w:rsid w:val="00CA5A85"/>
    <w:rsid w:val="00CA620F"/>
    <w:rsid w:val="00CA71F4"/>
    <w:rsid w:val="00CA7B09"/>
    <w:rsid w:val="00CB0202"/>
    <w:rsid w:val="00CB05CB"/>
    <w:rsid w:val="00CB12A5"/>
    <w:rsid w:val="00CB16A1"/>
    <w:rsid w:val="00CB1753"/>
    <w:rsid w:val="00CB17D7"/>
    <w:rsid w:val="00CB1CAC"/>
    <w:rsid w:val="00CB20A1"/>
    <w:rsid w:val="00CB2F2A"/>
    <w:rsid w:val="00CB3E3B"/>
    <w:rsid w:val="00CB4F1D"/>
    <w:rsid w:val="00CB52B0"/>
    <w:rsid w:val="00CB5444"/>
    <w:rsid w:val="00CB5B1A"/>
    <w:rsid w:val="00CB6A27"/>
    <w:rsid w:val="00CB6B22"/>
    <w:rsid w:val="00CB7F5F"/>
    <w:rsid w:val="00CC0B16"/>
    <w:rsid w:val="00CC172D"/>
    <w:rsid w:val="00CC18E5"/>
    <w:rsid w:val="00CC1B39"/>
    <w:rsid w:val="00CC1BFA"/>
    <w:rsid w:val="00CC23A6"/>
    <w:rsid w:val="00CC2E9F"/>
    <w:rsid w:val="00CC35EA"/>
    <w:rsid w:val="00CC3848"/>
    <w:rsid w:val="00CC3ADF"/>
    <w:rsid w:val="00CC41E9"/>
    <w:rsid w:val="00CC4339"/>
    <w:rsid w:val="00CC57EC"/>
    <w:rsid w:val="00CC5E4A"/>
    <w:rsid w:val="00CC696E"/>
    <w:rsid w:val="00CC6D5E"/>
    <w:rsid w:val="00CC7F95"/>
    <w:rsid w:val="00CD0200"/>
    <w:rsid w:val="00CD11B4"/>
    <w:rsid w:val="00CD12C3"/>
    <w:rsid w:val="00CD12E9"/>
    <w:rsid w:val="00CD15A5"/>
    <w:rsid w:val="00CD1F81"/>
    <w:rsid w:val="00CD21D3"/>
    <w:rsid w:val="00CD23CF"/>
    <w:rsid w:val="00CD29C5"/>
    <w:rsid w:val="00CD3F77"/>
    <w:rsid w:val="00CD4DF4"/>
    <w:rsid w:val="00CD6897"/>
    <w:rsid w:val="00CD6ADC"/>
    <w:rsid w:val="00CD7193"/>
    <w:rsid w:val="00CD71F9"/>
    <w:rsid w:val="00CD743B"/>
    <w:rsid w:val="00CE0F01"/>
    <w:rsid w:val="00CE1029"/>
    <w:rsid w:val="00CE25ED"/>
    <w:rsid w:val="00CE37D7"/>
    <w:rsid w:val="00CE38C8"/>
    <w:rsid w:val="00CE3B6C"/>
    <w:rsid w:val="00CE45C0"/>
    <w:rsid w:val="00CE468C"/>
    <w:rsid w:val="00CE487D"/>
    <w:rsid w:val="00CE524F"/>
    <w:rsid w:val="00CE5362"/>
    <w:rsid w:val="00CE5460"/>
    <w:rsid w:val="00CE58CC"/>
    <w:rsid w:val="00CE6274"/>
    <w:rsid w:val="00CE64E0"/>
    <w:rsid w:val="00CE77B6"/>
    <w:rsid w:val="00CE7A26"/>
    <w:rsid w:val="00CF0631"/>
    <w:rsid w:val="00CF0EDF"/>
    <w:rsid w:val="00CF1075"/>
    <w:rsid w:val="00CF18AB"/>
    <w:rsid w:val="00CF1D5D"/>
    <w:rsid w:val="00CF2A6B"/>
    <w:rsid w:val="00CF2B8D"/>
    <w:rsid w:val="00CF356E"/>
    <w:rsid w:val="00CF3A1B"/>
    <w:rsid w:val="00CF3D4C"/>
    <w:rsid w:val="00CF456B"/>
    <w:rsid w:val="00CF4B05"/>
    <w:rsid w:val="00CF5A22"/>
    <w:rsid w:val="00CF6019"/>
    <w:rsid w:val="00CF63AB"/>
    <w:rsid w:val="00CF76A7"/>
    <w:rsid w:val="00CF77F3"/>
    <w:rsid w:val="00CF7C2E"/>
    <w:rsid w:val="00D0218E"/>
    <w:rsid w:val="00D0262E"/>
    <w:rsid w:val="00D026F7"/>
    <w:rsid w:val="00D03120"/>
    <w:rsid w:val="00D03679"/>
    <w:rsid w:val="00D04BCF"/>
    <w:rsid w:val="00D05E3D"/>
    <w:rsid w:val="00D06139"/>
    <w:rsid w:val="00D06B11"/>
    <w:rsid w:val="00D07100"/>
    <w:rsid w:val="00D0725A"/>
    <w:rsid w:val="00D07552"/>
    <w:rsid w:val="00D10A0A"/>
    <w:rsid w:val="00D10AAC"/>
    <w:rsid w:val="00D10BE8"/>
    <w:rsid w:val="00D110BD"/>
    <w:rsid w:val="00D11390"/>
    <w:rsid w:val="00D11AA7"/>
    <w:rsid w:val="00D12BF9"/>
    <w:rsid w:val="00D1362C"/>
    <w:rsid w:val="00D13675"/>
    <w:rsid w:val="00D13864"/>
    <w:rsid w:val="00D141E1"/>
    <w:rsid w:val="00D15314"/>
    <w:rsid w:val="00D15B48"/>
    <w:rsid w:val="00D15D4B"/>
    <w:rsid w:val="00D166C3"/>
    <w:rsid w:val="00D16913"/>
    <w:rsid w:val="00D16BBE"/>
    <w:rsid w:val="00D16FB9"/>
    <w:rsid w:val="00D17D6C"/>
    <w:rsid w:val="00D21511"/>
    <w:rsid w:val="00D2155B"/>
    <w:rsid w:val="00D21574"/>
    <w:rsid w:val="00D21DA9"/>
    <w:rsid w:val="00D22557"/>
    <w:rsid w:val="00D23D11"/>
    <w:rsid w:val="00D24443"/>
    <w:rsid w:val="00D244B6"/>
    <w:rsid w:val="00D2469E"/>
    <w:rsid w:val="00D24C42"/>
    <w:rsid w:val="00D25039"/>
    <w:rsid w:val="00D260E7"/>
    <w:rsid w:val="00D26578"/>
    <w:rsid w:val="00D266A8"/>
    <w:rsid w:val="00D2754D"/>
    <w:rsid w:val="00D27B27"/>
    <w:rsid w:val="00D30A30"/>
    <w:rsid w:val="00D30D5B"/>
    <w:rsid w:val="00D31DDC"/>
    <w:rsid w:val="00D31F6A"/>
    <w:rsid w:val="00D322C8"/>
    <w:rsid w:val="00D32661"/>
    <w:rsid w:val="00D32A1B"/>
    <w:rsid w:val="00D32E6C"/>
    <w:rsid w:val="00D33BE9"/>
    <w:rsid w:val="00D33DFA"/>
    <w:rsid w:val="00D33F93"/>
    <w:rsid w:val="00D3466B"/>
    <w:rsid w:val="00D34CCF"/>
    <w:rsid w:val="00D357FF"/>
    <w:rsid w:val="00D36133"/>
    <w:rsid w:val="00D36390"/>
    <w:rsid w:val="00D37E24"/>
    <w:rsid w:val="00D402A2"/>
    <w:rsid w:val="00D40426"/>
    <w:rsid w:val="00D40614"/>
    <w:rsid w:val="00D40853"/>
    <w:rsid w:val="00D40A45"/>
    <w:rsid w:val="00D40E5A"/>
    <w:rsid w:val="00D424C7"/>
    <w:rsid w:val="00D42632"/>
    <w:rsid w:val="00D4267B"/>
    <w:rsid w:val="00D42B34"/>
    <w:rsid w:val="00D43498"/>
    <w:rsid w:val="00D43B2A"/>
    <w:rsid w:val="00D43CF1"/>
    <w:rsid w:val="00D43D83"/>
    <w:rsid w:val="00D4450C"/>
    <w:rsid w:val="00D4653F"/>
    <w:rsid w:val="00D47575"/>
    <w:rsid w:val="00D508A2"/>
    <w:rsid w:val="00D50C7A"/>
    <w:rsid w:val="00D50CA6"/>
    <w:rsid w:val="00D510B8"/>
    <w:rsid w:val="00D513CC"/>
    <w:rsid w:val="00D51433"/>
    <w:rsid w:val="00D51E07"/>
    <w:rsid w:val="00D5243B"/>
    <w:rsid w:val="00D52C04"/>
    <w:rsid w:val="00D533EC"/>
    <w:rsid w:val="00D53520"/>
    <w:rsid w:val="00D5357B"/>
    <w:rsid w:val="00D544BD"/>
    <w:rsid w:val="00D54F32"/>
    <w:rsid w:val="00D54FD0"/>
    <w:rsid w:val="00D554E7"/>
    <w:rsid w:val="00D56209"/>
    <w:rsid w:val="00D5668D"/>
    <w:rsid w:val="00D566F0"/>
    <w:rsid w:val="00D56A95"/>
    <w:rsid w:val="00D57022"/>
    <w:rsid w:val="00D5779D"/>
    <w:rsid w:val="00D5787C"/>
    <w:rsid w:val="00D57EEA"/>
    <w:rsid w:val="00D6076E"/>
    <w:rsid w:val="00D60AD7"/>
    <w:rsid w:val="00D627CB"/>
    <w:rsid w:val="00D63589"/>
    <w:rsid w:val="00D6368E"/>
    <w:rsid w:val="00D65197"/>
    <w:rsid w:val="00D6528C"/>
    <w:rsid w:val="00D661FC"/>
    <w:rsid w:val="00D703F2"/>
    <w:rsid w:val="00D70F16"/>
    <w:rsid w:val="00D7205A"/>
    <w:rsid w:val="00D72617"/>
    <w:rsid w:val="00D72649"/>
    <w:rsid w:val="00D729B0"/>
    <w:rsid w:val="00D72F57"/>
    <w:rsid w:val="00D74158"/>
    <w:rsid w:val="00D74633"/>
    <w:rsid w:val="00D74D7E"/>
    <w:rsid w:val="00D76A44"/>
    <w:rsid w:val="00D772F3"/>
    <w:rsid w:val="00D77BCE"/>
    <w:rsid w:val="00D801B4"/>
    <w:rsid w:val="00D80A2E"/>
    <w:rsid w:val="00D80D27"/>
    <w:rsid w:val="00D815EF"/>
    <w:rsid w:val="00D81949"/>
    <w:rsid w:val="00D81F26"/>
    <w:rsid w:val="00D82091"/>
    <w:rsid w:val="00D822E2"/>
    <w:rsid w:val="00D82B1D"/>
    <w:rsid w:val="00D83C26"/>
    <w:rsid w:val="00D843F2"/>
    <w:rsid w:val="00D85532"/>
    <w:rsid w:val="00D8575A"/>
    <w:rsid w:val="00D86231"/>
    <w:rsid w:val="00D86C31"/>
    <w:rsid w:val="00D86CEF"/>
    <w:rsid w:val="00D86D87"/>
    <w:rsid w:val="00D86D97"/>
    <w:rsid w:val="00D90DF7"/>
    <w:rsid w:val="00D90EA3"/>
    <w:rsid w:val="00D91191"/>
    <w:rsid w:val="00D912AB"/>
    <w:rsid w:val="00D91923"/>
    <w:rsid w:val="00D9238F"/>
    <w:rsid w:val="00D92D9D"/>
    <w:rsid w:val="00D92F29"/>
    <w:rsid w:val="00D93753"/>
    <w:rsid w:val="00D9400E"/>
    <w:rsid w:val="00D945E0"/>
    <w:rsid w:val="00D9512A"/>
    <w:rsid w:val="00D95BF6"/>
    <w:rsid w:val="00D96EAB"/>
    <w:rsid w:val="00D97904"/>
    <w:rsid w:val="00D97D2C"/>
    <w:rsid w:val="00DA061F"/>
    <w:rsid w:val="00DA0D1F"/>
    <w:rsid w:val="00DA1C7F"/>
    <w:rsid w:val="00DA239F"/>
    <w:rsid w:val="00DA2515"/>
    <w:rsid w:val="00DA2BC4"/>
    <w:rsid w:val="00DA3167"/>
    <w:rsid w:val="00DA3FED"/>
    <w:rsid w:val="00DA4DC3"/>
    <w:rsid w:val="00DA4F60"/>
    <w:rsid w:val="00DA5703"/>
    <w:rsid w:val="00DA6459"/>
    <w:rsid w:val="00DA6591"/>
    <w:rsid w:val="00DA681E"/>
    <w:rsid w:val="00DA77A5"/>
    <w:rsid w:val="00DA79AE"/>
    <w:rsid w:val="00DB0E36"/>
    <w:rsid w:val="00DB11C1"/>
    <w:rsid w:val="00DB11E0"/>
    <w:rsid w:val="00DB18A7"/>
    <w:rsid w:val="00DB2723"/>
    <w:rsid w:val="00DB2D75"/>
    <w:rsid w:val="00DB3DBF"/>
    <w:rsid w:val="00DB406F"/>
    <w:rsid w:val="00DB421B"/>
    <w:rsid w:val="00DB43F6"/>
    <w:rsid w:val="00DB484F"/>
    <w:rsid w:val="00DB4F09"/>
    <w:rsid w:val="00DB512D"/>
    <w:rsid w:val="00DB5B41"/>
    <w:rsid w:val="00DB6D37"/>
    <w:rsid w:val="00DB7A8A"/>
    <w:rsid w:val="00DC03D9"/>
    <w:rsid w:val="00DC04F6"/>
    <w:rsid w:val="00DC0690"/>
    <w:rsid w:val="00DC0969"/>
    <w:rsid w:val="00DC0CD6"/>
    <w:rsid w:val="00DC1BBB"/>
    <w:rsid w:val="00DC1D65"/>
    <w:rsid w:val="00DC2E72"/>
    <w:rsid w:val="00DC39EF"/>
    <w:rsid w:val="00DC3C57"/>
    <w:rsid w:val="00DC52A2"/>
    <w:rsid w:val="00DC5501"/>
    <w:rsid w:val="00DC5DE4"/>
    <w:rsid w:val="00DC66F3"/>
    <w:rsid w:val="00DC6D5C"/>
    <w:rsid w:val="00DC7154"/>
    <w:rsid w:val="00DC787A"/>
    <w:rsid w:val="00DC7E8A"/>
    <w:rsid w:val="00DD0AFE"/>
    <w:rsid w:val="00DD0F78"/>
    <w:rsid w:val="00DD1A9B"/>
    <w:rsid w:val="00DD21A8"/>
    <w:rsid w:val="00DD273C"/>
    <w:rsid w:val="00DD288B"/>
    <w:rsid w:val="00DD2BE2"/>
    <w:rsid w:val="00DD3F28"/>
    <w:rsid w:val="00DD41B5"/>
    <w:rsid w:val="00DD4446"/>
    <w:rsid w:val="00DD4537"/>
    <w:rsid w:val="00DD4714"/>
    <w:rsid w:val="00DD4E15"/>
    <w:rsid w:val="00DD4F6C"/>
    <w:rsid w:val="00DD52EF"/>
    <w:rsid w:val="00DD5F3C"/>
    <w:rsid w:val="00DD684D"/>
    <w:rsid w:val="00DD6D19"/>
    <w:rsid w:val="00DD73AB"/>
    <w:rsid w:val="00DD7F1F"/>
    <w:rsid w:val="00DE0463"/>
    <w:rsid w:val="00DE0EFB"/>
    <w:rsid w:val="00DE2304"/>
    <w:rsid w:val="00DE2763"/>
    <w:rsid w:val="00DE2BE5"/>
    <w:rsid w:val="00DE3138"/>
    <w:rsid w:val="00DE37F8"/>
    <w:rsid w:val="00DE3FA2"/>
    <w:rsid w:val="00DE4273"/>
    <w:rsid w:val="00DE43CE"/>
    <w:rsid w:val="00DE49B7"/>
    <w:rsid w:val="00DE4EFA"/>
    <w:rsid w:val="00DE4FCB"/>
    <w:rsid w:val="00DE55E8"/>
    <w:rsid w:val="00DE5D07"/>
    <w:rsid w:val="00DE5D18"/>
    <w:rsid w:val="00DE667F"/>
    <w:rsid w:val="00DE66B4"/>
    <w:rsid w:val="00DE72A7"/>
    <w:rsid w:val="00DE7832"/>
    <w:rsid w:val="00DF0E21"/>
    <w:rsid w:val="00DF18FC"/>
    <w:rsid w:val="00DF1F8A"/>
    <w:rsid w:val="00DF20D5"/>
    <w:rsid w:val="00DF2A2F"/>
    <w:rsid w:val="00DF2A63"/>
    <w:rsid w:val="00DF39C2"/>
    <w:rsid w:val="00DF4180"/>
    <w:rsid w:val="00DF421D"/>
    <w:rsid w:val="00DF453C"/>
    <w:rsid w:val="00DF4D4D"/>
    <w:rsid w:val="00DF5D2B"/>
    <w:rsid w:val="00DF61E9"/>
    <w:rsid w:val="00DF6341"/>
    <w:rsid w:val="00DF6582"/>
    <w:rsid w:val="00DF6E3B"/>
    <w:rsid w:val="00DF75AB"/>
    <w:rsid w:val="00E00E8E"/>
    <w:rsid w:val="00E01C2C"/>
    <w:rsid w:val="00E05630"/>
    <w:rsid w:val="00E05A77"/>
    <w:rsid w:val="00E064BF"/>
    <w:rsid w:val="00E06D5D"/>
    <w:rsid w:val="00E06DBB"/>
    <w:rsid w:val="00E10149"/>
    <w:rsid w:val="00E1048D"/>
    <w:rsid w:val="00E10B07"/>
    <w:rsid w:val="00E10B56"/>
    <w:rsid w:val="00E10C80"/>
    <w:rsid w:val="00E112E6"/>
    <w:rsid w:val="00E11340"/>
    <w:rsid w:val="00E11965"/>
    <w:rsid w:val="00E122A1"/>
    <w:rsid w:val="00E1298F"/>
    <w:rsid w:val="00E129DA"/>
    <w:rsid w:val="00E12EDB"/>
    <w:rsid w:val="00E13355"/>
    <w:rsid w:val="00E13717"/>
    <w:rsid w:val="00E14D2A"/>
    <w:rsid w:val="00E15342"/>
    <w:rsid w:val="00E16372"/>
    <w:rsid w:val="00E166B1"/>
    <w:rsid w:val="00E16AD8"/>
    <w:rsid w:val="00E16BF2"/>
    <w:rsid w:val="00E17107"/>
    <w:rsid w:val="00E17FFA"/>
    <w:rsid w:val="00E20136"/>
    <w:rsid w:val="00E206D4"/>
    <w:rsid w:val="00E207F7"/>
    <w:rsid w:val="00E20D10"/>
    <w:rsid w:val="00E20E4D"/>
    <w:rsid w:val="00E20ED6"/>
    <w:rsid w:val="00E21358"/>
    <w:rsid w:val="00E216EF"/>
    <w:rsid w:val="00E21A06"/>
    <w:rsid w:val="00E21A17"/>
    <w:rsid w:val="00E21E9F"/>
    <w:rsid w:val="00E2249B"/>
    <w:rsid w:val="00E227B8"/>
    <w:rsid w:val="00E22A0D"/>
    <w:rsid w:val="00E22CB2"/>
    <w:rsid w:val="00E23032"/>
    <w:rsid w:val="00E241FE"/>
    <w:rsid w:val="00E244F6"/>
    <w:rsid w:val="00E253F7"/>
    <w:rsid w:val="00E258DB"/>
    <w:rsid w:val="00E260E5"/>
    <w:rsid w:val="00E26176"/>
    <w:rsid w:val="00E2771E"/>
    <w:rsid w:val="00E30690"/>
    <w:rsid w:val="00E311EF"/>
    <w:rsid w:val="00E31577"/>
    <w:rsid w:val="00E32180"/>
    <w:rsid w:val="00E32A9B"/>
    <w:rsid w:val="00E336E6"/>
    <w:rsid w:val="00E337E7"/>
    <w:rsid w:val="00E33829"/>
    <w:rsid w:val="00E34240"/>
    <w:rsid w:val="00E34948"/>
    <w:rsid w:val="00E34970"/>
    <w:rsid w:val="00E34A4A"/>
    <w:rsid w:val="00E35561"/>
    <w:rsid w:val="00E355A1"/>
    <w:rsid w:val="00E37569"/>
    <w:rsid w:val="00E401B2"/>
    <w:rsid w:val="00E404B6"/>
    <w:rsid w:val="00E41E30"/>
    <w:rsid w:val="00E42F73"/>
    <w:rsid w:val="00E43D70"/>
    <w:rsid w:val="00E44B94"/>
    <w:rsid w:val="00E4581A"/>
    <w:rsid w:val="00E45DF9"/>
    <w:rsid w:val="00E45E73"/>
    <w:rsid w:val="00E466F3"/>
    <w:rsid w:val="00E47B2C"/>
    <w:rsid w:val="00E47C82"/>
    <w:rsid w:val="00E50024"/>
    <w:rsid w:val="00E50816"/>
    <w:rsid w:val="00E508F6"/>
    <w:rsid w:val="00E51560"/>
    <w:rsid w:val="00E51724"/>
    <w:rsid w:val="00E51821"/>
    <w:rsid w:val="00E51A1E"/>
    <w:rsid w:val="00E51B6B"/>
    <w:rsid w:val="00E52487"/>
    <w:rsid w:val="00E5291C"/>
    <w:rsid w:val="00E530E7"/>
    <w:rsid w:val="00E533BC"/>
    <w:rsid w:val="00E5359E"/>
    <w:rsid w:val="00E53FC8"/>
    <w:rsid w:val="00E54347"/>
    <w:rsid w:val="00E55424"/>
    <w:rsid w:val="00E5570D"/>
    <w:rsid w:val="00E55915"/>
    <w:rsid w:val="00E55BB5"/>
    <w:rsid w:val="00E55C04"/>
    <w:rsid w:val="00E57292"/>
    <w:rsid w:val="00E57320"/>
    <w:rsid w:val="00E5780E"/>
    <w:rsid w:val="00E57B9C"/>
    <w:rsid w:val="00E605E2"/>
    <w:rsid w:val="00E60853"/>
    <w:rsid w:val="00E608F1"/>
    <w:rsid w:val="00E60EA0"/>
    <w:rsid w:val="00E611DF"/>
    <w:rsid w:val="00E61401"/>
    <w:rsid w:val="00E62132"/>
    <w:rsid w:val="00E64501"/>
    <w:rsid w:val="00E65E79"/>
    <w:rsid w:val="00E66BA2"/>
    <w:rsid w:val="00E66F8A"/>
    <w:rsid w:val="00E67416"/>
    <w:rsid w:val="00E67A4E"/>
    <w:rsid w:val="00E718B6"/>
    <w:rsid w:val="00E71AB1"/>
    <w:rsid w:val="00E723BA"/>
    <w:rsid w:val="00E725B5"/>
    <w:rsid w:val="00E72C67"/>
    <w:rsid w:val="00E73581"/>
    <w:rsid w:val="00E7466A"/>
    <w:rsid w:val="00E74976"/>
    <w:rsid w:val="00E74EAB"/>
    <w:rsid w:val="00E75878"/>
    <w:rsid w:val="00E77B75"/>
    <w:rsid w:val="00E80857"/>
    <w:rsid w:val="00E81DBB"/>
    <w:rsid w:val="00E833F7"/>
    <w:rsid w:val="00E83BDF"/>
    <w:rsid w:val="00E86545"/>
    <w:rsid w:val="00E868F3"/>
    <w:rsid w:val="00E86F19"/>
    <w:rsid w:val="00E86FCC"/>
    <w:rsid w:val="00E87221"/>
    <w:rsid w:val="00E87A1D"/>
    <w:rsid w:val="00E907AE"/>
    <w:rsid w:val="00E9094A"/>
    <w:rsid w:val="00E90F9E"/>
    <w:rsid w:val="00E91339"/>
    <w:rsid w:val="00E91603"/>
    <w:rsid w:val="00E91D35"/>
    <w:rsid w:val="00E926A5"/>
    <w:rsid w:val="00E9300D"/>
    <w:rsid w:val="00E942E5"/>
    <w:rsid w:val="00E94928"/>
    <w:rsid w:val="00E956CC"/>
    <w:rsid w:val="00E962CC"/>
    <w:rsid w:val="00E96360"/>
    <w:rsid w:val="00E971EF"/>
    <w:rsid w:val="00EA0755"/>
    <w:rsid w:val="00EA17C3"/>
    <w:rsid w:val="00EA1A6D"/>
    <w:rsid w:val="00EA295B"/>
    <w:rsid w:val="00EA2CAA"/>
    <w:rsid w:val="00EA32AF"/>
    <w:rsid w:val="00EA3864"/>
    <w:rsid w:val="00EA4776"/>
    <w:rsid w:val="00EA49B6"/>
    <w:rsid w:val="00EA5146"/>
    <w:rsid w:val="00EA5361"/>
    <w:rsid w:val="00EA5720"/>
    <w:rsid w:val="00EA632E"/>
    <w:rsid w:val="00EA67FD"/>
    <w:rsid w:val="00EA6816"/>
    <w:rsid w:val="00EA69D5"/>
    <w:rsid w:val="00EA7F1C"/>
    <w:rsid w:val="00EB094E"/>
    <w:rsid w:val="00EB0A32"/>
    <w:rsid w:val="00EB1528"/>
    <w:rsid w:val="00EB15B6"/>
    <w:rsid w:val="00EB2A33"/>
    <w:rsid w:val="00EB30EA"/>
    <w:rsid w:val="00EB3291"/>
    <w:rsid w:val="00EB3D06"/>
    <w:rsid w:val="00EB4916"/>
    <w:rsid w:val="00EB59F4"/>
    <w:rsid w:val="00EB5C75"/>
    <w:rsid w:val="00EB5D5D"/>
    <w:rsid w:val="00EB651C"/>
    <w:rsid w:val="00EB7AEA"/>
    <w:rsid w:val="00EC00C9"/>
    <w:rsid w:val="00EC0DD9"/>
    <w:rsid w:val="00EC2110"/>
    <w:rsid w:val="00EC2649"/>
    <w:rsid w:val="00EC31ED"/>
    <w:rsid w:val="00EC3EC4"/>
    <w:rsid w:val="00EC5836"/>
    <w:rsid w:val="00EC670D"/>
    <w:rsid w:val="00EC688C"/>
    <w:rsid w:val="00EC68B0"/>
    <w:rsid w:val="00EC7A43"/>
    <w:rsid w:val="00ED0652"/>
    <w:rsid w:val="00ED08EB"/>
    <w:rsid w:val="00ED0CBB"/>
    <w:rsid w:val="00ED1218"/>
    <w:rsid w:val="00ED12E3"/>
    <w:rsid w:val="00ED16FC"/>
    <w:rsid w:val="00ED1917"/>
    <w:rsid w:val="00ED1E26"/>
    <w:rsid w:val="00ED3703"/>
    <w:rsid w:val="00ED41EA"/>
    <w:rsid w:val="00ED4B04"/>
    <w:rsid w:val="00ED4C7F"/>
    <w:rsid w:val="00ED57EA"/>
    <w:rsid w:val="00ED5BD4"/>
    <w:rsid w:val="00ED5DBA"/>
    <w:rsid w:val="00ED7493"/>
    <w:rsid w:val="00EE07D3"/>
    <w:rsid w:val="00EE08B0"/>
    <w:rsid w:val="00EE1060"/>
    <w:rsid w:val="00EE1309"/>
    <w:rsid w:val="00EE1996"/>
    <w:rsid w:val="00EE1C01"/>
    <w:rsid w:val="00EE22AF"/>
    <w:rsid w:val="00EE2BBC"/>
    <w:rsid w:val="00EE382B"/>
    <w:rsid w:val="00EE424B"/>
    <w:rsid w:val="00EF00EE"/>
    <w:rsid w:val="00EF0171"/>
    <w:rsid w:val="00EF16F4"/>
    <w:rsid w:val="00EF1B25"/>
    <w:rsid w:val="00EF1C1F"/>
    <w:rsid w:val="00EF1DA0"/>
    <w:rsid w:val="00EF21CF"/>
    <w:rsid w:val="00EF2ABE"/>
    <w:rsid w:val="00EF359C"/>
    <w:rsid w:val="00EF4747"/>
    <w:rsid w:val="00EF4BF8"/>
    <w:rsid w:val="00EF56C5"/>
    <w:rsid w:val="00EF575D"/>
    <w:rsid w:val="00EF6237"/>
    <w:rsid w:val="00EF63A2"/>
    <w:rsid w:val="00EF760F"/>
    <w:rsid w:val="00EF7C1B"/>
    <w:rsid w:val="00F001E5"/>
    <w:rsid w:val="00F01538"/>
    <w:rsid w:val="00F0160D"/>
    <w:rsid w:val="00F02253"/>
    <w:rsid w:val="00F02A99"/>
    <w:rsid w:val="00F02D39"/>
    <w:rsid w:val="00F0363C"/>
    <w:rsid w:val="00F03C2E"/>
    <w:rsid w:val="00F040E2"/>
    <w:rsid w:val="00F04A66"/>
    <w:rsid w:val="00F04B4B"/>
    <w:rsid w:val="00F0516C"/>
    <w:rsid w:val="00F06386"/>
    <w:rsid w:val="00F067A2"/>
    <w:rsid w:val="00F07B9E"/>
    <w:rsid w:val="00F10933"/>
    <w:rsid w:val="00F11120"/>
    <w:rsid w:val="00F1116F"/>
    <w:rsid w:val="00F1263A"/>
    <w:rsid w:val="00F1336C"/>
    <w:rsid w:val="00F13411"/>
    <w:rsid w:val="00F139C5"/>
    <w:rsid w:val="00F1492E"/>
    <w:rsid w:val="00F15B77"/>
    <w:rsid w:val="00F16506"/>
    <w:rsid w:val="00F16659"/>
    <w:rsid w:val="00F16A67"/>
    <w:rsid w:val="00F16EC3"/>
    <w:rsid w:val="00F17FF9"/>
    <w:rsid w:val="00F21236"/>
    <w:rsid w:val="00F212D8"/>
    <w:rsid w:val="00F237DE"/>
    <w:rsid w:val="00F239DF"/>
    <w:rsid w:val="00F23AA8"/>
    <w:rsid w:val="00F24378"/>
    <w:rsid w:val="00F24837"/>
    <w:rsid w:val="00F2575F"/>
    <w:rsid w:val="00F2647E"/>
    <w:rsid w:val="00F26650"/>
    <w:rsid w:val="00F26E7D"/>
    <w:rsid w:val="00F26F04"/>
    <w:rsid w:val="00F27146"/>
    <w:rsid w:val="00F272AA"/>
    <w:rsid w:val="00F27565"/>
    <w:rsid w:val="00F27AEF"/>
    <w:rsid w:val="00F310D4"/>
    <w:rsid w:val="00F31D5A"/>
    <w:rsid w:val="00F32208"/>
    <w:rsid w:val="00F322E1"/>
    <w:rsid w:val="00F326C6"/>
    <w:rsid w:val="00F32E2F"/>
    <w:rsid w:val="00F33626"/>
    <w:rsid w:val="00F3368F"/>
    <w:rsid w:val="00F33862"/>
    <w:rsid w:val="00F33975"/>
    <w:rsid w:val="00F33DE9"/>
    <w:rsid w:val="00F34DC7"/>
    <w:rsid w:val="00F35E6D"/>
    <w:rsid w:val="00F3619A"/>
    <w:rsid w:val="00F370A5"/>
    <w:rsid w:val="00F374E5"/>
    <w:rsid w:val="00F4006D"/>
    <w:rsid w:val="00F40355"/>
    <w:rsid w:val="00F40AAA"/>
    <w:rsid w:val="00F40BA7"/>
    <w:rsid w:val="00F40F9D"/>
    <w:rsid w:val="00F4134C"/>
    <w:rsid w:val="00F417C7"/>
    <w:rsid w:val="00F41ACD"/>
    <w:rsid w:val="00F43B68"/>
    <w:rsid w:val="00F447FE"/>
    <w:rsid w:val="00F45C50"/>
    <w:rsid w:val="00F46ADC"/>
    <w:rsid w:val="00F46CB6"/>
    <w:rsid w:val="00F47291"/>
    <w:rsid w:val="00F47422"/>
    <w:rsid w:val="00F47505"/>
    <w:rsid w:val="00F4756D"/>
    <w:rsid w:val="00F47AF8"/>
    <w:rsid w:val="00F47B9E"/>
    <w:rsid w:val="00F47DE8"/>
    <w:rsid w:val="00F50541"/>
    <w:rsid w:val="00F50D74"/>
    <w:rsid w:val="00F51DAE"/>
    <w:rsid w:val="00F51EB1"/>
    <w:rsid w:val="00F51FE6"/>
    <w:rsid w:val="00F52488"/>
    <w:rsid w:val="00F52DC6"/>
    <w:rsid w:val="00F53F4E"/>
    <w:rsid w:val="00F541F6"/>
    <w:rsid w:val="00F542C1"/>
    <w:rsid w:val="00F5468E"/>
    <w:rsid w:val="00F54A5B"/>
    <w:rsid w:val="00F550E3"/>
    <w:rsid w:val="00F55E73"/>
    <w:rsid w:val="00F55EDA"/>
    <w:rsid w:val="00F55FAE"/>
    <w:rsid w:val="00F564BB"/>
    <w:rsid w:val="00F56C80"/>
    <w:rsid w:val="00F60092"/>
    <w:rsid w:val="00F60685"/>
    <w:rsid w:val="00F613E9"/>
    <w:rsid w:val="00F61C18"/>
    <w:rsid w:val="00F625DC"/>
    <w:rsid w:val="00F62BB3"/>
    <w:rsid w:val="00F63355"/>
    <w:rsid w:val="00F65F4B"/>
    <w:rsid w:val="00F66445"/>
    <w:rsid w:val="00F6713B"/>
    <w:rsid w:val="00F67A69"/>
    <w:rsid w:val="00F700EF"/>
    <w:rsid w:val="00F70BFF"/>
    <w:rsid w:val="00F70C9D"/>
    <w:rsid w:val="00F70D3A"/>
    <w:rsid w:val="00F71DFF"/>
    <w:rsid w:val="00F720A6"/>
    <w:rsid w:val="00F723EF"/>
    <w:rsid w:val="00F729E0"/>
    <w:rsid w:val="00F72BEB"/>
    <w:rsid w:val="00F73310"/>
    <w:rsid w:val="00F7366F"/>
    <w:rsid w:val="00F73E08"/>
    <w:rsid w:val="00F740DA"/>
    <w:rsid w:val="00F74636"/>
    <w:rsid w:val="00F74CD9"/>
    <w:rsid w:val="00F76531"/>
    <w:rsid w:val="00F76773"/>
    <w:rsid w:val="00F772AD"/>
    <w:rsid w:val="00F77F00"/>
    <w:rsid w:val="00F80A34"/>
    <w:rsid w:val="00F80A7B"/>
    <w:rsid w:val="00F80E5D"/>
    <w:rsid w:val="00F8138B"/>
    <w:rsid w:val="00F81616"/>
    <w:rsid w:val="00F81E78"/>
    <w:rsid w:val="00F83916"/>
    <w:rsid w:val="00F84074"/>
    <w:rsid w:val="00F851CE"/>
    <w:rsid w:val="00F86B44"/>
    <w:rsid w:val="00F87766"/>
    <w:rsid w:val="00F879F3"/>
    <w:rsid w:val="00F90A39"/>
    <w:rsid w:val="00F9117D"/>
    <w:rsid w:val="00F91219"/>
    <w:rsid w:val="00F9144F"/>
    <w:rsid w:val="00F915B8"/>
    <w:rsid w:val="00F91643"/>
    <w:rsid w:val="00F91EE1"/>
    <w:rsid w:val="00F91F76"/>
    <w:rsid w:val="00F92444"/>
    <w:rsid w:val="00F92461"/>
    <w:rsid w:val="00F92C46"/>
    <w:rsid w:val="00F938A4"/>
    <w:rsid w:val="00F9393E"/>
    <w:rsid w:val="00F9395D"/>
    <w:rsid w:val="00F93AD9"/>
    <w:rsid w:val="00F94251"/>
    <w:rsid w:val="00F94D37"/>
    <w:rsid w:val="00F959CF"/>
    <w:rsid w:val="00F968BC"/>
    <w:rsid w:val="00F96FD0"/>
    <w:rsid w:val="00F97A78"/>
    <w:rsid w:val="00FA0B20"/>
    <w:rsid w:val="00FA158F"/>
    <w:rsid w:val="00FA1DFA"/>
    <w:rsid w:val="00FA1F93"/>
    <w:rsid w:val="00FA24E7"/>
    <w:rsid w:val="00FA2509"/>
    <w:rsid w:val="00FA3081"/>
    <w:rsid w:val="00FA3219"/>
    <w:rsid w:val="00FA50F0"/>
    <w:rsid w:val="00FA5A95"/>
    <w:rsid w:val="00FA5EE6"/>
    <w:rsid w:val="00FA7204"/>
    <w:rsid w:val="00FA7956"/>
    <w:rsid w:val="00FA7A56"/>
    <w:rsid w:val="00FB067A"/>
    <w:rsid w:val="00FB06A5"/>
    <w:rsid w:val="00FB0824"/>
    <w:rsid w:val="00FB216F"/>
    <w:rsid w:val="00FB238D"/>
    <w:rsid w:val="00FB2FCB"/>
    <w:rsid w:val="00FB3907"/>
    <w:rsid w:val="00FB3BF8"/>
    <w:rsid w:val="00FB4C9C"/>
    <w:rsid w:val="00FB534C"/>
    <w:rsid w:val="00FB5750"/>
    <w:rsid w:val="00FB6EBA"/>
    <w:rsid w:val="00FB7C55"/>
    <w:rsid w:val="00FC00AD"/>
    <w:rsid w:val="00FC087C"/>
    <w:rsid w:val="00FC1074"/>
    <w:rsid w:val="00FC1884"/>
    <w:rsid w:val="00FC1CDA"/>
    <w:rsid w:val="00FC2E97"/>
    <w:rsid w:val="00FC371D"/>
    <w:rsid w:val="00FC3746"/>
    <w:rsid w:val="00FC4033"/>
    <w:rsid w:val="00FC4101"/>
    <w:rsid w:val="00FC42DE"/>
    <w:rsid w:val="00FC4745"/>
    <w:rsid w:val="00FC4EA9"/>
    <w:rsid w:val="00FC5205"/>
    <w:rsid w:val="00FC59B9"/>
    <w:rsid w:val="00FC5F0B"/>
    <w:rsid w:val="00FC5F2A"/>
    <w:rsid w:val="00FC661F"/>
    <w:rsid w:val="00FC665C"/>
    <w:rsid w:val="00FC6C54"/>
    <w:rsid w:val="00FC70FE"/>
    <w:rsid w:val="00FC7B61"/>
    <w:rsid w:val="00FD081F"/>
    <w:rsid w:val="00FD2100"/>
    <w:rsid w:val="00FD31B5"/>
    <w:rsid w:val="00FD38F6"/>
    <w:rsid w:val="00FD3ECE"/>
    <w:rsid w:val="00FD41C5"/>
    <w:rsid w:val="00FD436C"/>
    <w:rsid w:val="00FD446D"/>
    <w:rsid w:val="00FD4CF3"/>
    <w:rsid w:val="00FD4D66"/>
    <w:rsid w:val="00FD4F2C"/>
    <w:rsid w:val="00FD62E3"/>
    <w:rsid w:val="00FD6394"/>
    <w:rsid w:val="00FD6BC6"/>
    <w:rsid w:val="00FD6D4B"/>
    <w:rsid w:val="00FE0E6C"/>
    <w:rsid w:val="00FE15FC"/>
    <w:rsid w:val="00FE1CDC"/>
    <w:rsid w:val="00FE3070"/>
    <w:rsid w:val="00FE41A2"/>
    <w:rsid w:val="00FE4977"/>
    <w:rsid w:val="00FE6973"/>
    <w:rsid w:val="00FE6A69"/>
    <w:rsid w:val="00FE6DA2"/>
    <w:rsid w:val="00FE70C3"/>
    <w:rsid w:val="00FF040E"/>
    <w:rsid w:val="00FF1A8B"/>
    <w:rsid w:val="00FF2AD9"/>
    <w:rsid w:val="00FF359F"/>
    <w:rsid w:val="00FF3A29"/>
    <w:rsid w:val="00FF3DCF"/>
    <w:rsid w:val="00FF492C"/>
    <w:rsid w:val="00FF4A14"/>
    <w:rsid w:val="00FF4A21"/>
    <w:rsid w:val="00FF5AA3"/>
    <w:rsid w:val="00FF5AD8"/>
    <w:rsid w:val="00FF5CB7"/>
    <w:rsid w:val="00FF6C21"/>
    <w:rsid w:val="0F52BB56"/>
    <w:rsid w:val="187CF41C"/>
    <w:rsid w:val="233613CA"/>
    <w:rsid w:val="387F6B83"/>
    <w:rsid w:val="494DBC60"/>
    <w:rsid w:val="69C15E4D"/>
    <w:rsid w:val="7157B224"/>
    <w:rsid w:val="745FB8B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99"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4580"/>
    <w:pPr>
      <w:jc w:val="both"/>
    </w:pPr>
    <w:rPr>
      <w:rFonts w:ascii="Calibri" w:hAnsi="Calibri" w:cs="Arial"/>
      <w:sz w:val="24"/>
      <w:szCs w:val="24"/>
    </w:rPr>
  </w:style>
  <w:style w:type="paragraph" w:styleId="Heading1">
    <w:name w:val="heading 1"/>
    <w:basedOn w:val="Normal"/>
    <w:next w:val="Normal"/>
    <w:link w:val="Heading1Char"/>
    <w:uiPriority w:val="9"/>
    <w:qFormat/>
    <w:rsid w:val="001B204E"/>
    <w:pPr>
      <w:ind w:left="720" w:hanging="720"/>
      <w:outlineLvl w:val="0"/>
    </w:pPr>
    <w:rPr>
      <w:b/>
      <w:caps/>
      <w:sz w:val="32"/>
    </w:rPr>
  </w:style>
  <w:style w:type="paragraph" w:styleId="Heading2">
    <w:name w:val="heading 2"/>
    <w:basedOn w:val="Normal"/>
    <w:next w:val="Normal"/>
    <w:link w:val="Heading2Char"/>
    <w:uiPriority w:val="9"/>
    <w:qFormat/>
    <w:rsid w:val="001B204E"/>
    <w:pPr>
      <w:outlineLvl w:val="1"/>
    </w:pPr>
    <w:rPr>
      <w:b/>
      <w:i/>
      <w:sz w:val="28"/>
    </w:rPr>
  </w:style>
  <w:style w:type="paragraph" w:styleId="Heading3">
    <w:name w:val="heading 3"/>
    <w:basedOn w:val="Normal"/>
    <w:next w:val="Normal"/>
    <w:link w:val="Heading3Char"/>
    <w:uiPriority w:val="9"/>
    <w:qFormat/>
    <w:rsid w:val="001F7361"/>
    <w:pPr>
      <w:outlineLvl w:val="2"/>
    </w:pPr>
    <w:rPr>
      <w:u w:val="single"/>
    </w:rPr>
  </w:style>
  <w:style w:type="paragraph" w:styleId="Heading4">
    <w:name w:val="heading 4"/>
    <w:basedOn w:val="Normal"/>
    <w:next w:val="Normal"/>
    <w:link w:val="Heading4Char"/>
    <w:uiPriority w:val="9"/>
    <w:qFormat/>
    <w:rsid w:val="00124A51"/>
    <w:pPr>
      <w:keepNext/>
      <w:spacing w:before="240" w:after="60"/>
      <w:outlineLvl w:val="3"/>
    </w:pPr>
    <w:rPr>
      <w:b/>
      <w:bCs/>
      <w:i/>
      <w:sz w:val="26"/>
      <w:szCs w:val="28"/>
    </w:rPr>
  </w:style>
  <w:style w:type="paragraph" w:styleId="Heading5">
    <w:name w:val="heading 5"/>
    <w:basedOn w:val="Normal"/>
    <w:next w:val="Normal"/>
    <w:link w:val="Heading5Char"/>
    <w:uiPriority w:val="9"/>
    <w:qFormat/>
    <w:rsid w:val="00124A51"/>
    <w:pPr>
      <w:spacing w:before="240" w:after="60"/>
      <w:outlineLvl w:val="4"/>
    </w:pPr>
    <w:rPr>
      <w:b/>
      <w:bCs/>
      <w:iCs/>
      <w:sz w:val="26"/>
      <w:szCs w:val="26"/>
    </w:rPr>
  </w:style>
  <w:style w:type="paragraph" w:styleId="Heading6">
    <w:name w:val="heading 6"/>
    <w:basedOn w:val="Normal"/>
    <w:next w:val="Normal"/>
    <w:link w:val="Heading6Char"/>
    <w:uiPriority w:val="9"/>
    <w:qFormat/>
    <w:rsid w:val="00124A51"/>
    <w:pPr>
      <w:spacing w:before="240" w:after="60"/>
      <w:outlineLvl w:val="5"/>
    </w:pPr>
    <w:rPr>
      <w:b/>
      <w:bCs/>
      <w:i/>
    </w:rPr>
  </w:style>
  <w:style w:type="paragraph" w:styleId="Heading7">
    <w:name w:val="heading 7"/>
    <w:basedOn w:val="Normal"/>
    <w:next w:val="Normal"/>
    <w:link w:val="Heading7Char"/>
    <w:uiPriority w:val="9"/>
    <w:qFormat/>
    <w:rsid w:val="00124A51"/>
    <w:pPr>
      <w:keepNext/>
      <w:jc w:val="center"/>
      <w:outlineLvl w:val="6"/>
    </w:pPr>
    <w:rPr>
      <w:b/>
      <w:sz w:val="20"/>
    </w:rPr>
  </w:style>
  <w:style w:type="paragraph" w:styleId="Heading8">
    <w:name w:val="heading 8"/>
    <w:basedOn w:val="Normal"/>
    <w:next w:val="Normal"/>
    <w:link w:val="Heading8Char"/>
    <w:uiPriority w:val="9"/>
    <w:qFormat/>
    <w:rsid w:val="00124A51"/>
    <w:pPr>
      <w:keepNext/>
      <w:jc w:val="right"/>
      <w:outlineLvl w:val="7"/>
    </w:pPr>
    <w:rPr>
      <w:b/>
    </w:rPr>
  </w:style>
  <w:style w:type="paragraph" w:styleId="Heading9">
    <w:name w:val="heading 9"/>
    <w:basedOn w:val="Normal"/>
    <w:next w:val="Normal"/>
    <w:link w:val="Heading9Char"/>
    <w:uiPriority w:val="9"/>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uiPriority w:val="9"/>
    <w:rsid w:val="00124A51"/>
    <w:rPr>
      <w:rFonts w:ascii="Arial" w:hAnsi="Arial"/>
      <w:b/>
      <w:snapToGrid w:val="0"/>
      <w:lang w:eastAsia="en-US"/>
    </w:rPr>
  </w:style>
  <w:style w:type="character" w:customStyle="1" w:styleId="Heading8Char">
    <w:name w:val="Heading 8 Char"/>
    <w:basedOn w:val="DefaultParagraphFont"/>
    <w:link w:val="Heading8"/>
    <w:uiPriority w:val="9"/>
    <w:rsid w:val="00124A51"/>
    <w:rPr>
      <w:b/>
      <w:snapToGrid w:val="0"/>
      <w:sz w:val="24"/>
      <w:lang w:eastAsia="en-US"/>
    </w:rPr>
  </w:style>
  <w:style w:type="character" w:customStyle="1" w:styleId="Heading9Char">
    <w:name w:val="Heading 9 Char"/>
    <w:basedOn w:val="DefaultParagraphFont"/>
    <w:link w:val="Heading9"/>
    <w:uiPriority w:val="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Table Caption"/>
    <w:basedOn w:val="Normal"/>
    <w:next w:val="Normal"/>
    <w:link w:val="CaptionChar"/>
    <w:uiPriority w:val="35"/>
    <w:unhideWhenUsed/>
    <w:qFormat/>
    <w:rsid w:val="00E16AD8"/>
    <w:pPr>
      <w:keepNext/>
      <w:keepLines/>
    </w:pPr>
    <w:rPr>
      <w:rFonts w:ascii="Arial Narrow" w:hAnsi="Arial Narrow"/>
      <w:b/>
      <w:bCs/>
      <w:sz w:val="20"/>
      <w:szCs w:val="18"/>
    </w:rPr>
  </w:style>
  <w:style w:type="character" w:customStyle="1" w:styleId="CaptionChar">
    <w:name w:val="Caption Char"/>
    <w:aliases w:val="Table Caption Char"/>
    <w:link w:val="Caption"/>
    <w:rsid w:val="00E16AD8"/>
    <w:rPr>
      <w:rFonts w:ascii="Arial Narrow" w:hAnsi="Arial Narrow" w:cs="Arial"/>
      <w:b/>
      <w:bCs/>
      <w:szCs w:val="18"/>
    </w:rPr>
  </w:style>
  <w:style w:type="paragraph" w:styleId="Title">
    <w:name w:val="Title"/>
    <w:basedOn w:val="Normal"/>
    <w:next w:val="Normal"/>
    <w:link w:val="TitleChar"/>
    <w:uiPriority w:val="10"/>
    <w:qFormat/>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124A51"/>
    <w:rPr>
      <w:rFonts w:ascii="Cambria" w:hAnsi="Cambria"/>
      <w:b/>
      <w:bCs/>
      <w:snapToGrid w:val="0"/>
      <w:kern w:val="28"/>
      <w:sz w:val="32"/>
      <w:szCs w:val="32"/>
      <w:lang w:eastAsia="en-US"/>
    </w:rPr>
  </w:style>
  <w:style w:type="paragraph" w:styleId="BodyText">
    <w:name w:val="Body Text"/>
    <w:basedOn w:val="Normal"/>
    <w:link w:val="BodyTextChar"/>
    <w:uiPriority w:val="1"/>
    <w:rsid w:val="004B3DDB"/>
    <w:pPr>
      <w:jc w:val="left"/>
    </w:pPr>
  </w:style>
  <w:style w:type="character" w:customStyle="1" w:styleId="BodyTextChar">
    <w:name w:val="Body Text Char"/>
    <w:basedOn w:val="DefaultParagraphFont"/>
    <w:link w:val="BodyText"/>
    <w:uiPriority w:val="1"/>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Table Legend,HEOR bullet list,Bullet List,Bullets Points,Colorful List - Accent 11,Bullet1,Section 5"/>
    <w:link w:val="ListParagraphChar"/>
    <w:uiPriority w:val="34"/>
    <w:qFormat/>
    <w:rsid w:val="004C3B02"/>
    <w:p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Table Legend Char,HEOR bullet list Char"/>
    <w:basedOn w:val="DefaultParagraphFont"/>
    <w:link w:val="ListParagraph"/>
    <w:uiPriority w:val="34"/>
    <w:qFormat/>
    <w:locked/>
    <w:rsid w:val="004C3B02"/>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4C3B02"/>
    <w:pPr>
      <w:keepNext/>
      <w:tabs>
        <w:tab w:val="center" w:pos="4513"/>
        <w:tab w:val="right" w:pos="9026"/>
      </w:tabs>
      <w:jc w:val="center"/>
    </w:pPr>
    <w:rPr>
      <w:i/>
      <w:iCs/>
    </w:rPr>
  </w:style>
  <w:style w:type="character" w:customStyle="1" w:styleId="HeaderChar">
    <w:name w:val="Header Char"/>
    <w:aliases w:val="Page Header Char,Header title Char,he=header Char,cntr/bld Char"/>
    <w:basedOn w:val="DefaultParagraphFont"/>
    <w:link w:val="Header"/>
    <w:uiPriority w:val="99"/>
    <w:rsid w:val="004C3B02"/>
    <w:rPr>
      <w:rFonts w:ascii="Calibri" w:hAnsi="Calibri" w:cs="Arial"/>
      <w:i/>
      <w:iCs/>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MSD Table Grid,RTI AMCP Table,new style,PBAC table,Legemiddelverket 3,HTAtableplain,Table Grid nm,Dossier table,Summary Table,HealthConsult,Section 3- footnotes,Conclusion box,Header Tab"/>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H18"/>
    <w:uiPriority w:val="99"/>
    <w:qFormat/>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CommentText">
    <w:name w:val="annotation text"/>
    <w:aliases w:val=" Car17, Car17 Car, Char Char Char, Char Char1,Annotationtext,Cha,Char,Char Char Char,Char Char1,Comment Text Char Char,Comment Text Char Char Char,Comment Text Char Char1 Char,Comment Text Char1 Char,Car17,Car17 Car,- H19"/>
    <w:basedOn w:val="Normal"/>
    <w:link w:val="CommentTextChar"/>
    <w:qFormat/>
    <w:rsid w:val="00FD2100"/>
    <w:rPr>
      <w:rFonts w:ascii="Times New Roman" w:hAnsi="Times New Roman" w:cs="Times New Roman"/>
      <w:sz w:val="20"/>
    </w:rPr>
  </w:style>
  <w:style w:type="character" w:customStyle="1" w:styleId="CommentTextChar">
    <w:name w:val="Comment Text Char"/>
    <w:aliases w:val=" Car17 Char, Car17 Car Char, Char Char Char Char, Char Char1 Char,Annotationtext Char,Cha Char,Char Char,Char Char Char Char,Char Char1 Char,Comment Text Char Char Char1,Comment Text Char Char Char Char,Comment Text Char1 Char Char"/>
    <w:basedOn w:val="DefaultParagraphFont"/>
    <w:link w:val="CommentText"/>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uiPriority w:val="99"/>
    <w:rsid w:val="004319F8"/>
    <w:rPr>
      <w:rFonts w:ascii="Arial" w:hAnsi="Arial" w:cs="Arial"/>
      <w:b/>
      <w:bCs/>
    </w:rPr>
  </w:style>
  <w:style w:type="character" w:customStyle="1" w:styleId="CommentSubjectChar">
    <w:name w:val="Comment Subject Char"/>
    <w:basedOn w:val="CommentTextChar"/>
    <w:link w:val="CommentSubject"/>
    <w:uiPriority w:val="9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uiPriority w:val="11"/>
    <w:rsid w:val="00B50DB8"/>
    <w:rPr>
      <w:lang w:eastAsia="en-US"/>
    </w:rPr>
  </w:style>
  <w:style w:type="paragraph" w:styleId="Subtitle">
    <w:name w:val="Subtitle"/>
    <w:basedOn w:val="Normal"/>
    <w:link w:val="SubtitleChar"/>
    <w:uiPriority w:val="11"/>
    <w:qFormat/>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uiPriority w:val="99"/>
    <w:semiHidden/>
    <w:unhideWhenUsed/>
    <w:rsid w:val="00B34FE2"/>
    <w:rPr>
      <w:rFonts w:ascii="Tahoma" w:hAnsi="Tahoma" w:cs="Tahoma"/>
      <w:sz w:val="16"/>
      <w:szCs w:val="16"/>
    </w:rPr>
  </w:style>
  <w:style w:type="character" w:customStyle="1" w:styleId="BalloonTextChar">
    <w:name w:val="Balloon Text Char"/>
    <w:basedOn w:val="DefaultParagraphFont"/>
    <w:link w:val="BalloonText"/>
    <w:uiPriority w:val="99"/>
    <w:semiHidden/>
    <w:rsid w:val="00B34FE2"/>
    <w:rPr>
      <w:rFonts w:ascii="Tahoma" w:hAnsi="Tahoma" w:cs="Tahoma"/>
      <w:snapToGrid w:val="0"/>
      <w:sz w:val="16"/>
      <w:szCs w:val="16"/>
      <w:lang w:eastAsia="en-US"/>
    </w:rPr>
  </w:style>
  <w:style w:type="paragraph" w:customStyle="1" w:styleId="TableText0">
    <w:name w:val="Table Text"/>
    <w:link w:val="TableTextChar0"/>
    <w:qFormat/>
    <w:rsid w:val="00D92D9D"/>
    <w:pPr>
      <w:keepNext/>
      <w:keepLines/>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4C3B02"/>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D92D9D"/>
    <w:pPr>
      <w:keepNext/>
      <w:keepLines/>
    </w:pPr>
    <w:rPr>
      <w:rFonts w:ascii="Arial Narrow" w:eastAsiaTheme="majorEastAsia" w:hAnsi="Arial Narrow"/>
      <w:b/>
      <w:szCs w:val="24"/>
      <w:lang w:val="en-US"/>
    </w:rPr>
  </w:style>
  <w:style w:type="paragraph" w:customStyle="1" w:styleId="2-SectionHeading">
    <w:name w:val="2-Section Heading"/>
    <w:next w:val="3-BodyText"/>
    <w:qFormat/>
    <w:rsid w:val="004C3B02"/>
    <w:pPr>
      <w:keepNext/>
      <w:numPr>
        <w:numId w:val="6"/>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4C3B02"/>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C3B02"/>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C3B02"/>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C3B02"/>
    <w:rPr>
      <w:rFonts w:ascii="Arial Narrow" w:eastAsiaTheme="majorEastAsia" w:hAnsi="Arial Narrow" w:cstheme="majorBidi"/>
      <w:b/>
      <w:bCs/>
      <w:szCs w:val="24"/>
    </w:rPr>
  </w:style>
  <w:style w:type="paragraph" w:customStyle="1" w:styleId="3-BodyText">
    <w:name w:val="3-Body Text"/>
    <w:link w:val="3-BodyTextChar"/>
    <w:qFormat/>
    <w:rsid w:val="004C3B02"/>
    <w:pPr>
      <w:numPr>
        <w:ilvl w:val="1"/>
        <w:numId w:val="6"/>
      </w:numPr>
      <w:spacing w:before="60" w:after="6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C3B02"/>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C3B02"/>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4C3B02"/>
    <w:rPr>
      <w:rFonts w:ascii="Calibri" w:hAnsi="Calibri" w:cs="Arial"/>
      <w:b/>
      <w:sz w:val="24"/>
      <w:szCs w:val="24"/>
    </w:rPr>
  </w:style>
  <w:style w:type="paragraph" w:customStyle="1" w:styleId="FooterTableFigure">
    <w:name w:val="Footer Table/Figure"/>
    <w:basedOn w:val="Normal"/>
    <w:link w:val="FooterTableFigureChar"/>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C3B02"/>
    <w:pPr>
      <w:keepNext/>
      <w:spacing w:before="120" w:after="120"/>
    </w:pPr>
    <w:rPr>
      <w:rFonts w:asciiTheme="minorHAnsi" w:eastAsiaTheme="majorEastAsia" w:hAnsiTheme="minorHAnsi" w:cstheme="majorBidi"/>
      <w:spacing w:val="5"/>
      <w:kern w:val="28"/>
      <w:szCs w:val="36"/>
      <w:lang w:eastAsia="en-US"/>
    </w:rPr>
  </w:style>
  <w:style w:type="character" w:customStyle="1" w:styleId="4-SubsectionHeadingChar">
    <w:name w:val="4-Subsection Heading Char"/>
    <w:basedOn w:val="Heading2Char"/>
    <w:link w:val="4-SubsectionHeading"/>
    <w:rsid w:val="004C3B02"/>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C3B02"/>
    <w:pPr>
      <w:keepNext/>
      <w:keepLines/>
      <w:spacing w:before="4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C3B02"/>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3"/>
      </w:numPr>
      <w:contextualSpacing/>
    </w:pPr>
  </w:style>
  <w:style w:type="character" w:customStyle="1" w:styleId="TableTextChar0">
    <w:name w:val="Table Text Char"/>
    <w:basedOn w:val="DefaultParagraphFont"/>
    <w:link w:val="TableText0"/>
    <w:rsid w:val="00D92D9D"/>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5"/>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FigureFooter">
    <w:name w:val="Table/Figure Footer"/>
    <w:basedOn w:val="Normal"/>
    <w:link w:val="TableFigureFooterChar"/>
    <w:qFormat/>
    <w:rsid w:val="00EA5146"/>
    <w:pPr>
      <w:keepLines/>
      <w:spacing w:after="300"/>
      <w:contextualSpacing/>
    </w:pPr>
    <w:rPr>
      <w:rFonts w:ascii="Arial Narrow" w:hAnsi="Arial Narrow"/>
      <w:snapToGrid w:val="0"/>
      <w:sz w:val="18"/>
      <w:szCs w:val="22"/>
    </w:rPr>
  </w:style>
  <w:style w:type="character" w:customStyle="1" w:styleId="TableFigureFooterChar">
    <w:name w:val="Table/Figure Footer Char"/>
    <w:link w:val="TableFigureFooter"/>
    <w:rsid w:val="00EA5146"/>
    <w:rPr>
      <w:rFonts w:ascii="Arial Narrow" w:hAnsi="Arial Narrow" w:cs="Arial"/>
      <w:snapToGrid w:val="0"/>
      <w:sz w:val="18"/>
      <w:szCs w:val="22"/>
    </w:rPr>
  </w:style>
  <w:style w:type="character" w:customStyle="1" w:styleId="Small">
    <w:name w:val="Small"/>
    <w:basedOn w:val="DefaultParagraphFont"/>
    <w:uiPriority w:val="4"/>
    <w:rsid w:val="005F6434"/>
    <w:rPr>
      <w:rFonts w:ascii="Calibri" w:hAnsi="Calibri"/>
      <w:sz w:val="20"/>
    </w:rPr>
  </w:style>
  <w:style w:type="table" w:customStyle="1" w:styleId="Submissionstandard">
    <w:name w:val="Submission standard"/>
    <w:basedOn w:val="TableNormal"/>
    <w:uiPriority w:val="99"/>
    <w:qFormat/>
    <w:rsid w:val="00DB2D75"/>
    <w:rPr>
      <w:rFonts w:ascii="Arial Narrow" w:eastAsiaTheme="majorEastAsia" w:hAnsi="Arial Narrow"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Sabon" w:hAnsi="Sabon"/>
        <w:b/>
        <w:sz w:val="20"/>
      </w:rPr>
      <w:tblPr/>
      <w:tcPr>
        <w:shd w:val="clear" w:color="auto" w:fill="BFBFBF" w:themeFill="background1" w:themeFillShade="BF"/>
      </w:tcPr>
    </w:tblStylePr>
  </w:style>
  <w:style w:type="paragraph" w:customStyle="1" w:styleId="TableLeft">
    <w:name w:val="Table Left"/>
    <w:basedOn w:val="Normal"/>
    <w:link w:val="TableLeftChar"/>
    <w:uiPriority w:val="99"/>
    <w:qFormat/>
    <w:rsid w:val="00DB2D75"/>
    <w:rPr>
      <w:rFonts w:eastAsiaTheme="majorEastAsia" w:cstheme="majorBidi"/>
      <w:sz w:val="18"/>
      <w:szCs w:val="22"/>
      <w:lang w:eastAsia="en-US" w:bidi="en-US"/>
    </w:rPr>
  </w:style>
  <w:style w:type="character" w:customStyle="1" w:styleId="TableLeftChar">
    <w:name w:val="Table Left Char"/>
    <w:basedOn w:val="DefaultParagraphFont"/>
    <w:link w:val="TableLeft"/>
    <w:uiPriority w:val="99"/>
    <w:locked/>
    <w:rsid w:val="00DB2D75"/>
    <w:rPr>
      <w:rFonts w:ascii="Calibri" w:eastAsiaTheme="majorEastAsia" w:hAnsi="Calibri" w:cstheme="majorBidi"/>
      <w:sz w:val="18"/>
      <w:szCs w:val="22"/>
      <w:lang w:eastAsia="en-US" w:bidi="en-US"/>
    </w:rPr>
  </w:style>
  <w:style w:type="character" w:customStyle="1" w:styleId="CaptionFootnoteChar">
    <w:name w:val="Caption Footnote Char"/>
    <w:basedOn w:val="DefaultParagraphFont"/>
    <w:link w:val="CaptionFootnote"/>
    <w:rsid w:val="00DB2D75"/>
    <w:rPr>
      <w:rFonts w:asciiTheme="minorHAnsi" w:hAnsiTheme="minorHAnsi"/>
      <w:kern w:val="28"/>
      <w:sz w:val="16"/>
      <w:szCs w:val="24"/>
      <w:lang w:eastAsia="en-GB"/>
    </w:rPr>
  </w:style>
  <w:style w:type="paragraph" w:customStyle="1" w:styleId="CaptionFootnote">
    <w:name w:val="Caption Footnote"/>
    <w:basedOn w:val="Normal"/>
    <w:link w:val="CaptionFootnoteChar"/>
    <w:qFormat/>
    <w:rsid w:val="00DB2D75"/>
    <w:rPr>
      <w:rFonts w:asciiTheme="minorHAnsi" w:hAnsiTheme="minorHAnsi" w:cs="Times New Roman"/>
      <w:kern w:val="28"/>
      <w:sz w:val="16"/>
      <w:lang w:eastAsia="en-GB"/>
    </w:rPr>
  </w:style>
  <w:style w:type="paragraph" w:customStyle="1" w:styleId="TableCentre">
    <w:name w:val="Table Centre"/>
    <w:basedOn w:val="Normal"/>
    <w:qFormat/>
    <w:rsid w:val="00DB2D75"/>
    <w:pPr>
      <w:jc w:val="center"/>
    </w:pPr>
    <w:rPr>
      <w:rFonts w:eastAsiaTheme="majorEastAsia" w:cstheme="majorBidi"/>
      <w:sz w:val="18"/>
      <w:szCs w:val="22"/>
      <w:lang w:eastAsia="en-US" w:bidi="en-US"/>
    </w:rPr>
  </w:style>
  <w:style w:type="character" w:customStyle="1" w:styleId="SmallBold">
    <w:name w:val="Small Bold"/>
    <w:basedOn w:val="Small"/>
    <w:uiPriority w:val="4"/>
    <w:rsid w:val="00A30343"/>
    <w:rPr>
      <w:rFonts w:ascii="Calibri" w:hAnsi="Calibri"/>
      <w:b/>
      <w:sz w:val="20"/>
      <w:lang w:val="en-AU"/>
    </w:rPr>
  </w:style>
  <w:style w:type="character" w:customStyle="1" w:styleId="eop">
    <w:name w:val="eop"/>
    <w:basedOn w:val="DefaultParagraphFont"/>
    <w:rsid w:val="00A30343"/>
  </w:style>
  <w:style w:type="paragraph" w:styleId="FootnoteText">
    <w:name w:val="footnote text"/>
    <w:aliases w:val="Footnote Text_Source"/>
    <w:basedOn w:val="Normal"/>
    <w:link w:val="FootnoteTextChar"/>
    <w:uiPriority w:val="99"/>
    <w:unhideWhenUsed/>
    <w:rsid w:val="00B10C17"/>
    <w:rPr>
      <w:sz w:val="20"/>
      <w:szCs w:val="20"/>
    </w:rPr>
  </w:style>
  <w:style w:type="character" w:customStyle="1" w:styleId="FootnoteTextChar">
    <w:name w:val="Footnote Text Char"/>
    <w:aliases w:val="Footnote Text_Source Char"/>
    <w:basedOn w:val="DefaultParagraphFont"/>
    <w:link w:val="FootnoteText"/>
    <w:uiPriority w:val="99"/>
    <w:rsid w:val="00B10C17"/>
    <w:rPr>
      <w:rFonts w:ascii="Calibri" w:hAnsi="Calibri" w:cs="Arial"/>
    </w:rPr>
  </w:style>
  <w:style w:type="character" w:styleId="FootnoteReference">
    <w:name w:val="footnote reference"/>
    <w:basedOn w:val="DefaultParagraphFont"/>
    <w:uiPriority w:val="99"/>
    <w:semiHidden/>
    <w:unhideWhenUsed/>
    <w:rsid w:val="00B10C17"/>
    <w:rPr>
      <w:vertAlign w:val="superscript"/>
    </w:rPr>
  </w:style>
  <w:style w:type="paragraph" w:customStyle="1" w:styleId="TableBullets">
    <w:name w:val="Table Bullets"/>
    <w:basedOn w:val="TableLeft"/>
    <w:uiPriority w:val="5"/>
    <w:rsid w:val="00107B93"/>
    <w:pPr>
      <w:numPr>
        <w:numId w:val="7"/>
      </w:numPr>
      <w:ind w:left="170" w:hanging="170"/>
    </w:pPr>
  </w:style>
  <w:style w:type="character" w:styleId="UnresolvedMention">
    <w:name w:val="Unresolved Mention"/>
    <w:basedOn w:val="DefaultParagraphFont"/>
    <w:uiPriority w:val="99"/>
    <w:semiHidden/>
    <w:unhideWhenUsed/>
    <w:rsid w:val="001C1E5A"/>
    <w:rPr>
      <w:color w:val="605E5C"/>
      <w:shd w:val="clear" w:color="auto" w:fill="E1DFDD"/>
    </w:rPr>
  </w:style>
  <w:style w:type="paragraph" w:customStyle="1" w:styleId="EndNoteBibliographyTitle">
    <w:name w:val="EndNote Bibliography Title"/>
    <w:basedOn w:val="Normal"/>
    <w:link w:val="EndNoteBibliographyTitleChar"/>
    <w:rsid w:val="00A771BC"/>
    <w:pPr>
      <w:jc w:val="center"/>
    </w:pPr>
    <w:rPr>
      <w:rFonts w:ascii="Arial Narrow" w:hAnsi="Arial Narrow"/>
      <w:noProof/>
      <w:sz w:val="20"/>
    </w:rPr>
  </w:style>
  <w:style w:type="character" w:customStyle="1" w:styleId="EndNoteBibliographyTitleChar">
    <w:name w:val="EndNote Bibliography Title Char"/>
    <w:basedOn w:val="TableFigureHeadingChar"/>
    <w:link w:val="EndNoteBibliographyTitle"/>
    <w:rsid w:val="00A771BC"/>
    <w:rPr>
      <w:rFonts w:ascii="Arial Narrow" w:eastAsiaTheme="majorEastAsia" w:hAnsi="Arial Narrow" w:cs="Arial"/>
      <w:b w:val="0"/>
      <w:bCs w:val="0"/>
      <w:noProof/>
      <w:szCs w:val="24"/>
    </w:rPr>
  </w:style>
  <w:style w:type="paragraph" w:customStyle="1" w:styleId="EndNoteBibliography">
    <w:name w:val="EndNote Bibliography"/>
    <w:basedOn w:val="Normal"/>
    <w:link w:val="EndNoteBibliographyChar"/>
    <w:rsid w:val="00A771BC"/>
    <w:rPr>
      <w:rFonts w:ascii="Arial Narrow" w:hAnsi="Arial Narrow"/>
      <w:noProof/>
      <w:sz w:val="20"/>
    </w:rPr>
  </w:style>
  <w:style w:type="character" w:customStyle="1" w:styleId="EndNoteBibliographyChar">
    <w:name w:val="EndNote Bibliography Char"/>
    <w:basedOn w:val="TableFigureHeadingChar"/>
    <w:link w:val="EndNoteBibliography"/>
    <w:rsid w:val="00A771BC"/>
    <w:rPr>
      <w:rFonts w:ascii="Arial Narrow" w:eastAsiaTheme="majorEastAsia" w:hAnsi="Arial Narrow" w:cs="Arial"/>
      <w:b w:val="0"/>
      <w:bCs w:val="0"/>
      <w:noProof/>
      <w:szCs w:val="24"/>
    </w:rPr>
  </w:style>
  <w:style w:type="table" w:customStyle="1" w:styleId="TableGrid1">
    <w:name w:val="Table Grid1"/>
    <w:basedOn w:val="TableNormal"/>
    <w:next w:val="TableGrid"/>
    <w:uiPriority w:val="59"/>
    <w:rsid w:val="00D85532"/>
    <w:rPr>
      <w:rFonts w:eastAsia="Batang"/>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D85532"/>
    <w:rPr>
      <w:rFonts w:ascii="Calibri" w:hAnsi="Calibri" w:cs="Arial"/>
      <w:b/>
      <w:caps/>
      <w:sz w:val="32"/>
      <w:szCs w:val="24"/>
    </w:rPr>
  </w:style>
  <w:style w:type="character" w:customStyle="1" w:styleId="Heading3Char">
    <w:name w:val="Heading 3 Char"/>
    <w:basedOn w:val="DefaultParagraphFont"/>
    <w:link w:val="Heading3"/>
    <w:uiPriority w:val="9"/>
    <w:rsid w:val="00D85532"/>
    <w:rPr>
      <w:rFonts w:ascii="Calibri" w:hAnsi="Calibri" w:cs="Arial"/>
      <w:sz w:val="24"/>
      <w:szCs w:val="24"/>
      <w:u w:val="single"/>
    </w:rPr>
  </w:style>
  <w:style w:type="character" w:customStyle="1" w:styleId="Heading4Char">
    <w:name w:val="Heading 4 Char"/>
    <w:basedOn w:val="DefaultParagraphFont"/>
    <w:link w:val="Heading4"/>
    <w:uiPriority w:val="9"/>
    <w:rsid w:val="00D85532"/>
    <w:rPr>
      <w:rFonts w:ascii="Calibri" w:hAnsi="Calibri" w:cs="Arial"/>
      <w:b/>
      <w:bCs/>
      <w:i/>
      <w:sz w:val="26"/>
      <w:szCs w:val="28"/>
    </w:rPr>
  </w:style>
  <w:style w:type="character" w:customStyle="1" w:styleId="Heading5Char">
    <w:name w:val="Heading 5 Char"/>
    <w:basedOn w:val="DefaultParagraphFont"/>
    <w:link w:val="Heading5"/>
    <w:uiPriority w:val="9"/>
    <w:rsid w:val="00D85532"/>
    <w:rPr>
      <w:rFonts w:ascii="Calibri" w:hAnsi="Calibri" w:cs="Arial"/>
      <w:b/>
      <w:bCs/>
      <w:iCs/>
      <w:sz w:val="26"/>
      <w:szCs w:val="26"/>
    </w:rPr>
  </w:style>
  <w:style w:type="character" w:customStyle="1" w:styleId="Heading6Char">
    <w:name w:val="Heading 6 Char"/>
    <w:basedOn w:val="DefaultParagraphFont"/>
    <w:link w:val="Heading6"/>
    <w:uiPriority w:val="9"/>
    <w:rsid w:val="00D85532"/>
    <w:rPr>
      <w:rFonts w:ascii="Calibri" w:hAnsi="Calibri" w:cs="Arial"/>
      <w:b/>
      <w:bCs/>
      <w:i/>
      <w:sz w:val="24"/>
      <w:szCs w:val="24"/>
    </w:rPr>
  </w:style>
  <w:style w:type="character" w:customStyle="1" w:styleId="FontBold">
    <w:name w:val="Font Bold"/>
    <w:basedOn w:val="DefaultParagraphFont"/>
    <w:uiPriority w:val="1"/>
    <w:rsid w:val="00D85532"/>
    <w:rPr>
      <w:rFonts w:ascii="Sabon" w:hAnsi="Sabon"/>
      <w:b/>
      <w:sz w:val="22"/>
    </w:rPr>
  </w:style>
  <w:style w:type="character" w:customStyle="1" w:styleId="FontItalics">
    <w:name w:val="Font Italics"/>
    <w:basedOn w:val="DefaultParagraphFont"/>
    <w:uiPriority w:val="1"/>
    <w:rsid w:val="00D85532"/>
    <w:rPr>
      <w:rFonts w:ascii="Sabon" w:hAnsi="Sabon"/>
      <w:i/>
      <w:sz w:val="22"/>
    </w:rPr>
  </w:style>
  <w:style w:type="paragraph" w:customStyle="1" w:styleId="HeadingX">
    <w:name w:val="Heading X"/>
    <w:basedOn w:val="Heading1"/>
    <w:link w:val="HeadingXChar"/>
    <w:qFormat/>
    <w:rsid w:val="00D85532"/>
    <w:pPr>
      <w:pageBreakBefore/>
      <w:spacing w:after="240" w:line="276" w:lineRule="auto"/>
      <w:ind w:left="0" w:firstLine="0"/>
      <w:contextualSpacing/>
    </w:pPr>
    <w:rPr>
      <w:rFonts w:eastAsiaTheme="majorEastAsia" w:cstheme="majorBidi"/>
      <w:caps w:val="0"/>
      <w:spacing w:val="5"/>
      <w:szCs w:val="36"/>
      <w:lang w:eastAsia="en-US" w:bidi="en-US"/>
    </w:rPr>
  </w:style>
  <w:style w:type="character" w:customStyle="1" w:styleId="HeadingXChar">
    <w:name w:val="Heading X Char"/>
    <w:basedOn w:val="Heading1Char"/>
    <w:link w:val="HeadingX"/>
    <w:rsid w:val="00D85532"/>
    <w:rPr>
      <w:rFonts w:ascii="Calibri" w:eastAsiaTheme="majorEastAsia" w:hAnsi="Calibri" w:cstheme="majorBidi"/>
      <w:b/>
      <w:caps w:val="0"/>
      <w:spacing w:val="5"/>
      <w:sz w:val="32"/>
      <w:szCs w:val="36"/>
      <w:lang w:eastAsia="en-US" w:bidi="en-US"/>
    </w:rPr>
  </w:style>
  <w:style w:type="character" w:customStyle="1" w:styleId="FontHighlight">
    <w:name w:val="Font Highlight"/>
    <w:basedOn w:val="DefaultParagraphFont"/>
    <w:uiPriority w:val="2"/>
    <w:rsid w:val="00D85532"/>
    <w:rPr>
      <w:rFonts w:ascii="Calibri" w:hAnsi="Calibri"/>
      <w:sz w:val="22"/>
      <w:bdr w:val="none" w:sz="0" w:space="0" w:color="auto"/>
      <w:shd w:val="clear" w:color="auto" w:fill="FFFF00"/>
    </w:rPr>
  </w:style>
  <w:style w:type="character" w:styleId="Strong">
    <w:name w:val="Strong"/>
    <w:uiPriority w:val="22"/>
    <w:qFormat/>
    <w:rsid w:val="00D85532"/>
    <w:rPr>
      <w:b/>
      <w:bCs/>
    </w:rPr>
  </w:style>
  <w:style w:type="character" w:styleId="Emphasis">
    <w:name w:val="Emphasis"/>
    <w:uiPriority w:val="20"/>
    <w:qFormat/>
    <w:rsid w:val="00D85532"/>
    <w:rPr>
      <w:b/>
      <w:bCs/>
      <w:i/>
      <w:iCs/>
      <w:spacing w:val="10"/>
    </w:rPr>
  </w:style>
  <w:style w:type="character" w:customStyle="1" w:styleId="FontSuperscript">
    <w:name w:val="Font Superscript"/>
    <w:basedOn w:val="DefaultParagraphFont"/>
    <w:uiPriority w:val="1"/>
    <w:rsid w:val="00D85532"/>
    <w:rPr>
      <w:rFonts w:ascii="Sabon" w:hAnsi="Sabon"/>
      <w:sz w:val="22"/>
      <w:vertAlign w:val="superscript"/>
    </w:rPr>
  </w:style>
  <w:style w:type="character" w:customStyle="1" w:styleId="FontSubscript">
    <w:name w:val="Font Subscript"/>
    <w:basedOn w:val="DefaultParagraphFont"/>
    <w:uiPriority w:val="1"/>
    <w:rsid w:val="00D85532"/>
    <w:rPr>
      <w:rFonts w:ascii="Sabon" w:hAnsi="Sabon"/>
      <w:sz w:val="22"/>
      <w:vertAlign w:val="subscript"/>
    </w:rPr>
  </w:style>
  <w:style w:type="character" w:styleId="SubtleEmphasis">
    <w:name w:val="Subtle Emphasis"/>
    <w:uiPriority w:val="19"/>
    <w:qFormat/>
    <w:rsid w:val="00D85532"/>
    <w:rPr>
      <w:i/>
      <w:iCs/>
    </w:rPr>
  </w:style>
  <w:style w:type="character" w:styleId="IntenseEmphasis">
    <w:name w:val="Intense Emphasis"/>
    <w:uiPriority w:val="21"/>
    <w:qFormat/>
    <w:rsid w:val="00D85532"/>
    <w:rPr>
      <w:b/>
      <w:bCs/>
      <w:i/>
      <w:iCs/>
    </w:rPr>
  </w:style>
  <w:style w:type="character" w:styleId="SubtleReference">
    <w:name w:val="Subtle Reference"/>
    <w:basedOn w:val="DefaultParagraphFont"/>
    <w:uiPriority w:val="31"/>
    <w:qFormat/>
    <w:rsid w:val="00D85532"/>
    <w:rPr>
      <w:smallCaps/>
    </w:rPr>
  </w:style>
  <w:style w:type="character" w:styleId="IntenseReference">
    <w:name w:val="Intense Reference"/>
    <w:uiPriority w:val="32"/>
    <w:qFormat/>
    <w:rsid w:val="00D85532"/>
    <w:rPr>
      <w:b/>
      <w:bCs/>
      <w:smallCaps/>
    </w:rPr>
  </w:style>
  <w:style w:type="character" w:styleId="BookTitle">
    <w:name w:val="Book Title"/>
    <w:basedOn w:val="DefaultParagraphFont"/>
    <w:uiPriority w:val="33"/>
    <w:qFormat/>
    <w:rsid w:val="00D85532"/>
    <w:rPr>
      <w:i/>
      <w:iCs/>
      <w:smallCaps/>
      <w:spacing w:val="5"/>
    </w:rPr>
  </w:style>
  <w:style w:type="character" w:customStyle="1" w:styleId="Font">
    <w:name w:val="Font"/>
    <w:basedOn w:val="DefaultParagraphFont"/>
    <w:uiPriority w:val="1"/>
    <w:rsid w:val="00D85532"/>
    <w:rPr>
      <w:rFonts w:ascii="Sabon" w:hAnsi="Sabon"/>
      <w:sz w:val="22"/>
    </w:rPr>
  </w:style>
  <w:style w:type="paragraph" w:customStyle="1" w:styleId="NormalBullets">
    <w:name w:val="Normal Bullets"/>
    <w:basedOn w:val="Normal"/>
    <w:uiPriority w:val="3"/>
    <w:qFormat/>
    <w:rsid w:val="00D85532"/>
    <w:pPr>
      <w:numPr>
        <w:numId w:val="10"/>
      </w:numPr>
      <w:spacing w:after="240" w:line="276" w:lineRule="auto"/>
      <w:ind w:left="357" w:hanging="357"/>
      <w:contextualSpacing/>
    </w:pPr>
    <w:rPr>
      <w:rFonts w:eastAsiaTheme="majorEastAsia" w:cstheme="majorBidi"/>
      <w:sz w:val="22"/>
      <w:szCs w:val="22"/>
      <w:lang w:eastAsia="en-US" w:bidi="en-US"/>
    </w:rPr>
  </w:style>
  <w:style w:type="paragraph" w:customStyle="1" w:styleId="NumberedList">
    <w:name w:val="Numbered List"/>
    <w:basedOn w:val="Normal"/>
    <w:uiPriority w:val="3"/>
    <w:rsid w:val="00D85532"/>
    <w:pPr>
      <w:numPr>
        <w:numId w:val="11"/>
      </w:numPr>
      <w:spacing w:after="240" w:line="276" w:lineRule="auto"/>
      <w:ind w:left="357" w:hanging="357"/>
      <w:contextualSpacing/>
    </w:pPr>
    <w:rPr>
      <w:rFonts w:eastAsiaTheme="majorEastAsia" w:cstheme="majorBidi"/>
      <w:sz w:val="22"/>
      <w:szCs w:val="22"/>
      <w:lang w:eastAsia="en-US" w:bidi="en-US"/>
    </w:rPr>
  </w:style>
  <w:style w:type="paragraph" w:customStyle="1" w:styleId="NormalLetters">
    <w:name w:val="Normal Letters"/>
    <w:basedOn w:val="Normal"/>
    <w:uiPriority w:val="3"/>
    <w:rsid w:val="00D85532"/>
    <w:pPr>
      <w:numPr>
        <w:numId w:val="12"/>
      </w:numPr>
      <w:spacing w:after="240" w:line="276" w:lineRule="auto"/>
      <w:ind w:left="357" w:hanging="357"/>
      <w:contextualSpacing/>
    </w:pPr>
    <w:rPr>
      <w:rFonts w:eastAsiaTheme="majorEastAsia" w:cstheme="majorBidi"/>
      <w:sz w:val="22"/>
      <w:szCs w:val="22"/>
      <w:lang w:eastAsia="en-US" w:bidi="en-US"/>
    </w:rPr>
  </w:style>
  <w:style w:type="table" w:styleId="MediumList2-Accent6">
    <w:name w:val="Medium List 2 Accent 6"/>
    <w:basedOn w:val="TableNormal"/>
    <w:uiPriority w:val="66"/>
    <w:rsid w:val="00D85532"/>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3-Accent5">
    <w:name w:val="Medium Grid 3 Accent 5"/>
    <w:basedOn w:val="TableNormal"/>
    <w:uiPriority w:val="69"/>
    <w:rsid w:val="00D85532"/>
    <w:rPr>
      <w:rFonts w:asciiTheme="majorHAnsi" w:eastAsiaTheme="majorEastAsia" w:hAnsiTheme="majorHAnsi" w:cstheme="majorBidi"/>
      <w:sz w:val="22"/>
      <w:szCs w:val="22"/>
      <w:lang w:val="en-US"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LightGrid-Accent5">
    <w:name w:val="Light Grid Accent 5"/>
    <w:basedOn w:val="TableNormal"/>
    <w:uiPriority w:val="62"/>
    <w:rsid w:val="00D85532"/>
    <w:rPr>
      <w:rFonts w:asciiTheme="majorHAnsi" w:eastAsiaTheme="majorEastAsia" w:hAnsiTheme="majorHAnsi" w:cstheme="majorBidi"/>
      <w:sz w:val="22"/>
      <w:szCs w:val="22"/>
      <w:lang w:val="en-US" w:eastAsia="en-US" w:bidi="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List-Accent6">
    <w:name w:val="Light List Accent 6"/>
    <w:basedOn w:val="TableNormal"/>
    <w:uiPriority w:val="61"/>
    <w:rsid w:val="00D85532"/>
    <w:rPr>
      <w:rFonts w:asciiTheme="majorHAnsi" w:eastAsiaTheme="majorEastAsia" w:hAnsiTheme="majorHAnsi" w:cstheme="majorBidi"/>
      <w:sz w:val="22"/>
      <w:szCs w:val="22"/>
      <w:lang w:val="en-US" w:eastAsia="en-US" w:bidi="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FrontPage1">
    <w:name w:val="Front Page 1"/>
    <w:basedOn w:val="Normal"/>
    <w:next w:val="Normal"/>
    <w:link w:val="FrontPage1Char"/>
    <w:uiPriority w:val="10"/>
    <w:rsid w:val="00D85532"/>
    <w:pPr>
      <w:spacing w:after="200" w:line="276" w:lineRule="auto"/>
      <w:jc w:val="center"/>
    </w:pPr>
    <w:rPr>
      <w:rFonts w:eastAsiaTheme="majorEastAsia" w:cstheme="majorBidi"/>
      <w:b/>
      <w:sz w:val="48"/>
      <w:szCs w:val="22"/>
      <w:lang w:eastAsia="en-US" w:bidi="en-US"/>
    </w:rPr>
  </w:style>
  <w:style w:type="character" w:customStyle="1" w:styleId="FrontPage1Char">
    <w:name w:val="Front Page 1 Char"/>
    <w:basedOn w:val="DefaultParagraphFont"/>
    <w:link w:val="FrontPage1"/>
    <w:uiPriority w:val="10"/>
    <w:rsid w:val="00D85532"/>
    <w:rPr>
      <w:rFonts w:ascii="Calibri" w:eastAsiaTheme="majorEastAsia" w:hAnsi="Calibri" w:cstheme="majorBidi"/>
      <w:b/>
      <w:sz w:val="48"/>
      <w:szCs w:val="22"/>
      <w:lang w:eastAsia="en-US" w:bidi="en-US"/>
    </w:rPr>
  </w:style>
  <w:style w:type="paragraph" w:customStyle="1" w:styleId="FrontPage2">
    <w:name w:val="Front Page 2"/>
    <w:basedOn w:val="FrontPage1"/>
    <w:link w:val="FrontPage2Char"/>
    <w:uiPriority w:val="10"/>
    <w:rsid w:val="00D85532"/>
    <w:rPr>
      <w:sz w:val="40"/>
    </w:rPr>
  </w:style>
  <w:style w:type="character" w:customStyle="1" w:styleId="FrontPage2Char">
    <w:name w:val="Front Page 2 Char"/>
    <w:basedOn w:val="FrontPage1Char"/>
    <w:link w:val="FrontPage2"/>
    <w:uiPriority w:val="10"/>
    <w:rsid w:val="00D85532"/>
    <w:rPr>
      <w:rFonts w:ascii="Calibri" w:eastAsiaTheme="majorEastAsia" w:hAnsi="Calibri" w:cstheme="majorBidi"/>
      <w:b/>
      <w:sz w:val="40"/>
      <w:szCs w:val="22"/>
      <w:lang w:eastAsia="en-US" w:bidi="en-US"/>
    </w:rPr>
  </w:style>
  <w:style w:type="paragraph" w:customStyle="1" w:styleId="FrontPage3">
    <w:name w:val="Front Page 3"/>
    <w:basedOn w:val="FrontPage2"/>
    <w:link w:val="FrontPage3Char"/>
    <w:uiPriority w:val="10"/>
    <w:rsid w:val="00D85532"/>
    <w:rPr>
      <w:sz w:val="32"/>
    </w:rPr>
  </w:style>
  <w:style w:type="character" w:customStyle="1" w:styleId="FrontPage3Char">
    <w:name w:val="Front Page 3 Char"/>
    <w:basedOn w:val="FrontPage2Char"/>
    <w:link w:val="FrontPage3"/>
    <w:uiPriority w:val="10"/>
    <w:rsid w:val="00D85532"/>
    <w:rPr>
      <w:rFonts w:ascii="Calibri" w:eastAsiaTheme="majorEastAsia" w:hAnsi="Calibri" w:cstheme="majorBidi"/>
      <w:b/>
      <w:sz w:val="32"/>
      <w:szCs w:val="22"/>
      <w:lang w:eastAsia="en-US" w:bidi="en-US"/>
    </w:rPr>
  </w:style>
  <w:style w:type="table" w:styleId="TableGrid10">
    <w:name w:val="Table Grid 1"/>
    <w:basedOn w:val="TableNormal"/>
    <w:uiPriority w:val="99"/>
    <w:semiHidden/>
    <w:unhideWhenUsed/>
    <w:rsid w:val="00D85532"/>
    <w:pPr>
      <w:spacing w:after="200" w:line="276" w:lineRule="auto"/>
    </w:pPr>
    <w:rPr>
      <w:rFonts w:asciiTheme="majorHAnsi" w:eastAsiaTheme="majorEastAsia" w:hAnsiTheme="majorHAnsi" w:cstheme="majorBidi"/>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ightShading-Accent2">
    <w:name w:val="Light Shading Accent 2"/>
    <w:basedOn w:val="TableNormal"/>
    <w:uiPriority w:val="60"/>
    <w:rsid w:val="00D85532"/>
    <w:rPr>
      <w:rFonts w:asciiTheme="majorHAnsi" w:eastAsiaTheme="majorEastAsia" w:hAnsiTheme="majorHAnsi" w:cstheme="majorBidi"/>
      <w:color w:val="943634" w:themeColor="accent2" w:themeShade="BF"/>
      <w:sz w:val="22"/>
      <w:szCs w:val="22"/>
      <w:lang w:val="en-US" w:eastAsia="en-US" w:bidi="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D85532"/>
    <w:rPr>
      <w:rFonts w:asciiTheme="majorHAnsi" w:eastAsiaTheme="majorEastAsia" w:hAnsiTheme="majorHAnsi" w:cstheme="majorBidi"/>
      <w:color w:val="76923C" w:themeColor="accent3" w:themeShade="BF"/>
      <w:sz w:val="22"/>
      <w:szCs w:val="22"/>
      <w:lang w:val="en-US" w:eastAsia="en-US" w:bidi="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D85532"/>
    <w:rPr>
      <w:rFonts w:asciiTheme="majorHAnsi" w:eastAsiaTheme="majorEastAsia" w:hAnsiTheme="majorHAnsi" w:cstheme="majorBidi"/>
      <w:color w:val="5F497A" w:themeColor="accent4" w:themeShade="BF"/>
      <w:sz w:val="22"/>
      <w:szCs w:val="22"/>
      <w:lang w:val="en-US" w:eastAsia="en-US" w:bidi="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TOAHeading">
    <w:name w:val="toa heading"/>
    <w:basedOn w:val="Normal"/>
    <w:next w:val="Normal"/>
    <w:semiHidden/>
    <w:rsid w:val="00D85532"/>
    <w:pPr>
      <w:spacing w:before="120"/>
    </w:pPr>
    <w:rPr>
      <w:rFonts w:ascii="Arial Bold" w:hAnsi="Arial Bold"/>
      <w:b/>
      <w:bCs/>
      <w:caps/>
      <w:sz w:val="28"/>
      <w:szCs w:val="28"/>
    </w:rPr>
  </w:style>
  <w:style w:type="paragraph" w:customStyle="1" w:styleId="TableRight">
    <w:name w:val="Table Right"/>
    <w:basedOn w:val="Normal"/>
    <w:uiPriority w:val="5"/>
    <w:rsid w:val="00D85532"/>
    <w:pPr>
      <w:jc w:val="right"/>
    </w:pPr>
    <w:rPr>
      <w:rFonts w:ascii="Arial Narrow" w:eastAsiaTheme="majorEastAsia" w:hAnsi="Arial Narrow" w:cstheme="majorBidi"/>
      <w:sz w:val="20"/>
      <w:szCs w:val="22"/>
      <w:lang w:eastAsia="en-US" w:bidi="en-US"/>
    </w:rPr>
  </w:style>
  <w:style w:type="character" w:customStyle="1" w:styleId="SmallItalics">
    <w:name w:val="Small Italics"/>
    <w:basedOn w:val="Small"/>
    <w:uiPriority w:val="4"/>
    <w:rsid w:val="00D85532"/>
    <w:rPr>
      <w:rFonts w:ascii="Calibri" w:hAnsi="Calibri"/>
      <w:i/>
      <w:sz w:val="20"/>
    </w:rPr>
  </w:style>
  <w:style w:type="character" w:styleId="PlaceholderText">
    <w:name w:val="Placeholder Text"/>
    <w:basedOn w:val="DefaultParagraphFont"/>
    <w:uiPriority w:val="99"/>
    <w:semiHidden/>
    <w:rsid w:val="00D85532"/>
    <w:rPr>
      <w:color w:val="808080"/>
    </w:rPr>
  </w:style>
  <w:style w:type="paragraph" w:styleId="EndnoteText">
    <w:name w:val="endnote text"/>
    <w:basedOn w:val="Normal"/>
    <w:link w:val="EndnoteTextChar"/>
    <w:uiPriority w:val="99"/>
    <w:semiHidden/>
    <w:unhideWhenUsed/>
    <w:rsid w:val="00D85532"/>
    <w:rPr>
      <w:rFonts w:eastAsiaTheme="majorEastAsia" w:cstheme="majorBidi"/>
      <w:sz w:val="20"/>
      <w:szCs w:val="20"/>
      <w:lang w:eastAsia="en-US" w:bidi="en-US"/>
    </w:rPr>
  </w:style>
  <w:style w:type="character" w:customStyle="1" w:styleId="EndnoteTextChar">
    <w:name w:val="Endnote Text Char"/>
    <w:basedOn w:val="DefaultParagraphFont"/>
    <w:link w:val="EndnoteText"/>
    <w:uiPriority w:val="99"/>
    <w:semiHidden/>
    <w:rsid w:val="00D85532"/>
    <w:rPr>
      <w:rFonts w:ascii="Calibri" w:eastAsiaTheme="majorEastAsia" w:hAnsi="Calibri" w:cstheme="majorBidi"/>
      <w:lang w:eastAsia="en-US" w:bidi="en-US"/>
    </w:rPr>
  </w:style>
  <w:style w:type="character" w:styleId="EndnoteReference">
    <w:name w:val="endnote reference"/>
    <w:basedOn w:val="DefaultParagraphFont"/>
    <w:uiPriority w:val="99"/>
    <w:semiHidden/>
    <w:unhideWhenUsed/>
    <w:rsid w:val="00D85532"/>
    <w:rPr>
      <w:vertAlign w:val="superscript"/>
    </w:rPr>
  </w:style>
  <w:style w:type="paragraph" w:styleId="Bibliography">
    <w:name w:val="Bibliography"/>
    <w:basedOn w:val="Normal"/>
    <w:next w:val="Normal"/>
    <w:uiPriority w:val="37"/>
    <w:unhideWhenUsed/>
    <w:rsid w:val="00D85532"/>
    <w:pPr>
      <w:spacing w:after="200" w:line="276" w:lineRule="auto"/>
    </w:pPr>
    <w:rPr>
      <w:rFonts w:eastAsiaTheme="majorEastAsia" w:cstheme="majorBidi"/>
      <w:sz w:val="22"/>
      <w:szCs w:val="22"/>
      <w:lang w:eastAsia="en-US" w:bidi="en-US"/>
    </w:rPr>
  </w:style>
  <w:style w:type="paragraph" w:customStyle="1" w:styleId="TableHeading0">
    <w:name w:val="Table Heading"/>
    <w:basedOn w:val="Normal"/>
    <w:link w:val="TableHeadingChar"/>
    <w:rsid w:val="00D85532"/>
    <w:pPr>
      <w:keepNext/>
      <w:keepLines/>
      <w:spacing w:before="120"/>
    </w:pPr>
    <w:rPr>
      <w:rFonts w:asciiTheme="minorHAnsi" w:hAnsiTheme="minorHAnsi" w:cs="Times New Roman"/>
      <w:b/>
      <w:color w:val="FFFFFF"/>
      <w:sz w:val="22"/>
      <w:szCs w:val="22"/>
      <w:lang w:val="en-US" w:eastAsia="en-US"/>
    </w:rPr>
  </w:style>
  <w:style w:type="character" w:customStyle="1" w:styleId="TableHeadingChar">
    <w:name w:val="Table Heading Char"/>
    <w:link w:val="TableHeading0"/>
    <w:locked/>
    <w:rsid w:val="00D85532"/>
    <w:rPr>
      <w:rFonts w:asciiTheme="minorHAnsi" w:hAnsiTheme="minorHAnsi"/>
      <w:b/>
      <w:color w:val="FFFFFF"/>
      <w:sz w:val="22"/>
      <w:szCs w:val="22"/>
      <w:lang w:val="en-US" w:eastAsia="en-US"/>
    </w:rPr>
  </w:style>
  <w:style w:type="character" w:customStyle="1" w:styleId="SmallHighlight">
    <w:name w:val="Small Highlight"/>
    <w:basedOn w:val="Small"/>
    <w:uiPriority w:val="1"/>
    <w:rsid w:val="00D85532"/>
    <w:rPr>
      <w:rFonts w:ascii="Calibri" w:hAnsi="Calibri"/>
      <w:sz w:val="20"/>
      <w:bdr w:val="none" w:sz="0" w:space="0" w:color="auto"/>
      <w:shd w:val="clear" w:color="auto" w:fill="FFFF00"/>
    </w:rPr>
  </w:style>
  <w:style w:type="paragraph" w:customStyle="1" w:styleId="NormalLetterList">
    <w:name w:val="Normal Letter List"/>
    <w:basedOn w:val="Normal"/>
    <w:uiPriority w:val="99"/>
    <w:rsid w:val="00D85532"/>
    <w:pPr>
      <w:spacing w:after="240" w:line="276" w:lineRule="auto"/>
      <w:ind w:left="357" w:hanging="357"/>
      <w:contextualSpacing/>
    </w:pPr>
    <w:rPr>
      <w:rFonts w:ascii="Candara" w:eastAsiaTheme="majorEastAsia" w:hAnsi="Candara" w:cstheme="majorBidi"/>
      <w:szCs w:val="22"/>
      <w:lang w:eastAsia="en-US" w:bidi="en-US"/>
    </w:rPr>
  </w:style>
  <w:style w:type="table" w:customStyle="1" w:styleId="TableGrid11">
    <w:name w:val="Table Grid11"/>
    <w:basedOn w:val="TableNormal"/>
    <w:next w:val="TableGrid"/>
    <w:uiPriority w:val="59"/>
    <w:rsid w:val="00D85532"/>
    <w:rPr>
      <w:rFonts w:eastAsia="Batang"/>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ableofFigures">
    <w:name w:val="table of figures"/>
    <w:basedOn w:val="Normal"/>
    <w:next w:val="Normal"/>
    <w:uiPriority w:val="99"/>
    <w:unhideWhenUsed/>
    <w:rsid w:val="00D85532"/>
    <w:pPr>
      <w:spacing w:line="276" w:lineRule="auto"/>
    </w:pPr>
    <w:rPr>
      <w:rFonts w:eastAsiaTheme="majorEastAsia" w:cstheme="majorBidi"/>
      <w:sz w:val="22"/>
      <w:szCs w:val="22"/>
      <w:lang w:eastAsia="en-US" w:bidi="en-US"/>
    </w:rPr>
  </w:style>
  <w:style w:type="character" w:customStyle="1" w:styleId="cf01">
    <w:name w:val="cf01"/>
    <w:basedOn w:val="DefaultParagraphFont"/>
    <w:rsid w:val="00D85532"/>
    <w:rPr>
      <w:rFonts w:ascii="Segoe UI" w:hAnsi="Segoe UI" w:cs="Segoe UI" w:hint="default"/>
      <w:sz w:val="18"/>
      <w:szCs w:val="18"/>
    </w:rPr>
  </w:style>
  <w:style w:type="paragraph" w:customStyle="1" w:styleId="m-7708762109786422850gmail-tableleft">
    <w:name w:val="m_-7708762109786422850gmail-tableleft"/>
    <w:basedOn w:val="Normal"/>
    <w:rsid w:val="00D85532"/>
    <w:pPr>
      <w:spacing w:before="100" w:beforeAutospacing="1" w:after="100" w:afterAutospacing="1"/>
    </w:pPr>
    <w:rPr>
      <w:rFonts w:ascii="Times New Roman" w:hAnsi="Times New Roman" w:cs="Times New Roman"/>
    </w:rPr>
  </w:style>
  <w:style w:type="table" w:customStyle="1" w:styleId="HealthConsult1">
    <w:name w:val="HealthConsult1"/>
    <w:basedOn w:val="TableNormal"/>
    <w:next w:val="TableGrid"/>
    <w:uiPriority w:val="39"/>
    <w:rsid w:val="00D85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ParagText">
    <w:name w:val="1. Parag. Text"/>
    <w:basedOn w:val="Normal"/>
    <w:link w:val="1ParagTextChar"/>
    <w:rsid w:val="00D85532"/>
    <w:pPr>
      <w:spacing w:before="200" w:after="200" w:line="276" w:lineRule="auto"/>
    </w:pPr>
    <w:rPr>
      <w:rFonts w:asciiTheme="minorHAnsi" w:eastAsiaTheme="minorEastAsia" w:hAnsiTheme="minorHAnsi" w:cstheme="minorBidi"/>
      <w:sz w:val="20"/>
      <w:szCs w:val="20"/>
      <w:lang w:val="en-US" w:eastAsia="en-US"/>
    </w:rPr>
  </w:style>
  <w:style w:type="character" w:customStyle="1" w:styleId="1ParagTextChar">
    <w:name w:val="1. Parag. Text Char"/>
    <w:basedOn w:val="DefaultParagraphFont"/>
    <w:link w:val="1ParagText"/>
    <w:rsid w:val="00D85532"/>
    <w:rPr>
      <w:rFonts w:asciiTheme="minorHAnsi" w:eastAsiaTheme="minorEastAsia" w:hAnsiTheme="minorHAnsi" w:cstheme="minorBidi"/>
      <w:lang w:val="en-US" w:eastAsia="en-US"/>
    </w:rPr>
  </w:style>
  <w:style w:type="paragraph" w:customStyle="1" w:styleId="1Bullet1">
    <w:name w:val="1. Bullet 1"/>
    <w:basedOn w:val="Normal"/>
    <w:rsid w:val="00D85532"/>
    <w:pPr>
      <w:numPr>
        <w:ilvl w:val="1"/>
        <w:numId w:val="13"/>
      </w:numPr>
      <w:tabs>
        <w:tab w:val="num" w:pos="720"/>
      </w:tabs>
      <w:spacing w:before="80" w:line="276" w:lineRule="auto"/>
      <w:ind w:left="720"/>
      <w:textAlignment w:val="center"/>
    </w:pPr>
    <w:rPr>
      <w:rFonts w:asciiTheme="minorHAnsi" w:eastAsiaTheme="minorEastAsia" w:hAnsiTheme="minorHAnsi" w:cstheme="minorHAnsi"/>
      <w:bCs/>
      <w:color w:val="000000" w:themeColor="text1"/>
      <w:kern w:val="24"/>
      <w:sz w:val="20"/>
      <w:szCs w:val="20"/>
      <w:lang w:val="en-US" w:eastAsia="en-US"/>
    </w:rPr>
  </w:style>
  <w:style w:type="character" w:customStyle="1" w:styleId="normaltextrun">
    <w:name w:val="normaltextrun"/>
    <w:basedOn w:val="DefaultParagraphFont"/>
    <w:rsid w:val="00D85532"/>
  </w:style>
  <w:style w:type="character" w:styleId="Mention">
    <w:name w:val="Mention"/>
    <w:basedOn w:val="DefaultParagraphFont"/>
    <w:uiPriority w:val="99"/>
    <w:unhideWhenUsed/>
    <w:rsid w:val="00D85532"/>
    <w:rPr>
      <w:color w:val="2B579A"/>
      <w:shd w:val="clear" w:color="auto" w:fill="E1DFDD"/>
    </w:rPr>
  </w:style>
  <w:style w:type="paragraph" w:customStyle="1" w:styleId="paragraph">
    <w:name w:val="paragraph"/>
    <w:basedOn w:val="Normal"/>
    <w:rsid w:val="00D85532"/>
    <w:pPr>
      <w:spacing w:before="100" w:beforeAutospacing="1" w:after="100" w:afterAutospacing="1"/>
    </w:pPr>
    <w:rPr>
      <w:rFonts w:ascii="Times New Roman" w:hAnsi="Times New Roman" w:cs="Times New Roman"/>
      <w:lang w:eastAsia="ja-JP"/>
    </w:rPr>
  </w:style>
  <w:style w:type="character" w:customStyle="1" w:styleId="scxw175414966">
    <w:name w:val="scxw175414966"/>
    <w:basedOn w:val="DefaultParagraphFont"/>
    <w:rsid w:val="00D85532"/>
  </w:style>
  <w:style w:type="character" w:customStyle="1" w:styleId="wacimagecontainer">
    <w:name w:val="wacimagecontainer"/>
    <w:basedOn w:val="DefaultParagraphFont"/>
    <w:rsid w:val="00D85532"/>
  </w:style>
  <w:style w:type="character" w:customStyle="1" w:styleId="scxw235283617">
    <w:name w:val="scxw235283617"/>
    <w:basedOn w:val="DefaultParagraphFont"/>
    <w:rsid w:val="00D85532"/>
  </w:style>
  <w:style w:type="character" w:customStyle="1" w:styleId="tabchar">
    <w:name w:val="tabchar"/>
    <w:basedOn w:val="DefaultParagraphFont"/>
    <w:rsid w:val="00D85532"/>
  </w:style>
  <w:style w:type="paragraph" w:customStyle="1" w:styleId="ReportHeading4">
    <w:name w:val="Report Heading 4"/>
    <w:basedOn w:val="Heading4"/>
    <w:next w:val="Normal"/>
    <w:link w:val="ReportHeading4Char"/>
    <w:rsid w:val="00D85532"/>
    <w:pPr>
      <w:keepLines/>
      <w:spacing w:before="200" w:after="120" w:line="276" w:lineRule="auto"/>
    </w:pPr>
    <w:rPr>
      <w:rFonts w:eastAsiaTheme="majorEastAsia" w:cstheme="majorBidi"/>
      <w:iCs/>
      <w:color w:val="808080" w:themeColor="background1" w:themeShade="80"/>
      <w:spacing w:val="5"/>
      <w:sz w:val="24"/>
      <w:szCs w:val="24"/>
      <w:lang w:val="en-GB" w:eastAsia="en-US"/>
    </w:rPr>
  </w:style>
  <w:style w:type="character" w:customStyle="1" w:styleId="ReportHeading4Char">
    <w:name w:val="Report Heading 4 Char"/>
    <w:basedOn w:val="Heading4Char"/>
    <w:link w:val="ReportHeading4"/>
    <w:rsid w:val="00D85532"/>
    <w:rPr>
      <w:rFonts w:ascii="Calibri" w:eastAsiaTheme="majorEastAsia" w:hAnsi="Calibri" w:cstheme="majorBidi"/>
      <w:b/>
      <w:bCs/>
      <w:i/>
      <w:iCs/>
      <w:color w:val="808080" w:themeColor="background1" w:themeShade="80"/>
      <w:spacing w:val="5"/>
      <w:sz w:val="24"/>
      <w:szCs w:val="24"/>
      <w:lang w:val="en-GB" w:eastAsia="en-US"/>
    </w:rPr>
  </w:style>
  <w:style w:type="paragraph" w:customStyle="1" w:styleId="TabletextSource">
    <w:name w:val="Table text_Source"/>
    <w:basedOn w:val="Normal"/>
    <w:link w:val="TabletextSourceChar"/>
    <w:rsid w:val="00D85532"/>
    <w:pPr>
      <w:spacing w:before="60" w:after="60"/>
    </w:pPr>
    <w:rPr>
      <w:rFonts w:eastAsiaTheme="minorHAnsi" w:cs="Calibri"/>
      <w:sz w:val="20"/>
      <w:szCs w:val="20"/>
      <w:lang w:val="en-GB" w:eastAsia="en-US"/>
    </w:rPr>
  </w:style>
  <w:style w:type="character" w:customStyle="1" w:styleId="TabletextSourceChar">
    <w:name w:val="Table text_Source Char"/>
    <w:basedOn w:val="DefaultParagraphFont"/>
    <w:link w:val="TabletextSource"/>
    <w:rsid w:val="00D85532"/>
    <w:rPr>
      <w:rFonts w:ascii="Calibri" w:eastAsiaTheme="minorHAnsi" w:hAnsi="Calibri" w:cs="Calibri"/>
      <w:lang w:val="en-GB" w:eastAsia="en-US"/>
    </w:rPr>
  </w:style>
  <w:style w:type="paragraph" w:customStyle="1" w:styleId="Heading1Source">
    <w:name w:val="Heading 1_Source"/>
    <w:basedOn w:val="Heading1"/>
    <w:next w:val="Normal"/>
    <w:rsid w:val="00D85532"/>
    <w:pPr>
      <w:keepNext/>
      <w:keepLines/>
      <w:pageBreakBefore/>
      <w:numPr>
        <w:numId w:val="14"/>
      </w:numPr>
      <w:spacing w:before="480" w:after="240" w:line="276" w:lineRule="auto"/>
    </w:pPr>
    <w:rPr>
      <w:rFonts w:asciiTheme="majorHAnsi" w:eastAsiaTheme="majorEastAsia" w:hAnsiTheme="majorHAnsi" w:cstheme="majorBidi"/>
      <w:bCs/>
      <w:caps w:val="0"/>
      <w:color w:val="808080" w:themeColor="background1" w:themeShade="80"/>
      <w:szCs w:val="28"/>
      <w:lang w:val="en-US" w:eastAsia="en-US"/>
    </w:rPr>
  </w:style>
  <w:style w:type="paragraph" w:customStyle="1" w:styleId="Heading2Source">
    <w:name w:val="Heading 2_Source"/>
    <w:basedOn w:val="Heading2"/>
    <w:next w:val="Normal"/>
    <w:rsid w:val="00D85532"/>
    <w:pPr>
      <w:keepNext/>
      <w:keepLines/>
      <w:numPr>
        <w:ilvl w:val="1"/>
        <w:numId w:val="14"/>
      </w:numPr>
      <w:spacing w:before="200" w:after="120"/>
    </w:pPr>
    <w:rPr>
      <w:rFonts w:asciiTheme="majorHAnsi" w:eastAsiaTheme="majorEastAsia" w:hAnsiTheme="majorHAnsi" w:cstheme="majorBidi"/>
      <w:bCs/>
      <w:i w:val="0"/>
      <w:color w:val="808080" w:themeColor="background1" w:themeShade="80"/>
      <w:sz w:val="24"/>
      <w:szCs w:val="26"/>
      <w:lang w:val="en-US" w:eastAsia="en-US"/>
    </w:rPr>
  </w:style>
  <w:style w:type="paragraph" w:customStyle="1" w:styleId="Heading3Source">
    <w:name w:val="Heading 3_Source"/>
    <w:basedOn w:val="Heading3"/>
    <w:next w:val="Normal"/>
    <w:rsid w:val="00D85532"/>
    <w:pPr>
      <w:keepNext/>
      <w:keepLines/>
      <w:numPr>
        <w:ilvl w:val="2"/>
        <w:numId w:val="14"/>
      </w:numPr>
      <w:spacing w:before="200" w:after="120" w:line="276" w:lineRule="auto"/>
    </w:pPr>
    <w:rPr>
      <w:rFonts w:asciiTheme="majorHAnsi" w:eastAsiaTheme="majorEastAsia" w:hAnsiTheme="majorHAnsi" w:cstheme="majorBidi"/>
      <w:b/>
      <w:bCs/>
      <w:color w:val="808080" w:themeColor="background1" w:themeShade="80"/>
      <w:szCs w:val="26"/>
      <w:u w:val="none"/>
      <w:lang w:val="en-US" w:eastAsia="en-US"/>
    </w:rPr>
  </w:style>
  <w:style w:type="paragraph" w:customStyle="1" w:styleId="Heading4Source">
    <w:name w:val="Heading 4_Source"/>
    <w:basedOn w:val="Heading4"/>
    <w:next w:val="Normal"/>
    <w:rsid w:val="00D85532"/>
    <w:pPr>
      <w:keepLines/>
      <w:numPr>
        <w:ilvl w:val="3"/>
        <w:numId w:val="14"/>
      </w:numPr>
      <w:spacing w:before="200" w:after="120" w:line="276" w:lineRule="auto"/>
    </w:pPr>
    <w:rPr>
      <w:rFonts w:asciiTheme="majorHAnsi" w:eastAsiaTheme="majorEastAsia" w:hAnsiTheme="majorHAnsi" w:cstheme="majorBidi"/>
      <w:i w:val="0"/>
      <w:iCs/>
      <w:color w:val="808080" w:themeColor="background1" w:themeShade="80"/>
      <w:sz w:val="24"/>
      <w:szCs w:val="22"/>
      <w:lang w:val="en-US" w:eastAsia="en-US"/>
    </w:rPr>
  </w:style>
  <w:style w:type="paragraph" w:customStyle="1" w:styleId="Heading5Source">
    <w:name w:val="Heading 5_Source"/>
    <w:basedOn w:val="Normal"/>
    <w:next w:val="Normal"/>
    <w:rsid w:val="00D85532"/>
    <w:pPr>
      <w:keepNext/>
      <w:keepLines/>
      <w:numPr>
        <w:ilvl w:val="4"/>
        <w:numId w:val="14"/>
      </w:numPr>
      <w:spacing w:before="200" w:after="120" w:line="276" w:lineRule="auto"/>
      <w:outlineLvl w:val="4"/>
    </w:pPr>
    <w:rPr>
      <w:rFonts w:asciiTheme="majorHAnsi" w:eastAsiaTheme="majorEastAsia" w:hAnsiTheme="majorHAnsi" w:cstheme="majorBidi"/>
      <w:b/>
      <w:color w:val="808080" w:themeColor="background1" w:themeShade="80"/>
      <w:sz w:val="22"/>
      <w:szCs w:val="22"/>
      <w:lang w:val="en-US" w:eastAsia="en-US"/>
    </w:rPr>
  </w:style>
  <w:style w:type="paragraph" w:customStyle="1" w:styleId="ReportAppendixHeading5">
    <w:name w:val="Report Appendix Heading 5"/>
    <w:basedOn w:val="Heading5Source"/>
    <w:rsid w:val="00D85532"/>
    <w:pPr>
      <w:outlineLvl w:val="9"/>
    </w:pPr>
  </w:style>
  <w:style w:type="paragraph" w:customStyle="1" w:styleId="Sourcetabletext">
    <w:name w:val="Source table text"/>
    <w:basedOn w:val="Normal"/>
    <w:link w:val="SourcetabletextChar"/>
    <w:rsid w:val="00D85532"/>
    <w:pPr>
      <w:spacing w:before="60" w:after="60"/>
      <w:jc w:val="center"/>
    </w:pPr>
    <w:rPr>
      <w:rFonts w:eastAsiaTheme="minorHAnsi" w:cs="Calibri"/>
      <w:sz w:val="20"/>
      <w:szCs w:val="22"/>
      <w:lang w:val="en-GB" w:eastAsia="en-US"/>
    </w:rPr>
  </w:style>
  <w:style w:type="character" w:customStyle="1" w:styleId="SourcetabletextChar">
    <w:name w:val="Source table text Char"/>
    <w:basedOn w:val="DefaultParagraphFont"/>
    <w:link w:val="Sourcetabletext"/>
    <w:rsid w:val="00D85532"/>
    <w:rPr>
      <w:rFonts w:ascii="Calibri" w:eastAsiaTheme="minorHAnsi" w:hAnsi="Calibri" w:cs="Calibri"/>
      <w:szCs w:val="22"/>
      <w:lang w:val="en-GB" w:eastAsia="en-US"/>
    </w:rPr>
  </w:style>
  <w:style w:type="paragraph" w:customStyle="1" w:styleId="TablefootnoteSource">
    <w:name w:val="Table footnote_Source"/>
    <w:basedOn w:val="Normal"/>
    <w:next w:val="Normal"/>
    <w:link w:val="TablefootnoteSourceChar"/>
    <w:uiPriority w:val="3"/>
    <w:rsid w:val="00D85532"/>
    <w:pPr>
      <w:spacing w:after="360"/>
    </w:pPr>
    <w:rPr>
      <w:rFonts w:eastAsiaTheme="minorHAnsi" w:cs="Calibri"/>
      <w:sz w:val="18"/>
      <w:szCs w:val="22"/>
      <w:lang w:val="en-GB" w:eastAsia="en-US"/>
    </w:rPr>
  </w:style>
  <w:style w:type="character" w:customStyle="1" w:styleId="TablefootnoteSourceChar">
    <w:name w:val="Table footnote_Source Char"/>
    <w:basedOn w:val="DefaultParagraphFont"/>
    <w:link w:val="TablefootnoteSource"/>
    <w:uiPriority w:val="3"/>
    <w:rsid w:val="00D85532"/>
    <w:rPr>
      <w:rFonts w:ascii="Calibri" w:eastAsiaTheme="minorHAnsi" w:hAnsi="Calibri" w:cs="Calibri"/>
      <w:sz w:val="18"/>
      <w:szCs w:val="22"/>
      <w:lang w:val="en-GB" w:eastAsia="en-US"/>
    </w:rPr>
  </w:style>
  <w:style w:type="table" w:customStyle="1" w:styleId="Sourcetable">
    <w:name w:val="Source table"/>
    <w:basedOn w:val="TableNormal"/>
    <w:uiPriority w:val="59"/>
    <w:rsid w:val="00D85532"/>
    <w:pPr>
      <w:spacing w:before="60" w:after="60"/>
    </w:pPr>
    <w:rPr>
      <w:rFonts w:asciiTheme="minorHAnsi" w:eastAsiaTheme="minorHAnsi" w:hAnsiTheme="minorHAnsi" w:cstheme="minorBidi"/>
      <w:szCs w:val="22"/>
      <w:lang w:val="en-GB" w:eastAsia="en-US"/>
    </w:rPr>
    <w:tblPr>
      <w:tblStyleRowBandSize w:val="1"/>
      <w:tblStyleColBandSize w:val="1"/>
      <w:tblBorders>
        <w:top w:val="single" w:sz="4" w:space="0" w:color="A6A6A6" w:themeColor="background1" w:themeShade="A6"/>
      </w:tblBorders>
    </w:tblPr>
    <w:tcPr>
      <w:shd w:val="clear" w:color="auto" w:fill="FFFFFF" w:themeFill="background1"/>
    </w:tcPr>
    <w:tblStylePr w:type="firstRow">
      <w:pPr>
        <w:keepNext/>
        <w:keepLines/>
        <w:pageBreakBefore w:val="0"/>
        <w:widowControl/>
        <w:wordWrap/>
        <w:spacing w:beforeLines="0" w:before="60" w:beforeAutospacing="0" w:afterLines="0" w:after="60" w:afterAutospacing="0" w:line="240" w:lineRule="auto"/>
        <w:contextualSpacing w:val="0"/>
        <w:jc w:val="left"/>
      </w:pPr>
      <w:rPr>
        <w:rFonts w:asciiTheme="minorHAnsi" w:hAnsiTheme="minorHAnsi"/>
        <w:b/>
        <w:color w:val="404040" w:themeColor="text1" w:themeTint="BF"/>
        <w:sz w:val="20"/>
      </w:rPr>
      <w:tblPr/>
      <w:trPr>
        <w:cantSplit/>
        <w:tblHeader/>
      </w:trPr>
      <w:tcPr>
        <w:tcBorders>
          <w:bottom w:val="single" w:sz="4" w:space="0" w:color="FFC000"/>
        </w:tcBorders>
        <w:shd w:val="clear" w:color="auto" w:fill="EEECE1" w:themeFill="background2"/>
      </w:tcPr>
    </w:tblStylePr>
    <w:tblStylePr w:type="lastRow">
      <w:rPr>
        <w:rFonts w:asciiTheme="minorHAnsi" w:hAnsiTheme="minorHAnsi"/>
        <w:i/>
        <w:iCs/>
        <w:sz w:val="20"/>
      </w:rPr>
      <w:tblPr/>
      <w:tcPr>
        <w:tcBorders>
          <w:bottom w:val="nil"/>
        </w:tcBorders>
        <w:shd w:val="clear" w:color="auto" w:fill="FFFFFF" w:themeFill="background1"/>
      </w:tcPr>
    </w:tblStylePr>
    <w:tblStylePr w:type="firstCol">
      <w:rPr>
        <w:rFonts w:asciiTheme="minorHAnsi" w:hAnsiTheme="minorHAnsi"/>
        <w:sz w:val="20"/>
      </w:rPr>
    </w:tblStylePr>
    <w:tblStylePr w:type="lastCol">
      <w:rPr>
        <w:rFonts w:asciiTheme="minorHAnsi" w:hAnsiTheme="minorHAnsi"/>
        <w:i/>
        <w:iCs/>
        <w:sz w:val="20"/>
      </w:rPr>
    </w:tblStylePr>
    <w:tblStylePr w:type="band1Vert">
      <w:rPr>
        <w:rFonts w:asciiTheme="minorHAnsi" w:hAnsiTheme="minorHAnsi"/>
        <w:sz w:val="20"/>
      </w:rPr>
    </w:tblStylePr>
    <w:tblStylePr w:type="band2Vert">
      <w:rPr>
        <w:rFonts w:asciiTheme="minorHAnsi" w:hAnsiTheme="minorHAnsi"/>
        <w:sz w:val="20"/>
      </w:rPr>
    </w:tblStylePr>
    <w:tblStylePr w:type="band1Horz">
      <w:rPr>
        <w:rFonts w:asciiTheme="minorHAnsi" w:hAnsiTheme="minorHAnsi"/>
        <w:color w:val="auto"/>
        <w:sz w:val="20"/>
      </w:rPr>
      <w:tblPr/>
      <w:tcPr>
        <w:tcBorders>
          <w:top w:val="nil"/>
          <w:bottom w:val="single" w:sz="4" w:space="0" w:color="A6A6A6" w:themeColor="background1" w:themeShade="A6"/>
        </w:tcBorders>
        <w:shd w:val="clear" w:color="auto" w:fill="FFFFFF" w:themeFill="background1"/>
      </w:tcPr>
    </w:tblStylePr>
    <w:tblStylePr w:type="band2Horz">
      <w:rPr>
        <w:rFonts w:asciiTheme="minorHAnsi" w:hAnsiTheme="minorHAnsi"/>
        <w:color w:val="000000" w:themeColor="text1"/>
        <w:sz w:val="20"/>
      </w:rPr>
      <w:tblPr/>
      <w:tcPr>
        <w:tcBorders>
          <w:bottom w:val="single" w:sz="4" w:space="0" w:color="A6A6A6" w:themeColor="background1" w:themeShade="A6"/>
        </w:tcBorders>
      </w:tcPr>
    </w:tblStylePr>
    <w:tblStylePr w:type="neCell">
      <w:rPr>
        <w:rFonts w:asciiTheme="minorHAnsi" w:hAnsiTheme="minorHAnsi"/>
        <w:sz w:val="20"/>
      </w:rPr>
    </w:tblStylePr>
    <w:tblStylePr w:type="nwCell">
      <w:rPr>
        <w:rFonts w:asciiTheme="minorHAnsi" w:hAnsiTheme="minorHAnsi"/>
        <w:sz w:val="20"/>
      </w:rPr>
    </w:tblStylePr>
    <w:tblStylePr w:type="seCell">
      <w:rPr>
        <w:rFonts w:asciiTheme="minorHAnsi" w:hAnsiTheme="minorHAnsi"/>
        <w:sz w:val="20"/>
      </w:rPr>
    </w:tblStylePr>
    <w:tblStylePr w:type="swCell">
      <w:rPr>
        <w:rFonts w:asciiTheme="minorHAnsi" w:hAnsiTheme="minorHAnsi"/>
        <w:sz w:val="20"/>
      </w:rPr>
    </w:tblStylePr>
  </w:style>
  <w:style w:type="paragraph" w:customStyle="1" w:styleId="BulletSource">
    <w:name w:val="Bullet_Source"/>
    <w:basedOn w:val="Normal"/>
    <w:rsid w:val="00D85532"/>
    <w:pPr>
      <w:numPr>
        <w:numId w:val="15"/>
      </w:numPr>
      <w:tabs>
        <w:tab w:val="num" w:pos="360"/>
      </w:tabs>
      <w:spacing w:before="60" w:after="120" w:line="360" w:lineRule="auto"/>
      <w:ind w:left="0" w:firstLine="0"/>
    </w:pPr>
    <w:rPr>
      <w:rFonts w:asciiTheme="minorHAnsi" w:eastAsiaTheme="minorHAnsi" w:hAnsiTheme="minorHAnsi" w:cstheme="minorBidi"/>
      <w:sz w:val="22"/>
      <w:szCs w:val="22"/>
      <w:lang w:val="en-US" w:eastAsia="en-US"/>
    </w:rPr>
  </w:style>
  <w:style w:type="paragraph" w:customStyle="1" w:styleId="TablebulletSource">
    <w:name w:val="Table bullet_Source"/>
    <w:basedOn w:val="BulletSource"/>
    <w:rsid w:val="00D85532"/>
    <w:pPr>
      <w:spacing w:after="60" w:line="240" w:lineRule="auto"/>
    </w:pPr>
    <w:rPr>
      <w:sz w:val="20"/>
      <w:szCs w:val="20"/>
    </w:rPr>
  </w:style>
  <w:style w:type="character" w:customStyle="1" w:styleId="CommentTextChar1">
    <w:name w:val="Comment Text Char1"/>
    <w:aliases w:val=" Car17 Char1, Car17 Car Char1, Char Char Char Char1, Char Char1 Char1,Annotationtext Char1,Cha Char1,Char Char2,Char Char Char Char1,Char Char1 Char1,Comment Text Char Char Char2,Comment Text Char Char Char Char1,Car17 Char"/>
    <w:basedOn w:val="DefaultParagraphFont"/>
    <w:uiPriority w:val="99"/>
    <w:rsid w:val="00D85532"/>
    <w:rPr>
      <w:rFonts w:asciiTheme="majorHAnsi" w:eastAsia="Cambria" w:hAnsiTheme="majorHAnsi" w:cs="Cambria"/>
      <w:sz w:val="20"/>
      <w:szCs w:val="20"/>
    </w:rPr>
  </w:style>
  <w:style w:type="paragraph" w:customStyle="1" w:styleId="C-BodyText">
    <w:name w:val="C-Body Text"/>
    <w:link w:val="C-BodyTextChar"/>
    <w:rsid w:val="00D85532"/>
    <w:pPr>
      <w:spacing w:before="120" w:after="120" w:line="280" w:lineRule="atLeast"/>
    </w:pPr>
    <w:rPr>
      <w:sz w:val="24"/>
      <w:lang w:val="en-US" w:eastAsia="en-US"/>
    </w:rPr>
  </w:style>
  <w:style w:type="character" w:customStyle="1" w:styleId="C-BodyTextChar">
    <w:name w:val="C-Body Text Char"/>
    <w:link w:val="C-BodyText"/>
    <w:rsid w:val="00D85532"/>
    <w:rPr>
      <w:sz w:val="24"/>
      <w:lang w:val="en-US" w:eastAsia="en-US"/>
    </w:rPr>
  </w:style>
  <w:style w:type="numbering" w:customStyle="1" w:styleId="HeadingsVM">
    <w:name w:val="HeadingsVM"/>
    <w:uiPriority w:val="99"/>
    <w:rsid w:val="00D85532"/>
    <w:pPr>
      <w:numPr>
        <w:numId w:val="16"/>
      </w:numPr>
    </w:pPr>
  </w:style>
  <w:style w:type="paragraph" w:customStyle="1" w:styleId="HeadingVM1">
    <w:name w:val="Heading VM 1"/>
    <w:basedOn w:val="Normal"/>
    <w:next w:val="BodyText"/>
    <w:uiPriority w:val="6"/>
    <w:semiHidden/>
    <w:qFormat/>
    <w:rsid w:val="00D85532"/>
    <w:pPr>
      <w:numPr>
        <w:numId w:val="16"/>
      </w:numPr>
      <w:spacing w:after="240"/>
      <w:ind w:left="360" w:hanging="360"/>
    </w:pPr>
    <w:rPr>
      <w:rFonts w:asciiTheme="majorHAnsi" w:hAnsiTheme="majorHAnsi" w:cs="Times New Roman"/>
      <w:color w:val="808080" w:themeColor="background1" w:themeShade="80"/>
      <w:sz w:val="32"/>
      <w:lang w:val="en-GB" w:eastAsia="en-GB"/>
    </w:rPr>
  </w:style>
  <w:style w:type="paragraph" w:customStyle="1" w:styleId="HeadingVM2">
    <w:name w:val="Heading VM 2"/>
    <w:basedOn w:val="HeadingVM1"/>
    <w:next w:val="BodyText"/>
    <w:uiPriority w:val="7"/>
    <w:semiHidden/>
    <w:qFormat/>
    <w:rsid w:val="00D85532"/>
    <w:pPr>
      <w:numPr>
        <w:ilvl w:val="1"/>
      </w:numPr>
      <w:spacing w:before="320" w:after="0"/>
      <w:ind w:left="1080" w:hanging="360"/>
    </w:pPr>
    <w:rPr>
      <w:b/>
      <w:sz w:val="24"/>
    </w:rPr>
  </w:style>
  <w:style w:type="table" w:customStyle="1" w:styleId="PRMATableAccent2">
    <w:name w:val="PRMA Table Accent 2"/>
    <w:basedOn w:val="TableNormal"/>
    <w:uiPriority w:val="99"/>
    <w:qFormat/>
    <w:rsid w:val="00D85532"/>
    <w:rPr>
      <w:rFonts w:asciiTheme="minorHAnsi" w:eastAsiaTheme="minorHAnsi" w:hAnsiTheme="minorHAnsi" w:cstheme="minorBidi"/>
      <w:b/>
      <w:sz w:val="22"/>
      <w:szCs w:val="22"/>
      <w:lang w:val="en-GB" w:eastAsia="en-US"/>
    </w:rPr>
    <w:tblPr>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Pr>
    <w:tcPr>
      <w:tcMar>
        <w:top w:w="57" w:type="dxa"/>
        <w:bottom w:w="57" w:type="dxa"/>
      </w:tcMar>
    </w:tcPr>
    <w:tblStylePr w:type="firstRow">
      <w:rPr>
        <w:color w:val="FFFFFF" w:themeColor="background1"/>
      </w:rPr>
      <w:tblPr/>
      <w:trPr>
        <w:tblHeader/>
      </w:trPr>
      <w:tcPr>
        <w:shd w:val="clear" w:color="auto" w:fill="C0504D" w:themeFill="accent2"/>
      </w:tcPr>
    </w:tblStylePr>
    <w:tblStylePr w:type="firstCol">
      <w:rPr>
        <w:rFonts w:asciiTheme="minorHAnsi" w:hAnsiTheme="minorHAnsi"/>
        <w:b/>
        <w:color w:val="FFFFFF" w:themeColor="background1"/>
        <w:sz w:val="28"/>
      </w:rPr>
      <w:tblPr/>
      <w:tcPr>
        <w:shd w:val="clear" w:color="auto" w:fill="C0504D" w:themeFill="accent2"/>
      </w:tcPr>
    </w:tblStylePr>
  </w:style>
  <w:style w:type="paragraph" w:customStyle="1" w:styleId="TableBodyText-H54">
    <w:name w:val="Table Body Text - H54"/>
    <w:basedOn w:val="BodyText"/>
    <w:link w:val="TableBodyText-H54Char"/>
    <w:rsid w:val="00D85532"/>
    <w:pPr>
      <w:keepLines/>
      <w:widowControl w:val="0"/>
      <w:jc w:val="both"/>
    </w:pPr>
    <w:rPr>
      <w:rFonts w:ascii="Arial" w:hAnsi="Arial"/>
      <w:color w:val="262626"/>
      <w:sz w:val="20"/>
      <w:szCs w:val="20"/>
      <w:lang w:val="en-GB" w:eastAsia="en-GB"/>
    </w:rPr>
  </w:style>
  <w:style w:type="character" w:customStyle="1" w:styleId="TableBodyText-H54Char">
    <w:name w:val="Table Body Text - H54 Char"/>
    <w:basedOn w:val="DefaultParagraphFont"/>
    <w:link w:val="TableBodyText-H54"/>
    <w:rsid w:val="00D85532"/>
    <w:rPr>
      <w:rFonts w:ascii="Arial" w:hAnsi="Arial" w:cs="Arial"/>
      <w:color w:val="262626"/>
      <w:lang w:val="en-GB" w:eastAsia="en-GB"/>
    </w:rPr>
  </w:style>
  <w:style w:type="paragraph" w:customStyle="1" w:styleId="Bullets1">
    <w:name w:val="Bullets 1"/>
    <w:basedOn w:val="BodyText"/>
    <w:uiPriority w:val="23"/>
    <w:rsid w:val="00D85532"/>
    <w:pPr>
      <w:numPr>
        <w:numId w:val="17"/>
      </w:numPr>
      <w:spacing w:before="60" w:after="180" w:line="276" w:lineRule="auto"/>
      <w:jc w:val="both"/>
    </w:pPr>
    <w:rPr>
      <w:rFonts w:ascii="Arial" w:hAnsi="Arial"/>
      <w:sz w:val="22"/>
      <w:szCs w:val="22"/>
      <w:lang w:val="en-GB" w:eastAsia="en-GB"/>
    </w:rPr>
  </w:style>
  <w:style w:type="paragraph" w:customStyle="1" w:styleId="C-Bullet">
    <w:name w:val="C-Bullet"/>
    <w:rsid w:val="00D85532"/>
    <w:pPr>
      <w:numPr>
        <w:numId w:val="18"/>
      </w:numPr>
      <w:spacing w:before="120" w:after="120" w:line="280" w:lineRule="atLeast"/>
    </w:pPr>
    <w:rPr>
      <w:sz w:val="24"/>
      <w:lang w:val="en-US" w:eastAsia="en-US"/>
    </w:rPr>
  </w:style>
  <w:style w:type="paragraph" w:customStyle="1" w:styleId="C-BulletIndented">
    <w:name w:val="C-Bullet Indented"/>
    <w:rsid w:val="00D85532"/>
    <w:pPr>
      <w:numPr>
        <w:ilvl w:val="1"/>
        <w:numId w:val="18"/>
      </w:numPr>
      <w:spacing w:before="120" w:after="120" w:line="280" w:lineRule="atLeast"/>
    </w:pPr>
    <w:rPr>
      <w:rFonts w:cs="Arial"/>
      <w:sz w:val="24"/>
      <w:lang w:val="en-US" w:eastAsia="en-US"/>
    </w:rPr>
  </w:style>
  <w:style w:type="paragraph" w:styleId="Quote">
    <w:name w:val="Quote"/>
    <w:basedOn w:val="Normal"/>
    <w:next w:val="Normal"/>
    <w:link w:val="QuoteChar"/>
    <w:uiPriority w:val="29"/>
    <w:qFormat/>
    <w:rsid w:val="00134690"/>
    <w:pPr>
      <w:spacing w:before="160"/>
      <w:jc w:val="center"/>
    </w:pPr>
    <w:rPr>
      <w:i/>
      <w:iCs/>
      <w:color w:val="404040" w:themeColor="text1" w:themeTint="BF"/>
      <w14:ligatures w14:val="standardContextual"/>
    </w:rPr>
  </w:style>
  <w:style w:type="character" w:customStyle="1" w:styleId="QuoteChar">
    <w:name w:val="Quote Char"/>
    <w:basedOn w:val="DefaultParagraphFont"/>
    <w:link w:val="Quote"/>
    <w:uiPriority w:val="29"/>
    <w:rsid w:val="00134690"/>
    <w:rPr>
      <w:rFonts w:ascii="Calibri" w:hAnsi="Calibri" w:cs="Arial"/>
      <w:i/>
      <w:iCs/>
      <w:color w:val="404040" w:themeColor="text1" w:themeTint="BF"/>
      <w:sz w:val="24"/>
      <w:szCs w:val="24"/>
      <w14:ligatures w14:val="standardContextual"/>
    </w:rPr>
  </w:style>
  <w:style w:type="paragraph" w:styleId="IntenseQuote">
    <w:name w:val="Intense Quote"/>
    <w:basedOn w:val="Normal"/>
    <w:next w:val="Normal"/>
    <w:link w:val="IntenseQuoteChar"/>
    <w:uiPriority w:val="30"/>
    <w:qFormat/>
    <w:rsid w:val="0013469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14:ligatures w14:val="standardContextual"/>
    </w:rPr>
  </w:style>
  <w:style w:type="character" w:customStyle="1" w:styleId="IntenseQuoteChar">
    <w:name w:val="Intense Quote Char"/>
    <w:basedOn w:val="DefaultParagraphFont"/>
    <w:link w:val="IntenseQuote"/>
    <w:uiPriority w:val="30"/>
    <w:rsid w:val="00134690"/>
    <w:rPr>
      <w:rFonts w:ascii="Calibri" w:hAnsi="Calibri" w:cs="Arial"/>
      <w:i/>
      <w:iCs/>
      <w:color w:val="365F91" w:themeColor="accent1" w:themeShade="BF"/>
      <w:sz w:val="24"/>
      <w:szCs w:val="24"/>
      <w14:ligatures w14:val="standardContextual"/>
    </w:rPr>
  </w:style>
  <w:style w:type="paragraph" w:customStyle="1" w:styleId="pf0">
    <w:name w:val="pf0"/>
    <w:basedOn w:val="Normal"/>
    <w:rsid w:val="00134690"/>
    <w:pPr>
      <w:spacing w:before="100" w:beforeAutospacing="1" w:after="100" w:afterAutospacing="1"/>
      <w:jc w:val="left"/>
    </w:pPr>
    <w:rPr>
      <w:rFonts w:ascii="Times New Roman" w:hAnsi="Times New Roman" w:cs="Times New Roman"/>
    </w:rPr>
  </w:style>
  <w:style w:type="paragraph" w:customStyle="1" w:styleId="pf1">
    <w:name w:val="pf1"/>
    <w:basedOn w:val="Normal"/>
    <w:rsid w:val="00134690"/>
    <w:pPr>
      <w:spacing w:before="100" w:beforeAutospacing="1" w:after="100" w:afterAutospacing="1"/>
      <w:jc w:val="left"/>
    </w:pPr>
    <w:rPr>
      <w:rFonts w:ascii="Times New Roman" w:hAnsi="Times New Roman" w:cs="Times New Roman"/>
    </w:rPr>
  </w:style>
  <w:style w:type="character" w:customStyle="1" w:styleId="cf11">
    <w:name w:val="cf11"/>
    <w:basedOn w:val="DefaultParagraphFont"/>
    <w:rsid w:val="00134690"/>
    <w:rPr>
      <w:rFonts w:ascii="Segoe UI" w:hAnsi="Segoe UI" w:cs="Segoe UI" w:hint="default"/>
      <w:sz w:val="18"/>
      <w:szCs w:val="18"/>
      <w:vertAlign w:val="superscript"/>
    </w:rPr>
  </w:style>
  <w:style w:type="paragraph" w:customStyle="1" w:styleId="3-SubsectionHeading">
    <w:name w:val="3-Subsection Heading"/>
    <w:basedOn w:val="Heading2"/>
    <w:next w:val="Normal"/>
    <w:link w:val="3-SubsectionHeadingChar"/>
    <w:qFormat/>
    <w:rsid w:val="000B5635"/>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0B5635"/>
    <w:rPr>
      <w:rFonts w:asciiTheme="minorHAnsi" w:eastAsiaTheme="majorEastAsia" w:hAnsiTheme="minorHAnsi" w:cstheme="majorBidi"/>
      <w:b/>
      <w:i/>
      <w:snapToGrid/>
      <w:spacing w:val="5"/>
      <w:kern w:val="28"/>
      <w:sz w:val="28"/>
      <w:szCs w:val="36"/>
      <w:lang w:eastAsia="en-US"/>
    </w:rPr>
  </w:style>
  <w:style w:type="paragraph" w:customStyle="1" w:styleId="PBACESHeading1">
    <w:name w:val="PBAC ES Heading 1"/>
    <w:basedOn w:val="Heading1"/>
    <w:next w:val="ListParagraph"/>
    <w:uiPriority w:val="1"/>
    <w:qFormat/>
    <w:rsid w:val="00DF6582"/>
    <w:pPr>
      <w:keepNext/>
      <w:keepLines/>
      <w:tabs>
        <w:tab w:val="num" w:pos="360"/>
        <w:tab w:val="left" w:pos="1077"/>
      </w:tabs>
      <w:spacing w:before="240" w:after="120"/>
      <w:ind w:left="0" w:firstLine="0"/>
      <w:jc w:val="left"/>
    </w:pPr>
    <w:rPr>
      <w:caps w:val="0"/>
      <w:snapToGrid w:val="0"/>
      <w:szCs w:val="32"/>
      <w:lang w:eastAsia="en-US"/>
    </w:rPr>
  </w:style>
  <w:style w:type="paragraph" w:customStyle="1" w:styleId="PBACESHeading2">
    <w:name w:val="PBAC ES Heading 2"/>
    <w:basedOn w:val="Heading2"/>
    <w:uiPriority w:val="1"/>
    <w:qFormat/>
    <w:rsid w:val="00DF6582"/>
    <w:pPr>
      <w:keepNext/>
      <w:keepLines/>
      <w:tabs>
        <w:tab w:val="num" w:pos="360"/>
      </w:tabs>
      <w:spacing w:before="360" w:after="120"/>
      <w:jc w:val="left"/>
    </w:pPr>
    <w:rPr>
      <w:rFonts w:ascii="Calibri Light" w:eastAsia="SimSun" w:hAnsi="Calibri Light" w:cs="Times New Roman"/>
      <w:snapToGrid w:val="0"/>
      <w:szCs w:val="28"/>
      <w:lang w:eastAsia="en-US"/>
    </w:rPr>
  </w:style>
  <w:style w:type="paragraph" w:customStyle="1" w:styleId="PBACESHeadingCAPS">
    <w:name w:val="PBAC ES Heading CAPS"/>
    <w:basedOn w:val="PBACESHeading2"/>
    <w:uiPriority w:val="1"/>
    <w:qFormat/>
    <w:rsid w:val="00DF6582"/>
    <w:rPr>
      <w:i w:val="0"/>
      <w:smallCaps/>
      <w:sz w:val="32"/>
    </w:rPr>
  </w:style>
  <w:style w:type="paragraph" w:customStyle="1" w:styleId="PBACESHeading3">
    <w:name w:val="PBAC ES Heading 3"/>
    <w:basedOn w:val="PBACESHeading2"/>
    <w:uiPriority w:val="1"/>
    <w:qFormat/>
    <w:rsid w:val="00DF6582"/>
    <w:pPr>
      <w:ind w:left="1080" w:hanging="1080"/>
    </w:pPr>
    <w:rPr>
      <w:i w:val="0"/>
      <w:sz w:val="24"/>
    </w:rPr>
  </w:style>
  <w:style w:type="paragraph" w:customStyle="1" w:styleId="MSACHeading1">
    <w:name w:val="MSAC Heading 1"/>
    <w:basedOn w:val="Heading1"/>
    <w:next w:val="Normal"/>
    <w:uiPriority w:val="1"/>
    <w:rsid w:val="00DF6582"/>
    <w:pPr>
      <w:keepNext/>
      <w:keepLines/>
      <w:tabs>
        <w:tab w:val="num" w:pos="360"/>
      </w:tabs>
      <w:spacing w:before="160" w:after="240" w:line="259" w:lineRule="auto"/>
      <w:ind w:left="0" w:firstLine="0"/>
      <w:jc w:val="left"/>
    </w:pPr>
    <w:rPr>
      <w:rFonts w:ascii="Arial" w:eastAsia="SimSun" w:hAnsi="Arial" w:cs="Times New Roman"/>
      <w:caps w:val="0"/>
      <w:sz w:val="24"/>
      <w:szCs w:val="28"/>
      <w:lang w:eastAsia="en-US"/>
    </w:rPr>
  </w:style>
  <w:style w:type="paragraph" w:customStyle="1" w:styleId="MSACESHeading2">
    <w:name w:val="MSAC ES Heading 2"/>
    <w:basedOn w:val="Heading2"/>
    <w:next w:val="Normal"/>
    <w:uiPriority w:val="1"/>
    <w:rsid w:val="00DF6582"/>
    <w:pPr>
      <w:keepNext/>
      <w:keepLines/>
      <w:tabs>
        <w:tab w:val="num" w:pos="360"/>
      </w:tabs>
      <w:spacing w:before="360" w:after="120"/>
      <w:jc w:val="left"/>
    </w:pPr>
    <w:rPr>
      <w:rFonts w:ascii="Cambria" w:eastAsia="SimSun" w:hAnsi="Cambria" w:cs="Times New Roman"/>
      <w:i w:val="0"/>
      <w:snapToGrid w:val="0"/>
      <w:sz w:val="24"/>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544098732">
      <w:bodyDiv w:val="1"/>
      <w:marLeft w:val="0"/>
      <w:marRight w:val="0"/>
      <w:marTop w:val="0"/>
      <w:marBottom w:val="0"/>
      <w:divBdr>
        <w:top w:val="none" w:sz="0" w:space="0" w:color="auto"/>
        <w:left w:val="none" w:sz="0" w:space="0" w:color="auto"/>
        <w:bottom w:val="none" w:sz="0" w:space="0" w:color="auto"/>
        <w:right w:val="none" w:sz="0" w:space="0" w:color="auto"/>
      </w:divBdr>
    </w:div>
    <w:div w:id="594478900">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957416365">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313293421">
      <w:bodyDiv w:val="1"/>
      <w:marLeft w:val="0"/>
      <w:marRight w:val="0"/>
      <w:marTop w:val="0"/>
      <w:marBottom w:val="0"/>
      <w:divBdr>
        <w:top w:val="none" w:sz="0" w:space="0" w:color="auto"/>
        <w:left w:val="none" w:sz="0" w:space="0" w:color="auto"/>
        <w:bottom w:val="none" w:sz="0" w:space="0" w:color="auto"/>
        <w:right w:val="none" w:sz="0" w:space="0" w:color="auto"/>
      </w:divBdr>
      <w:divsChild>
        <w:div w:id="1557231396">
          <w:marLeft w:val="360"/>
          <w:marRight w:val="0"/>
          <w:marTop w:val="200"/>
          <w:marBottom w:val="0"/>
          <w:divBdr>
            <w:top w:val="none" w:sz="0" w:space="0" w:color="auto"/>
            <w:left w:val="none" w:sz="0" w:space="0" w:color="auto"/>
            <w:bottom w:val="none" w:sz="0" w:space="0" w:color="auto"/>
            <w:right w:val="none" w:sz="0" w:space="0" w:color="auto"/>
          </w:divBdr>
        </w:div>
      </w:divsChild>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linicaltrials.gov/study/NCT03720470"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clinicaltrials.gov/study/NCT02260986"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ardiff.ac.uk/medicine/resources/quality-of-life-questionnaires/dermatology-life-quality-inde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linicaltrials.gov/study/NCT02755649"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ardiff.ac.uk/medicine/resources/quality-of-life-questionnaires/dermatology-life-quality-index"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rdiff.ac.uk/medicine/resources/quality-of-life-questionnaires/dermatology-life-quality-index"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allergyfacts.org.au/__interest/ecze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4" ma:contentTypeDescription="Create a new document." ma:contentTypeScope="" ma:versionID="f328ee76e3e3cd8b25629ba942c2bda6">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92fc91db597c21b2d674888d2f34e6f8"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579659-E951-43DA-A877-8B20A59E2CA7}">
  <ds:schemaRefs>
    <ds:schemaRef ds:uri="http://schemas.openxmlformats.org/officeDocument/2006/bibliography"/>
  </ds:schemaRefs>
</ds:datastoreItem>
</file>

<file path=customXml/itemProps2.xml><?xml version="1.0" encoding="utf-8"?>
<ds:datastoreItem xmlns:ds="http://schemas.openxmlformats.org/officeDocument/2006/customXml" ds:itemID="{32697C0B-5941-42CC-9EE0-1186D575A753}">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customXml/itemProps3.xml><?xml version="1.0" encoding="utf-8"?>
<ds:datastoreItem xmlns:ds="http://schemas.openxmlformats.org/officeDocument/2006/customXml" ds:itemID="{3B323B97-9BA1-4894-99BC-BB959B5927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D04B66-E812-4CDE-8144-514ABA98B2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19772</Words>
  <Characters>104400</Characters>
  <Application>Microsoft Office Word</Application>
  <DocSecurity>0</DocSecurity>
  <Lines>3728</Lines>
  <Paragraphs>2586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121586</CharactersWithSpaces>
  <SharedDoc>false</SharedDoc>
  <HLinks>
    <vt:vector size="42" baseType="variant">
      <vt:variant>
        <vt:i4>7798881</vt:i4>
      </vt:variant>
      <vt:variant>
        <vt:i4>177</vt:i4>
      </vt:variant>
      <vt:variant>
        <vt:i4>0</vt:i4>
      </vt:variant>
      <vt:variant>
        <vt:i4>5</vt:i4>
      </vt:variant>
      <vt:variant>
        <vt:lpwstr>https://www.cardiff.ac.uk/medicine/resources/quality-of-life-questionnaires/dermatology-life-quality-index</vt:lpwstr>
      </vt:variant>
      <vt:variant>
        <vt:lpwstr/>
      </vt:variant>
      <vt:variant>
        <vt:i4>7798881</vt:i4>
      </vt:variant>
      <vt:variant>
        <vt:i4>165</vt:i4>
      </vt:variant>
      <vt:variant>
        <vt:i4>0</vt:i4>
      </vt:variant>
      <vt:variant>
        <vt:i4>5</vt:i4>
      </vt:variant>
      <vt:variant>
        <vt:lpwstr>https://www.cardiff.ac.uk/medicine/resources/quality-of-life-questionnaires/dermatology-life-quality-index</vt:lpwstr>
      </vt:variant>
      <vt:variant>
        <vt:lpwstr/>
      </vt:variant>
      <vt:variant>
        <vt:i4>7798881</vt:i4>
      </vt:variant>
      <vt:variant>
        <vt:i4>153</vt:i4>
      </vt:variant>
      <vt:variant>
        <vt:i4>0</vt:i4>
      </vt:variant>
      <vt:variant>
        <vt:i4>5</vt:i4>
      </vt:variant>
      <vt:variant>
        <vt:lpwstr>https://www.cardiff.ac.uk/medicine/resources/quality-of-life-questionnaires/dermatology-life-quality-index</vt:lpwstr>
      </vt:variant>
      <vt:variant>
        <vt:lpwstr/>
      </vt:variant>
      <vt:variant>
        <vt:i4>851969</vt:i4>
      </vt:variant>
      <vt:variant>
        <vt:i4>36</vt:i4>
      </vt:variant>
      <vt:variant>
        <vt:i4>0</vt:i4>
      </vt:variant>
      <vt:variant>
        <vt:i4>5</vt:i4>
      </vt:variant>
      <vt:variant>
        <vt:lpwstr>https://clinicaltrials.gov/study/NCT03720470</vt:lpwstr>
      </vt:variant>
      <vt:variant>
        <vt:lpwstr/>
      </vt:variant>
      <vt:variant>
        <vt:i4>196619</vt:i4>
      </vt:variant>
      <vt:variant>
        <vt:i4>33</vt:i4>
      </vt:variant>
      <vt:variant>
        <vt:i4>0</vt:i4>
      </vt:variant>
      <vt:variant>
        <vt:i4>5</vt:i4>
      </vt:variant>
      <vt:variant>
        <vt:lpwstr>https://clinicaltrials.gov/study/NCT02260986</vt:lpwstr>
      </vt:variant>
      <vt:variant>
        <vt:lpwstr/>
      </vt:variant>
      <vt:variant>
        <vt:i4>7</vt:i4>
      </vt:variant>
      <vt:variant>
        <vt:i4>30</vt:i4>
      </vt:variant>
      <vt:variant>
        <vt:i4>0</vt:i4>
      </vt:variant>
      <vt:variant>
        <vt:i4>5</vt:i4>
      </vt:variant>
      <vt:variant>
        <vt:lpwstr>https://clinicaltrials.gov/study/NCT02755649</vt:lpwstr>
      </vt:variant>
      <vt:variant>
        <vt:lpwstr/>
      </vt:variant>
      <vt:variant>
        <vt:i4>5701727</vt:i4>
      </vt:variant>
      <vt:variant>
        <vt:i4>0</vt:i4>
      </vt:variant>
      <vt:variant>
        <vt:i4>0</vt:i4>
      </vt:variant>
      <vt:variant>
        <vt:i4>5</vt:i4>
      </vt:variant>
      <vt:variant>
        <vt:lpwstr>https://allergyfacts.org.au/__interest/eczema/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2025-08-15T22:21:00Z</dcterms:created>
  <dcterms:modified xsi:type="dcterms:W3CDTF">2025-11-14T02:09:00Z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0x0101007FED174C5281F747A8037A05221D6DBD</vt:lpwstr>
  </property>
  <property fmtid="{D5CDD505-2E9C-101B-9397-08002B2CF9AE}" pid="4" name="MSIP_Label_7cd3e8b9-ffed-43a8-b7f4-cc2fa0382d36_Enabled">
    <vt:lpwstr>True</vt:lpwstr>
  </property>
  <property fmtid="{D5CDD505-2E9C-101B-9397-08002B2CF9AE}" pid="5" name="MSIP_Label_7cd3e8b9-ffed-43a8-b7f4-cc2fa0382d36_SiteId">
    <vt:lpwstr>34a3929c-73cf-4954-abfe-147dc3517892</vt:lpwstr>
  </property>
  <property fmtid="{D5CDD505-2E9C-101B-9397-08002B2CF9AE}" pid="6" name="MSIP_Label_7cd3e8b9-ffed-43a8-b7f4-cc2fa0382d36_SetDate">
    <vt:lpwstr>2025-09-03T06:42:47Z</vt:lpwstr>
  </property>
  <property fmtid="{D5CDD505-2E9C-101B-9397-08002B2CF9AE}" pid="7" name="MSIP_Label_7cd3e8b9-ffed-43a8-b7f4-cc2fa0382d36_Name">
    <vt:lpwstr>OFFICIAL</vt:lpwstr>
  </property>
  <property fmtid="{D5CDD505-2E9C-101B-9397-08002B2CF9AE}" pid="8" name="MSIP_Label_7cd3e8b9-ffed-43a8-b7f4-cc2fa0382d36_ActionId">
    <vt:lpwstr>97ef7c84-12b3-44e6-a2cf-808b5c7e5cec</vt:lpwstr>
  </property>
  <property fmtid="{D5CDD505-2E9C-101B-9397-08002B2CF9AE}" pid="9" name="MSIP_Label_7cd3e8b9-ffed-43a8-b7f4-cc2fa0382d36_Removed">
    <vt:lpwstr>False</vt:lpwstr>
  </property>
  <property fmtid="{D5CDD505-2E9C-101B-9397-08002B2CF9AE}" pid="10" name="MSIP_Label_7cd3e8b9-ffed-43a8-b7f4-cc2fa0382d36_Extended_MSFT_Method">
    <vt:lpwstr>Standard</vt:lpwstr>
  </property>
  <property fmtid="{D5CDD505-2E9C-101B-9397-08002B2CF9AE}" pid="11" name="Sensitivity">
    <vt:lpwstr>OFFICIAL</vt:lpwstr>
  </property>
  <property fmtid="{D5CDD505-2E9C-101B-9397-08002B2CF9AE}" pid="12" name="docLang">
    <vt:lpwstr>en</vt:lpwstr>
  </property>
</Properties>
</file>