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B2A2" w14:textId="7F01ED84" w:rsidR="00EA4751" w:rsidRPr="00EE4383" w:rsidRDefault="00EE4383" w:rsidP="00EE4383">
      <w:pPr>
        <w:spacing w:after="0"/>
        <w:jc w:val="left"/>
        <w:rPr>
          <w:rFonts w:eastAsia="Times New Roman" w:cs="Times New Roman"/>
          <w:color w:val="FF0000"/>
          <w:spacing w:val="5"/>
          <w:kern w:val="28"/>
          <w:sz w:val="36"/>
          <w:szCs w:val="36"/>
          <w:lang w:eastAsia="en-AU"/>
        </w:rPr>
      </w:pPr>
      <w:bookmarkStart w:id="0" w:name="_Hlk222329758"/>
      <w:r w:rsidRPr="00EE4383">
        <w:rPr>
          <w:color w:val="FF0000"/>
        </w:rPr>
        <w:t xml:space="preserve">An addendum to </w:t>
      </w:r>
      <w:r>
        <w:rPr>
          <w:color w:val="FF0000"/>
        </w:rPr>
        <w:t xml:space="preserve">this Public Summary Document </w:t>
      </w:r>
      <w:r w:rsidRPr="00EE4383">
        <w:rPr>
          <w:color w:val="FF0000"/>
        </w:rPr>
        <w:t>has been included at the end of the document.</w:t>
      </w:r>
    </w:p>
    <w:p w14:paraId="1E76C587" w14:textId="26A74CB0" w:rsidR="00BB7407" w:rsidRPr="00EF2E8A" w:rsidRDefault="008E1AB2" w:rsidP="00591C83">
      <w:pPr>
        <w:spacing w:after="0"/>
        <w:ind w:left="709" w:hanging="709"/>
        <w:jc w:val="left"/>
        <w:rPr>
          <w:rFonts w:eastAsia="Times New Roman" w:cs="Times New Roman"/>
          <w:b/>
          <w:bCs/>
          <w:spacing w:val="5"/>
          <w:kern w:val="28"/>
          <w:sz w:val="36"/>
          <w:szCs w:val="36"/>
          <w:lang w:eastAsia="en-AU"/>
        </w:rPr>
      </w:pPr>
      <w:r>
        <w:rPr>
          <w:rFonts w:eastAsia="Times New Roman" w:cs="Times New Roman"/>
          <w:b/>
          <w:bCs/>
          <w:spacing w:val="5"/>
          <w:kern w:val="28"/>
          <w:sz w:val="36"/>
          <w:szCs w:val="36"/>
          <w:lang w:eastAsia="en-AU"/>
        </w:rPr>
        <w:t xml:space="preserve">5.08 </w:t>
      </w:r>
      <w:r w:rsidR="0069762E" w:rsidRPr="00EF2E8A">
        <w:rPr>
          <w:rFonts w:eastAsia="Times New Roman" w:cs="Times New Roman"/>
          <w:b/>
          <w:bCs/>
          <w:spacing w:val="5"/>
          <w:kern w:val="28"/>
          <w:sz w:val="36"/>
          <w:szCs w:val="36"/>
          <w:lang w:eastAsia="en-AU"/>
        </w:rPr>
        <w:t>MIRVETUXIMAB SORAVTANSINE</w:t>
      </w:r>
      <w:r w:rsidR="00405CE0" w:rsidRPr="00EF2E8A">
        <w:rPr>
          <w:rFonts w:eastAsia="Times New Roman" w:cs="Times New Roman"/>
          <w:b/>
          <w:bCs/>
          <w:spacing w:val="5"/>
          <w:kern w:val="28"/>
          <w:sz w:val="36"/>
          <w:szCs w:val="36"/>
          <w:lang w:eastAsia="en-AU"/>
        </w:rPr>
        <w:t>,</w:t>
      </w:r>
      <w:r w:rsidR="00B97B24" w:rsidRPr="00EF2E8A">
        <w:rPr>
          <w:rFonts w:eastAsia="Times New Roman" w:cs="Times New Roman"/>
          <w:b/>
          <w:bCs/>
          <w:spacing w:val="5"/>
          <w:kern w:val="28"/>
          <w:sz w:val="36"/>
          <w:szCs w:val="36"/>
          <w:lang w:eastAsia="en-AU"/>
        </w:rPr>
        <w:t xml:space="preserve"> </w:t>
      </w:r>
      <w:r w:rsidR="005E78E8">
        <w:rPr>
          <w:rFonts w:eastAsia="Times New Roman" w:cs="Times New Roman"/>
          <w:b/>
          <w:bCs/>
          <w:spacing w:val="5"/>
          <w:kern w:val="28"/>
          <w:sz w:val="36"/>
          <w:szCs w:val="36"/>
          <w:lang w:eastAsia="en-AU"/>
        </w:rPr>
        <w:br/>
      </w:r>
      <w:r w:rsidR="004B7ADF" w:rsidRPr="00EF2E8A">
        <w:rPr>
          <w:rFonts w:eastAsia="Times New Roman" w:cs="Times New Roman"/>
          <w:b/>
          <w:bCs/>
          <w:spacing w:val="5"/>
          <w:kern w:val="28"/>
          <w:sz w:val="36"/>
          <w:szCs w:val="36"/>
          <w:lang w:eastAsia="en-AU"/>
        </w:rPr>
        <w:t>s</w:t>
      </w:r>
      <w:r w:rsidR="00B97B24" w:rsidRPr="00EF2E8A">
        <w:rPr>
          <w:rFonts w:eastAsia="Times New Roman" w:cs="Times New Roman"/>
          <w:b/>
          <w:bCs/>
          <w:spacing w:val="5"/>
          <w:kern w:val="28"/>
          <w:sz w:val="36"/>
          <w:szCs w:val="36"/>
          <w:lang w:eastAsia="en-AU"/>
        </w:rPr>
        <w:t xml:space="preserve">olution for </w:t>
      </w:r>
      <w:r w:rsidR="004B7ADF" w:rsidRPr="00EF2E8A">
        <w:rPr>
          <w:rFonts w:eastAsia="Times New Roman" w:cs="Times New Roman"/>
          <w:b/>
          <w:bCs/>
          <w:spacing w:val="5"/>
          <w:kern w:val="28"/>
          <w:sz w:val="36"/>
          <w:szCs w:val="36"/>
          <w:lang w:eastAsia="en-AU"/>
        </w:rPr>
        <w:t>IV</w:t>
      </w:r>
      <w:r w:rsidR="00B97B24" w:rsidRPr="00EF2E8A">
        <w:rPr>
          <w:rFonts w:eastAsia="Times New Roman" w:cs="Times New Roman"/>
          <w:b/>
          <w:bCs/>
          <w:spacing w:val="5"/>
          <w:kern w:val="28"/>
          <w:sz w:val="36"/>
          <w:szCs w:val="36"/>
          <w:lang w:eastAsia="en-AU"/>
        </w:rPr>
        <w:t xml:space="preserve"> infusion 100 mg</w:t>
      </w:r>
      <w:r w:rsidR="00C05782" w:rsidRPr="00EF2E8A">
        <w:rPr>
          <w:rFonts w:eastAsia="Times New Roman" w:cs="Times New Roman"/>
          <w:b/>
          <w:bCs/>
          <w:spacing w:val="5"/>
          <w:kern w:val="28"/>
          <w:sz w:val="36"/>
          <w:szCs w:val="36"/>
          <w:lang w:eastAsia="en-AU"/>
        </w:rPr>
        <w:t xml:space="preserve"> in 20 mL</w:t>
      </w:r>
      <w:r w:rsidR="001F2B49" w:rsidRPr="00EF2E8A">
        <w:rPr>
          <w:rFonts w:eastAsia="Times New Roman" w:cs="Times New Roman"/>
          <w:b/>
          <w:bCs/>
          <w:spacing w:val="5"/>
          <w:kern w:val="28"/>
          <w:sz w:val="36"/>
          <w:szCs w:val="36"/>
          <w:lang w:eastAsia="en-AU"/>
        </w:rPr>
        <w:t xml:space="preserve"> vial</w:t>
      </w:r>
      <w:r w:rsidR="00C87120" w:rsidRPr="00EF2E8A">
        <w:rPr>
          <w:rFonts w:eastAsia="Times New Roman" w:cs="Times New Roman"/>
          <w:b/>
          <w:bCs/>
          <w:spacing w:val="5"/>
          <w:kern w:val="28"/>
          <w:sz w:val="36"/>
          <w:szCs w:val="36"/>
          <w:lang w:eastAsia="en-AU"/>
        </w:rPr>
        <w:t>,</w:t>
      </w:r>
      <w:r w:rsidR="00937CDA" w:rsidRPr="00EF2E8A">
        <w:rPr>
          <w:rFonts w:eastAsia="Times New Roman" w:cs="Times New Roman"/>
          <w:b/>
          <w:bCs/>
          <w:spacing w:val="5"/>
          <w:kern w:val="28"/>
          <w:sz w:val="36"/>
          <w:szCs w:val="36"/>
          <w:lang w:eastAsia="en-AU"/>
        </w:rPr>
        <w:t xml:space="preserve"> </w:t>
      </w:r>
    </w:p>
    <w:p w14:paraId="1F034AE9" w14:textId="71B22E2B" w:rsidR="00C87120" w:rsidRPr="00EF2E8A" w:rsidRDefault="005E78E8" w:rsidP="00591C83">
      <w:pPr>
        <w:spacing w:before="0" w:after="0"/>
        <w:ind w:firstLine="720"/>
        <w:jc w:val="left"/>
        <w:rPr>
          <w:rFonts w:eastAsia="Times New Roman" w:cs="Times New Roman"/>
          <w:b/>
          <w:bCs/>
          <w:spacing w:val="5"/>
          <w:kern w:val="28"/>
          <w:sz w:val="36"/>
          <w:szCs w:val="36"/>
          <w:lang w:eastAsia="en-AU"/>
        </w:rPr>
      </w:pPr>
      <w:r>
        <w:rPr>
          <w:rFonts w:eastAsia="Times New Roman" w:cs="Times New Roman"/>
          <w:b/>
          <w:bCs/>
          <w:spacing w:val="5"/>
          <w:kern w:val="28"/>
          <w:sz w:val="36"/>
          <w:szCs w:val="36"/>
          <w:lang w:eastAsia="en-AU"/>
        </w:rPr>
        <w:t>Elahere</w:t>
      </w:r>
      <w:r w:rsidR="00F23B06" w:rsidRPr="00EF2E8A">
        <w:rPr>
          <w:rFonts w:eastAsia="Times New Roman" w:cs="Times New Roman"/>
          <w:b/>
          <w:bCs/>
          <w:spacing w:val="5"/>
          <w:kern w:val="28"/>
          <w:sz w:val="36"/>
          <w:szCs w:val="36"/>
          <w:lang w:eastAsia="en-AU"/>
        </w:rPr>
        <w:t>®</w:t>
      </w:r>
      <w:r w:rsidR="00BD4A72">
        <w:rPr>
          <w:rFonts w:eastAsia="Times New Roman" w:cs="Times New Roman"/>
          <w:b/>
          <w:bCs/>
          <w:spacing w:val="5"/>
          <w:kern w:val="28"/>
          <w:sz w:val="36"/>
          <w:szCs w:val="36"/>
          <w:lang w:eastAsia="en-AU"/>
        </w:rPr>
        <w:t>,</w:t>
      </w:r>
    </w:p>
    <w:p w14:paraId="7E6A0D78" w14:textId="1E050553" w:rsidR="001F2B49" w:rsidRPr="00EF2E8A" w:rsidRDefault="005E78E8" w:rsidP="00591C83">
      <w:pPr>
        <w:spacing w:before="0"/>
        <w:ind w:firstLine="720"/>
        <w:jc w:val="left"/>
        <w:rPr>
          <w:rFonts w:eastAsia="Times New Roman" w:cs="Times New Roman"/>
          <w:b/>
          <w:bCs/>
          <w:spacing w:val="5"/>
          <w:kern w:val="28"/>
          <w:sz w:val="36"/>
          <w:szCs w:val="36"/>
          <w:lang w:eastAsia="en-AU"/>
        </w:rPr>
      </w:pPr>
      <w:r>
        <w:rPr>
          <w:rFonts w:eastAsia="Times New Roman" w:cs="Times New Roman"/>
          <w:b/>
          <w:bCs/>
          <w:spacing w:val="5"/>
          <w:kern w:val="28"/>
          <w:sz w:val="36"/>
          <w:szCs w:val="36"/>
          <w:lang w:eastAsia="en-AU"/>
        </w:rPr>
        <w:t>Abbvie Pty Ltd</w:t>
      </w:r>
    </w:p>
    <w:p w14:paraId="10217D5D" w14:textId="77777777" w:rsidR="00C317F3" w:rsidRPr="00EF2E8A" w:rsidRDefault="00C317F3" w:rsidP="00591C83">
      <w:pPr>
        <w:pStyle w:val="PBACESHeading1"/>
        <w:numPr>
          <w:ilvl w:val="0"/>
          <w:numId w:val="8"/>
        </w:numPr>
      </w:pPr>
      <w:bookmarkStart w:id="1" w:name="_Toc413139271"/>
      <w:bookmarkStart w:id="2" w:name="_Toc198721997"/>
      <w:bookmarkStart w:id="3" w:name="_Ref199228912"/>
      <w:r w:rsidRPr="00EF2E8A">
        <w:t xml:space="preserve">Purpose of </w:t>
      </w:r>
      <w:r w:rsidR="00934564" w:rsidRPr="00EF2E8A">
        <w:t>submiss</w:t>
      </w:r>
      <w:r w:rsidRPr="00EF2E8A">
        <w:t>ion</w:t>
      </w:r>
      <w:bookmarkEnd w:id="1"/>
      <w:bookmarkEnd w:id="2"/>
      <w:bookmarkEnd w:id="3"/>
    </w:p>
    <w:p w14:paraId="6C3323A8" w14:textId="11E2CA67" w:rsidR="009075B4" w:rsidRPr="00EF2E8A" w:rsidRDefault="009075B4" w:rsidP="00591C83">
      <w:pPr>
        <w:pStyle w:val="ListParagraph"/>
      </w:pPr>
      <w:r w:rsidRPr="00EF2E8A">
        <w:t>A Category 1 integrated codependent submission requesting Medicare Benefits Schedule (MBS) listing of folate receptor alpha (FR</w:t>
      </w:r>
      <w:r w:rsidRPr="00EF2E8A">
        <w:rPr>
          <w:rFonts w:cstheme="minorHAnsi"/>
        </w:rPr>
        <w:t>α)</w:t>
      </w:r>
      <w:r w:rsidRPr="00EF2E8A">
        <w:t xml:space="preserve"> expression testing by immunohistochemistry (IHC) and Pharmaceutical Benefits Scheme (PBS) listing of mirvetuximab soravtansine (MIRV) for the targeted treatment of </w:t>
      </w:r>
      <w:r w:rsidRPr="00EF2E8A">
        <w:rPr>
          <w:rFonts w:cstheme="minorHAnsi"/>
          <w:szCs w:val="24"/>
        </w:rPr>
        <w:t>patients with platinum</w:t>
      </w:r>
      <w:r w:rsidR="00A46D2B">
        <w:rPr>
          <w:rFonts w:cstheme="minorHAnsi"/>
          <w:szCs w:val="24"/>
        </w:rPr>
        <w:noBreakHyphen/>
      </w:r>
      <w:r w:rsidRPr="00EF2E8A">
        <w:rPr>
          <w:rFonts w:cstheme="minorHAnsi"/>
          <w:szCs w:val="24"/>
        </w:rPr>
        <w:t>resistant high</w:t>
      </w:r>
      <w:r w:rsidR="00A46D2B">
        <w:rPr>
          <w:rFonts w:cstheme="minorHAnsi"/>
          <w:szCs w:val="24"/>
        </w:rPr>
        <w:noBreakHyphen/>
      </w:r>
      <w:r w:rsidRPr="00EF2E8A">
        <w:rPr>
          <w:rFonts w:cstheme="minorHAnsi"/>
          <w:szCs w:val="24"/>
        </w:rPr>
        <w:t>grade epithelial ovarian, fallopian tube, or primary peritoneal cancer (PROC), who have received at least one prior systemic treatment regimen, who have high FRα tumour cell expression (defined as ≥75% of viable tumour cells with moderate (2+) and/or strong (3+) membrane staining [≥75%, PS2+]) as determined by a validated test.</w:t>
      </w:r>
      <w:r w:rsidRPr="00EF2E8A">
        <w:t xml:space="preserve"> </w:t>
      </w:r>
    </w:p>
    <w:p w14:paraId="6BC4D87A" w14:textId="2F40334C" w:rsidR="009075B4" w:rsidRPr="00EF2E8A" w:rsidRDefault="009075B4" w:rsidP="00591C83">
      <w:pPr>
        <w:pStyle w:val="ListParagraph"/>
        <w:rPr>
          <w:color w:val="auto"/>
        </w:rPr>
      </w:pPr>
      <w:r w:rsidRPr="00EF2E8A">
        <w:rPr>
          <w:color w:val="auto"/>
        </w:rPr>
        <w:t>Listing was requested on the basis of a cost</w:t>
      </w:r>
      <w:r w:rsidR="00CA5C99">
        <w:rPr>
          <w:color w:val="auto"/>
        </w:rPr>
        <w:t> </w:t>
      </w:r>
      <w:r w:rsidRPr="00EF2E8A">
        <w:rPr>
          <w:color w:val="auto"/>
        </w:rPr>
        <w:t>effectiveness analysis versus single agent non</w:t>
      </w:r>
      <w:r w:rsidR="00A46D2B">
        <w:rPr>
          <w:color w:val="auto"/>
        </w:rPr>
        <w:noBreakHyphen/>
      </w:r>
      <w:r w:rsidRPr="00EF2E8A">
        <w:rPr>
          <w:color w:val="auto"/>
        </w:rPr>
        <w:t>platinum chemotherapy (as investigator’s choice of chemotherapy; ICC).</w:t>
      </w:r>
    </w:p>
    <w:p w14:paraId="3A75C339" w14:textId="6D28213D" w:rsidR="009075B4" w:rsidRPr="00EF2E8A" w:rsidRDefault="009075B4" w:rsidP="00591C83">
      <w:pPr>
        <w:pStyle w:val="ListParagraph"/>
        <w:rPr>
          <w:color w:val="auto"/>
        </w:rPr>
      </w:pPr>
      <w:r w:rsidRPr="00EF2E8A">
        <w:rPr>
          <w:color w:val="auto"/>
        </w:rPr>
        <w:t>The key PICO elements presented in the submission are presented in</w:t>
      </w:r>
      <w:r w:rsidR="008138BF">
        <w:rPr>
          <w:color w:val="auto"/>
        </w:rPr>
        <w:t xml:space="preserve"> </w:t>
      </w:r>
      <w:r w:rsidR="000979F4">
        <w:rPr>
          <w:color w:val="auto"/>
        </w:rPr>
        <w:fldChar w:fldCharType="begin" w:fldLock="1"/>
      </w:r>
      <w:r w:rsidR="000979F4">
        <w:rPr>
          <w:color w:val="auto"/>
        </w:rPr>
        <w:instrText xml:space="preserve"> REF _Ref205278163 \h </w:instrText>
      </w:r>
      <w:r w:rsidR="000979F4">
        <w:rPr>
          <w:color w:val="auto"/>
        </w:rPr>
      </w:r>
      <w:r w:rsidR="000979F4">
        <w:rPr>
          <w:color w:val="auto"/>
        </w:rPr>
        <w:fldChar w:fldCharType="separate"/>
      </w:r>
      <w:r w:rsidR="00CC5CAD">
        <w:t xml:space="preserve">Table </w:t>
      </w:r>
      <w:r w:rsidR="00CC5CAD">
        <w:rPr>
          <w:noProof/>
        </w:rPr>
        <w:t>1</w:t>
      </w:r>
      <w:r w:rsidR="000979F4">
        <w:rPr>
          <w:color w:val="auto"/>
        </w:rPr>
        <w:fldChar w:fldCharType="end"/>
      </w:r>
      <w:r w:rsidR="00974526" w:rsidRPr="00EF2E8A">
        <w:rPr>
          <w:color w:val="auto"/>
        </w:rPr>
        <w:t>.</w:t>
      </w:r>
    </w:p>
    <w:p w14:paraId="24223656" w14:textId="28937A7A" w:rsidR="009075B4" w:rsidRPr="00EF2E8A" w:rsidRDefault="009F5610" w:rsidP="00591C83">
      <w:pPr>
        <w:pStyle w:val="Caption"/>
      </w:pPr>
      <w:bookmarkStart w:id="4" w:name="_Ref205278163"/>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1</w:t>
      </w:r>
      <w:r w:rsidR="00CC5CAD">
        <w:rPr>
          <w:noProof/>
        </w:rPr>
        <w:fldChar w:fldCharType="end"/>
      </w:r>
      <w:bookmarkEnd w:id="4"/>
      <w:r>
        <w:t>:</w:t>
      </w:r>
      <w:r w:rsidR="00801C7A" w:rsidRPr="00EF2E8A">
        <w:t xml:space="preserve"> </w:t>
      </w:r>
      <w:r w:rsidR="009075B4" w:rsidRPr="00EF2E8A">
        <w:t>Key components of the clinical issue addressed by the submission</w:t>
      </w:r>
    </w:p>
    <w:tbl>
      <w:tblPr>
        <w:tblStyle w:val="PBACTableStyle1"/>
        <w:tblW w:w="0" w:type="auto"/>
        <w:tblLook w:val="04A0" w:firstRow="1" w:lastRow="0" w:firstColumn="1" w:lastColumn="0" w:noHBand="0" w:noVBand="1"/>
        <w:tblCaption w:val="Table 1: Key components of the clinical issue addressed by the submission"/>
      </w:tblPr>
      <w:tblGrid>
        <w:gridCol w:w="1696"/>
        <w:gridCol w:w="7320"/>
      </w:tblGrid>
      <w:tr w:rsidR="009075B4" w:rsidRPr="00EF2E8A" w14:paraId="6F0BA40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bottom"/>
          </w:tcPr>
          <w:p w14:paraId="4F8B48CC" w14:textId="77777777" w:rsidR="009075B4" w:rsidRPr="00EF2E8A" w:rsidRDefault="009075B4" w:rsidP="00591C83">
            <w:pPr>
              <w:pStyle w:val="Tabletext0"/>
              <w:keepNext/>
              <w:keepLines/>
              <w:widowControl/>
              <w:rPr>
                <w:lang w:val="en-AU"/>
              </w:rPr>
            </w:pPr>
            <w:r w:rsidRPr="00EF2E8A">
              <w:rPr>
                <w:lang w:val="en-AU"/>
              </w:rPr>
              <w:t>Component</w:t>
            </w:r>
          </w:p>
        </w:tc>
        <w:tc>
          <w:tcPr>
            <w:tcW w:w="7320" w:type="dxa"/>
            <w:vAlign w:val="bottom"/>
          </w:tcPr>
          <w:p w14:paraId="2D74A5DC" w14:textId="77777777" w:rsidR="009075B4" w:rsidRPr="00EF2E8A" w:rsidRDefault="009075B4" w:rsidP="00591C83">
            <w:pPr>
              <w:pStyle w:val="Tabletext0"/>
              <w:keepNext/>
              <w:keepLines/>
              <w:widowControl/>
              <w:cnfStyle w:val="100000000000" w:firstRow="1" w:lastRow="0" w:firstColumn="0" w:lastColumn="0" w:oddVBand="0" w:evenVBand="0" w:oddHBand="0" w:evenHBand="0" w:firstRowFirstColumn="0" w:firstRowLastColumn="0" w:lastRowFirstColumn="0" w:lastRowLastColumn="0"/>
              <w:rPr>
                <w:lang w:val="en-AU"/>
              </w:rPr>
            </w:pPr>
            <w:r w:rsidRPr="00EF2E8A">
              <w:rPr>
                <w:lang w:val="en-AU"/>
              </w:rPr>
              <w:t>Description</w:t>
            </w:r>
          </w:p>
        </w:tc>
      </w:tr>
      <w:tr w:rsidR="009075B4" w:rsidRPr="00EF2E8A" w14:paraId="6891D79B" w14:textId="77777777">
        <w:tc>
          <w:tcPr>
            <w:cnfStyle w:val="001000000000" w:firstRow="0" w:lastRow="0" w:firstColumn="1" w:lastColumn="0" w:oddVBand="0" w:evenVBand="0" w:oddHBand="0" w:evenHBand="0" w:firstRowFirstColumn="0" w:firstRowLastColumn="0" w:lastRowFirstColumn="0" w:lastRowLastColumn="0"/>
            <w:tcW w:w="1696" w:type="dxa"/>
          </w:tcPr>
          <w:p w14:paraId="2CA0F989" w14:textId="77777777" w:rsidR="009075B4" w:rsidRPr="00EF2E8A" w:rsidRDefault="009075B4" w:rsidP="00591C83">
            <w:pPr>
              <w:keepNext/>
              <w:keepLines/>
              <w:widowControl/>
              <w:spacing w:before="0"/>
              <w:contextualSpacing w:val="0"/>
              <w:jc w:val="left"/>
              <w:rPr>
                <w:rFonts w:ascii="Arial Narrow" w:hAnsi="Arial Narrow"/>
                <w:color w:val="auto"/>
                <w:sz w:val="20"/>
                <w:szCs w:val="22"/>
                <w:lang w:val="en-AU" w:eastAsia="en-US"/>
              </w:rPr>
            </w:pPr>
            <w:r w:rsidRPr="00EF2E8A">
              <w:rPr>
                <w:rFonts w:ascii="Arial Narrow" w:hAnsi="Arial Narrow"/>
                <w:color w:val="auto"/>
                <w:sz w:val="20"/>
                <w:szCs w:val="22"/>
                <w:lang w:val="en-AU" w:eastAsia="en-US"/>
              </w:rPr>
              <w:t>Population</w:t>
            </w:r>
          </w:p>
        </w:tc>
        <w:tc>
          <w:tcPr>
            <w:tcW w:w="7320" w:type="dxa"/>
          </w:tcPr>
          <w:p w14:paraId="3691D7CF" w14:textId="019800C1" w:rsidR="009075B4" w:rsidRPr="00EF2E8A" w:rsidRDefault="009075B4" w:rsidP="00591C83">
            <w:pPr>
              <w:keepNext/>
              <w:keepLines/>
              <w:widowControl/>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Test: Patients with high</w:t>
            </w:r>
            <w:r w:rsidR="00A46D2B">
              <w:rPr>
                <w:color w:val="auto"/>
                <w:sz w:val="20"/>
                <w:szCs w:val="22"/>
                <w:lang w:val="en-AU" w:eastAsia="en-US"/>
              </w:rPr>
              <w:noBreakHyphen/>
            </w:r>
            <w:r w:rsidRPr="00EF2E8A">
              <w:rPr>
                <w:color w:val="auto"/>
                <w:sz w:val="20"/>
                <w:szCs w:val="22"/>
                <w:lang w:val="en-AU" w:eastAsia="en-US"/>
              </w:rPr>
              <w:t>grade epithelial ovarian, fallopian tube or primary peritoneal carcinoma cancer</w:t>
            </w:r>
          </w:p>
          <w:p w14:paraId="1410EE47" w14:textId="3C32B205" w:rsidR="009075B4" w:rsidRPr="00EF2E8A" w:rsidRDefault="009075B4" w:rsidP="00591C83">
            <w:pPr>
              <w:keepNext/>
              <w:keepLines/>
              <w:widowControl/>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Drug: Patients with platinum</w:t>
            </w:r>
            <w:r w:rsidR="00A46D2B">
              <w:rPr>
                <w:color w:val="auto"/>
                <w:sz w:val="20"/>
                <w:szCs w:val="22"/>
                <w:lang w:val="en-AU" w:eastAsia="en-US"/>
              </w:rPr>
              <w:noBreakHyphen/>
            </w:r>
            <w:r w:rsidRPr="00EF2E8A">
              <w:rPr>
                <w:color w:val="auto"/>
                <w:sz w:val="20"/>
                <w:szCs w:val="22"/>
                <w:lang w:val="en-AU" w:eastAsia="en-US"/>
              </w:rPr>
              <w:t>resistant high</w:t>
            </w:r>
            <w:r w:rsidR="00A46D2B">
              <w:rPr>
                <w:color w:val="auto"/>
                <w:sz w:val="20"/>
                <w:szCs w:val="22"/>
                <w:lang w:val="en-AU" w:eastAsia="en-US"/>
              </w:rPr>
              <w:noBreakHyphen/>
            </w:r>
            <w:r w:rsidRPr="00EF2E8A">
              <w:rPr>
                <w:color w:val="auto"/>
                <w:sz w:val="20"/>
                <w:szCs w:val="22"/>
                <w:lang w:val="en-AU" w:eastAsia="en-US"/>
              </w:rPr>
              <w:t>grade epithelial ovarian, fallopian tube or primary peritoneal carcinoma cancer. Patient must have high FRα expression, defined as ≥75% of viable tumour cells with moderate (2+) and/or strong (3+) membrane staining</w:t>
            </w:r>
          </w:p>
        </w:tc>
      </w:tr>
      <w:tr w:rsidR="009075B4" w:rsidRPr="00EF2E8A" w14:paraId="7EC7BFF3" w14:textId="77777777">
        <w:tc>
          <w:tcPr>
            <w:cnfStyle w:val="001000000000" w:firstRow="0" w:lastRow="0" w:firstColumn="1" w:lastColumn="0" w:oddVBand="0" w:evenVBand="0" w:oddHBand="0" w:evenHBand="0" w:firstRowFirstColumn="0" w:firstRowLastColumn="0" w:lastRowFirstColumn="0" w:lastRowLastColumn="0"/>
            <w:tcW w:w="1696" w:type="dxa"/>
          </w:tcPr>
          <w:p w14:paraId="3E094FE4" w14:textId="77777777" w:rsidR="009075B4" w:rsidRPr="00EF2E8A" w:rsidRDefault="009075B4" w:rsidP="00591C83">
            <w:pPr>
              <w:keepNext/>
              <w:keepLines/>
              <w:widowControl/>
              <w:spacing w:before="0"/>
              <w:contextualSpacing w:val="0"/>
              <w:jc w:val="left"/>
              <w:rPr>
                <w:rFonts w:ascii="Arial Narrow" w:hAnsi="Arial Narrow"/>
                <w:color w:val="auto"/>
                <w:sz w:val="20"/>
                <w:szCs w:val="22"/>
                <w:lang w:val="en-AU" w:eastAsia="en-US"/>
              </w:rPr>
            </w:pPr>
            <w:r w:rsidRPr="00EF2E8A">
              <w:rPr>
                <w:rFonts w:ascii="Arial Narrow" w:hAnsi="Arial Narrow"/>
                <w:color w:val="auto"/>
                <w:sz w:val="20"/>
                <w:szCs w:val="22"/>
                <w:lang w:val="en-AU" w:eastAsia="en-US"/>
              </w:rPr>
              <w:t>Intervention</w:t>
            </w:r>
          </w:p>
        </w:tc>
        <w:tc>
          <w:tcPr>
            <w:tcW w:w="7320" w:type="dxa"/>
          </w:tcPr>
          <w:p w14:paraId="064ABDF7" w14:textId="77777777" w:rsidR="009075B4" w:rsidRPr="00EF2E8A" w:rsidRDefault="009075B4" w:rsidP="00591C83">
            <w:pPr>
              <w:keepNext/>
              <w:keepLines/>
              <w:widowControl/>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Test: Qualitative IHC assay for assessment of FRα protein expression in tumour tissue</w:t>
            </w:r>
          </w:p>
          <w:p w14:paraId="7C6661ED" w14:textId="77777777" w:rsidR="009075B4" w:rsidRPr="00EF2E8A" w:rsidRDefault="009075B4" w:rsidP="00591C83">
            <w:pPr>
              <w:keepNext/>
              <w:keepLines/>
              <w:widowControl/>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 xml:space="preserve">Drug: Mirvetuximab soravtansine </w:t>
            </w:r>
          </w:p>
        </w:tc>
      </w:tr>
      <w:tr w:rsidR="009075B4" w:rsidRPr="00EF2E8A" w14:paraId="4AF61BC2" w14:textId="77777777">
        <w:tc>
          <w:tcPr>
            <w:cnfStyle w:val="001000000000" w:firstRow="0" w:lastRow="0" w:firstColumn="1" w:lastColumn="0" w:oddVBand="0" w:evenVBand="0" w:oddHBand="0" w:evenHBand="0" w:firstRowFirstColumn="0" w:firstRowLastColumn="0" w:lastRowFirstColumn="0" w:lastRowLastColumn="0"/>
            <w:tcW w:w="1696" w:type="dxa"/>
          </w:tcPr>
          <w:p w14:paraId="501BBB0C" w14:textId="77777777" w:rsidR="009075B4" w:rsidRPr="00EF2E8A" w:rsidRDefault="009075B4" w:rsidP="00591C83">
            <w:pPr>
              <w:keepNext/>
              <w:keepLines/>
              <w:widowControl/>
              <w:spacing w:before="0"/>
              <w:contextualSpacing w:val="0"/>
              <w:jc w:val="left"/>
              <w:rPr>
                <w:rFonts w:ascii="Arial Narrow" w:hAnsi="Arial Narrow"/>
                <w:color w:val="auto"/>
                <w:sz w:val="20"/>
                <w:szCs w:val="22"/>
                <w:lang w:val="en-AU" w:eastAsia="en-US"/>
              </w:rPr>
            </w:pPr>
            <w:r w:rsidRPr="00EF2E8A">
              <w:rPr>
                <w:rFonts w:ascii="Arial Narrow" w:hAnsi="Arial Narrow"/>
                <w:color w:val="auto"/>
                <w:sz w:val="20"/>
                <w:szCs w:val="22"/>
                <w:lang w:val="en-AU" w:eastAsia="en-US"/>
              </w:rPr>
              <w:t>Comparator</w:t>
            </w:r>
          </w:p>
        </w:tc>
        <w:tc>
          <w:tcPr>
            <w:tcW w:w="7320" w:type="dxa"/>
          </w:tcPr>
          <w:p w14:paraId="52E3993E" w14:textId="77777777" w:rsidR="009075B4" w:rsidRPr="00EF2E8A" w:rsidRDefault="009075B4" w:rsidP="00591C83">
            <w:pPr>
              <w:keepNext/>
              <w:keepLines/>
              <w:widowControl/>
              <w:tabs>
                <w:tab w:val="left" w:pos="462"/>
              </w:tabs>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Test: No testing for FRα expression levels</w:t>
            </w:r>
          </w:p>
          <w:p w14:paraId="007AD038" w14:textId="77777777" w:rsidR="009075B4" w:rsidRPr="00EF2E8A" w:rsidRDefault="009075B4" w:rsidP="00591C83">
            <w:pPr>
              <w:keepNext/>
              <w:keepLines/>
              <w:widowControl/>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 xml:space="preserve">Reference standard </w:t>
            </w:r>
            <w:r w:rsidRPr="00EF2E8A">
              <w:rPr>
                <w:color w:val="auto"/>
                <w:sz w:val="20"/>
                <w:szCs w:val="22"/>
                <w:vertAlign w:val="superscript"/>
                <w:lang w:val="en-AU" w:eastAsia="en-US"/>
              </w:rPr>
              <w:t>a</w:t>
            </w:r>
            <w:r w:rsidRPr="00EF2E8A">
              <w:rPr>
                <w:color w:val="auto"/>
                <w:sz w:val="20"/>
                <w:szCs w:val="22"/>
                <w:lang w:val="en-AU" w:eastAsia="en-US"/>
              </w:rPr>
              <w:t>: None</w:t>
            </w:r>
          </w:p>
          <w:p w14:paraId="0292AF04" w14:textId="749103DA" w:rsidR="009075B4" w:rsidRPr="00EF2E8A" w:rsidRDefault="009075B4" w:rsidP="00591C83">
            <w:pPr>
              <w:keepNext/>
              <w:keepLines/>
              <w:widowControl/>
              <w:tabs>
                <w:tab w:val="left" w:pos="462"/>
              </w:tabs>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Drug:</w:t>
            </w:r>
            <w:r w:rsidRPr="00EF2E8A">
              <w:rPr>
                <w:color w:val="auto"/>
                <w:sz w:val="20"/>
                <w:szCs w:val="22"/>
                <w:lang w:val="en-AU" w:eastAsia="en-US"/>
              </w:rPr>
              <w:tab/>
              <w:t>• Non</w:t>
            </w:r>
            <w:r w:rsidR="00A46D2B">
              <w:rPr>
                <w:color w:val="auto"/>
                <w:sz w:val="20"/>
                <w:szCs w:val="22"/>
                <w:lang w:val="en-AU" w:eastAsia="en-US"/>
              </w:rPr>
              <w:noBreakHyphen/>
            </w:r>
            <w:r w:rsidRPr="00EF2E8A">
              <w:rPr>
                <w:color w:val="auto"/>
                <w:sz w:val="20"/>
                <w:szCs w:val="22"/>
                <w:lang w:val="en-AU" w:eastAsia="en-US"/>
              </w:rPr>
              <w:t xml:space="preserve">platinum chemotherapy (paclitaxel, topotecan or pegylated liposomal doxorubicin) </w:t>
            </w:r>
          </w:p>
          <w:p w14:paraId="5050E88C" w14:textId="151909F1" w:rsidR="009075B4" w:rsidRPr="00EF2E8A" w:rsidRDefault="009075B4" w:rsidP="00591C83">
            <w:pPr>
              <w:keepNext/>
              <w:keepLines/>
              <w:widowControl/>
              <w:tabs>
                <w:tab w:val="left" w:pos="456"/>
              </w:tab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ab/>
              <w:t>• Non</w:t>
            </w:r>
            <w:r w:rsidR="00A46D2B">
              <w:rPr>
                <w:color w:val="auto"/>
                <w:sz w:val="20"/>
                <w:szCs w:val="22"/>
                <w:lang w:val="en-AU" w:eastAsia="en-US"/>
              </w:rPr>
              <w:noBreakHyphen/>
            </w:r>
            <w:r w:rsidRPr="00EF2E8A">
              <w:rPr>
                <w:color w:val="auto"/>
                <w:sz w:val="20"/>
                <w:szCs w:val="22"/>
                <w:lang w:val="en-AU" w:eastAsia="en-US"/>
              </w:rPr>
              <w:t>platinum chemotherapy plus bevacizumab</w:t>
            </w:r>
          </w:p>
        </w:tc>
      </w:tr>
      <w:tr w:rsidR="00A6714A" w:rsidRPr="00EF2E8A" w14:paraId="2E68F113" w14:textId="77777777">
        <w:tc>
          <w:tcPr>
            <w:cnfStyle w:val="001000000000" w:firstRow="0" w:lastRow="0" w:firstColumn="1" w:lastColumn="0" w:oddVBand="0" w:evenVBand="0" w:oddHBand="0" w:evenHBand="0" w:firstRowFirstColumn="0" w:firstRowLastColumn="0" w:lastRowFirstColumn="0" w:lastRowLastColumn="0"/>
            <w:tcW w:w="1696" w:type="dxa"/>
          </w:tcPr>
          <w:p w14:paraId="5E93CB59" w14:textId="77777777" w:rsidR="00A6714A" w:rsidRPr="00EF2E8A" w:rsidRDefault="00A6714A" w:rsidP="00591C83">
            <w:pPr>
              <w:keepNext/>
              <w:keepLines/>
              <w:widowControl/>
              <w:spacing w:before="0"/>
              <w:contextualSpacing w:val="0"/>
              <w:jc w:val="left"/>
              <w:rPr>
                <w:rFonts w:ascii="Arial Narrow" w:hAnsi="Arial Narrow"/>
                <w:color w:val="auto"/>
                <w:sz w:val="20"/>
                <w:szCs w:val="22"/>
                <w:lang w:val="en-AU" w:eastAsia="en-US"/>
              </w:rPr>
            </w:pPr>
            <w:r w:rsidRPr="00EF2E8A">
              <w:rPr>
                <w:rFonts w:ascii="Arial Narrow" w:hAnsi="Arial Narrow"/>
                <w:color w:val="auto"/>
                <w:sz w:val="20"/>
                <w:szCs w:val="22"/>
                <w:lang w:val="en-AU" w:eastAsia="en-US"/>
              </w:rPr>
              <w:t>Outcomes</w:t>
            </w:r>
          </w:p>
        </w:tc>
        <w:tc>
          <w:tcPr>
            <w:tcW w:w="7320" w:type="dxa"/>
          </w:tcPr>
          <w:p w14:paraId="7A1D3B51" w14:textId="77777777" w:rsidR="00A6714A" w:rsidRPr="00EF2E8A" w:rsidRDefault="00A6714A" w:rsidP="00591C83">
            <w:pPr>
              <w:pStyle w:val="TableText"/>
              <w:keepNext/>
              <w:keepLines/>
              <w:widowControl/>
              <w:spacing w:line="259" w:lineRule="auto"/>
              <w:cnfStyle w:val="000000000000" w:firstRow="0" w:lastRow="0" w:firstColumn="0" w:lastColumn="0" w:oddVBand="0" w:evenVBand="0" w:oddHBand="0" w:evenHBand="0" w:firstRowFirstColumn="0" w:firstRowLastColumn="0" w:lastRowFirstColumn="0" w:lastRowLastColumn="0"/>
              <w:rPr>
                <w:lang w:val="en-AU"/>
              </w:rPr>
            </w:pPr>
            <w:r w:rsidRPr="00EF2E8A">
              <w:rPr>
                <w:lang w:val="en-AU"/>
              </w:rPr>
              <w:t>Test: Prognostic effect, diagnostic performance, clinical utility, safety</w:t>
            </w:r>
          </w:p>
          <w:p w14:paraId="66ED086B" w14:textId="6C8EE623" w:rsidR="00A6714A" w:rsidRPr="00EF2E8A" w:rsidRDefault="00A6714A" w:rsidP="00591C83">
            <w:pPr>
              <w:keepNext/>
              <w:keepLines/>
              <w:widowControl/>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sz w:val="20"/>
                <w:lang w:val="en-AU" w:eastAsia="en-US"/>
              </w:rPr>
            </w:pPr>
            <w:r w:rsidRPr="00EF2E8A">
              <w:rPr>
                <w:sz w:val="20"/>
                <w:lang w:val="en-AU"/>
              </w:rPr>
              <w:t>Drug: OS, PFS, objective response rate, rates and nature of adverse events, and QoL measures</w:t>
            </w:r>
          </w:p>
        </w:tc>
      </w:tr>
      <w:tr w:rsidR="009075B4" w:rsidRPr="00EF2E8A" w14:paraId="460D6960" w14:textId="77777777">
        <w:tc>
          <w:tcPr>
            <w:cnfStyle w:val="001000000000" w:firstRow="0" w:lastRow="0" w:firstColumn="1" w:lastColumn="0" w:oddVBand="0" w:evenVBand="0" w:oddHBand="0" w:evenHBand="0" w:firstRowFirstColumn="0" w:firstRowLastColumn="0" w:lastRowFirstColumn="0" w:lastRowLastColumn="0"/>
            <w:tcW w:w="1696" w:type="dxa"/>
          </w:tcPr>
          <w:p w14:paraId="0AF53794" w14:textId="77777777" w:rsidR="009075B4" w:rsidRPr="00EF2E8A" w:rsidRDefault="009075B4" w:rsidP="00591C83">
            <w:pPr>
              <w:keepNext/>
              <w:keepLines/>
              <w:widowControl/>
              <w:spacing w:before="0"/>
              <w:contextualSpacing w:val="0"/>
              <w:jc w:val="left"/>
              <w:rPr>
                <w:rFonts w:ascii="Arial Narrow" w:hAnsi="Arial Narrow"/>
                <w:color w:val="auto"/>
                <w:sz w:val="20"/>
                <w:szCs w:val="22"/>
                <w:lang w:val="en-AU" w:eastAsia="en-US"/>
              </w:rPr>
            </w:pPr>
            <w:r w:rsidRPr="00EF2E8A">
              <w:rPr>
                <w:rFonts w:ascii="Arial Narrow" w:hAnsi="Arial Narrow"/>
                <w:color w:val="auto"/>
                <w:sz w:val="20"/>
                <w:szCs w:val="22"/>
                <w:lang w:val="en-AU" w:eastAsia="en-US"/>
              </w:rPr>
              <w:t>Clinical claim</w:t>
            </w:r>
          </w:p>
        </w:tc>
        <w:tc>
          <w:tcPr>
            <w:tcW w:w="7320" w:type="dxa"/>
          </w:tcPr>
          <w:p w14:paraId="711704D6" w14:textId="77777777" w:rsidR="006C66CA" w:rsidRPr="00EF2E8A" w:rsidRDefault="006C66CA" w:rsidP="00591C83">
            <w:pPr>
              <w:pStyle w:val="TableText"/>
              <w:keepNext/>
              <w:keepLines/>
              <w:widowControl/>
              <w:spacing w:line="259" w:lineRule="auto"/>
              <w:cnfStyle w:val="000000000000" w:firstRow="0" w:lastRow="0" w:firstColumn="0" w:lastColumn="0" w:oddVBand="0" w:evenVBand="0" w:oddHBand="0" w:evenHBand="0" w:firstRowFirstColumn="0" w:firstRowLastColumn="0" w:lastRowFirstColumn="0" w:lastRowLastColumn="0"/>
              <w:rPr>
                <w:lang w:val="en-AU"/>
              </w:rPr>
            </w:pPr>
            <w:r w:rsidRPr="00EF2E8A">
              <w:rPr>
                <w:lang w:val="en-AU"/>
              </w:rPr>
              <w:t>Test: In patients with high grade epithelial ovarian, fallopian tube or primary peritoneal carcinoma cancer, FRα testing is superior to no testing to identify patients suitable for MIRV treatment.</w:t>
            </w:r>
          </w:p>
          <w:p w14:paraId="7C61DBCA" w14:textId="04F0B0F8" w:rsidR="009075B4" w:rsidRPr="00EF2E8A" w:rsidRDefault="006C66CA" w:rsidP="00591C83">
            <w:pPr>
              <w:keepNext/>
              <w:keepLines/>
              <w:widowControl/>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sz w:val="20"/>
                <w:lang w:val="en-AU"/>
              </w:rPr>
              <w:t xml:space="preserve">Drug: </w:t>
            </w:r>
            <w:r w:rsidR="009075B4" w:rsidRPr="00EF2E8A">
              <w:rPr>
                <w:color w:val="auto"/>
                <w:sz w:val="20"/>
                <w:lang w:val="en-AU" w:eastAsia="en-US"/>
              </w:rPr>
              <w:t>In patients</w:t>
            </w:r>
            <w:r w:rsidR="009075B4" w:rsidRPr="00EF2E8A">
              <w:rPr>
                <w:color w:val="auto"/>
                <w:sz w:val="20"/>
                <w:szCs w:val="22"/>
                <w:lang w:val="en-AU" w:eastAsia="en-US"/>
              </w:rPr>
              <w:t xml:space="preserve"> with platinum</w:t>
            </w:r>
            <w:r w:rsidR="00A46D2B">
              <w:rPr>
                <w:color w:val="auto"/>
                <w:sz w:val="20"/>
                <w:szCs w:val="22"/>
                <w:lang w:val="en-AU" w:eastAsia="en-US"/>
              </w:rPr>
              <w:noBreakHyphen/>
            </w:r>
            <w:r w:rsidR="009075B4" w:rsidRPr="00EF2E8A">
              <w:rPr>
                <w:color w:val="auto"/>
                <w:sz w:val="20"/>
                <w:szCs w:val="22"/>
                <w:lang w:val="en-AU" w:eastAsia="en-US"/>
              </w:rPr>
              <w:t>resistant high</w:t>
            </w:r>
            <w:r w:rsidR="00A46D2B">
              <w:rPr>
                <w:color w:val="auto"/>
                <w:sz w:val="20"/>
                <w:szCs w:val="22"/>
                <w:lang w:val="en-AU" w:eastAsia="en-US"/>
              </w:rPr>
              <w:noBreakHyphen/>
            </w:r>
            <w:r w:rsidR="009075B4" w:rsidRPr="00EF2E8A">
              <w:rPr>
                <w:color w:val="auto"/>
                <w:sz w:val="20"/>
                <w:szCs w:val="22"/>
                <w:lang w:val="en-AU" w:eastAsia="en-US"/>
              </w:rPr>
              <w:t>grade epithelial ovarian, fallopian tube or primary peritoneal carcinoma cancer with high FRα expression, MIRV is:</w:t>
            </w:r>
          </w:p>
          <w:p w14:paraId="5139C8F8" w14:textId="43D0448B" w:rsidR="009075B4" w:rsidRPr="00EF2E8A" w:rsidRDefault="009075B4" w:rsidP="00591C83">
            <w:pPr>
              <w:keepNext/>
              <w:keepLines/>
              <w:widowControl/>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 Superior in terms of efficacy versus non</w:t>
            </w:r>
            <w:r w:rsidR="00A46D2B">
              <w:rPr>
                <w:color w:val="auto"/>
                <w:sz w:val="20"/>
                <w:szCs w:val="22"/>
                <w:lang w:val="en-AU" w:eastAsia="en-US"/>
              </w:rPr>
              <w:noBreakHyphen/>
            </w:r>
            <w:r w:rsidRPr="00EF2E8A">
              <w:rPr>
                <w:color w:val="auto"/>
                <w:sz w:val="20"/>
                <w:szCs w:val="22"/>
                <w:lang w:val="en-AU" w:eastAsia="en-US"/>
              </w:rPr>
              <w:t xml:space="preserve">platinum chemotherapy </w:t>
            </w:r>
            <w:proofErr w:type="gramStart"/>
            <w:r w:rsidRPr="00EF2E8A">
              <w:rPr>
                <w:color w:val="auto"/>
                <w:sz w:val="20"/>
                <w:szCs w:val="22"/>
                <w:lang w:val="en-AU" w:eastAsia="en-US"/>
              </w:rPr>
              <w:t>on the basis of</w:t>
            </w:r>
            <w:proofErr w:type="gramEnd"/>
            <w:r w:rsidRPr="00EF2E8A">
              <w:rPr>
                <w:color w:val="auto"/>
                <w:sz w:val="20"/>
                <w:szCs w:val="22"/>
                <w:lang w:val="en-AU" w:eastAsia="en-US"/>
              </w:rPr>
              <w:t xml:space="preserve"> OS.</w:t>
            </w:r>
          </w:p>
          <w:p w14:paraId="30DFC436" w14:textId="30AA2886" w:rsidR="009075B4" w:rsidRPr="00EF2E8A" w:rsidRDefault="009075B4" w:rsidP="00591C83">
            <w:pPr>
              <w:keepNext/>
              <w:keepLines/>
              <w:widowControl/>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 Superior in terms of efficacy versus non</w:t>
            </w:r>
            <w:r w:rsidR="00A46D2B">
              <w:rPr>
                <w:color w:val="auto"/>
                <w:sz w:val="20"/>
                <w:szCs w:val="22"/>
                <w:lang w:val="en-AU" w:eastAsia="en-US"/>
              </w:rPr>
              <w:noBreakHyphen/>
            </w:r>
            <w:r w:rsidRPr="00EF2E8A">
              <w:rPr>
                <w:color w:val="auto"/>
                <w:sz w:val="20"/>
                <w:szCs w:val="22"/>
                <w:lang w:val="en-AU" w:eastAsia="en-US"/>
              </w:rPr>
              <w:t xml:space="preserve">platinum chemotherapy + bevacizumab </w:t>
            </w:r>
            <w:proofErr w:type="gramStart"/>
            <w:r w:rsidRPr="00EF2E8A">
              <w:rPr>
                <w:color w:val="auto"/>
                <w:sz w:val="20"/>
                <w:szCs w:val="22"/>
                <w:lang w:val="en-AU" w:eastAsia="en-US"/>
              </w:rPr>
              <w:t>on the basis of</w:t>
            </w:r>
            <w:proofErr w:type="gramEnd"/>
            <w:r w:rsidRPr="00EF2E8A">
              <w:rPr>
                <w:color w:val="auto"/>
                <w:sz w:val="20"/>
                <w:szCs w:val="22"/>
                <w:lang w:val="en-AU" w:eastAsia="en-US"/>
              </w:rPr>
              <w:t xml:space="preserve"> OS. </w:t>
            </w:r>
          </w:p>
          <w:p w14:paraId="13771799" w14:textId="37846726" w:rsidR="009075B4" w:rsidRPr="00EF2E8A" w:rsidRDefault="009075B4" w:rsidP="00591C83">
            <w:pPr>
              <w:keepNext/>
              <w:keepLines/>
              <w:widowControl/>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 Non</w:t>
            </w:r>
            <w:r w:rsidR="00A46D2B">
              <w:rPr>
                <w:color w:val="auto"/>
                <w:sz w:val="20"/>
                <w:szCs w:val="22"/>
                <w:lang w:val="en-AU" w:eastAsia="en-US"/>
              </w:rPr>
              <w:noBreakHyphen/>
            </w:r>
            <w:r w:rsidRPr="00EF2E8A">
              <w:rPr>
                <w:color w:val="auto"/>
                <w:sz w:val="20"/>
                <w:szCs w:val="22"/>
                <w:lang w:val="en-AU" w:eastAsia="en-US"/>
              </w:rPr>
              <w:t>inferior in terms of safety but with a different safety profile to non</w:t>
            </w:r>
            <w:r w:rsidR="00A46D2B">
              <w:rPr>
                <w:color w:val="auto"/>
                <w:sz w:val="20"/>
                <w:szCs w:val="22"/>
                <w:lang w:val="en-AU" w:eastAsia="en-US"/>
              </w:rPr>
              <w:noBreakHyphen/>
            </w:r>
            <w:r w:rsidRPr="00EF2E8A">
              <w:rPr>
                <w:color w:val="auto"/>
                <w:sz w:val="20"/>
                <w:szCs w:val="22"/>
                <w:lang w:val="en-AU" w:eastAsia="en-US"/>
              </w:rPr>
              <w:t>platinum chemotherapy</w:t>
            </w:r>
          </w:p>
          <w:p w14:paraId="5AD1031A" w14:textId="622D81FB" w:rsidR="009075B4" w:rsidRPr="00EF2E8A" w:rsidRDefault="009075B4" w:rsidP="00591C83">
            <w:pPr>
              <w:keepNext/>
              <w:keepLines/>
              <w:widowControl/>
              <w:spacing w:before="0" w:line="259" w:lineRule="auto"/>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 Superior in terms of safety, with a different safety profile to non</w:t>
            </w:r>
            <w:r w:rsidR="00A46D2B">
              <w:rPr>
                <w:color w:val="auto"/>
                <w:sz w:val="20"/>
                <w:szCs w:val="22"/>
                <w:lang w:val="en-AU" w:eastAsia="en-US"/>
              </w:rPr>
              <w:noBreakHyphen/>
            </w:r>
            <w:r w:rsidRPr="00EF2E8A">
              <w:rPr>
                <w:color w:val="auto"/>
                <w:sz w:val="20"/>
                <w:szCs w:val="22"/>
                <w:lang w:val="en-AU" w:eastAsia="en-US"/>
              </w:rPr>
              <w:t xml:space="preserve">platinum chemotherapy + bevacizumab </w:t>
            </w:r>
          </w:p>
          <w:p w14:paraId="1F70D0F7" w14:textId="6AC450A8" w:rsidR="009075B4" w:rsidRPr="00EF2E8A" w:rsidRDefault="009075B4" w:rsidP="00591C83">
            <w:pPr>
              <w:keepNext/>
              <w:keepLines/>
              <w:widowControl/>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sz w:val="20"/>
                <w:szCs w:val="22"/>
                <w:lang w:val="en-AU" w:eastAsia="en-US"/>
              </w:rPr>
            </w:pPr>
            <w:r w:rsidRPr="00EF2E8A">
              <w:rPr>
                <w:color w:val="auto"/>
                <w:sz w:val="20"/>
                <w:szCs w:val="22"/>
                <w:lang w:val="en-AU" w:eastAsia="en-US"/>
              </w:rPr>
              <w:t>• Superior in terms of QoL to non</w:t>
            </w:r>
            <w:r w:rsidR="00A46D2B">
              <w:rPr>
                <w:color w:val="auto"/>
                <w:sz w:val="20"/>
                <w:szCs w:val="22"/>
                <w:lang w:val="en-AU" w:eastAsia="en-US"/>
              </w:rPr>
              <w:noBreakHyphen/>
            </w:r>
            <w:r w:rsidRPr="00EF2E8A">
              <w:rPr>
                <w:color w:val="auto"/>
                <w:sz w:val="20"/>
                <w:szCs w:val="22"/>
                <w:lang w:val="en-AU" w:eastAsia="en-US"/>
              </w:rPr>
              <w:t>platinum chemotherapy.</w:t>
            </w:r>
          </w:p>
        </w:tc>
      </w:tr>
    </w:tbl>
    <w:p w14:paraId="0B9052F5" w14:textId="10B63385" w:rsidR="009075B4" w:rsidRPr="00EF2E8A" w:rsidRDefault="009075B4" w:rsidP="00591C83">
      <w:pPr>
        <w:keepNext/>
        <w:keepLines/>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Source: Table 1.1 2 Key Components of the Clinical Issue Addressed by the Codependent Submission, pp5</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6 of the submission.</w:t>
      </w:r>
    </w:p>
    <w:p w14:paraId="3ACB34A1" w14:textId="12595F96" w:rsidR="009075B4" w:rsidRPr="00EF2E8A" w:rsidRDefault="009075B4" w:rsidP="00591C83">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FRα= folate</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receptor alpha; IHC= immunohistochemistry; MIRV= mirvetuximab soravtansine; OS= overall survival; PFS=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 QoL= quality of life.</w:t>
      </w:r>
    </w:p>
    <w:p w14:paraId="20AEE419" w14:textId="77777777" w:rsidR="009075B4" w:rsidRPr="00EF2E8A" w:rsidRDefault="009075B4" w:rsidP="00591C83">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vertAlign w:val="superscript"/>
          <w:lang w:eastAsia="en-AU"/>
        </w:rPr>
        <w:t>a</w:t>
      </w:r>
      <w:r w:rsidRPr="00EF2E8A">
        <w:rPr>
          <w:rFonts w:ascii="Arial Narrow" w:eastAsia="Times New Roman" w:hAnsi="Arial Narrow" w:cs="Arial"/>
          <w:snapToGrid w:val="0"/>
          <w:sz w:val="18"/>
          <w:lang w:eastAsia="en-AU"/>
        </w:rPr>
        <w:t xml:space="preserve"> although not included in the source table, the lack of an applicable reference standard for this test is stated elsewhere in the submission. </w:t>
      </w:r>
    </w:p>
    <w:p w14:paraId="7E96DD96" w14:textId="77777777" w:rsidR="009C4F22" w:rsidRPr="00EF2E8A" w:rsidRDefault="009C4F22" w:rsidP="00591C83">
      <w:pPr>
        <w:pStyle w:val="PBACESHeading1"/>
      </w:pPr>
      <w:bookmarkStart w:id="5" w:name="_Toc487029150"/>
      <w:bookmarkStart w:id="6" w:name="_Toc198721998"/>
      <w:r w:rsidRPr="00EF2E8A">
        <w:t>Background</w:t>
      </w:r>
      <w:bookmarkEnd w:id="5"/>
      <w:bookmarkEnd w:id="6"/>
    </w:p>
    <w:p w14:paraId="7CBFB7A1" w14:textId="77777777" w:rsidR="009C4F22" w:rsidRPr="00DA7817" w:rsidRDefault="008D7BF5" w:rsidP="00591C83">
      <w:pPr>
        <w:pStyle w:val="OutlineHeading2"/>
        <w:rPr>
          <w:rFonts w:ascii="Calibri" w:hAnsi="Calibri" w:cs="Calibri"/>
          <w:i w:val="0"/>
        </w:rPr>
      </w:pPr>
      <w:r w:rsidRPr="00DA7817">
        <w:rPr>
          <w:rFonts w:ascii="Calibri" w:hAnsi="Calibri" w:cs="Calibri"/>
          <w:i w:val="0"/>
        </w:rPr>
        <w:t xml:space="preserve">Registration </w:t>
      </w:r>
      <w:r w:rsidR="00854EF0" w:rsidRPr="00DA7817">
        <w:rPr>
          <w:rFonts w:ascii="Calibri" w:hAnsi="Calibri" w:cs="Calibri"/>
          <w:i w:val="0"/>
        </w:rPr>
        <w:t>st</w:t>
      </w:r>
      <w:r w:rsidRPr="00DA7817">
        <w:rPr>
          <w:rFonts w:ascii="Calibri" w:hAnsi="Calibri" w:cs="Calibri"/>
          <w:i w:val="0"/>
        </w:rPr>
        <w:t>atus</w:t>
      </w:r>
    </w:p>
    <w:p w14:paraId="61F48A4E" w14:textId="494FF1C1" w:rsidR="009E2636" w:rsidRDefault="004E351C" w:rsidP="00591C83">
      <w:pPr>
        <w:pStyle w:val="ListParagraph"/>
        <w:rPr>
          <w:color w:val="auto"/>
        </w:rPr>
      </w:pPr>
      <w:r w:rsidRPr="00DA7817">
        <w:rPr>
          <w:color w:val="auto"/>
        </w:rPr>
        <w:t xml:space="preserve">A Therapeutic Goods Administration (TGA) application for MIRV was lodged on </w:t>
      </w:r>
      <w:r w:rsidR="00591C83">
        <w:rPr>
          <w:color w:val="auto"/>
        </w:rPr>
        <w:br/>
      </w:r>
      <w:r w:rsidRPr="00DA7817">
        <w:rPr>
          <w:color w:val="auto"/>
        </w:rPr>
        <w:t xml:space="preserve">19 December 2024 for treatment of adult patients </w:t>
      </w:r>
      <w:r w:rsidRPr="00DA7817">
        <w:t xml:space="preserve">with </w:t>
      </w:r>
      <w:r w:rsidRPr="00DA7817">
        <w:rPr>
          <w:rFonts w:cs="Calibri"/>
        </w:rPr>
        <w:t>FRα positive, platinum</w:t>
      </w:r>
      <w:r w:rsidR="00A46D2B">
        <w:rPr>
          <w:rFonts w:cs="Calibri"/>
        </w:rPr>
        <w:noBreakHyphen/>
      </w:r>
      <w:r w:rsidRPr="00DA7817">
        <w:rPr>
          <w:rFonts w:cs="Calibri"/>
        </w:rPr>
        <w:t xml:space="preserve">resistant epithelial ovarian, fallopian tube or primary peritoneal cancer who have received one to three prior systemic treatment regimens. </w:t>
      </w:r>
      <w:r w:rsidRPr="00DA7817">
        <w:rPr>
          <w:color w:val="auto"/>
        </w:rPr>
        <w:t xml:space="preserve">The application was made under the TGA comparable overseas regulator </w:t>
      </w:r>
      <w:r w:rsidR="00205404" w:rsidRPr="00DA7817">
        <w:rPr>
          <w:color w:val="auto"/>
        </w:rPr>
        <w:t xml:space="preserve">(COR) </w:t>
      </w:r>
      <w:r w:rsidRPr="00DA7817">
        <w:rPr>
          <w:color w:val="auto"/>
        </w:rPr>
        <w:t xml:space="preserve">pathway, based on approval of MIRV in the European Union (EU). </w:t>
      </w:r>
      <w:r w:rsidRPr="00DA7817">
        <w:rPr>
          <w:rFonts w:cs="Calibri"/>
        </w:rPr>
        <w:t>No TGA documents were available during the evaluation.</w:t>
      </w:r>
      <w:r w:rsidRPr="00DA7817">
        <w:rPr>
          <w:color w:val="auto"/>
        </w:rPr>
        <w:t xml:space="preserve"> The submission was made under the TGA/</w:t>
      </w:r>
      <w:r w:rsidR="007F1318" w:rsidRPr="00DA7817" w:rsidDel="007F1318">
        <w:rPr>
          <w:color w:val="auto"/>
        </w:rPr>
        <w:t xml:space="preserve"> </w:t>
      </w:r>
      <w:r w:rsidRPr="00DA7817">
        <w:rPr>
          <w:color w:val="auto"/>
        </w:rPr>
        <w:t xml:space="preserve">PBAC Parallel Process. </w:t>
      </w:r>
      <w:r w:rsidR="00DE1CDF" w:rsidRPr="00DA7817">
        <w:rPr>
          <w:color w:val="auto"/>
        </w:rPr>
        <w:t xml:space="preserve">During the evaluation, the sponsor for MIRV advised that the TGA Delegate's </w:t>
      </w:r>
      <w:r w:rsidR="009B67C5" w:rsidRPr="00DA7817">
        <w:rPr>
          <w:color w:val="auto"/>
        </w:rPr>
        <w:t xml:space="preserve">request for ACM </w:t>
      </w:r>
      <w:r w:rsidR="00DE1CDF" w:rsidRPr="00DA7817">
        <w:rPr>
          <w:color w:val="auto"/>
        </w:rPr>
        <w:t>advice for the drug component would be available by 2 September 2025 and the outcome from the TGA Advisory Committee on Medicines (ACM) would be available by 24 October 2025.</w:t>
      </w:r>
      <w:r w:rsidR="00F7772F" w:rsidRPr="00DA7817">
        <w:t xml:space="preserve"> </w:t>
      </w:r>
      <w:r w:rsidR="00F7772F" w:rsidRPr="00DA7817">
        <w:rPr>
          <w:color w:val="auto"/>
        </w:rPr>
        <w:t xml:space="preserve">The Clinical Evaluation Report (CER) </w:t>
      </w:r>
      <w:r w:rsidR="0067722A" w:rsidRPr="00DA7817">
        <w:rPr>
          <w:color w:val="auto"/>
        </w:rPr>
        <w:t>for the COR report</w:t>
      </w:r>
      <w:r w:rsidR="00A46D2B">
        <w:rPr>
          <w:color w:val="auto"/>
        </w:rPr>
        <w:noBreakHyphen/>
      </w:r>
      <w:r w:rsidR="0067722A" w:rsidRPr="00DA7817">
        <w:rPr>
          <w:color w:val="auto"/>
        </w:rPr>
        <w:t xml:space="preserve">based process </w:t>
      </w:r>
      <w:r w:rsidR="00F7772F" w:rsidRPr="00DA7817">
        <w:rPr>
          <w:color w:val="auto"/>
        </w:rPr>
        <w:t>was provided with the Pre</w:t>
      </w:r>
      <w:r w:rsidR="00A46D2B">
        <w:rPr>
          <w:color w:val="auto"/>
        </w:rPr>
        <w:noBreakHyphen/>
      </w:r>
      <w:r w:rsidR="00F7772F" w:rsidRPr="00DA7817">
        <w:rPr>
          <w:color w:val="auto"/>
        </w:rPr>
        <w:t>PBAC response</w:t>
      </w:r>
      <w:r w:rsidR="00205404" w:rsidRPr="00DA7817">
        <w:rPr>
          <w:color w:val="auto"/>
        </w:rPr>
        <w:t xml:space="preserve">. The </w:t>
      </w:r>
      <w:r w:rsidR="0067722A" w:rsidRPr="00DA7817">
        <w:rPr>
          <w:color w:val="auto"/>
        </w:rPr>
        <w:t>Pre</w:t>
      </w:r>
      <w:r w:rsidR="00A46D2B">
        <w:rPr>
          <w:color w:val="auto"/>
        </w:rPr>
        <w:noBreakHyphen/>
      </w:r>
      <w:r w:rsidR="0067722A" w:rsidRPr="00DA7817">
        <w:rPr>
          <w:color w:val="auto"/>
        </w:rPr>
        <w:t xml:space="preserve">PBAC response noted that the </w:t>
      </w:r>
      <w:r w:rsidR="00205404" w:rsidRPr="00DA7817">
        <w:rPr>
          <w:color w:val="auto"/>
        </w:rPr>
        <w:t xml:space="preserve">CER </w:t>
      </w:r>
      <w:r w:rsidR="00D44D3D">
        <w:rPr>
          <w:color w:val="auto"/>
        </w:rPr>
        <w:t xml:space="preserve">proposed </w:t>
      </w:r>
      <w:r w:rsidR="009E4783">
        <w:rPr>
          <w:color w:val="auto"/>
        </w:rPr>
        <w:t xml:space="preserve">indication aligns with </w:t>
      </w:r>
      <w:r w:rsidR="00F7772F" w:rsidRPr="00DA7817">
        <w:rPr>
          <w:color w:val="auto"/>
        </w:rPr>
        <w:t>the</w:t>
      </w:r>
      <w:r w:rsidR="009E4783">
        <w:rPr>
          <w:color w:val="auto"/>
        </w:rPr>
        <w:t xml:space="preserve"> </w:t>
      </w:r>
      <w:r w:rsidR="00F7772F" w:rsidRPr="00DA7817">
        <w:rPr>
          <w:color w:val="auto"/>
        </w:rPr>
        <w:t xml:space="preserve">EMA </w:t>
      </w:r>
      <w:r w:rsidR="00B27D3E" w:rsidRPr="00DA7817">
        <w:rPr>
          <w:color w:val="auto"/>
        </w:rPr>
        <w:t>indication and</w:t>
      </w:r>
      <w:r w:rsidR="009E4783">
        <w:rPr>
          <w:color w:val="auto"/>
        </w:rPr>
        <w:t xml:space="preserve"> includes </w:t>
      </w:r>
      <w:r w:rsidR="00F7772F" w:rsidRPr="00DA7817">
        <w:rPr>
          <w:color w:val="auto"/>
        </w:rPr>
        <w:t>'high grade serous'.</w:t>
      </w:r>
    </w:p>
    <w:p w14:paraId="5AF5F3B5" w14:textId="1DE10010" w:rsidR="00A4101F" w:rsidRPr="001774BE" w:rsidRDefault="00A4101F" w:rsidP="00591C83">
      <w:pPr>
        <w:pStyle w:val="ListParagraph"/>
        <w:numPr>
          <w:ilvl w:val="0"/>
          <w:numId w:val="0"/>
        </w:numPr>
        <w:ind w:left="720"/>
        <w:rPr>
          <w:color w:val="auto"/>
        </w:rPr>
      </w:pPr>
      <w:r w:rsidRPr="001774BE">
        <w:rPr>
          <w:color w:val="auto"/>
        </w:rPr>
        <w:t xml:space="preserve">The proposed indication </w:t>
      </w:r>
      <w:r w:rsidR="00237A03">
        <w:rPr>
          <w:color w:val="auto"/>
        </w:rPr>
        <w:t xml:space="preserve">based on the CER </w:t>
      </w:r>
      <w:r w:rsidRPr="001774BE">
        <w:rPr>
          <w:color w:val="auto"/>
        </w:rPr>
        <w:t xml:space="preserve">is: </w:t>
      </w:r>
      <w:r w:rsidR="001774BE" w:rsidRPr="001774BE">
        <w:rPr>
          <w:color w:val="auto"/>
        </w:rPr>
        <w:t>“</w:t>
      </w:r>
      <w:r w:rsidR="001774BE" w:rsidRPr="001774BE">
        <w:t>ELAHERE as monotherapy is indicated for the treatment of adult patients with folate</w:t>
      </w:r>
      <w:r w:rsidR="001774BE">
        <w:t xml:space="preserve"> </w:t>
      </w:r>
      <w:r w:rsidR="001774BE" w:rsidRPr="001774BE">
        <w:t>receptor</w:t>
      </w:r>
      <w:r w:rsidR="00A46D2B">
        <w:noBreakHyphen/>
      </w:r>
      <w:r w:rsidR="001774BE" w:rsidRPr="001774BE">
        <w:t>alpha (FR</w:t>
      </w:r>
      <w:r w:rsidR="001774BE" w:rsidRPr="001774BE">
        <w:rPr>
          <w:rFonts w:hint="eastAsia"/>
        </w:rPr>
        <w:t>α</w:t>
      </w:r>
      <w:r w:rsidR="001774BE" w:rsidRPr="001774BE">
        <w:t>) positive, platinum</w:t>
      </w:r>
      <w:r w:rsidR="00A46D2B">
        <w:noBreakHyphen/>
      </w:r>
      <w:r w:rsidR="001774BE" w:rsidRPr="001774BE">
        <w:t>resistant high grade serous epithelial ovarian, fallopian</w:t>
      </w:r>
      <w:r w:rsidR="001774BE">
        <w:t xml:space="preserve"> </w:t>
      </w:r>
      <w:r w:rsidR="001774BE" w:rsidRPr="001774BE">
        <w:t xml:space="preserve">tube, or primary </w:t>
      </w:r>
      <w:r w:rsidR="001774BE" w:rsidRPr="001774BE">
        <w:lastRenderedPageBreak/>
        <w:t>peritoneal cancer who have received one to three prior systemic treatment</w:t>
      </w:r>
      <w:r w:rsidR="001774BE">
        <w:t xml:space="preserve"> </w:t>
      </w:r>
      <w:r w:rsidR="001774BE" w:rsidRPr="001774BE">
        <w:rPr>
          <w:color w:val="auto"/>
        </w:rPr>
        <w:t>regimens.</w:t>
      </w:r>
      <w:r w:rsidR="001774BE">
        <w:rPr>
          <w:color w:val="auto"/>
        </w:rPr>
        <w:t>”</w:t>
      </w:r>
    </w:p>
    <w:p w14:paraId="5C5CC683" w14:textId="1945F309" w:rsidR="00506192" w:rsidRPr="00EF2E8A" w:rsidRDefault="00506192" w:rsidP="00591C83">
      <w:pPr>
        <w:rPr>
          <w:i/>
          <w:iCs/>
        </w:rPr>
      </w:pPr>
      <w:bookmarkStart w:id="7" w:name="_Hlk76375324"/>
      <w:r w:rsidRPr="00DA7817">
        <w:rPr>
          <w:i/>
          <w:iCs/>
        </w:rPr>
        <w:t>For more detail on PBAC’s view, see section 7 PBAC outcome.</w:t>
      </w:r>
      <w:bookmarkEnd w:id="7"/>
    </w:p>
    <w:p w14:paraId="4A2ECAFB" w14:textId="77777777" w:rsidR="004C000E" w:rsidRDefault="00245AD9" w:rsidP="00591C83">
      <w:pPr>
        <w:pStyle w:val="PBACESHeading1"/>
      </w:pPr>
      <w:bookmarkStart w:id="8" w:name="_Toc198721999"/>
      <w:bookmarkStart w:id="9" w:name="_Toc476306884"/>
      <w:bookmarkStart w:id="10" w:name="_Toc413139275"/>
      <w:r w:rsidRPr="00EF2E8A">
        <w:t>Requested listing</w:t>
      </w:r>
      <w:bookmarkEnd w:id="8"/>
    </w:p>
    <w:p w14:paraId="6342C848" w14:textId="75D68EEE" w:rsidR="00DA5E5C" w:rsidRPr="00DA5E5C" w:rsidRDefault="00DA5E5C" w:rsidP="00591C83">
      <w:pPr>
        <w:pStyle w:val="ListParagraph"/>
      </w:pPr>
      <w:r w:rsidRPr="00120A12">
        <w:t>S</w:t>
      </w:r>
      <w:r w:rsidR="00D63311">
        <w:t>ecretariat s</w:t>
      </w:r>
      <w:r w:rsidRPr="00120A12">
        <w:t xml:space="preserve">uggested additions </w:t>
      </w:r>
      <w:r w:rsidR="007114D5">
        <w:t xml:space="preserve">to the proposed listing </w:t>
      </w:r>
      <w:r w:rsidRPr="00120A12">
        <w:t xml:space="preserve">are in </w:t>
      </w:r>
      <w:r w:rsidRPr="00AF6520">
        <w:rPr>
          <w:iCs/>
        </w:rPr>
        <w:t>italics</w:t>
      </w:r>
      <w:r w:rsidRPr="00120A12">
        <w:t xml:space="preserve"> and deletions are in </w:t>
      </w:r>
      <w:r w:rsidRPr="00BE1940">
        <w:t>strikethrough.</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539"/>
        <w:gridCol w:w="631"/>
        <w:gridCol w:w="1637"/>
        <w:gridCol w:w="2227"/>
        <w:gridCol w:w="1174"/>
        <w:gridCol w:w="1057"/>
        <w:gridCol w:w="1751"/>
      </w:tblGrid>
      <w:tr w:rsidR="00C96AF7" w:rsidRPr="00EF2E8A" w14:paraId="08796A16" w14:textId="6A5A899F" w:rsidTr="00DE7BB9">
        <w:trPr>
          <w:cantSplit/>
          <w:trHeight w:val="20"/>
        </w:trPr>
        <w:tc>
          <w:tcPr>
            <w:tcW w:w="1557" w:type="pct"/>
            <w:gridSpan w:val="3"/>
            <w:vAlign w:val="center"/>
          </w:tcPr>
          <w:p w14:paraId="739CE9D7" w14:textId="1F2F9B99" w:rsidR="008878EC" w:rsidRPr="00EF2E8A" w:rsidRDefault="008878EC" w:rsidP="00760BE5">
            <w:pPr>
              <w:pStyle w:val="In-tableHeading"/>
              <w:rPr>
                <w:lang w:val="en-AU"/>
              </w:rPr>
            </w:pPr>
            <w:r w:rsidRPr="00EF2E8A">
              <w:rPr>
                <w:lang w:val="en-AU"/>
              </w:rPr>
              <w:lastRenderedPageBreak/>
              <w:t>MEDICINAL PRODUCT</w:t>
            </w:r>
          </w:p>
          <w:p w14:paraId="65C3E553" w14:textId="0DE5303D" w:rsidR="00DA5E5C" w:rsidRPr="00EF2E8A" w:rsidRDefault="008878EC" w:rsidP="00760BE5">
            <w:pPr>
              <w:pStyle w:val="In-tableHeading"/>
              <w:rPr>
                <w:lang w:val="en-AU"/>
              </w:rPr>
            </w:pPr>
            <w:r w:rsidRPr="00EF2E8A">
              <w:rPr>
                <w:lang w:val="en-AU"/>
              </w:rPr>
              <w:t>Form</w:t>
            </w:r>
          </w:p>
        </w:tc>
        <w:tc>
          <w:tcPr>
            <w:tcW w:w="1235" w:type="pct"/>
            <w:vAlign w:val="center"/>
          </w:tcPr>
          <w:p w14:paraId="274183AF" w14:textId="668ABA07" w:rsidR="008878EC" w:rsidRPr="00EF2E8A" w:rsidRDefault="008878EC" w:rsidP="00760BE5">
            <w:pPr>
              <w:pStyle w:val="In-tableHeading"/>
              <w:rPr>
                <w:lang w:val="en-AU"/>
              </w:rPr>
            </w:pPr>
            <w:r w:rsidRPr="00EF2E8A">
              <w:rPr>
                <w:lang w:val="en-AU"/>
              </w:rPr>
              <w:t>Dispensed Price Max Amt</w:t>
            </w:r>
          </w:p>
        </w:tc>
        <w:tc>
          <w:tcPr>
            <w:tcW w:w="651" w:type="pct"/>
            <w:vAlign w:val="center"/>
          </w:tcPr>
          <w:p w14:paraId="1765A4F2" w14:textId="392E9F41" w:rsidR="008878EC" w:rsidRPr="00EF2E8A" w:rsidRDefault="008878EC" w:rsidP="00760BE5">
            <w:pPr>
              <w:pStyle w:val="In-tableHeading"/>
              <w:rPr>
                <w:lang w:val="en-AU"/>
              </w:rPr>
            </w:pPr>
            <w:r w:rsidRPr="00EF2E8A">
              <w:rPr>
                <w:lang w:val="en-AU"/>
              </w:rPr>
              <w:t>Max. Amount</w:t>
            </w:r>
          </w:p>
        </w:tc>
        <w:tc>
          <w:tcPr>
            <w:tcW w:w="586" w:type="pct"/>
            <w:vAlign w:val="center"/>
          </w:tcPr>
          <w:p w14:paraId="31759F9F" w14:textId="3CE93AC4" w:rsidR="008878EC" w:rsidRPr="00EF2E8A" w:rsidRDefault="008878EC" w:rsidP="00760BE5">
            <w:pPr>
              <w:pStyle w:val="In-tableHeading"/>
              <w:rPr>
                <w:lang w:val="en-AU"/>
              </w:rPr>
            </w:pPr>
            <w:r w:rsidRPr="00EF2E8A">
              <w:rPr>
                <w:lang w:val="en-AU"/>
              </w:rPr>
              <w:t>№.of Rpts</w:t>
            </w:r>
          </w:p>
        </w:tc>
        <w:tc>
          <w:tcPr>
            <w:tcW w:w="971" w:type="pct"/>
            <w:vAlign w:val="center"/>
          </w:tcPr>
          <w:p w14:paraId="5B421AE7" w14:textId="034ADF06" w:rsidR="008878EC" w:rsidRPr="00EF2E8A" w:rsidRDefault="00777CB0" w:rsidP="00760BE5">
            <w:pPr>
              <w:pStyle w:val="In-tableHeading"/>
              <w:rPr>
                <w:lang w:val="en-AU"/>
              </w:rPr>
            </w:pPr>
            <w:r w:rsidRPr="00EF2E8A">
              <w:rPr>
                <w:lang w:val="en-AU"/>
              </w:rPr>
              <w:t>Available brands</w:t>
            </w:r>
          </w:p>
        </w:tc>
      </w:tr>
      <w:tr w:rsidR="00C96AF7" w:rsidRPr="00EF2E8A" w14:paraId="68B57310" w14:textId="6D4F088C" w:rsidTr="00DE7BB9">
        <w:trPr>
          <w:cantSplit/>
          <w:trHeight w:val="20"/>
        </w:trPr>
        <w:tc>
          <w:tcPr>
            <w:tcW w:w="1557" w:type="pct"/>
            <w:gridSpan w:val="3"/>
            <w:vAlign w:val="center"/>
          </w:tcPr>
          <w:p w14:paraId="34E780DF" w14:textId="7C1C9B8D" w:rsidR="008878EC" w:rsidRPr="00EF2E8A" w:rsidRDefault="008878EC" w:rsidP="00760BE5">
            <w:pPr>
              <w:pStyle w:val="TableText"/>
              <w:keepNext/>
              <w:widowControl/>
            </w:pPr>
            <w:r w:rsidRPr="00EF2E8A">
              <w:t>MIRVETUXIMAB SORAVTANSINE</w:t>
            </w:r>
          </w:p>
          <w:p w14:paraId="3047AB4D" w14:textId="3D3118A3" w:rsidR="008878EC" w:rsidRPr="00EF2E8A" w:rsidRDefault="008878EC" w:rsidP="00760BE5">
            <w:pPr>
              <w:pStyle w:val="TableText"/>
              <w:keepNext/>
              <w:widowControl/>
            </w:pPr>
            <w:r w:rsidRPr="00EF2E8A">
              <w:t>100 mg/20 mL vial</w:t>
            </w:r>
          </w:p>
        </w:tc>
        <w:tc>
          <w:tcPr>
            <w:tcW w:w="1235" w:type="pct"/>
          </w:tcPr>
          <w:p w14:paraId="48837CF8" w14:textId="33D1BD77" w:rsidR="008878EC" w:rsidRPr="00EF2E8A" w:rsidRDefault="008878EC" w:rsidP="00760BE5">
            <w:pPr>
              <w:pStyle w:val="TableText"/>
              <w:keepNext/>
              <w:widowControl/>
              <w:rPr>
                <w:u w:val="single"/>
              </w:rPr>
            </w:pPr>
            <w:r w:rsidRPr="00EF2E8A">
              <w:rPr>
                <w:u w:val="single"/>
              </w:rPr>
              <w:t>Public</w:t>
            </w:r>
          </w:p>
          <w:p w14:paraId="775E0152" w14:textId="78F48CCA" w:rsidR="008878EC" w:rsidRPr="001B4762" w:rsidRDefault="008878EC" w:rsidP="00760BE5">
            <w:pPr>
              <w:pStyle w:val="TableText"/>
              <w:keepNext/>
              <w:widowControl/>
            </w:pPr>
            <w:r w:rsidRPr="00EF2E8A">
              <w:t>$</w:t>
            </w:r>
            <w:r w:rsidR="00AF3C7B" w:rsidRPr="001338E4">
              <w:rPr>
                <w:color w:val="000000"/>
                <w:spacing w:val="51"/>
                <w:shd w:val="solid" w:color="000000" w:fill="000000"/>
                <w:fitText w:val="324" w:id="-629962240"/>
                <w14:textFill>
                  <w14:solidFill>
                    <w14:srgbClr w14:val="000000">
                      <w14:alpha w14:val="100000"/>
                    </w14:srgbClr>
                  </w14:solidFill>
                </w14:textFill>
              </w:rPr>
              <w:t>|||</w:t>
            </w:r>
            <w:r w:rsidR="00AF3C7B" w:rsidRPr="001338E4">
              <w:rPr>
                <w:color w:val="000000"/>
                <w:spacing w:val="1"/>
                <w:shd w:val="solid" w:color="000000" w:fill="000000"/>
                <w:fitText w:val="324" w:id="-629962240"/>
                <w14:textFill>
                  <w14:solidFill>
                    <w14:srgbClr w14:val="000000">
                      <w14:alpha w14:val="100000"/>
                    </w14:srgbClr>
                  </w14:solidFill>
                </w14:textFill>
              </w:rPr>
              <w:t>|</w:t>
            </w:r>
            <w:r w:rsidRPr="001B4762">
              <w:t xml:space="preserve"> (published) </w:t>
            </w:r>
          </w:p>
          <w:p w14:paraId="6C658EB6" w14:textId="6A9266A2" w:rsidR="008878EC" w:rsidRPr="001B4762" w:rsidRDefault="008878EC" w:rsidP="00760BE5">
            <w:pPr>
              <w:pStyle w:val="TableText"/>
              <w:keepNext/>
              <w:widowControl/>
            </w:pPr>
            <w:r w:rsidRPr="001B4762">
              <w:t>$</w:t>
            </w:r>
            <w:r w:rsidR="00AF3C7B" w:rsidRPr="001338E4">
              <w:rPr>
                <w:color w:val="000000"/>
                <w:spacing w:val="51"/>
                <w:shd w:val="solid" w:color="000000" w:fill="000000"/>
                <w:fitText w:val="324" w:id="-629962239"/>
                <w14:textFill>
                  <w14:solidFill>
                    <w14:srgbClr w14:val="000000">
                      <w14:alpha w14:val="100000"/>
                    </w14:srgbClr>
                  </w14:solidFill>
                </w14:textFill>
              </w:rPr>
              <w:t>|||</w:t>
            </w:r>
            <w:r w:rsidR="00AF3C7B" w:rsidRPr="001338E4">
              <w:rPr>
                <w:color w:val="000000"/>
                <w:spacing w:val="1"/>
                <w:shd w:val="solid" w:color="000000" w:fill="000000"/>
                <w:fitText w:val="324" w:id="-629962239"/>
                <w14:textFill>
                  <w14:solidFill>
                    <w14:srgbClr w14:val="000000">
                      <w14:alpha w14:val="100000"/>
                    </w14:srgbClr>
                  </w14:solidFill>
                </w14:textFill>
              </w:rPr>
              <w:t>|</w:t>
            </w:r>
            <w:r w:rsidRPr="001B4762">
              <w:t xml:space="preserve"> (effective)</w:t>
            </w:r>
          </w:p>
          <w:p w14:paraId="0F20D9ED" w14:textId="0BC387DE" w:rsidR="008878EC" w:rsidRPr="001B4762" w:rsidRDefault="008878EC" w:rsidP="00760BE5">
            <w:pPr>
              <w:pStyle w:val="TableText"/>
              <w:keepNext/>
              <w:widowControl/>
              <w:rPr>
                <w:u w:val="single"/>
              </w:rPr>
            </w:pPr>
            <w:r w:rsidRPr="001B4762">
              <w:rPr>
                <w:u w:val="single"/>
              </w:rPr>
              <w:t>Private</w:t>
            </w:r>
          </w:p>
          <w:p w14:paraId="7A550BAC" w14:textId="6977FE83" w:rsidR="008878EC" w:rsidRPr="001B4762" w:rsidRDefault="008878EC" w:rsidP="00760BE5">
            <w:pPr>
              <w:pStyle w:val="TableText"/>
              <w:keepNext/>
              <w:widowControl/>
            </w:pPr>
            <w:r w:rsidRPr="001B4762">
              <w:t>$</w:t>
            </w:r>
            <w:r w:rsidR="00AF3C7B" w:rsidRPr="001338E4">
              <w:rPr>
                <w:color w:val="000000"/>
                <w:spacing w:val="51"/>
                <w:shd w:val="solid" w:color="000000" w:fill="000000"/>
                <w:fitText w:val="324" w:id="-629962238"/>
                <w14:textFill>
                  <w14:solidFill>
                    <w14:srgbClr w14:val="000000">
                      <w14:alpha w14:val="100000"/>
                    </w14:srgbClr>
                  </w14:solidFill>
                </w14:textFill>
              </w:rPr>
              <w:t>|||</w:t>
            </w:r>
            <w:r w:rsidR="00AF3C7B" w:rsidRPr="001338E4">
              <w:rPr>
                <w:color w:val="000000"/>
                <w:spacing w:val="1"/>
                <w:shd w:val="solid" w:color="000000" w:fill="000000"/>
                <w:fitText w:val="324" w:id="-629962238"/>
                <w14:textFill>
                  <w14:solidFill>
                    <w14:srgbClr w14:val="000000">
                      <w14:alpha w14:val="100000"/>
                    </w14:srgbClr>
                  </w14:solidFill>
                </w14:textFill>
              </w:rPr>
              <w:t>|</w:t>
            </w:r>
            <w:r w:rsidRPr="001B4762">
              <w:t xml:space="preserve"> (published)</w:t>
            </w:r>
          </w:p>
          <w:p w14:paraId="2BADB6A1" w14:textId="26047AEB" w:rsidR="008878EC" w:rsidRPr="00EF2E8A" w:rsidRDefault="008878EC" w:rsidP="00760BE5">
            <w:pPr>
              <w:pStyle w:val="TableText"/>
              <w:keepNext/>
              <w:widowControl/>
            </w:pPr>
            <w:r w:rsidRPr="001B4762">
              <w:t>$</w:t>
            </w:r>
            <w:r w:rsidR="00AF3C7B" w:rsidRPr="001338E4">
              <w:rPr>
                <w:color w:val="000000"/>
                <w:spacing w:val="51"/>
                <w:shd w:val="solid" w:color="000000" w:fill="000000"/>
                <w:fitText w:val="324" w:id="-629962237"/>
                <w14:textFill>
                  <w14:solidFill>
                    <w14:srgbClr w14:val="000000">
                      <w14:alpha w14:val="100000"/>
                    </w14:srgbClr>
                  </w14:solidFill>
                </w14:textFill>
              </w:rPr>
              <w:t>|||</w:t>
            </w:r>
            <w:r w:rsidR="00AF3C7B" w:rsidRPr="001338E4">
              <w:rPr>
                <w:color w:val="000000"/>
                <w:spacing w:val="1"/>
                <w:shd w:val="solid" w:color="000000" w:fill="000000"/>
                <w:fitText w:val="324" w:id="-629962237"/>
                <w14:textFill>
                  <w14:solidFill>
                    <w14:srgbClr w14:val="000000">
                      <w14:alpha w14:val="100000"/>
                    </w14:srgbClr>
                  </w14:solidFill>
                </w14:textFill>
              </w:rPr>
              <w:t>|</w:t>
            </w:r>
            <w:r w:rsidRPr="001B4762">
              <w:t xml:space="preserve"> </w:t>
            </w:r>
            <w:r w:rsidRPr="00EF2E8A">
              <w:t>(effective)</w:t>
            </w:r>
          </w:p>
        </w:tc>
        <w:tc>
          <w:tcPr>
            <w:tcW w:w="651" w:type="pct"/>
            <w:vAlign w:val="center"/>
          </w:tcPr>
          <w:p w14:paraId="4243FCC1" w14:textId="5F1F58EE" w:rsidR="008878EC" w:rsidRPr="00EF2E8A" w:rsidRDefault="008878EC" w:rsidP="00760BE5">
            <w:pPr>
              <w:pStyle w:val="TableText"/>
              <w:keepNext/>
              <w:widowControl/>
              <w:jc w:val="center"/>
              <w:rPr>
                <w:vertAlign w:val="superscript"/>
              </w:rPr>
            </w:pPr>
            <w:r w:rsidRPr="00EF2E8A">
              <w:t>500 mg</w:t>
            </w:r>
          </w:p>
        </w:tc>
        <w:tc>
          <w:tcPr>
            <w:tcW w:w="586" w:type="pct"/>
            <w:vAlign w:val="center"/>
          </w:tcPr>
          <w:p w14:paraId="45444FC8" w14:textId="50D26C23" w:rsidR="008878EC" w:rsidRPr="00906AEA" w:rsidRDefault="008878EC" w:rsidP="00760BE5">
            <w:pPr>
              <w:pStyle w:val="TableText"/>
              <w:keepNext/>
              <w:widowControl/>
              <w:jc w:val="center"/>
              <w:rPr>
                <w:strike/>
              </w:rPr>
            </w:pPr>
            <w:r w:rsidRPr="00906AEA">
              <w:rPr>
                <w:strike/>
              </w:rPr>
              <w:t>8</w:t>
            </w:r>
            <w:r w:rsidR="00906AEA" w:rsidRPr="00906AEA">
              <w:rPr>
                <w:i/>
                <w:iCs/>
              </w:rPr>
              <w:t>7</w:t>
            </w:r>
          </w:p>
        </w:tc>
        <w:tc>
          <w:tcPr>
            <w:tcW w:w="971" w:type="pct"/>
            <w:vAlign w:val="center"/>
          </w:tcPr>
          <w:p w14:paraId="73FBE2DF" w14:textId="35DE5937" w:rsidR="00777CB0" w:rsidRPr="00EF2E8A" w:rsidRDefault="00777CB0" w:rsidP="00760BE5">
            <w:pPr>
              <w:pStyle w:val="TableText"/>
              <w:keepNext/>
              <w:widowControl/>
              <w:jc w:val="center"/>
            </w:pPr>
            <w:r w:rsidRPr="00EF2E8A">
              <w:t>ELAHERE</w:t>
            </w:r>
          </w:p>
          <w:p w14:paraId="3B9F3AB2" w14:textId="2E116B53" w:rsidR="008878EC" w:rsidRPr="00EF2E8A" w:rsidRDefault="008878EC" w:rsidP="00760BE5">
            <w:pPr>
              <w:pStyle w:val="TableText"/>
              <w:keepNext/>
              <w:widowControl/>
              <w:jc w:val="center"/>
            </w:pPr>
          </w:p>
        </w:tc>
      </w:tr>
      <w:tr w:rsidR="00FC63B9" w:rsidRPr="00BE1940" w14:paraId="2FCAAB2B" w14:textId="77777777" w:rsidTr="00DE7BB9">
        <w:trPr>
          <w:cantSplit/>
          <w:trHeight w:val="20"/>
        </w:trPr>
        <w:tc>
          <w:tcPr>
            <w:tcW w:w="5000" w:type="pct"/>
            <w:gridSpan w:val="7"/>
            <w:vAlign w:val="center"/>
          </w:tcPr>
          <w:p w14:paraId="0A67162E" w14:textId="77777777" w:rsidR="00FC63B9" w:rsidRPr="00BE1940" w:rsidRDefault="00FC63B9" w:rsidP="00760BE5">
            <w:pPr>
              <w:keepNext/>
              <w:spacing w:before="0" w:after="0"/>
              <w:rPr>
                <w:rFonts w:ascii="Arial Narrow" w:hAnsi="Arial Narrow" w:cs="Arial"/>
                <w:sz w:val="20"/>
                <w:szCs w:val="20"/>
              </w:rPr>
            </w:pPr>
          </w:p>
        </w:tc>
      </w:tr>
      <w:tr w:rsidR="00FC63B9" w:rsidRPr="00BE1940" w14:paraId="0799B9F3" w14:textId="77777777" w:rsidTr="00DE7BB9">
        <w:trPr>
          <w:cantSplit/>
          <w:trHeight w:val="20"/>
        </w:trPr>
        <w:tc>
          <w:tcPr>
            <w:tcW w:w="5000" w:type="pct"/>
            <w:gridSpan w:val="7"/>
            <w:vAlign w:val="center"/>
          </w:tcPr>
          <w:p w14:paraId="0D155CE7" w14:textId="77777777" w:rsidR="00FC63B9" w:rsidRPr="00BE1940" w:rsidRDefault="00FC63B9" w:rsidP="00760BE5">
            <w:pPr>
              <w:keepNext/>
              <w:spacing w:before="0" w:after="0"/>
              <w:rPr>
                <w:rFonts w:ascii="Arial Narrow" w:hAnsi="Arial Narrow" w:cs="Arial"/>
                <w:sz w:val="20"/>
                <w:szCs w:val="20"/>
              </w:rPr>
            </w:pPr>
            <w:r w:rsidRPr="00BE1940">
              <w:rPr>
                <w:rFonts w:ascii="Arial Narrow" w:hAnsi="Arial Narrow"/>
                <w:b/>
                <w:sz w:val="20"/>
                <w:szCs w:val="20"/>
              </w:rPr>
              <w:t>Restriction Summary [new] / Treatment of Concept: [new]</w:t>
            </w:r>
          </w:p>
        </w:tc>
      </w:tr>
      <w:tr w:rsidR="00FC63B9" w:rsidRPr="00BE1940" w14:paraId="56AD6D3F"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Merge w:val="restart"/>
          </w:tcPr>
          <w:p w14:paraId="2F7F6350" w14:textId="77777777" w:rsidR="00FC63B9" w:rsidRPr="00BE1940" w:rsidRDefault="00FC63B9" w:rsidP="00760BE5">
            <w:pPr>
              <w:keepNext/>
              <w:spacing w:before="0" w:after="0"/>
              <w:jc w:val="center"/>
              <w:rPr>
                <w:rFonts w:ascii="Arial Narrow" w:hAnsi="Arial Narrow" w:cs="Arial"/>
                <w:b/>
                <w:sz w:val="20"/>
                <w:szCs w:val="20"/>
              </w:rPr>
            </w:pPr>
            <w:r w:rsidRPr="00BE1940">
              <w:rPr>
                <w:rFonts w:ascii="Arial Narrow" w:hAnsi="Arial Narrow" w:cs="Arial"/>
                <w:b/>
                <w:sz w:val="20"/>
                <w:szCs w:val="20"/>
              </w:rPr>
              <w:t xml:space="preserve">Concept ID </w:t>
            </w:r>
            <w:r w:rsidRPr="00BE1940">
              <w:rPr>
                <w:rFonts w:ascii="Arial Narrow" w:hAnsi="Arial Narrow" w:cs="Arial"/>
                <w:sz w:val="20"/>
                <w:szCs w:val="20"/>
              </w:rPr>
              <w:t>(for internal Dept. use)</w:t>
            </w:r>
          </w:p>
        </w:tc>
        <w:tc>
          <w:tcPr>
            <w:tcW w:w="4351" w:type="pct"/>
            <w:gridSpan w:val="5"/>
          </w:tcPr>
          <w:p w14:paraId="4511CB34" w14:textId="77777777" w:rsidR="00FC63B9" w:rsidRPr="00BE1940" w:rsidRDefault="00FC63B9" w:rsidP="00760BE5">
            <w:pPr>
              <w:keepNext/>
              <w:spacing w:before="0" w:after="0"/>
              <w:rPr>
                <w:rFonts w:ascii="Arial Narrow" w:hAnsi="Arial Narrow" w:cs="Arial"/>
                <w:sz w:val="20"/>
                <w:szCs w:val="20"/>
              </w:rPr>
            </w:pPr>
            <w:r w:rsidRPr="00BE1940">
              <w:rPr>
                <w:rFonts w:ascii="Arial Narrow" w:hAnsi="Arial Narrow" w:cs="Arial"/>
                <w:b/>
                <w:sz w:val="20"/>
                <w:szCs w:val="20"/>
              </w:rPr>
              <w:t xml:space="preserve">Category / Program: </w:t>
            </w:r>
            <w:r w:rsidRPr="00BE1940">
              <w:rPr>
                <w:rFonts w:ascii="Arial Narrow" w:hAnsi="Arial Narrow" w:cs="Arial"/>
                <w:sz w:val="20"/>
                <w:szCs w:val="20"/>
              </w:rPr>
              <w:t>Section 100 – Efficient Funding of Chemotherapy Public/Private hospitals</w:t>
            </w:r>
          </w:p>
        </w:tc>
      </w:tr>
      <w:tr w:rsidR="00FC63B9" w:rsidRPr="00BE1940" w14:paraId="17771002"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Merge/>
          </w:tcPr>
          <w:p w14:paraId="5644DE2E" w14:textId="77777777" w:rsidR="00FC63B9" w:rsidRPr="00BE1940" w:rsidRDefault="00FC63B9" w:rsidP="00760BE5">
            <w:pPr>
              <w:keepNext/>
              <w:spacing w:before="0" w:after="0"/>
              <w:rPr>
                <w:rFonts w:ascii="Arial Narrow" w:hAnsi="Arial Narrow" w:cs="Arial"/>
                <w:sz w:val="20"/>
                <w:szCs w:val="20"/>
              </w:rPr>
            </w:pPr>
          </w:p>
        </w:tc>
        <w:tc>
          <w:tcPr>
            <w:tcW w:w="4351" w:type="pct"/>
            <w:gridSpan w:val="5"/>
          </w:tcPr>
          <w:p w14:paraId="2B0C71D0" w14:textId="77777777" w:rsidR="00FC63B9" w:rsidRPr="008F41F0" w:rsidRDefault="00FC63B9" w:rsidP="00760BE5">
            <w:pPr>
              <w:keepNext/>
              <w:spacing w:before="0" w:after="0"/>
              <w:rPr>
                <w:rFonts w:ascii="Arial Narrow" w:hAnsi="Arial Narrow" w:cs="Arial"/>
                <w:b/>
                <w:color w:val="FF0000"/>
                <w:sz w:val="20"/>
                <w:szCs w:val="20"/>
              </w:rPr>
            </w:pPr>
            <w:r w:rsidRPr="00BE1940">
              <w:rPr>
                <w:rFonts w:ascii="Arial Narrow" w:hAnsi="Arial Narrow" w:cs="Arial"/>
                <w:b/>
                <w:sz w:val="20"/>
                <w:szCs w:val="20"/>
              </w:rPr>
              <w:t xml:space="preserve">Prescriber type: </w:t>
            </w:r>
            <w:r w:rsidRPr="00BE1940">
              <w:rPr>
                <w:rFonts w:ascii="Arial Narrow" w:hAnsi="Arial Narrow" w:cs="Arial"/>
                <w:sz w:val="20"/>
                <w:szCs w:val="20"/>
              </w:rPr>
              <w:fldChar w:fldCharType="begin" w:fldLock="1">
                <w:ffData>
                  <w:name w:val=""/>
                  <w:enabled/>
                  <w:calcOnExit w:val="0"/>
                  <w:checkBox>
                    <w:sizeAuto/>
                    <w:default w:val="1"/>
                  </w:checkBox>
                </w:ffData>
              </w:fldChar>
            </w:r>
            <w:r w:rsidRPr="00BE1940">
              <w:rPr>
                <w:rFonts w:ascii="Arial Narrow" w:hAnsi="Arial Narrow" w:cs="Arial"/>
                <w:sz w:val="20"/>
                <w:szCs w:val="20"/>
              </w:rPr>
              <w:instrText xml:space="preserve"> FORMCHECKBOX </w:instrText>
            </w:r>
            <w:r w:rsidRPr="00BE1940">
              <w:rPr>
                <w:rFonts w:ascii="Arial Narrow" w:hAnsi="Arial Narrow" w:cs="Arial"/>
                <w:sz w:val="20"/>
                <w:szCs w:val="20"/>
              </w:rPr>
            </w:r>
            <w:r w:rsidRPr="00BE1940">
              <w:rPr>
                <w:rFonts w:ascii="Arial Narrow" w:hAnsi="Arial Narrow" w:cs="Arial"/>
                <w:sz w:val="20"/>
                <w:szCs w:val="20"/>
              </w:rPr>
              <w:fldChar w:fldCharType="separate"/>
            </w:r>
            <w:r w:rsidRPr="00BE1940">
              <w:rPr>
                <w:rFonts w:ascii="Arial Narrow" w:hAnsi="Arial Narrow" w:cs="Arial"/>
                <w:sz w:val="20"/>
                <w:szCs w:val="20"/>
              </w:rPr>
              <w:fldChar w:fldCharType="end"/>
            </w:r>
            <w:r w:rsidRPr="00BE1940">
              <w:rPr>
                <w:rFonts w:ascii="Arial Narrow" w:hAnsi="Arial Narrow" w:cs="Arial"/>
                <w:sz w:val="20"/>
                <w:szCs w:val="20"/>
              </w:rPr>
              <w:t xml:space="preserve">Medical Practitioners </w:t>
            </w:r>
          </w:p>
        </w:tc>
      </w:tr>
      <w:tr w:rsidR="00FC63B9" w:rsidRPr="00BE1940" w14:paraId="673C091F"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Merge/>
          </w:tcPr>
          <w:p w14:paraId="4DADCF3A" w14:textId="77777777" w:rsidR="00FC63B9" w:rsidRPr="00BE1940" w:rsidRDefault="00FC63B9" w:rsidP="00760BE5">
            <w:pPr>
              <w:keepNext/>
              <w:spacing w:before="0" w:after="0"/>
              <w:rPr>
                <w:rFonts w:ascii="Arial Narrow" w:hAnsi="Arial Narrow" w:cs="Arial"/>
                <w:sz w:val="20"/>
                <w:szCs w:val="20"/>
              </w:rPr>
            </w:pPr>
          </w:p>
        </w:tc>
        <w:tc>
          <w:tcPr>
            <w:tcW w:w="4351" w:type="pct"/>
            <w:gridSpan w:val="5"/>
          </w:tcPr>
          <w:p w14:paraId="1FF3CE3F" w14:textId="77777777" w:rsidR="00FC63B9" w:rsidRPr="00BE1940" w:rsidRDefault="00FC63B9" w:rsidP="00760BE5">
            <w:pPr>
              <w:keepNext/>
              <w:spacing w:before="0" w:after="0"/>
              <w:rPr>
                <w:rFonts w:ascii="Arial Narrow" w:eastAsia="Calibri" w:hAnsi="Arial Narrow" w:cs="Arial"/>
                <w:sz w:val="20"/>
                <w:szCs w:val="20"/>
              </w:rPr>
            </w:pPr>
            <w:r w:rsidRPr="00BE1940">
              <w:rPr>
                <w:rFonts w:ascii="Arial Narrow" w:hAnsi="Arial Narrow" w:cs="Arial"/>
                <w:b/>
                <w:sz w:val="20"/>
                <w:szCs w:val="20"/>
              </w:rPr>
              <w:t xml:space="preserve">Restriction type: </w:t>
            </w:r>
            <w:r w:rsidRPr="00BE1940">
              <w:rPr>
                <w:rFonts w:ascii="Arial Narrow" w:eastAsia="Calibri" w:hAnsi="Arial Narrow" w:cs="Arial"/>
                <w:sz w:val="20"/>
                <w:szCs w:val="20"/>
              </w:rPr>
              <w:fldChar w:fldCharType="begin" w:fldLock="1">
                <w:ffData>
                  <w:name w:val="Check3"/>
                  <w:enabled/>
                  <w:calcOnExit w:val="0"/>
                  <w:checkBox>
                    <w:sizeAuto/>
                    <w:default w:val="1"/>
                  </w:checkBox>
                </w:ffData>
              </w:fldChar>
            </w:r>
            <w:r w:rsidRPr="00BE1940">
              <w:rPr>
                <w:rFonts w:ascii="Arial Narrow" w:eastAsia="Calibri" w:hAnsi="Arial Narrow" w:cs="Arial"/>
                <w:sz w:val="20"/>
                <w:szCs w:val="20"/>
              </w:rPr>
              <w:instrText xml:space="preserve"> FORMCHECKBOX </w:instrText>
            </w:r>
            <w:r w:rsidRPr="00BE1940">
              <w:rPr>
                <w:rFonts w:ascii="Arial Narrow" w:eastAsia="Calibri" w:hAnsi="Arial Narrow" w:cs="Arial"/>
                <w:sz w:val="20"/>
                <w:szCs w:val="20"/>
              </w:rPr>
            </w:r>
            <w:r w:rsidRPr="00BE1940">
              <w:rPr>
                <w:rFonts w:ascii="Arial Narrow" w:eastAsia="Calibri" w:hAnsi="Arial Narrow" w:cs="Arial"/>
                <w:sz w:val="20"/>
                <w:szCs w:val="20"/>
              </w:rPr>
              <w:fldChar w:fldCharType="separate"/>
            </w:r>
            <w:r w:rsidRPr="00BE1940">
              <w:rPr>
                <w:rFonts w:ascii="Arial Narrow" w:eastAsia="Calibri" w:hAnsi="Arial Narrow" w:cs="Arial"/>
                <w:sz w:val="20"/>
                <w:szCs w:val="20"/>
              </w:rPr>
              <w:fldChar w:fldCharType="end"/>
            </w:r>
            <w:r w:rsidRPr="00BE1940">
              <w:rPr>
                <w:rFonts w:ascii="Arial Narrow" w:eastAsia="Calibri" w:hAnsi="Arial Narrow" w:cs="Arial"/>
                <w:sz w:val="20"/>
                <w:szCs w:val="20"/>
              </w:rPr>
              <w:t xml:space="preserve">Authority Required – immediate assessment (telephone/online PBS Authorities system) </w:t>
            </w:r>
          </w:p>
        </w:tc>
      </w:tr>
      <w:tr w:rsidR="00FC63B9" w:rsidRPr="00BE1940" w14:paraId="55ECDB51" w14:textId="77777777" w:rsidTr="00DE7BB9">
        <w:tblPrEx>
          <w:tblCellMar>
            <w:top w:w="15" w:type="dxa"/>
            <w:bottom w:w="15" w:type="dxa"/>
          </w:tblCellMar>
          <w:tblLook w:val="04A0" w:firstRow="1" w:lastRow="0" w:firstColumn="1" w:lastColumn="0" w:noHBand="0" w:noVBand="1"/>
        </w:tblPrEx>
        <w:trPr>
          <w:trHeight w:val="20"/>
        </w:trPr>
        <w:tc>
          <w:tcPr>
            <w:tcW w:w="299" w:type="pct"/>
            <w:vMerge w:val="restart"/>
            <w:textDirection w:val="btLr"/>
            <w:vAlign w:val="center"/>
          </w:tcPr>
          <w:p w14:paraId="0536D9FC" w14:textId="00E3BC63" w:rsidR="00FC63B9" w:rsidRPr="00BE1940" w:rsidRDefault="00FC63B9" w:rsidP="00760BE5">
            <w:pPr>
              <w:keepNext/>
              <w:spacing w:before="0" w:after="0"/>
              <w:ind w:right="113"/>
              <w:jc w:val="center"/>
              <w:rPr>
                <w:rFonts w:ascii="Arial Narrow" w:eastAsia="Times New Roman" w:hAnsi="Arial Narrow"/>
                <w:sz w:val="20"/>
                <w:szCs w:val="20"/>
                <w:lang w:eastAsia="en-AU"/>
              </w:rPr>
            </w:pPr>
            <w:r w:rsidRPr="00BE1940">
              <w:rPr>
                <w:rFonts w:ascii="Arial Narrow" w:eastAsia="Times New Roman" w:hAnsi="Arial Narrow"/>
                <w:sz w:val="20"/>
                <w:szCs w:val="20"/>
                <w:lang w:eastAsia="en-AU"/>
              </w:rPr>
              <w:t>Prescribing rule level</w:t>
            </w:r>
          </w:p>
        </w:tc>
        <w:tc>
          <w:tcPr>
            <w:tcW w:w="350" w:type="pct"/>
            <w:vAlign w:val="center"/>
          </w:tcPr>
          <w:p w14:paraId="2455455B" w14:textId="7A03F940" w:rsidR="00FC63B9" w:rsidRPr="00BE1940" w:rsidRDefault="00FC63B9" w:rsidP="00760BE5">
            <w:pPr>
              <w:keepNext/>
              <w:spacing w:before="0" w:after="0"/>
              <w:ind w:hanging="35"/>
              <w:jc w:val="center"/>
              <w:rPr>
                <w:rFonts w:ascii="Arial Narrow" w:eastAsia="Times New Roman" w:hAnsi="Arial Narrow"/>
                <w:strike/>
                <w:sz w:val="20"/>
                <w:szCs w:val="20"/>
                <w:lang w:eastAsia="en-AU"/>
              </w:rPr>
            </w:pPr>
          </w:p>
        </w:tc>
        <w:tc>
          <w:tcPr>
            <w:tcW w:w="4351" w:type="pct"/>
            <w:gridSpan w:val="5"/>
            <w:vAlign w:val="center"/>
          </w:tcPr>
          <w:p w14:paraId="76527F5C" w14:textId="449BE7E2" w:rsidR="00FC63B9" w:rsidRPr="00BE1940" w:rsidRDefault="00FC63B9" w:rsidP="00760BE5">
            <w:pPr>
              <w:keepNext/>
              <w:spacing w:before="0" w:after="0"/>
              <w:rPr>
                <w:rFonts w:ascii="Arial Narrow" w:eastAsia="Times New Roman" w:hAnsi="Arial Narrow"/>
                <w:strike/>
                <w:sz w:val="20"/>
                <w:szCs w:val="20"/>
                <w:lang w:eastAsia="en-AU"/>
              </w:rPr>
            </w:pPr>
            <w:r w:rsidRPr="00BE1940">
              <w:rPr>
                <w:rFonts w:ascii="Arial Narrow" w:eastAsia="Times New Roman" w:hAnsi="Arial Narrow"/>
                <w:b/>
                <w:bCs/>
                <w:strike/>
                <w:sz w:val="20"/>
                <w:szCs w:val="20"/>
                <w:lang w:eastAsia="en-AU"/>
              </w:rPr>
              <w:t xml:space="preserve">Administrative Advice: </w:t>
            </w:r>
            <w:r w:rsidRPr="00BE1940">
              <w:rPr>
                <w:rFonts w:ascii="Arial Narrow" w:eastAsia="Times New Roman" w:hAnsi="Arial Narrow"/>
                <w:strike/>
                <w:sz w:val="20"/>
                <w:szCs w:val="20"/>
                <w:lang w:eastAsia="en-AU"/>
              </w:rPr>
              <w:t>Following 1 line of platinum therapy, platinum resistance is defined as having received at least four cycles of a platinum</w:t>
            </w:r>
            <w:r w:rsidR="00A46D2B">
              <w:rPr>
                <w:rFonts w:ascii="Arial Narrow" w:eastAsia="Times New Roman" w:hAnsi="Arial Narrow"/>
                <w:strike/>
                <w:sz w:val="20"/>
                <w:szCs w:val="20"/>
                <w:lang w:eastAsia="en-AU"/>
              </w:rPr>
              <w:noBreakHyphen/>
            </w:r>
            <w:r w:rsidRPr="00BE1940">
              <w:rPr>
                <w:rFonts w:ascii="Arial Narrow" w:eastAsia="Times New Roman" w:hAnsi="Arial Narrow"/>
                <w:strike/>
                <w:sz w:val="20"/>
                <w:szCs w:val="20"/>
                <w:lang w:eastAsia="en-AU"/>
              </w:rPr>
              <w:t xml:space="preserve">containing regimen and then have experienced disease progression between 3 and 6 months after their last dose. </w:t>
            </w:r>
          </w:p>
        </w:tc>
      </w:tr>
      <w:tr w:rsidR="00FC63B9" w:rsidRPr="00BE1940" w14:paraId="02D946D5" w14:textId="77777777" w:rsidTr="00DE7BB9">
        <w:tblPrEx>
          <w:tblCellMar>
            <w:top w:w="15" w:type="dxa"/>
            <w:bottom w:w="15" w:type="dxa"/>
          </w:tblCellMar>
          <w:tblLook w:val="04A0" w:firstRow="1" w:lastRow="0" w:firstColumn="1" w:lastColumn="0" w:noHBand="0" w:noVBand="1"/>
        </w:tblPrEx>
        <w:trPr>
          <w:trHeight w:val="20"/>
        </w:trPr>
        <w:tc>
          <w:tcPr>
            <w:tcW w:w="299" w:type="pct"/>
            <w:vMerge/>
            <w:vAlign w:val="center"/>
          </w:tcPr>
          <w:p w14:paraId="7AA685AB" w14:textId="77777777" w:rsidR="00FC63B9" w:rsidRPr="00BE1940" w:rsidRDefault="00FC63B9" w:rsidP="00760BE5">
            <w:pPr>
              <w:keepNext/>
              <w:spacing w:before="0" w:after="0"/>
              <w:jc w:val="center"/>
              <w:rPr>
                <w:rFonts w:ascii="Arial Narrow" w:eastAsia="Times New Roman" w:hAnsi="Arial Narrow"/>
                <w:sz w:val="20"/>
                <w:szCs w:val="20"/>
                <w:lang w:eastAsia="en-AU"/>
              </w:rPr>
            </w:pPr>
          </w:p>
        </w:tc>
        <w:tc>
          <w:tcPr>
            <w:tcW w:w="350" w:type="pct"/>
            <w:vAlign w:val="center"/>
          </w:tcPr>
          <w:p w14:paraId="6162E9C1" w14:textId="057DF9B9" w:rsidR="00FC63B9" w:rsidRPr="00BE1940" w:rsidRDefault="00FC63B9" w:rsidP="00760BE5">
            <w:pPr>
              <w:keepNext/>
              <w:spacing w:before="0" w:after="0"/>
              <w:ind w:hanging="35"/>
              <w:jc w:val="center"/>
              <w:rPr>
                <w:rFonts w:ascii="Arial Narrow" w:eastAsia="Times New Roman" w:hAnsi="Arial Narrow"/>
                <w:strike/>
                <w:sz w:val="20"/>
                <w:szCs w:val="20"/>
                <w:lang w:eastAsia="en-AU"/>
              </w:rPr>
            </w:pPr>
          </w:p>
        </w:tc>
        <w:tc>
          <w:tcPr>
            <w:tcW w:w="4351" w:type="pct"/>
            <w:gridSpan w:val="5"/>
            <w:vAlign w:val="center"/>
          </w:tcPr>
          <w:p w14:paraId="2AAE7C0A" w14:textId="77777777" w:rsidR="00FC63B9" w:rsidRPr="00BE1940" w:rsidRDefault="00FC63B9" w:rsidP="00760BE5">
            <w:pPr>
              <w:keepNext/>
              <w:spacing w:before="0" w:after="0"/>
              <w:rPr>
                <w:rFonts w:ascii="Arial Narrow" w:eastAsia="Times New Roman" w:hAnsi="Arial Narrow"/>
                <w:strike/>
                <w:sz w:val="20"/>
                <w:szCs w:val="20"/>
                <w:lang w:eastAsia="en-AU"/>
              </w:rPr>
            </w:pPr>
            <w:r w:rsidRPr="00BE1940">
              <w:rPr>
                <w:rFonts w:ascii="Arial Narrow" w:eastAsia="Times New Roman" w:hAnsi="Arial Narrow"/>
                <w:b/>
                <w:bCs/>
                <w:strike/>
                <w:sz w:val="20"/>
                <w:szCs w:val="20"/>
                <w:lang w:eastAsia="en-AU"/>
              </w:rPr>
              <w:t xml:space="preserve">Administrative Advice: </w:t>
            </w:r>
            <w:r w:rsidRPr="00BE1940">
              <w:rPr>
                <w:rFonts w:ascii="Arial Narrow" w:eastAsia="Times New Roman" w:hAnsi="Arial Narrow"/>
                <w:strike/>
                <w:sz w:val="20"/>
                <w:szCs w:val="20"/>
                <w:lang w:eastAsia="en-AU"/>
              </w:rPr>
              <w:t xml:space="preserve">Following 2 or more lines of platinum therapy, platinum resistance is defined as disease progression while receiving the therapy or within 6 months of the last dose. </w:t>
            </w:r>
          </w:p>
        </w:tc>
      </w:tr>
      <w:tr w:rsidR="00FC63B9" w:rsidRPr="00BE1940" w14:paraId="1BBE3803" w14:textId="77777777" w:rsidTr="00DE7BB9">
        <w:tblPrEx>
          <w:tblCellMar>
            <w:top w:w="15" w:type="dxa"/>
            <w:bottom w:w="15" w:type="dxa"/>
          </w:tblCellMar>
          <w:tblLook w:val="04A0" w:firstRow="1" w:lastRow="0" w:firstColumn="1" w:lastColumn="0" w:noHBand="0" w:noVBand="1"/>
        </w:tblPrEx>
        <w:trPr>
          <w:trHeight w:val="20"/>
        </w:trPr>
        <w:tc>
          <w:tcPr>
            <w:tcW w:w="299" w:type="pct"/>
            <w:vMerge/>
            <w:vAlign w:val="center"/>
          </w:tcPr>
          <w:p w14:paraId="647EF985" w14:textId="77777777" w:rsidR="00FC63B9" w:rsidRPr="00BE1940" w:rsidRDefault="00FC63B9" w:rsidP="00760BE5">
            <w:pPr>
              <w:keepNext/>
              <w:spacing w:before="0" w:after="0"/>
              <w:jc w:val="center"/>
              <w:rPr>
                <w:rFonts w:ascii="Arial Narrow" w:eastAsia="Times New Roman" w:hAnsi="Arial Narrow"/>
                <w:sz w:val="20"/>
                <w:szCs w:val="20"/>
                <w:lang w:eastAsia="en-AU"/>
              </w:rPr>
            </w:pPr>
          </w:p>
        </w:tc>
        <w:tc>
          <w:tcPr>
            <w:tcW w:w="350" w:type="pct"/>
            <w:vAlign w:val="center"/>
          </w:tcPr>
          <w:p w14:paraId="76376099" w14:textId="12C96F29" w:rsidR="00FC63B9" w:rsidRPr="00BE1940" w:rsidRDefault="00FC63B9" w:rsidP="00760BE5">
            <w:pPr>
              <w:keepNext/>
              <w:spacing w:before="0" w:after="0"/>
              <w:ind w:hanging="35"/>
              <w:jc w:val="center"/>
              <w:rPr>
                <w:rFonts w:ascii="Arial Narrow" w:eastAsia="Times New Roman" w:hAnsi="Arial Narrow"/>
                <w:sz w:val="20"/>
                <w:szCs w:val="20"/>
                <w:lang w:eastAsia="en-AU"/>
              </w:rPr>
            </w:pPr>
          </w:p>
        </w:tc>
        <w:tc>
          <w:tcPr>
            <w:tcW w:w="4351" w:type="pct"/>
            <w:gridSpan w:val="5"/>
            <w:vAlign w:val="center"/>
          </w:tcPr>
          <w:p w14:paraId="4581B309" w14:textId="63A650A0" w:rsidR="00FC63B9" w:rsidRPr="00BE1940" w:rsidRDefault="00FC63B9" w:rsidP="00760BE5">
            <w:pPr>
              <w:keepNext/>
              <w:spacing w:before="0" w:after="0"/>
              <w:rPr>
                <w:rFonts w:ascii="Arial Narrow" w:eastAsia="Times New Roman" w:hAnsi="Arial Narrow"/>
                <w:b/>
                <w:bCs/>
                <w:sz w:val="20"/>
                <w:szCs w:val="20"/>
                <w:lang w:eastAsia="en-AU"/>
              </w:rPr>
            </w:pPr>
            <w:r w:rsidRPr="00BE1940">
              <w:rPr>
                <w:rFonts w:ascii="Arial Narrow" w:eastAsia="Times New Roman" w:hAnsi="Arial Narrow"/>
                <w:b/>
                <w:bCs/>
                <w:sz w:val="20"/>
                <w:szCs w:val="20"/>
                <w:lang w:eastAsia="en-AU"/>
              </w:rPr>
              <w:t xml:space="preserve">Administrative Advice: </w:t>
            </w:r>
            <w:r w:rsidRPr="00BE1940">
              <w:rPr>
                <w:rFonts w:ascii="Arial Narrow" w:eastAsia="Times New Roman" w:hAnsi="Arial Narrow"/>
                <w:sz w:val="20"/>
                <w:szCs w:val="20"/>
                <w:lang w:eastAsia="en-AU"/>
              </w:rPr>
              <w:t>High FRα tumour cell expression is defined as having 75% or more tumour cells with FRα staining at moderate or high staining intensity (2+ staining) as determined by a validated test.</w:t>
            </w:r>
            <w:r w:rsidR="00B65B3F">
              <w:rPr>
                <w:rFonts w:ascii="Arial Narrow" w:eastAsia="Times New Roman" w:hAnsi="Arial Narrow"/>
                <w:sz w:val="20"/>
                <w:szCs w:val="20"/>
                <w:lang w:eastAsia="en-AU"/>
              </w:rPr>
              <w:t xml:space="preserve"> </w:t>
            </w:r>
          </w:p>
        </w:tc>
      </w:tr>
      <w:tr w:rsidR="00FC63B9" w:rsidRPr="00BE1940" w14:paraId="07EE551A" w14:textId="77777777" w:rsidTr="00DE7BB9">
        <w:tblPrEx>
          <w:tblCellMar>
            <w:top w:w="15" w:type="dxa"/>
            <w:bottom w:w="15" w:type="dxa"/>
          </w:tblCellMar>
          <w:tblLook w:val="04A0" w:firstRow="1" w:lastRow="0" w:firstColumn="1" w:lastColumn="0" w:noHBand="0" w:noVBand="1"/>
        </w:tblPrEx>
        <w:trPr>
          <w:trHeight w:val="20"/>
        </w:trPr>
        <w:tc>
          <w:tcPr>
            <w:tcW w:w="299" w:type="pct"/>
            <w:vMerge/>
            <w:vAlign w:val="center"/>
          </w:tcPr>
          <w:p w14:paraId="6B779976" w14:textId="77777777" w:rsidR="00FC63B9" w:rsidRPr="00BE1940" w:rsidRDefault="00FC63B9" w:rsidP="00760BE5">
            <w:pPr>
              <w:keepNext/>
              <w:spacing w:before="0" w:after="0"/>
              <w:jc w:val="center"/>
              <w:rPr>
                <w:rFonts w:ascii="Arial Narrow" w:eastAsia="Times New Roman" w:hAnsi="Arial Narrow"/>
                <w:sz w:val="20"/>
                <w:szCs w:val="20"/>
                <w:lang w:eastAsia="en-AU"/>
              </w:rPr>
            </w:pPr>
          </w:p>
        </w:tc>
        <w:tc>
          <w:tcPr>
            <w:tcW w:w="350" w:type="pct"/>
            <w:vAlign w:val="center"/>
          </w:tcPr>
          <w:p w14:paraId="664743EB" w14:textId="54BA3110" w:rsidR="00FC63B9" w:rsidRPr="00BE1940" w:rsidRDefault="00FC63B9" w:rsidP="00760BE5">
            <w:pPr>
              <w:keepNext/>
              <w:spacing w:before="0" w:after="0"/>
              <w:ind w:hanging="35"/>
              <w:jc w:val="center"/>
              <w:rPr>
                <w:rFonts w:ascii="Arial Narrow" w:eastAsia="Times New Roman" w:hAnsi="Arial Narrow"/>
                <w:i/>
                <w:iCs/>
                <w:sz w:val="20"/>
                <w:szCs w:val="20"/>
                <w:lang w:eastAsia="en-AU"/>
              </w:rPr>
            </w:pPr>
          </w:p>
        </w:tc>
        <w:tc>
          <w:tcPr>
            <w:tcW w:w="4351" w:type="pct"/>
            <w:gridSpan w:val="5"/>
            <w:vAlign w:val="center"/>
          </w:tcPr>
          <w:p w14:paraId="5705788B" w14:textId="77777777" w:rsidR="00FC63B9" w:rsidRPr="00BE1940" w:rsidRDefault="00FC63B9" w:rsidP="00760BE5">
            <w:pPr>
              <w:keepNext/>
              <w:spacing w:before="0" w:after="0"/>
              <w:rPr>
                <w:rFonts w:ascii="Arial Narrow" w:eastAsia="Times New Roman" w:hAnsi="Arial Narrow"/>
                <w:b/>
                <w:bCs/>
                <w:i/>
                <w:iCs/>
                <w:sz w:val="20"/>
                <w:szCs w:val="20"/>
                <w:lang w:eastAsia="en-AU"/>
              </w:rPr>
            </w:pPr>
            <w:r w:rsidRPr="00BE1940">
              <w:rPr>
                <w:rFonts w:ascii="Arial Narrow" w:hAnsi="Arial Narrow"/>
                <w:b/>
                <w:bCs/>
                <w:i/>
                <w:iCs/>
                <w:sz w:val="20"/>
                <w:szCs w:val="20"/>
              </w:rPr>
              <w:t xml:space="preserve">Administrative Advice: </w:t>
            </w:r>
            <w:r w:rsidRPr="00BE1940">
              <w:rPr>
                <w:rFonts w:ascii="Arial Narrow" w:hAnsi="Arial Narrow"/>
                <w:bCs/>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FC63B9" w:rsidRPr="00BE1940" w14:paraId="17AE10AE" w14:textId="77777777" w:rsidTr="00DE7BB9">
        <w:tblPrEx>
          <w:tblCellMar>
            <w:top w:w="15" w:type="dxa"/>
            <w:bottom w:w="15" w:type="dxa"/>
          </w:tblCellMar>
          <w:tblLook w:val="04A0" w:firstRow="1" w:lastRow="0" w:firstColumn="1" w:lastColumn="0" w:noHBand="0" w:noVBand="1"/>
        </w:tblPrEx>
        <w:trPr>
          <w:trHeight w:val="20"/>
        </w:trPr>
        <w:tc>
          <w:tcPr>
            <w:tcW w:w="299" w:type="pct"/>
            <w:vMerge/>
            <w:vAlign w:val="center"/>
          </w:tcPr>
          <w:p w14:paraId="5D43696F" w14:textId="77777777" w:rsidR="00FC63B9" w:rsidRPr="00BE1940" w:rsidRDefault="00FC63B9" w:rsidP="00760BE5">
            <w:pPr>
              <w:keepNext/>
              <w:spacing w:before="0" w:after="0"/>
              <w:jc w:val="center"/>
              <w:rPr>
                <w:rFonts w:ascii="Arial Narrow" w:eastAsia="Times New Roman" w:hAnsi="Arial Narrow"/>
                <w:sz w:val="20"/>
                <w:szCs w:val="20"/>
                <w:lang w:eastAsia="en-AU"/>
              </w:rPr>
            </w:pPr>
          </w:p>
        </w:tc>
        <w:tc>
          <w:tcPr>
            <w:tcW w:w="350" w:type="pct"/>
            <w:vAlign w:val="center"/>
          </w:tcPr>
          <w:p w14:paraId="7E30C0DB" w14:textId="05F9235C" w:rsidR="00FC63B9" w:rsidRPr="00BE1940" w:rsidRDefault="00FC63B9" w:rsidP="00760BE5">
            <w:pPr>
              <w:keepNext/>
              <w:spacing w:before="0" w:after="0"/>
              <w:ind w:hanging="35"/>
              <w:jc w:val="center"/>
              <w:rPr>
                <w:rFonts w:ascii="Arial Narrow" w:eastAsia="Times New Roman" w:hAnsi="Arial Narrow"/>
                <w:i/>
                <w:iCs/>
                <w:sz w:val="20"/>
                <w:szCs w:val="20"/>
                <w:lang w:eastAsia="en-AU"/>
              </w:rPr>
            </w:pPr>
          </w:p>
        </w:tc>
        <w:tc>
          <w:tcPr>
            <w:tcW w:w="4351" w:type="pct"/>
            <w:gridSpan w:val="5"/>
            <w:vAlign w:val="center"/>
          </w:tcPr>
          <w:p w14:paraId="2F63833A" w14:textId="77777777" w:rsidR="00FC63B9" w:rsidRPr="00BE1940" w:rsidRDefault="00FC63B9" w:rsidP="00760BE5">
            <w:pPr>
              <w:keepNext/>
              <w:spacing w:before="0" w:after="0"/>
              <w:rPr>
                <w:rFonts w:ascii="Arial Narrow" w:eastAsia="Times New Roman" w:hAnsi="Arial Narrow"/>
                <w:b/>
                <w:bCs/>
                <w:i/>
                <w:iCs/>
                <w:sz w:val="20"/>
                <w:szCs w:val="20"/>
                <w:lang w:eastAsia="en-AU"/>
              </w:rPr>
            </w:pPr>
            <w:r w:rsidRPr="00BE1940">
              <w:rPr>
                <w:rFonts w:ascii="Arial Narrow" w:hAnsi="Arial Narrow"/>
                <w:b/>
                <w:bCs/>
                <w:i/>
                <w:iCs/>
                <w:sz w:val="20"/>
                <w:szCs w:val="20"/>
              </w:rPr>
              <w:t xml:space="preserve">Administrative Advice: </w:t>
            </w:r>
            <w:r w:rsidRPr="00BE1940">
              <w:rPr>
                <w:rFonts w:ascii="Arial Narrow" w:hAnsi="Arial Narrow"/>
                <w:bCs/>
                <w:i/>
                <w:iCs/>
                <w:sz w:val="20"/>
                <w:szCs w:val="20"/>
              </w:rPr>
              <w:t>No increase in the maximum number of repeats may be authorised.</w:t>
            </w:r>
          </w:p>
        </w:tc>
      </w:tr>
      <w:tr w:rsidR="00FC63B9" w:rsidRPr="00BE1940" w14:paraId="1A413E0E" w14:textId="77777777" w:rsidTr="00DE7BB9">
        <w:tblPrEx>
          <w:tblCellMar>
            <w:top w:w="15" w:type="dxa"/>
            <w:bottom w:w="15" w:type="dxa"/>
          </w:tblCellMar>
          <w:tblLook w:val="04A0" w:firstRow="1" w:lastRow="0" w:firstColumn="1" w:lastColumn="0" w:noHBand="0" w:noVBand="1"/>
        </w:tblPrEx>
        <w:trPr>
          <w:trHeight w:val="20"/>
        </w:trPr>
        <w:tc>
          <w:tcPr>
            <w:tcW w:w="299" w:type="pct"/>
            <w:vAlign w:val="center"/>
          </w:tcPr>
          <w:p w14:paraId="0BC29711" w14:textId="77777777" w:rsidR="00FC63B9" w:rsidRPr="00BE1940" w:rsidRDefault="00FC63B9" w:rsidP="00760BE5">
            <w:pPr>
              <w:keepNext/>
              <w:spacing w:before="0" w:after="0"/>
              <w:jc w:val="center"/>
              <w:rPr>
                <w:rFonts w:ascii="Arial Narrow" w:eastAsia="Times New Roman" w:hAnsi="Arial Narrow"/>
                <w:sz w:val="20"/>
                <w:szCs w:val="20"/>
                <w:lang w:eastAsia="en-AU"/>
              </w:rPr>
            </w:pPr>
          </w:p>
        </w:tc>
        <w:tc>
          <w:tcPr>
            <w:tcW w:w="350" w:type="pct"/>
            <w:vAlign w:val="center"/>
          </w:tcPr>
          <w:p w14:paraId="432A0EF6" w14:textId="41CE2D27" w:rsidR="00FC63B9" w:rsidRPr="00BE1940" w:rsidRDefault="00FC63B9" w:rsidP="00760BE5">
            <w:pPr>
              <w:keepNext/>
              <w:spacing w:before="0" w:after="0"/>
              <w:ind w:hanging="35"/>
              <w:jc w:val="center"/>
              <w:rPr>
                <w:rFonts w:ascii="Arial Narrow" w:eastAsia="Times New Roman" w:hAnsi="Arial Narrow"/>
                <w:i/>
                <w:iCs/>
                <w:sz w:val="20"/>
                <w:szCs w:val="20"/>
                <w:lang w:eastAsia="en-AU"/>
              </w:rPr>
            </w:pPr>
          </w:p>
        </w:tc>
        <w:tc>
          <w:tcPr>
            <w:tcW w:w="4351" w:type="pct"/>
            <w:gridSpan w:val="5"/>
            <w:vAlign w:val="center"/>
          </w:tcPr>
          <w:p w14:paraId="3F8CDE84" w14:textId="77777777" w:rsidR="00FC63B9" w:rsidRPr="00BE1940" w:rsidRDefault="00FC63B9" w:rsidP="00760BE5">
            <w:pPr>
              <w:keepNext/>
              <w:spacing w:before="0" w:after="0"/>
              <w:rPr>
                <w:rFonts w:ascii="Arial Narrow" w:eastAsia="Times New Roman" w:hAnsi="Arial Narrow"/>
                <w:b/>
                <w:bCs/>
                <w:i/>
                <w:iCs/>
                <w:sz w:val="20"/>
                <w:szCs w:val="20"/>
                <w:lang w:eastAsia="en-AU"/>
              </w:rPr>
            </w:pPr>
            <w:r w:rsidRPr="00BE1940">
              <w:rPr>
                <w:rFonts w:ascii="Arial Narrow" w:hAnsi="Arial Narrow"/>
                <w:b/>
                <w:bCs/>
                <w:i/>
                <w:iCs/>
                <w:sz w:val="20"/>
                <w:szCs w:val="20"/>
              </w:rPr>
              <w:t xml:space="preserve">Administrative Advice: </w:t>
            </w:r>
            <w:r w:rsidRPr="00BE1940">
              <w:rPr>
                <w:rFonts w:ascii="Arial Narrow" w:hAnsi="Arial Narrow"/>
                <w:bCs/>
                <w:i/>
                <w:iCs/>
                <w:sz w:val="20"/>
                <w:szCs w:val="20"/>
              </w:rPr>
              <w:t>Special Pricing Arrangements apply.</w:t>
            </w:r>
          </w:p>
        </w:tc>
      </w:tr>
      <w:tr w:rsidR="00FC63B9" w:rsidRPr="00BE1940" w14:paraId="5D1A8034"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Merge w:val="restart"/>
            <w:vAlign w:val="center"/>
          </w:tcPr>
          <w:p w14:paraId="53F6593B" w14:textId="77777777" w:rsidR="00FC63B9" w:rsidRPr="00BE1940" w:rsidRDefault="00FC63B9" w:rsidP="00760BE5">
            <w:pPr>
              <w:keepNext/>
              <w:spacing w:before="0" w:after="0"/>
              <w:jc w:val="center"/>
              <w:rPr>
                <w:rFonts w:ascii="Arial Narrow" w:eastAsia="Times New Roman" w:hAnsi="Arial Narrow"/>
                <w:sz w:val="20"/>
                <w:szCs w:val="20"/>
                <w:lang w:eastAsia="en-AU"/>
              </w:rPr>
            </w:pPr>
          </w:p>
        </w:tc>
        <w:tc>
          <w:tcPr>
            <w:tcW w:w="4351" w:type="pct"/>
            <w:gridSpan w:val="5"/>
            <w:vAlign w:val="center"/>
          </w:tcPr>
          <w:p w14:paraId="2CCA047A" w14:textId="77777777" w:rsidR="00FC63B9" w:rsidRPr="00BE1940" w:rsidRDefault="00FC63B9" w:rsidP="00760BE5">
            <w:pPr>
              <w:keepNext/>
              <w:spacing w:before="0" w:after="0"/>
              <w:rPr>
                <w:rFonts w:ascii="Arial Narrow" w:eastAsia="Times New Roman" w:hAnsi="Arial Narrow"/>
                <w:bCs/>
                <w:sz w:val="20"/>
                <w:szCs w:val="20"/>
                <w:lang w:eastAsia="en-AU"/>
              </w:rPr>
            </w:pPr>
            <w:r w:rsidRPr="00BE1940">
              <w:rPr>
                <w:rFonts w:ascii="Arial Narrow" w:eastAsia="Times New Roman" w:hAnsi="Arial Narrow"/>
                <w:b/>
                <w:bCs/>
                <w:sz w:val="20"/>
                <w:szCs w:val="20"/>
                <w:lang w:eastAsia="en-AU"/>
              </w:rPr>
              <w:t xml:space="preserve">Episodicity: </w:t>
            </w:r>
            <w:r w:rsidRPr="00BE1940">
              <w:rPr>
                <w:rFonts w:ascii="Arial Narrow" w:eastAsia="Times New Roman" w:hAnsi="Arial Narrow"/>
                <w:sz w:val="20"/>
                <w:szCs w:val="20"/>
                <w:lang w:eastAsia="en-AU"/>
              </w:rPr>
              <w:t>[blank]</w:t>
            </w:r>
          </w:p>
        </w:tc>
      </w:tr>
      <w:tr w:rsidR="00FC63B9" w:rsidRPr="00BE1940" w14:paraId="567566FD"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Merge/>
            <w:vAlign w:val="center"/>
          </w:tcPr>
          <w:p w14:paraId="5CB53A75" w14:textId="77777777" w:rsidR="00FC63B9" w:rsidRPr="00BE1940" w:rsidRDefault="00FC63B9" w:rsidP="00760BE5">
            <w:pPr>
              <w:keepNext/>
              <w:spacing w:before="0" w:after="0"/>
              <w:jc w:val="center"/>
              <w:rPr>
                <w:rFonts w:ascii="Arial Narrow" w:eastAsia="Times New Roman" w:hAnsi="Arial Narrow"/>
                <w:sz w:val="20"/>
                <w:szCs w:val="20"/>
                <w:lang w:eastAsia="en-AU"/>
              </w:rPr>
            </w:pPr>
          </w:p>
        </w:tc>
        <w:tc>
          <w:tcPr>
            <w:tcW w:w="4351" w:type="pct"/>
            <w:gridSpan w:val="5"/>
            <w:vAlign w:val="center"/>
          </w:tcPr>
          <w:p w14:paraId="2F90861A" w14:textId="77777777" w:rsidR="00FC63B9" w:rsidRPr="00BE1940" w:rsidRDefault="00FC63B9" w:rsidP="00760BE5">
            <w:pPr>
              <w:keepNext/>
              <w:spacing w:before="0" w:after="0"/>
              <w:rPr>
                <w:rFonts w:ascii="Arial Narrow" w:eastAsia="Times New Roman" w:hAnsi="Arial Narrow"/>
                <w:bCs/>
                <w:sz w:val="20"/>
                <w:szCs w:val="20"/>
                <w:lang w:eastAsia="en-AU"/>
              </w:rPr>
            </w:pPr>
            <w:r w:rsidRPr="00BE1940">
              <w:rPr>
                <w:rFonts w:ascii="Arial Narrow" w:eastAsia="Times New Roman" w:hAnsi="Arial Narrow"/>
                <w:b/>
                <w:bCs/>
                <w:sz w:val="20"/>
                <w:szCs w:val="20"/>
                <w:lang w:eastAsia="en-AU"/>
              </w:rPr>
              <w:t xml:space="preserve">Severity: </w:t>
            </w:r>
            <w:r w:rsidRPr="00BE1940">
              <w:rPr>
                <w:rFonts w:ascii="Arial Narrow" w:eastAsia="Times New Roman" w:hAnsi="Arial Narrow"/>
                <w:bCs/>
                <w:sz w:val="20"/>
                <w:szCs w:val="20"/>
                <w:lang w:eastAsia="en-AU"/>
              </w:rPr>
              <w:t>High grade epithelial</w:t>
            </w:r>
          </w:p>
        </w:tc>
      </w:tr>
      <w:tr w:rsidR="00FC63B9" w:rsidRPr="00BE1940" w14:paraId="2DFA1512"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Merge/>
            <w:vAlign w:val="center"/>
          </w:tcPr>
          <w:p w14:paraId="70FCE60D" w14:textId="77777777" w:rsidR="00FC63B9" w:rsidRPr="00BE1940" w:rsidRDefault="00FC63B9" w:rsidP="00760BE5">
            <w:pPr>
              <w:keepNext/>
              <w:spacing w:before="0" w:after="0"/>
              <w:jc w:val="center"/>
              <w:rPr>
                <w:rFonts w:ascii="Arial Narrow" w:eastAsia="Times New Roman" w:hAnsi="Arial Narrow"/>
                <w:sz w:val="20"/>
                <w:szCs w:val="20"/>
                <w:lang w:eastAsia="en-AU"/>
              </w:rPr>
            </w:pPr>
          </w:p>
        </w:tc>
        <w:tc>
          <w:tcPr>
            <w:tcW w:w="4351" w:type="pct"/>
            <w:gridSpan w:val="5"/>
            <w:vAlign w:val="center"/>
          </w:tcPr>
          <w:p w14:paraId="31128160" w14:textId="77777777" w:rsidR="00FC63B9" w:rsidRPr="00BE1940" w:rsidRDefault="00FC63B9" w:rsidP="00760BE5">
            <w:pPr>
              <w:keepNext/>
              <w:spacing w:before="0" w:after="0"/>
              <w:rPr>
                <w:rFonts w:ascii="Arial Narrow" w:eastAsia="Times New Roman" w:hAnsi="Arial Narrow"/>
                <w:b/>
                <w:bCs/>
                <w:sz w:val="20"/>
                <w:szCs w:val="20"/>
                <w:lang w:eastAsia="en-AU"/>
              </w:rPr>
            </w:pPr>
            <w:r w:rsidRPr="00BE1940">
              <w:rPr>
                <w:rFonts w:ascii="Arial Narrow" w:eastAsia="Times New Roman" w:hAnsi="Arial Narrow"/>
                <w:b/>
                <w:bCs/>
                <w:sz w:val="20"/>
                <w:szCs w:val="20"/>
                <w:lang w:eastAsia="en-AU"/>
              </w:rPr>
              <w:t xml:space="preserve">Condition: </w:t>
            </w:r>
            <w:r w:rsidRPr="00BE1940">
              <w:rPr>
                <w:rFonts w:ascii="Arial Narrow" w:eastAsia="Times New Roman" w:hAnsi="Arial Narrow"/>
                <w:sz w:val="20"/>
                <w:szCs w:val="20"/>
                <w:lang w:eastAsia="en-AU"/>
              </w:rPr>
              <w:t>Ovarian, Fallopian Tube, or primary peritoneal cancer</w:t>
            </w:r>
          </w:p>
        </w:tc>
      </w:tr>
      <w:tr w:rsidR="00FC63B9" w:rsidRPr="00BE1940" w14:paraId="198047AE" w14:textId="77777777" w:rsidTr="00995E0C">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6E071B2B" w14:textId="1DA71BDE" w:rsidR="00FC63B9" w:rsidRPr="00BE1940" w:rsidRDefault="00FC63B9" w:rsidP="00760BE5">
            <w:pPr>
              <w:keepNext/>
              <w:spacing w:before="0" w:after="0"/>
              <w:jc w:val="center"/>
              <w:rPr>
                <w:rFonts w:ascii="Arial Narrow" w:eastAsia="Times New Roman" w:hAnsi="Arial Narrow"/>
                <w:i/>
                <w:iCs/>
                <w:sz w:val="20"/>
                <w:szCs w:val="20"/>
                <w:lang w:eastAsia="en-AU"/>
              </w:rPr>
            </w:pPr>
          </w:p>
        </w:tc>
        <w:tc>
          <w:tcPr>
            <w:tcW w:w="4351" w:type="pct"/>
            <w:gridSpan w:val="5"/>
            <w:vAlign w:val="center"/>
            <w:hideMark/>
          </w:tcPr>
          <w:p w14:paraId="21AA3357" w14:textId="77777777" w:rsidR="00FC63B9" w:rsidRPr="00BE1940" w:rsidRDefault="00FC63B9" w:rsidP="00760BE5">
            <w:pPr>
              <w:keepNext/>
              <w:spacing w:before="0" w:after="0"/>
              <w:rPr>
                <w:rFonts w:ascii="Arial Narrow" w:eastAsia="Times New Roman" w:hAnsi="Arial Narrow"/>
                <w:i/>
                <w:iCs/>
                <w:sz w:val="20"/>
                <w:szCs w:val="20"/>
                <w:lang w:eastAsia="en-AU"/>
              </w:rPr>
            </w:pPr>
            <w:r w:rsidRPr="00BE1940">
              <w:rPr>
                <w:rFonts w:ascii="Arial Narrow" w:eastAsia="Times New Roman" w:hAnsi="Arial Narrow"/>
                <w:b/>
                <w:bCs/>
                <w:i/>
                <w:iCs/>
                <w:sz w:val="20"/>
                <w:szCs w:val="20"/>
                <w:lang w:eastAsia="en-AU"/>
              </w:rPr>
              <w:t>Indication:</w:t>
            </w:r>
            <w:r w:rsidRPr="00BE1940">
              <w:rPr>
                <w:rFonts w:ascii="Arial Narrow" w:eastAsia="Times New Roman" w:hAnsi="Arial Narrow"/>
                <w:i/>
                <w:iCs/>
                <w:sz w:val="20"/>
                <w:szCs w:val="20"/>
                <w:lang w:eastAsia="en-AU"/>
              </w:rPr>
              <w:t xml:space="preserve"> High grade epithelial ovarian, fallopian tube or primary peritoneal cancer</w:t>
            </w:r>
          </w:p>
        </w:tc>
      </w:tr>
      <w:tr w:rsidR="00FC63B9" w:rsidRPr="00BE1940" w14:paraId="427D01BE" w14:textId="77777777" w:rsidTr="00995E0C">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694AA517" w14:textId="77777777" w:rsidR="00FC63B9" w:rsidRPr="00C50D31" w:rsidRDefault="00FC63B9" w:rsidP="00760BE5">
            <w:pPr>
              <w:keepNext/>
              <w:spacing w:before="0" w:after="0"/>
              <w:jc w:val="center"/>
              <w:rPr>
                <w:rFonts w:ascii="Arial Narrow" w:eastAsia="Times New Roman" w:hAnsi="Arial Narrow"/>
                <w:strike/>
                <w:sz w:val="20"/>
                <w:szCs w:val="20"/>
                <w:lang w:eastAsia="en-AU"/>
              </w:rPr>
            </w:pPr>
          </w:p>
        </w:tc>
        <w:tc>
          <w:tcPr>
            <w:tcW w:w="4351" w:type="pct"/>
            <w:gridSpan w:val="5"/>
            <w:vAlign w:val="center"/>
            <w:hideMark/>
          </w:tcPr>
          <w:p w14:paraId="6FAC5D1D" w14:textId="3D9F8E32" w:rsidR="00FC63B9" w:rsidRPr="00C50D31" w:rsidRDefault="00FC63B9" w:rsidP="00760BE5">
            <w:pPr>
              <w:keepNext/>
              <w:spacing w:before="0" w:after="0"/>
              <w:rPr>
                <w:rFonts w:ascii="Arial Narrow" w:eastAsia="Times New Roman" w:hAnsi="Arial Narrow"/>
                <w:strike/>
                <w:sz w:val="20"/>
                <w:szCs w:val="20"/>
                <w:lang w:eastAsia="en-AU"/>
              </w:rPr>
            </w:pPr>
            <w:r w:rsidRPr="00C50D31">
              <w:rPr>
                <w:rFonts w:ascii="Arial Narrow" w:eastAsia="Times New Roman" w:hAnsi="Arial Narrow"/>
                <w:b/>
                <w:bCs/>
                <w:strike/>
                <w:sz w:val="20"/>
                <w:szCs w:val="20"/>
                <w:lang w:eastAsia="en-AU"/>
              </w:rPr>
              <w:t>Treatment Phase:</w:t>
            </w:r>
            <w:r w:rsidRPr="00C50D31">
              <w:rPr>
                <w:rFonts w:ascii="Arial Narrow" w:eastAsia="Times New Roman" w:hAnsi="Arial Narrow"/>
                <w:strike/>
                <w:sz w:val="20"/>
                <w:szCs w:val="20"/>
                <w:lang w:eastAsia="en-AU"/>
              </w:rPr>
              <w:t xml:space="preserve"> Treatment of relapsed, platinum</w:t>
            </w:r>
            <w:r w:rsidR="00A46D2B">
              <w:rPr>
                <w:rFonts w:ascii="Arial Narrow" w:eastAsia="Times New Roman" w:hAnsi="Arial Narrow"/>
                <w:strike/>
                <w:sz w:val="20"/>
                <w:szCs w:val="20"/>
                <w:lang w:eastAsia="en-AU"/>
              </w:rPr>
              <w:noBreakHyphen/>
            </w:r>
            <w:r w:rsidRPr="00C50D31">
              <w:rPr>
                <w:rFonts w:ascii="Arial Narrow" w:eastAsia="Times New Roman" w:hAnsi="Arial Narrow"/>
                <w:strike/>
                <w:sz w:val="20"/>
                <w:szCs w:val="20"/>
                <w:lang w:eastAsia="en-AU"/>
              </w:rPr>
              <w:t>resistant disease</w:t>
            </w:r>
          </w:p>
        </w:tc>
      </w:tr>
      <w:tr w:rsidR="00FC63B9" w:rsidRPr="00BE1940" w14:paraId="257751F6" w14:textId="77777777" w:rsidTr="00995E0C">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5BF7E248" w14:textId="2EE4E04D" w:rsidR="00FC63B9" w:rsidRPr="00BE1940" w:rsidRDefault="00FC63B9" w:rsidP="00760BE5">
            <w:pPr>
              <w:keepNext/>
              <w:spacing w:before="0" w:after="0"/>
              <w:jc w:val="center"/>
              <w:rPr>
                <w:rFonts w:ascii="Arial Narrow" w:eastAsia="Times New Roman" w:hAnsi="Arial Narrow"/>
                <w:i/>
                <w:iCs/>
                <w:sz w:val="20"/>
                <w:szCs w:val="20"/>
                <w:lang w:eastAsia="en-AU"/>
              </w:rPr>
            </w:pPr>
          </w:p>
        </w:tc>
        <w:tc>
          <w:tcPr>
            <w:tcW w:w="4351" w:type="pct"/>
            <w:gridSpan w:val="5"/>
            <w:vAlign w:val="center"/>
            <w:hideMark/>
          </w:tcPr>
          <w:p w14:paraId="4DDCAA1F" w14:textId="3903E84B" w:rsidR="00FC63B9" w:rsidRPr="00BE1940" w:rsidRDefault="00FC63B9" w:rsidP="00760BE5">
            <w:pPr>
              <w:keepNext/>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Clinical criteria:</w:t>
            </w:r>
          </w:p>
        </w:tc>
      </w:tr>
      <w:tr w:rsidR="00FC63B9" w:rsidRPr="00BE1940" w14:paraId="02DE4EE2" w14:textId="77777777" w:rsidTr="00995E0C">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6D901704" w14:textId="1D7DBCD9" w:rsidR="00FC63B9" w:rsidRPr="00BE1940" w:rsidRDefault="00FC63B9" w:rsidP="00760BE5">
            <w:pPr>
              <w:keepNext/>
              <w:spacing w:before="0" w:after="0"/>
              <w:jc w:val="center"/>
              <w:rPr>
                <w:rFonts w:ascii="Arial Narrow" w:eastAsia="Times New Roman" w:hAnsi="Arial Narrow"/>
                <w:i/>
                <w:iCs/>
                <w:sz w:val="20"/>
                <w:szCs w:val="20"/>
                <w:lang w:eastAsia="en-AU"/>
              </w:rPr>
            </w:pPr>
          </w:p>
        </w:tc>
        <w:tc>
          <w:tcPr>
            <w:tcW w:w="4351" w:type="pct"/>
            <w:gridSpan w:val="5"/>
            <w:vAlign w:val="center"/>
            <w:hideMark/>
          </w:tcPr>
          <w:p w14:paraId="4BCFEDB0" w14:textId="11A15776" w:rsidR="00FC63B9" w:rsidRPr="00BE1940" w:rsidRDefault="00FC63B9" w:rsidP="00760BE5">
            <w:pPr>
              <w:keepNext/>
              <w:spacing w:before="0" w:after="0"/>
              <w:rPr>
                <w:rFonts w:ascii="Arial Narrow" w:eastAsia="Times New Roman" w:hAnsi="Arial Narrow"/>
                <w:bCs/>
                <w:sz w:val="20"/>
                <w:szCs w:val="20"/>
                <w:lang w:eastAsia="en-AU"/>
              </w:rPr>
            </w:pPr>
            <w:r w:rsidRPr="00BE1940">
              <w:rPr>
                <w:rFonts w:ascii="Arial Narrow" w:eastAsia="Times New Roman" w:hAnsi="Arial Narrow"/>
                <w:bCs/>
                <w:sz w:val="20"/>
                <w:szCs w:val="20"/>
                <w:lang w:eastAsia="en-AU"/>
              </w:rPr>
              <w:t xml:space="preserve">The condition must </w:t>
            </w:r>
            <w:r w:rsidRPr="009E372C">
              <w:rPr>
                <w:rFonts w:ascii="Arial Narrow" w:eastAsia="Times New Roman" w:hAnsi="Arial Narrow"/>
                <w:bCs/>
                <w:sz w:val="20"/>
                <w:szCs w:val="20"/>
                <w:lang w:eastAsia="en-AU"/>
              </w:rPr>
              <w:t>have relapsed after at least one prior therapy</w:t>
            </w:r>
            <w:r w:rsidR="00AC7875">
              <w:rPr>
                <w:rFonts w:ascii="Arial Narrow" w:eastAsia="Times New Roman" w:hAnsi="Arial Narrow"/>
                <w:bCs/>
                <w:sz w:val="20"/>
                <w:szCs w:val="20"/>
                <w:lang w:eastAsia="en-AU"/>
              </w:rPr>
              <w:t>.</w:t>
            </w:r>
          </w:p>
        </w:tc>
      </w:tr>
      <w:tr w:rsidR="00FC63B9" w:rsidRPr="00BE1940" w14:paraId="77B51DF1" w14:textId="77777777" w:rsidTr="00995E0C">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2584F4B1" w14:textId="77777777" w:rsidR="00FC63B9" w:rsidRPr="00BE1940" w:rsidRDefault="00FC63B9" w:rsidP="00760BE5">
            <w:pPr>
              <w:keepNext/>
              <w:spacing w:before="0" w:after="0"/>
              <w:jc w:val="center"/>
              <w:rPr>
                <w:rFonts w:ascii="Arial Narrow" w:eastAsia="Times New Roman" w:hAnsi="Arial Narrow"/>
                <w:sz w:val="20"/>
                <w:szCs w:val="20"/>
                <w:lang w:eastAsia="en-AU"/>
              </w:rPr>
            </w:pPr>
          </w:p>
        </w:tc>
        <w:tc>
          <w:tcPr>
            <w:tcW w:w="4351" w:type="pct"/>
            <w:gridSpan w:val="5"/>
            <w:vAlign w:val="center"/>
            <w:hideMark/>
          </w:tcPr>
          <w:p w14:paraId="78ABF3CE" w14:textId="77777777" w:rsidR="00FC63B9" w:rsidRPr="00BE1940" w:rsidRDefault="00FC63B9" w:rsidP="00760BE5">
            <w:pPr>
              <w:keepNext/>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AND</w:t>
            </w:r>
          </w:p>
        </w:tc>
      </w:tr>
      <w:tr w:rsidR="00B21E4F" w:rsidRPr="00BE1940" w14:paraId="59E84C90"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2340424A" w14:textId="7BC28042" w:rsidR="00B21E4F" w:rsidRPr="00411E34" w:rsidRDefault="00B21E4F" w:rsidP="00760BE5">
            <w:pPr>
              <w:keepNext/>
              <w:spacing w:before="0" w:after="0"/>
              <w:jc w:val="center"/>
              <w:rPr>
                <w:rFonts w:ascii="Arial Narrow" w:eastAsia="Times New Roman" w:hAnsi="Arial Narrow"/>
                <w:i/>
                <w:sz w:val="20"/>
                <w:szCs w:val="20"/>
                <w:lang w:eastAsia="en-AU"/>
              </w:rPr>
            </w:pPr>
          </w:p>
        </w:tc>
        <w:tc>
          <w:tcPr>
            <w:tcW w:w="4351" w:type="pct"/>
            <w:gridSpan w:val="5"/>
            <w:vAlign w:val="center"/>
          </w:tcPr>
          <w:p w14:paraId="733BD85D" w14:textId="13F42CB0" w:rsidR="00B21E4F" w:rsidRPr="00BE1940" w:rsidRDefault="00B21E4F" w:rsidP="00760BE5">
            <w:pPr>
              <w:keepNext/>
              <w:spacing w:before="0" w:after="0"/>
              <w:rPr>
                <w:rFonts w:ascii="Arial Narrow" w:eastAsia="Times New Roman" w:hAnsi="Arial Narrow"/>
                <w:b/>
                <w:bCs/>
                <w:sz w:val="20"/>
                <w:szCs w:val="20"/>
                <w:lang w:eastAsia="en-AU"/>
              </w:rPr>
            </w:pPr>
            <w:r w:rsidRPr="00BE1940">
              <w:rPr>
                <w:rFonts w:ascii="Arial Narrow" w:eastAsia="Times New Roman" w:hAnsi="Arial Narrow"/>
                <w:bCs/>
                <w:sz w:val="20"/>
                <w:szCs w:val="20"/>
                <w:lang w:eastAsia="en-AU"/>
              </w:rPr>
              <w:t xml:space="preserve">The condition must </w:t>
            </w:r>
            <w:r w:rsidRPr="009E372C">
              <w:rPr>
                <w:rFonts w:ascii="Arial Narrow" w:eastAsia="Times New Roman" w:hAnsi="Arial Narrow"/>
                <w:bCs/>
                <w:sz w:val="20"/>
                <w:szCs w:val="20"/>
                <w:lang w:eastAsia="en-AU"/>
              </w:rPr>
              <w:t>be considered platinum</w:t>
            </w:r>
            <w:r w:rsidR="00A46D2B">
              <w:rPr>
                <w:rFonts w:ascii="Arial Narrow" w:eastAsia="Times New Roman" w:hAnsi="Arial Narrow"/>
                <w:bCs/>
                <w:sz w:val="20"/>
                <w:szCs w:val="20"/>
                <w:lang w:eastAsia="en-AU"/>
              </w:rPr>
              <w:noBreakHyphen/>
            </w:r>
            <w:r w:rsidRPr="009E372C">
              <w:rPr>
                <w:rFonts w:ascii="Arial Narrow" w:eastAsia="Times New Roman" w:hAnsi="Arial Narrow"/>
                <w:bCs/>
                <w:sz w:val="20"/>
                <w:szCs w:val="20"/>
                <w:lang w:eastAsia="en-AU"/>
              </w:rPr>
              <w:t>resistant.</w:t>
            </w:r>
          </w:p>
        </w:tc>
      </w:tr>
      <w:tr w:rsidR="00A23A00" w:rsidRPr="00BE1940" w14:paraId="6F85542E"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17107C0E" w14:textId="77777777" w:rsidR="00A23A00" w:rsidRDefault="00A23A00" w:rsidP="00760BE5">
            <w:pPr>
              <w:keepNext/>
              <w:spacing w:before="0" w:after="0"/>
              <w:jc w:val="center"/>
              <w:rPr>
                <w:rFonts w:ascii="Arial Narrow" w:eastAsia="Times New Roman" w:hAnsi="Arial Narrow"/>
                <w:sz w:val="20"/>
                <w:szCs w:val="20"/>
                <w:lang w:eastAsia="en-AU"/>
              </w:rPr>
            </w:pPr>
          </w:p>
        </w:tc>
        <w:tc>
          <w:tcPr>
            <w:tcW w:w="4351" w:type="pct"/>
            <w:gridSpan w:val="5"/>
            <w:vAlign w:val="center"/>
          </w:tcPr>
          <w:p w14:paraId="6E73E782" w14:textId="09F9CA73" w:rsidR="00A23A00" w:rsidRPr="00A23A00" w:rsidRDefault="00A23A00" w:rsidP="00760BE5">
            <w:pPr>
              <w:keepNext/>
              <w:spacing w:before="0" w:after="0"/>
              <w:rPr>
                <w:rFonts w:ascii="Arial Narrow" w:eastAsia="Times New Roman" w:hAnsi="Arial Narrow"/>
                <w:b/>
                <w:sz w:val="20"/>
                <w:szCs w:val="20"/>
                <w:lang w:eastAsia="en-AU"/>
              </w:rPr>
            </w:pPr>
            <w:r w:rsidRPr="00A23A00">
              <w:rPr>
                <w:rFonts w:ascii="Arial Narrow" w:eastAsia="Times New Roman" w:hAnsi="Arial Narrow"/>
                <w:b/>
                <w:sz w:val="20"/>
                <w:szCs w:val="20"/>
                <w:lang w:eastAsia="en-AU"/>
              </w:rPr>
              <w:t>AND</w:t>
            </w:r>
          </w:p>
        </w:tc>
      </w:tr>
      <w:tr w:rsidR="00B21E4F" w:rsidRPr="00BE1940" w14:paraId="0EC43DBC"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7A4AAD58" w14:textId="6FBF635A" w:rsidR="00B21E4F" w:rsidRPr="00BE1940" w:rsidRDefault="00B21E4F" w:rsidP="00760BE5">
            <w:pPr>
              <w:keepNext/>
              <w:spacing w:before="0" w:after="0"/>
              <w:jc w:val="center"/>
              <w:rPr>
                <w:rFonts w:ascii="Arial Narrow" w:eastAsia="Times New Roman" w:hAnsi="Arial Narrow"/>
                <w:i/>
                <w:iCs/>
                <w:sz w:val="20"/>
                <w:szCs w:val="20"/>
                <w:lang w:eastAsia="en-AU"/>
              </w:rPr>
            </w:pPr>
          </w:p>
        </w:tc>
        <w:tc>
          <w:tcPr>
            <w:tcW w:w="4351" w:type="pct"/>
            <w:gridSpan w:val="5"/>
            <w:vAlign w:val="center"/>
            <w:hideMark/>
          </w:tcPr>
          <w:p w14:paraId="1DE9007B" w14:textId="77777777" w:rsidR="00B21E4F" w:rsidRPr="00BE1940" w:rsidRDefault="00B21E4F" w:rsidP="00760BE5">
            <w:pPr>
              <w:keepNext/>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Clinical criteria:</w:t>
            </w:r>
          </w:p>
        </w:tc>
      </w:tr>
      <w:tr w:rsidR="00B21E4F" w:rsidRPr="00BE1940" w14:paraId="2C303905"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198120FA" w14:textId="1C536BCF" w:rsidR="00B21E4F" w:rsidRPr="00BE1940" w:rsidRDefault="00B21E4F" w:rsidP="00760BE5">
            <w:pPr>
              <w:keepNext/>
              <w:spacing w:before="0" w:after="0"/>
              <w:jc w:val="center"/>
              <w:rPr>
                <w:rFonts w:ascii="Arial Narrow" w:eastAsia="Times New Roman" w:hAnsi="Arial Narrow"/>
                <w:i/>
                <w:iCs/>
                <w:sz w:val="20"/>
                <w:szCs w:val="20"/>
                <w:lang w:eastAsia="en-AU"/>
              </w:rPr>
            </w:pPr>
          </w:p>
        </w:tc>
        <w:tc>
          <w:tcPr>
            <w:tcW w:w="4351" w:type="pct"/>
            <w:gridSpan w:val="5"/>
            <w:vAlign w:val="center"/>
            <w:hideMark/>
          </w:tcPr>
          <w:p w14:paraId="09DADBD5" w14:textId="2A6BB426" w:rsidR="00B21E4F" w:rsidRPr="00BE1940" w:rsidRDefault="00B21E4F" w:rsidP="00760BE5">
            <w:pPr>
              <w:keepNext/>
              <w:spacing w:before="0" w:after="0"/>
              <w:rPr>
                <w:rFonts w:ascii="Arial Narrow" w:eastAsia="Times New Roman" w:hAnsi="Arial Narrow"/>
                <w:sz w:val="20"/>
                <w:szCs w:val="20"/>
                <w:lang w:eastAsia="en-AU"/>
              </w:rPr>
            </w:pPr>
            <w:r w:rsidRPr="72559442">
              <w:rPr>
                <w:rFonts w:ascii="Arial Narrow" w:eastAsia="Times New Roman" w:hAnsi="Arial Narrow"/>
                <w:sz w:val="20"/>
                <w:szCs w:val="20"/>
                <w:lang w:eastAsia="en-AU"/>
              </w:rPr>
              <w:t>Patient must have high FRα tumour cell expression as determined by a validated test.</w:t>
            </w:r>
            <w:r w:rsidR="00B65B3F">
              <w:rPr>
                <w:rFonts w:ascii="Arial Narrow" w:eastAsia="Times New Roman" w:hAnsi="Arial Narrow"/>
                <w:sz w:val="20"/>
                <w:szCs w:val="20"/>
                <w:lang w:eastAsia="en-AU"/>
              </w:rPr>
              <w:t xml:space="preserve"> </w:t>
            </w:r>
            <w:r w:rsidRPr="72559442">
              <w:rPr>
                <w:rFonts w:ascii="Arial Narrow" w:eastAsia="Times New Roman" w:hAnsi="Arial Narrow"/>
                <w:sz w:val="20"/>
                <w:szCs w:val="20"/>
                <w:lang w:eastAsia="en-AU"/>
              </w:rPr>
              <w:t xml:space="preserve"> </w:t>
            </w:r>
          </w:p>
        </w:tc>
      </w:tr>
      <w:tr w:rsidR="00B21E4F" w:rsidRPr="00BE1940" w14:paraId="51DCE717"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510848F6" w14:textId="77777777" w:rsidR="00B21E4F" w:rsidRPr="00BE1940" w:rsidRDefault="00B21E4F" w:rsidP="00760BE5">
            <w:pPr>
              <w:keepNext/>
              <w:spacing w:before="0" w:after="0"/>
              <w:jc w:val="center"/>
              <w:rPr>
                <w:rFonts w:ascii="Arial Narrow" w:eastAsia="Times New Roman" w:hAnsi="Arial Narrow"/>
                <w:sz w:val="20"/>
                <w:szCs w:val="20"/>
                <w:lang w:eastAsia="en-AU"/>
              </w:rPr>
            </w:pPr>
          </w:p>
        </w:tc>
        <w:tc>
          <w:tcPr>
            <w:tcW w:w="4351" w:type="pct"/>
            <w:gridSpan w:val="5"/>
            <w:vAlign w:val="center"/>
            <w:hideMark/>
          </w:tcPr>
          <w:p w14:paraId="45E3DE88" w14:textId="77777777" w:rsidR="00B21E4F" w:rsidRPr="00BE1940" w:rsidRDefault="00B21E4F" w:rsidP="00760BE5">
            <w:pPr>
              <w:keepNext/>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AND</w:t>
            </w:r>
          </w:p>
        </w:tc>
      </w:tr>
      <w:tr w:rsidR="00B21E4F" w:rsidRPr="00BE1940" w14:paraId="1BA449A6"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229A3579" w14:textId="77777777" w:rsidR="00B21E4F" w:rsidRPr="00BE1940" w:rsidRDefault="00B21E4F" w:rsidP="00760BE5">
            <w:pPr>
              <w:keepNext/>
              <w:spacing w:before="0" w:after="0"/>
              <w:jc w:val="center"/>
              <w:rPr>
                <w:rFonts w:ascii="Arial Narrow" w:eastAsia="Times New Roman" w:hAnsi="Arial Narrow"/>
                <w:strike/>
                <w:sz w:val="20"/>
                <w:szCs w:val="20"/>
                <w:lang w:eastAsia="en-AU"/>
              </w:rPr>
            </w:pPr>
          </w:p>
        </w:tc>
        <w:tc>
          <w:tcPr>
            <w:tcW w:w="4351" w:type="pct"/>
            <w:gridSpan w:val="5"/>
            <w:vAlign w:val="center"/>
            <w:hideMark/>
          </w:tcPr>
          <w:p w14:paraId="11022DD0" w14:textId="77777777" w:rsidR="00B21E4F" w:rsidRPr="00BE1940" w:rsidRDefault="00B21E4F" w:rsidP="00760BE5">
            <w:pPr>
              <w:keepNext/>
              <w:spacing w:before="0" w:after="0"/>
              <w:rPr>
                <w:rFonts w:ascii="Arial Narrow" w:eastAsia="Times New Roman" w:hAnsi="Arial Narrow"/>
                <w:strike/>
                <w:sz w:val="20"/>
                <w:szCs w:val="20"/>
                <w:lang w:eastAsia="en-AU"/>
              </w:rPr>
            </w:pPr>
            <w:r w:rsidRPr="00BE1940">
              <w:rPr>
                <w:rFonts w:ascii="Arial Narrow" w:eastAsia="Times New Roman" w:hAnsi="Arial Narrow"/>
                <w:b/>
                <w:bCs/>
                <w:strike/>
                <w:sz w:val="20"/>
                <w:szCs w:val="20"/>
                <w:lang w:eastAsia="en-AU"/>
              </w:rPr>
              <w:t>Clinical criteria:</w:t>
            </w:r>
          </w:p>
        </w:tc>
      </w:tr>
      <w:tr w:rsidR="00B21E4F" w:rsidRPr="00BE1940" w14:paraId="5B75C372"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vAlign w:val="center"/>
          </w:tcPr>
          <w:p w14:paraId="08AA2AEB" w14:textId="77777777" w:rsidR="00B21E4F" w:rsidRPr="00BE1940" w:rsidRDefault="00B21E4F" w:rsidP="00760BE5">
            <w:pPr>
              <w:keepNext/>
              <w:spacing w:before="0" w:after="0"/>
              <w:jc w:val="center"/>
              <w:rPr>
                <w:rFonts w:ascii="Arial Narrow" w:eastAsia="Times New Roman" w:hAnsi="Arial Narrow"/>
                <w:strike/>
                <w:sz w:val="20"/>
                <w:szCs w:val="20"/>
                <w:lang w:eastAsia="en-AU"/>
              </w:rPr>
            </w:pPr>
          </w:p>
        </w:tc>
        <w:tc>
          <w:tcPr>
            <w:tcW w:w="4351" w:type="pct"/>
            <w:gridSpan w:val="5"/>
            <w:vAlign w:val="center"/>
            <w:hideMark/>
          </w:tcPr>
          <w:p w14:paraId="033D2309" w14:textId="77777777" w:rsidR="00B21E4F" w:rsidRPr="00BE1940" w:rsidRDefault="00B21E4F" w:rsidP="00760BE5">
            <w:pPr>
              <w:keepNext/>
              <w:spacing w:before="0" w:after="0"/>
              <w:rPr>
                <w:rFonts w:ascii="Arial Narrow" w:eastAsia="Times New Roman" w:hAnsi="Arial Narrow"/>
                <w:bCs/>
                <w:strike/>
                <w:sz w:val="20"/>
                <w:szCs w:val="20"/>
                <w:lang w:eastAsia="en-AU"/>
              </w:rPr>
            </w:pPr>
            <w:r w:rsidRPr="00BE1940">
              <w:rPr>
                <w:rFonts w:ascii="Arial Narrow" w:eastAsia="Times New Roman" w:hAnsi="Arial Narrow"/>
                <w:bCs/>
                <w:strike/>
                <w:sz w:val="20"/>
                <w:szCs w:val="20"/>
                <w:lang w:eastAsia="en-AU"/>
              </w:rPr>
              <w:t xml:space="preserve">Patient must not have received previous treatment with this drug for this condition. </w:t>
            </w:r>
          </w:p>
        </w:tc>
      </w:tr>
      <w:tr w:rsidR="00B21E4F" w:rsidRPr="00DE26B1" w14:paraId="2F2EF92E"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tcPr>
          <w:p w14:paraId="69732E4B" w14:textId="48AA42BA" w:rsidR="00B21E4F" w:rsidRPr="00E23A74" w:rsidRDefault="00B21E4F" w:rsidP="00760BE5">
            <w:pPr>
              <w:keepNext/>
              <w:spacing w:before="0" w:after="0"/>
              <w:jc w:val="center"/>
              <w:rPr>
                <w:rFonts w:ascii="Arial Narrow" w:eastAsia="Times New Roman" w:hAnsi="Arial Narrow"/>
                <w:sz w:val="20"/>
                <w:szCs w:val="20"/>
                <w:lang w:eastAsia="en-AU"/>
              </w:rPr>
            </w:pPr>
          </w:p>
        </w:tc>
        <w:tc>
          <w:tcPr>
            <w:tcW w:w="4351" w:type="pct"/>
            <w:gridSpan w:val="5"/>
          </w:tcPr>
          <w:p w14:paraId="02C3DE2C" w14:textId="4F67F54C" w:rsidR="00B21E4F" w:rsidRPr="00FD4D0B" w:rsidRDefault="00B21E4F" w:rsidP="00760BE5">
            <w:pPr>
              <w:keepNext/>
              <w:spacing w:before="0" w:after="0"/>
              <w:rPr>
                <w:rFonts w:ascii="Arial Narrow" w:eastAsia="Times New Roman" w:hAnsi="Arial Narrow"/>
                <w:sz w:val="20"/>
                <w:szCs w:val="20"/>
                <w:lang w:eastAsia="en-AU"/>
              </w:rPr>
            </w:pPr>
            <w:r w:rsidRPr="00FD4D0B">
              <w:rPr>
                <w:rFonts w:ascii="Arial Narrow" w:eastAsia="Times New Roman" w:hAnsi="Arial Narrow" w:cs="Arial"/>
                <w:b/>
                <w:bCs/>
                <w:sz w:val="20"/>
                <w:szCs w:val="20"/>
                <w:lang w:eastAsia="en-AU"/>
              </w:rPr>
              <w:t>Clinical</w:t>
            </w:r>
            <w:r w:rsidRPr="00FD4D0B">
              <w:rPr>
                <w:rFonts w:ascii="Arial Narrow" w:eastAsia="Times New Roman" w:hAnsi="Arial Narrow" w:cs="Arial"/>
                <w:sz w:val="20"/>
                <w:szCs w:val="20"/>
                <w:lang w:eastAsia="en-AU"/>
              </w:rPr>
              <w:t xml:space="preserve"> </w:t>
            </w:r>
            <w:r w:rsidRPr="00FD4D0B">
              <w:rPr>
                <w:rFonts w:ascii="Arial Narrow" w:eastAsia="Times New Roman" w:hAnsi="Arial Narrow" w:cs="Arial"/>
                <w:b/>
                <w:bCs/>
                <w:sz w:val="20"/>
                <w:szCs w:val="20"/>
                <w:lang w:eastAsia="en-AU"/>
              </w:rPr>
              <w:t>criteria:</w:t>
            </w:r>
            <w:r w:rsidRPr="00FD4D0B">
              <w:rPr>
                <w:rFonts w:ascii="Arial Narrow" w:eastAsia="Times New Roman" w:hAnsi="Arial Narrow"/>
                <w:sz w:val="20"/>
                <w:szCs w:val="20"/>
                <w:lang w:eastAsia="en-AU"/>
              </w:rPr>
              <w:t xml:space="preserve"> </w:t>
            </w:r>
          </w:p>
        </w:tc>
      </w:tr>
      <w:tr w:rsidR="00FD4D0B" w:rsidRPr="00DE7BB9" w14:paraId="29307066"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tcPr>
          <w:p w14:paraId="662E4408" w14:textId="77777777" w:rsidR="00FD4D0B" w:rsidRPr="00DE7BB9" w:rsidRDefault="00FD4D0B" w:rsidP="00760BE5">
            <w:pPr>
              <w:keepNext/>
              <w:spacing w:before="0" w:after="0"/>
              <w:jc w:val="center"/>
              <w:rPr>
                <w:rFonts w:ascii="Arial Narrow" w:eastAsia="Times New Roman" w:hAnsi="Arial Narrow"/>
                <w:strike/>
                <w:sz w:val="20"/>
                <w:szCs w:val="20"/>
                <w:lang w:eastAsia="en-AU"/>
              </w:rPr>
            </w:pPr>
          </w:p>
        </w:tc>
        <w:tc>
          <w:tcPr>
            <w:tcW w:w="4351" w:type="pct"/>
            <w:gridSpan w:val="5"/>
          </w:tcPr>
          <w:p w14:paraId="17F4E636" w14:textId="50E54698" w:rsidR="00FD4D0B" w:rsidRPr="00DE7BB9" w:rsidRDefault="00DE7BB9" w:rsidP="00760BE5">
            <w:pPr>
              <w:keepNext/>
              <w:spacing w:before="0" w:after="0"/>
              <w:rPr>
                <w:rFonts w:ascii="Arial Narrow" w:eastAsia="Times New Roman" w:hAnsi="Arial Narrow"/>
                <w:strike/>
                <w:sz w:val="20"/>
                <w:szCs w:val="20"/>
                <w:lang w:eastAsia="en-AU"/>
              </w:rPr>
            </w:pPr>
            <w:r w:rsidRPr="00DE7BB9">
              <w:rPr>
                <w:rFonts w:ascii="Arial Narrow" w:eastAsia="Times New Roman" w:hAnsi="Arial Narrow"/>
                <w:strike/>
                <w:sz w:val="20"/>
                <w:szCs w:val="20"/>
                <w:lang w:eastAsia="en-AU"/>
              </w:rPr>
              <w:t>Patient must be undergoing treatment through this treatment phase listing for the first time (initial treatment)</w:t>
            </w:r>
          </w:p>
        </w:tc>
      </w:tr>
      <w:tr w:rsidR="00DE7BB9" w:rsidRPr="00DE26B1" w14:paraId="00A3B42D"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tcPr>
          <w:p w14:paraId="084DA3D3" w14:textId="475B9E45" w:rsidR="00DE7BB9" w:rsidRPr="00411E34" w:rsidRDefault="00DE7BB9" w:rsidP="00760BE5">
            <w:pPr>
              <w:keepNext/>
              <w:spacing w:before="0" w:after="0"/>
              <w:jc w:val="center"/>
              <w:rPr>
                <w:rFonts w:ascii="Arial Narrow" w:eastAsia="Times New Roman" w:hAnsi="Arial Narrow"/>
                <w:i/>
                <w:sz w:val="20"/>
                <w:szCs w:val="20"/>
                <w:lang w:eastAsia="en-AU"/>
              </w:rPr>
            </w:pPr>
          </w:p>
        </w:tc>
        <w:tc>
          <w:tcPr>
            <w:tcW w:w="4351" w:type="pct"/>
            <w:gridSpan w:val="5"/>
          </w:tcPr>
          <w:p w14:paraId="25928276" w14:textId="703E84E0" w:rsidR="00DE7BB9" w:rsidRPr="008B5C37" w:rsidRDefault="00DE7BB9" w:rsidP="00760BE5">
            <w:pPr>
              <w:keepNext/>
              <w:spacing w:before="0" w:after="0"/>
              <w:rPr>
                <w:rFonts w:cs="Calibri"/>
                <w:i/>
              </w:rPr>
            </w:pPr>
            <w:r w:rsidRPr="00FD4D0B">
              <w:rPr>
                <w:rFonts w:ascii="Arial Narrow" w:eastAsia="Times New Roman" w:hAnsi="Arial Narrow"/>
                <w:sz w:val="20"/>
                <w:szCs w:val="20"/>
                <w:lang w:eastAsia="en-AU"/>
              </w:rPr>
              <w:t xml:space="preserve">Patient must not have developed disease progression while </w:t>
            </w:r>
            <w:r w:rsidRPr="00C57064">
              <w:rPr>
                <w:rFonts w:ascii="Arial Narrow" w:eastAsia="Times New Roman" w:hAnsi="Arial Narrow"/>
                <w:strike/>
                <w:sz w:val="20"/>
                <w:szCs w:val="20"/>
                <w:lang w:eastAsia="en-AU"/>
              </w:rPr>
              <w:t>receiving treatment</w:t>
            </w:r>
            <w:r w:rsidRPr="00FD4D0B">
              <w:rPr>
                <w:rFonts w:ascii="Arial Narrow" w:eastAsia="Times New Roman" w:hAnsi="Arial Narrow"/>
                <w:sz w:val="20"/>
                <w:szCs w:val="20"/>
                <w:lang w:eastAsia="en-AU"/>
              </w:rPr>
              <w:t xml:space="preserve"> </w:t>
            </w:r>
            <w:r w:rsidRPr="00C57064">
              <w:rPr>
                <w:rFonts w:ascii="Arial Narrow" w:eastAsia="Times New Roman" w:hAnsi="Arial Narrow"/>
                <w:i/>
                <w:iCs/>
                <w:sz w:val="20"/>
                <w:szCs w:val="20"/>
                <w:lang w:eastAsia="en-AU"/>
              </w:rPr>
              <w:t>being treated with this drug</w:t>
            </w:r>
            <w:r w:rsidRPr="00FD4D0B">
              <w:rPr>
                <w:rFonts w:ascii="Arial Narrow" w:eastAsia="Times New Roman" w:hAnsi="Arial Narrow"/>
                <w:sz w:val="20"/>
                <w:szCs w:val="20"/>
                <w:lang w:eastAsia="en-AU"/>
              </w:rPr>
              <w:t xml:space="preserve"> for this condition</w:t>
            </w:r>
          </w:p>
        </w:tc>
      </w:tr>
      <w:tr w:rsidR="00B21E4F" w:rsidRPr="00BE1940" w14:paraId="4735EFA7"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tcPr>
          <w:p w14:paraId="5C3E3571" w14:textId="20D38E24" w:rsidR="00B21E4F" w:rsidRPr="00264912" w:rsidRDefault="00B21E4F" w:rsidP="00760BE5">
            <w:pPr>
              <w:keepNext/>
              <w:spacing w:before="0" w:after="0"/>
              <w:jc w:val="center"/>
              <w:rPr>
                <w:rFonts w:ascii="Arial Narrow" w:eastAsia="Times New Roman" w:hAnsi="Arial Narrow"/>
                <w:i/>
                <w:iCs/>
                <w:sz w:val="20"/>
                <w:szCs w:val="20"/>
                <w:lang w:eastAsia="en-AU"/>
              </w:rPr>
            </w:pPr>
          </w:p>
        </w:tc>
        <w:tc>
          <w:tcPr>
            <w:tcW w:w="4351" w:type="pct"/>
            <w:gridSpan w:val="5"/>
            <w:vAlign w:val="center"/>
          </w:tcPr>
          <w:p w14:paraId="5995143B" w14:textId="77777777" w:rsidR="00B21E4F" w:rsidRPr="00264912" w:rsidRDefault="00B21E4F" w:rsidP="00760BE5">
            <w:pPr>
              <w:keepNext/>
              <w:spacing w:before="0" w:after="0"/>
              <w:rPr>
                <w:rFonts w:ascii="Arial Narrow" w:eastAsia="Times New Roman" w:hAnsi="Arial Narrow"/>
                <w:b/>
                <w:bCs/>
                <w:i/>
                <w:iCs/>
                <w:sz w:val="20"/>
                <w:szCs w:val="20"/>
                <w:lang w:eastAsia="en-AU"/>
              </w:rPr>
            </w:pPr>
            <w:r w:rsidRPr="00264912">
              <w:rPr>
                <w:rFonts w:ascii="Arial Narrow" w:eastAsia="Times New Roman" w:hAnsi="Arial Narrow"/>
                <w:b/>
                <w:bCs/>
                <w:i/>
                <w:iCs/>
                <w:sz w:val="20"/>
                <w:szCs w:val="20"/>
                <w:lang w:eastAsia="en-AU"/>
              </w:rPr>
              <w:t xml:space="preserve">Prescribing Instructions: </w:t>
            </w:r>
            <w:r w:rsidRPr="00264912">
              <w:rPr>
                <w:rFonts w:ascii="Arial Narrow" w:eastAsia="Times New Roman" w:hAnsi="Arial Narrow"/>
                <w:i/>
                <w:iCs/>
                <w:sz w:val="20"/>
                <w:szCs w:val="20"/>
                <w:lang w:eastAsia="en-AU"/>
              </w:rPr>
              <w:t xml:space="preserve">Following 1 or more lines of platinum therapy, platinum resistance is defined as disease progression while receiving the therapy or within 6 months of the last dose. </w:t>
            </w:r>
          </w:p>
        </w:tc>
      </w:tr>
      <w:tr w:rsidR="00B21E4F" w:rsidRPr="00BE1940" w14:paraId="5B3036E9"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tcPr>
          <w:p w14:paraId="7B37B9CC" w14:textId="6F00C315" w:rsidR="00B21E4F" w:rsidRPr="00BE1940" w:rsidRDefault="00B21E4F" w:rsidP="00760BE5">
            <w:pPr>
              <w:keepNext/>
              <w:spacing w:before="0" w:after="0"/>
              <w:jc w:val="center"/>
              <w:rPr>
                <w:rFonts w:ascii="Arial Narrow" w:eastAsia="Times New Roman" w:hAnsi="Arial Narrow"/>
                <w:sz w:val="20"/>
                <w:szCs w:val="20"/>
                <w:lang w:eastAsia="en-AU"/>
              </w:rPr>
            </w:pPr>
          </w:p>
        </w:tc>
        <w:tc>
          <w:tcPr>
            <w:tcW w:w="4351" w:type="pct"/>
            <w:gridSpan w:val="5"/>
            <w:vAlign w:val="center"/>
          </w:tcPr>
          <w:p w14:paraId="23DFC909" w14:textId="77777777" w:rsidR="00B21E4F" w:rsidRPr="00BE1940" w:rsidRDefault="00B21E4F" w:rsidP="00760BE5">
            <w:pPr>
              <w:keepNext/>
              <w:spacing w:before="0" w:after="0"/>
              <w:rPr>
                <w:rFonts w:ascii="Arial Narrow" w:eastAsia="Times New Roman" w:hAnsi="Arial Narrow"/>
                <w:b/>
                <w:bCs/>
                <w:sz w:val="20"/>
                <w:szCs w:val="20"/>
                <w:lang w:eastAsia="en-AU"/>
              </w:rPr>
            </w:pPr>
            <w:r w:rsidRPr="00BE1940">
              <w:rPr>
                <w:rFonts w:ascii="Arial Narrow" w:eastAsia="Times New Roman" w:hAnsi="Arial Narrow"/>
                <w:b/>
                <w:bCs/>
                <w:i/>
                <w:iCs/>
                <w:sz w:val="20"/>
                <w:szCs w:val="20"/>
                <w:lang w:eastAsia="en-AU"/>
              </w:rPr>
              <w:t>Prescribing Instructions:</w:t>
            </w:r>
            <w:r w:rsidRPr="00BE1940">
              <w:rPr>
                <w:rFonts w:ascii="Arial Narrow" w:eastAsia="Times New Roman" w:hAnsi="Arial Narrow"/>
                <w:b/>
                <w:bCs/>
                <w:sz w:val="20"/>
                <w:szCs w:val="20"/>
                <w:lang w:eastAsia="en-AU"/>
              </w:rPr>
              <w:t xml:space="preserve"> </w:t>
            </w:r>
            <w:r w:rsidRPr="00BE1940">
              <w:rPr>
                <w:rFonts w:ascii="Arial Narrow" w:eastAsia="Times New Roman" w:hAnsi="Arial Narrow"/>
                <w:i/>
                <w:iCs/>
                <w:sz w:val="20"/>
                <w:szCs w:val="20"/>
                <w:lang w:eastAsia="en-AU"/>
              </w:rPr>
              <w:t>Evidence of FRα tumour expression must be derived through immunohistochemistry (IHC) testing and stored in the patients’ medical records</w:t>
            </w:r>
          </w:p>
        </w:tc>
      </w:tr>
      <w:tr w:rsidR="00B21E4F" w:rsidRPr="00BE1940" w14:paraId="56A63123" w14:textId="77777777" w:rsidTr="00DE7BB9">
        <w:tblPrEx>
          <w:tblCellMar>
            <w:top w:w="15" w:type="dxa"/>
            <w:bottom w:w="15" w:type="dxa"/>
          </w:tblCellMar>
          <w:tblLook w:val="04A0" w:firstRow="1" w:lastRow="0" w:firstColumn="1" w:lastColumn="0" w:noHBand="0" w:noVBand="1"/>
        </w:tblPrEx>
        <w:trPr>
          <w:cantSplit/>
          <w:trHeight w:val="20"/>
        </w:trPr>
        <w:tc>
          <w:tcPr>
            <w:tcW w:w="649" w:type="pct"/>
            <w:gridSpan w:val="2"/>
          </w:tcPr>
          <w:p w14:paraId="40B7EBA7" w14:textId="0B48EBD3" w:rsidR="00B21E4F" w:rsidRPr="00A7556D" w:rsidRDefault="00B21E4F" w:rsidP="00760BE5">
            <w:pPr>
              <w:pStyle w:val="Tabletext0"/>
              <w:keepNext/>
              <w:jc w:val="center"/>
              <w:rPr>
                <w:i/>
                <w:iCs/>
                <w:color w:val="FF0000"/>
                <w:szCs w:val="20"/>
              </w:rPr>
            </w:pPr>
          </w:p>
        </w:tc>
        <w:tc>
          <w:tcPr>
            <w:tcW w:w="4351" w:type="pct"/>
            <w:gridSpan w:val="5"/>
          </w:tcPr>
          <w:p w14:paraId="6AD8486C" w14:textId="77777777" w:rsidR="00B21E4F" w:rsidRPr="00A7556D" w:rsidRDefault="00B21E4F" w:rsidP="00760BE5">
            <w:pPr>
              <w:pStyle w:val="Tabletext0"/>
              <w:keepNext/>
              <w:rPr>
                <w:rFonts w:eastAsia="Aptos"/>
                <w:b/>
                <w:bCs/>
                <w:i/>
                <w:iCs/>
                <w:snapToGrid/>
                <w:color w:val="333333"/>
                <w:szCs w:val="22"/>
              </w:rPr>
            </w:pPr>
            <w:r w:rsidRPr="00A7556D">
              <w:rPr>
                <w:rFonts w:eastAsia="Aptos"/>
                <w:b/>
                <w:bCs/>
                <w:i/>
                <w:iCs/>
                <w:snapToGrid/>
                <w:color w:val="333333"/>
                <w:szCs w:val="22"/>
              </w:rPr>
              <w:t>Prescribing Instructions:</w:t>
            </w:r>
          </w:p>
          <w:p w14:paraId="065F4083" w14:textId="77777777" w:rsidR="00B21E4F" w:rsidRPr="00A7556D" w:rsidRDefault="00B21E4F" w:rsidP="00760BE5">
            <w:pPr>
              <w:pStyle w:val="Tabletext0"/>
              <w:keepNext/>
              <w:rPr>
                <w:rFonts w:eastAsia="Aptos"/>
                <w:i/>
                <w:iCs/>
                <w:snapToGrid/>
                <w:color w:val="000000"/>
                <w:shd w:val="clear" w:color="auto" w:fill="FFFFFF"/>
              </w:rPr>
            </w:pPr>
            <w:r w:rsidRPr="00A7556D">
              <w:rPr>
                <w:rFonts w:eastAsia="Aptos"/>
                <w:i/>
                <w:iCs/>
                <w:snapToGrid/>
                <w:color w:val="000000"/>
                <w:shd w:val="clear" w:color="auto" w:fill="FFFFFF"/>
              </w:rPr>
              <w:t>Confirm that the following information is documented/retained in the patient's medical records once only with the first PBS prescription (evidence obtained in relation to past PBS treatment is acceptable):</w:t>
            </w:r>
          </w:p>
          <w:p w14:paraId="0F3A9D03" w14:textId="77777777" w:rsidR="00B21E4F" w:rsidRPr="00A7556D" w:rsidRDefault="00B21E4F" w:rsidP="00760BE5">
            <w:pPr>
              <w:pStyle w:val="Tabletext0"/>
              <w:keepNext/>
              <w:rPr>
                <w:rFonts w:eastAsia="Aptos"/>
                <w:i/>
                <w:iCs/>
                <w:snapToGrid/>
                <w:color w:val="000000"/>
                <w:shd w:val="clear" w:color="auto" w:fill="FFFFFF"/>
              </w:rPr>
            </w:pPr>
            <w:r w:rsidRPr="00A7556D">
              <w:rPr>
                <w:rFonts w:eastAsia="Aptos"/>
                <w:i/>
                <w:iCs/>
                <w:snapToGrid/>
                <w:color w:val="000000"/>
                <w:shd w:val="clear" w:color="auto" w:fill="FFFFFF"/>
              </w:rPr>
              <w:t xml:space="preserve">1) Evidence of </w:t>
            </w:r>
            <w:r w:rsidRPr="00A7556D">
              <w:rPr>
                <w:i/>
                <w:iCs/>
                <w:szCs w:val="20"/>
              </w:rPr>
              <w:t>high FRα tumour cell expression</w:t>
            </w:r>
          </w:p>
        </w:tc>
      </w:tr>
    </w:tbl>
    <w:p w14:paraId="7D3E694F" w14:textId="77777777" w:rsidR="00DF1F59" w:rsidRPr="002D241F" w:rsidRDefault="00DF1F59" w:rsidP="00591C83">
      <w:pPr>
        <w:pStyle w:val="3-BodyText"/>
        <w:ind w:left="576" w:firstLine="0"/>
      </w:pPr>
    </w:p>
    <w:p w14:paraId="6CC38000" w14:textId="07157B66" w:rsidR="004E351C" w:rsidRPr="00EF2E8A" w:rsidRDefault="004E351C" w:rsidP="00591C83">
      <w:pPr>
        <w:pStyle w:val="3-BodyText"/>
        <w:numPr>
          <w:ilvl w:val="1"/>
          <w:numId w:val="13"/>
        </w:numPr>
      </w:pPr>
      <w:r w:rsidRPr="00EF2E8A">
        <w:lastRenderedPageBreak/>
        <w:t>The submission requested a special pricing arrangement (SPA) with proposed published and effective prices shown above (</w:t>
      </w:r>
      <w:r w:rsidR="00954C7E">
        <w:t xml:space="preserve">DPMQ </w:t>
      </w:r>
      <w:r w:rsidRPr="00EF2E8A">
        <w:t>for public and private hospitals).</w:t>
      </w:r>
      <w:r w:rsidR="002D241F">
        <w:t xml:space="preserve"> In the Pre</w:t>
      </w:r>
      <w:r w:rsidR="00A46D2B">
        <w:noBreakHyphen/>
      </w:r>
      <w:r w:rsidR="002D241F">
        <w:t xml:space="preserve">PBAC response the sponsor proposed a revised price reducing the </w:t>
      </w:r>
      <w:r w:rsidR="002D241F" w:rsidRPr="002D241F">
        <w:t xml:space="preserve">AEMP </w:t>
      </w:r>
      <w:r w:rsidR="002D241F">
        <w:t>from</w:t>
      </w:r>
      <w:r w:rsidR="002D241F" w:rsidRPr="002D241F">
        <w:t xml:space="preserve"> </w:t>
      </w:r>
      <w:r w:rsidR="002D241F">
        <w:t>$</w:t>
      </w:r>
      <w:r w:rsidR="00AF3C7B" w:rsidRPr="00036719">
        <w:rPr>
          <w:color w:val="000000"/>
          <w:w w:val="15"/>
          <w:shd w:val="solid" w:color="000000" w:fill="000000"/>
          <w:fitText w:val="-20" w:id="-629962236"/>
          <w14:textFill>
            <w14:solidFill>
              <w14:srgbClr w14:val="000000">
                <w14:alpha w14:val="100000"/>
              </w14:srgbClr>
            </w14:solidFill>
          </w14:textFill>
        </w:rPr>
        <w:t>|</w:t>
      </w:r>
      <w:r w:rsidR="00B65B3F" w:rsidRPr="00036719">
        <w:rPr>
          <w:color w:val="000000"/>
          <w:w w:val="15"/>
          <w:shd w:val="solid" w:color="000000" w:fill="000000"/>
          <w:fitText w:val="-20" w:id="-629962236"/>
          <w14:textFill>
            <w14:solidFill>
              <w14:srgbClr w14:val="000000">
                <w14:alpha w14:val="100000"/>
              </w14:srgbClr>
            </w14:solidFill>
          </w14:textFill>
        </w:rPr>
        <w:t xml:space="preserve"> </w:t>
      </w:r>
      <w:r w:rsidR="00AF3C7B" w:rsidRPr="00036719">
        <w:rPr>
          <w:color w:val="000000"/>
          <w:spacing w:val="-61"/>
          <w:w w:val="15"/>
          <w:shd w:val="solid" w:color="000000" w:fill="000000"/>
          <w:fitText w:val="-20" w:id="-629962236"/>
          <w14:textFill>
            <w14:solidFill>
              <w14:srgbClr w14:val="000000">
                <w14:alpha w14:val="100000"/>
              </w14:srgbClr>
            </w14:solidFill>
          </w14:textFill>
        </w:rPr>
        <w:t>|</w:t>
      </w:r>
      <w:r w:rsidR="002D241F">
        <w:t xml:space="preserve"> to $</w:t>
      </w:r>
      <w:r w:rsidR="00AF3C7B" w:rsidRPr="00036719">
        <w:rPr>
          <w:color w:val="000000"/>
          <w:w w:val="15"/>
          <w:shd w:val="solid" w:color="000000" w:fill="000000"/>
          <w:fitText w:val="-20" w:id="-629962235"/>
          <w14:textFill>
            <w14:solidFill>
              <w14:srgbClr w14:val="000000">
                <w14:alpha w14:val="100000"/>
              </w14:srgbClr>
            </w14:solidFill>
          </w14:textFill>
        </w:rPr>
        <w:t>|</w:t>
      </w:r>
      <w:r w:rsidR="00B65B3F" w:rsidRPr="00036719">
        <w:rPr>
          <w:color w:val="000000"/>
          <w:w w:val="15"/>
          <w:shd w:val="solid" w:color="000000" w:fill="000000"/>
          <w:fitText w:val="-20" w:id="-629962235"/>
          <w14:textFill>
            <w14:solidFill>
              <w14:srgbClr w14:val="000000">
                <w14:alpha w14:val="100000"/>
              </w14:srgbClr>
            </w14:solidFill>
          </w14:textFill>
        </w:rPr>
        <w:t xml:space="preserve"> </w:t>
      </w:r>
      <w:r w:rsidR="00AF3C7B" w:rsidRPr="00036719">
        <w:rPr>
          <w:color w:val="000000"/>
          <w:spacing w:val="-61"/>
          <w:w w:val="15"/>
          <w:shd w:val="solid" w:color="000000" w:fill="000000"/>
          <w:fitText w:val="-20" w:id="-629962235"/>
          <w14:textFill>
            <w14:solidFill>
              <w14:srgbClr w14:val="000000">
                <w14:alpha w14:val="100000"/>
              </w14:srgbClr>
            </w14:solidFill>
          </w14:textFill>
        </w:rPr>
        <w:t>|</w:t>
      </w:r>
      <w:r w:rsidR="002D241F">
        <w:t xml:space="preserve"> per </w:t>
      </w:r>
      <w:r w:rsidR="002D241F" w:rsidRPr="002D241F">
        <w:t>100 mg/20 mL</w:t>
      </w:r>
      <w:r w:rsidR="002D241F">
        <w:t xml:space="preserve"> vial.</w:t>
      </w:r>
      <w:r w:rsidR="002D241F" w:rsidRPr="002D241F">
        <w:t xml:space="preserve"> Additionally, </w:t>
      </w:r>
      <w:r w:rsidR="002D241F">
        <w:t>the Pre</w:t>
      </w:r>
      <w:r w:rsidR="00A46D2B">
        <w:noBreakHyphen/>
      </w:r>
      <w:r w:rsidR="002D241F">
        <w:t xml:space="preserve">PBAC response </w:t>
      </w:r>
      <w:r w:rsidR="002D241F" w:rsidRPr="002D241F">
        <w:t>request</w:t>
      </w:r>
      <w:r w:rsidR="002D241F">
        <w:t>ed</w:t>
      </w:r>
      <w:r w:rsidR="002D241F" w:rsidRPr="002D241F">
        <w:t xml:space="preserve"> a revised published AEMP of </w:t>
      </w:r>
      <w:r w:rsidR="002D241F">
        <w:t>$</w:t>
      </w:r>
      <w:r w:rsidR="00AF3C7B" w:rsidRPr="00036719">
        <w:rPr>
          <w:color w:val="000000"/>
          <w:w w:val="15"/>
          <w:shd w:val="solid" w:color="000000" w:fill="000000"/>
          <w:fitText w:val="-20" w:id="-629962234"/>
          <w14:textFill>
            <w14:solidFill>
              <w14:srgbClr w14:val="000000">
                <w14:alpha w14:val="100000"/>
              </w14:srgbClr>
            </w14:solidFill>
          </w14:textFill>
        </w:rPr>
        <w:t>|</w:t>
      </w:r>
      <w:r w:rsidR="00B65B3F" w:rsidRPr="00036719">
        <w:rPr>
          <w:color w:val="000000"/>
          <w:w w:val="15"/>
          <w:shd w:val="solid" w:color="000000" w:fill="000000"/>
          <w:fitText w:val="-20" w:id="-629962234"/>
          <w14:textFill>
            <w14:solidFill>
              <w14:srgbClr w14:val="000000">
                <w14:alpha w14:val="100000"/>
              </w14:srgbClr>
            </w14:solidFill>
          </w14:textFill>
        </w:rPr>
        <w:t xml:space="preserve"> </w:t>
      </w:r>
      <w:r w:rsidR="00AF3C7B" w:rsidRPr="00036719">
        <w:rPr>
          <w:color w:val="000000"/>
          <w:spacing w:val="-61"/>
          <w:w w:val="15"/>
          <w:shd w:val="solid" w:color="000000" w:fill="000000"/>
          <w:fitText w:val="-20" w:id="-629962234"/>
          <w14:textFill>
            <w14:solidFill>
              <w14:srgbClr w14:val="000000">
                <w14:alpha w14:val="100000"/>
              </w14:srgbClr>
            </w14:solidFill>
          </w14:textFill>
        </w:rPr>
        <w:t>|</w:t>
      </w:r>
      <w:r w:rsidR="002D241F">
        <w:t xml:space="preserve"> </w:t>
      </w:r>
      <w:r w:rsidR="002D241F" w:rsidRPr="002D241F">
        <w:t>per 100 mg/20 mL vial.</w:t>
      </w:r>
    </w:p>
    <w:p w14:paraId="3BA60967" w14:textId="74F97AD7" w:rsidR="004E351C" w:rsidRPr="00EF2E8A" w:rsidRDefault="004E351C" w:rsidP="00591C83">
      <w:pPr>
        <w:pStyle w:val="3-BodyText"/>
        <w:numPr>
          <w:ilvl w:val="1"/>
          <w:numId w:val="13"/>
        </w:numPr>
      </w:pPr>
      <w:bookmarkStart w:id="11" w:name="_Ref204777457"/>
      <w:r w:rsidRPr="00EF2E8A">
        <w:t>The submission proposed that patients should have received one or more prior lines of therapy, rather than one to three prior lines of therapy (</w:t>
      </w:r>
      <w:r w:rsidR="007D0003">
        <w:t>as per</w:t>
      </w:r>
      <w:r w:rsidRPr="00EF2E8A">
        <w:t xml:space="preserve"> the MIRASOL trial and </w:t>
      </w:r>
      <w:r w:rsidR="00CC0BCF">
        <w:t xml:space="preserve">proposed </w:t>
      </w:r>
      <w:r w:rsidRPr="00EF2E8A">
        <w:t>TGA indication)</w:t>
      </w:r>
      <w:r w:rsidR="00CC0BCF">
        <w:t xml:space="preserve">, which would </w:t>
      </w:r>
      <w:r w:rsidR="00954C7E">
        <w:t>allow</w:t>
      </w:r>
      <w:r w:rsidR="008C59D4" w:rsidRPr="00EF2E8A">
        <w:t xml:space="preserve"> </w:t>
      </w:r>
      <w:r w:rsidR="00303145" w:rsidRPr="00EF2E8A">
        <w:t xml:space="preserve">access </w:t>
      </w:r>
      <w:r w:rsidR="00632EA9" w:rsidRPr="00EF2E8A">
        <w:t xml:space="preserve">for patients who have received </w:t>
      </w:r>
      <w:r w:rsidR="00145BF5">
        <w:t>additional</w:t>
      </w:r>
      <w:r w:rsidR="00145BF5" w:rsidRPr="00EF2E8A">
        <w:t xml:space="preserve"> </w:t>
      </w:r>
      <w:r w:rsidR="00632EA9" w:rsidRPr="00EF2E8A">
        <w:t>lines of treatment</w:t>
      </w:r>
      <w:r w:rsidR="00B868E8" w:rsidRPr="00EF2E8A">
        <w:t>.</w:t>
      </w:r>
      <w:bookmarkEnd w:id="11"/>
      <w:r w:rsidRPr="00EF2E8A">
        <w:t xml:space="preserve"> </w:t>
      </w:r>
    </w:p>
    <w:p w14:paraId="5DFF87EC" w14:textId="078BC669" w:rsidR="004E351C" w:rsidRPr="00EF2E8A" w:rsidRDefault="004E351C" w:rsidP="00591C83">
      <w:pPr>
        <w:pStyle w:val="3-BodyText"/>
        <w:numPr>
          <w:ilvl w:val="1"/>
          <w:numId w:val="13"/>
        </w:numPr>
      </w:pPr>
      <w:bookmarkStart w:id="12" w:name="_Ref204777443"/>
      <w:r w:rsidRPr="00EF2E8A">
        <w:t>The requested restriction omitted reference to serous tumour histology in the proposed target population</w:t>
      </w:r>
      <w:r w:rsidR="00391A41" w:rsidRPr="00EF2E8A">
        <w:t xml:space="preserve"> to prevent inappropriate exclusion of patients with tumour histology difficult to identify</w:t>
      </w:r>
      <w:r w:rsidR="000805D1" w:rsidRPr="00EF2E8A">
        <w:t xml:space="preserve">, however </w:t>
      </w:r>
      <w:r w:rsidR="00AB35A8" w:rsidRPr="00EF2E8A">
        <w:t>t</w:t>
      </w:r>
      <w:r w:rsidR="00765A77" w:rsidRPr="00EF2E8A">
        <w:t xml:space="preserve">he </w:t>
      </w:r>
      <w:r w:rsidR="00B70F9B" w:rsidRPr="00B70F9B">
        <w:t xml:space="preserve">Pre-Sub-Committee Response </w:t>
      </w:r>
      <w:r w:rsidR="00B70F9B">
        <w:t>(</w:t>
      </w:r>
      <w:r w:rsidR="00765A77" w:rsidRPr="00EF2E8A">
        <w:t xml:space="preserve">PSCR) </w:t>
      </w:r>
      <w:r w:rsidR="0077369C" w:rsidRPr="00EF2E8A">
        <w:t>proposed</w:t>
      </w:r>
      <w:r w:rsidR="009C580E" w:rsidRPr="00EF2E8A">
        <w:t xml:space="preserve"> </w:t>
      </w:r>
      <w:r w:rsidR="0077369C" w:rsidRPr="00EF2E8A">
        <w:t>an</w:t>
      </w:r>
      <w:r w:rsidR="00765A77" w:rsidRPr="00EF2E8A">
        <w:t xml:space="preserve"> update</w:t>
      </w:r>
      <w:r w:rsidR="0077369C" w:rsidRPr="00EF2E8A">
        <w:t xml:space="preserve"> to</w:t>
      </w:r>
      <w:r w:rsidR="00765A77" w:rsidRPr="00EF2E8A">
        <w:t xml:space="preserve"> the restriction to specify high grade serous epithelial ovarian cancer (EOC)</w:t>
      </w:r>
      <w:r w:rsidRPr="00EF2E8A">
        <w:t>. The MIRV trials were all undertaken in patients with high grade serous EOC. Serous tumours are associated with more aggressive, poor prognosis disease (reviewed in Rendi, 2024)</w:t>
      </w:r>
      <w:r w:rsidR="00391A41" w:rsidRPr="00EF2E8A">
        <w:t xml:space="preserve"> and</w:t>
      </w:r>
      <w:r w:rsidR="00725EE6" w:rsidRPr="00EF2E8A">
        <w:t xml:space="preserve"> the evaluation noted that they are reported to have higher FRα expression (</w:t>
      </w:r>
      <w:proofErr w:type="spellStart"/>
      <w:r w:rsidR="00725EE6" w:rsidRPr="00EF2E8A">
        <w:t>Köbel</w:t>
      </w:r>
      <w:proofErr w:type="spellEnd"/>
      <w:r w:rsidR="00725EE6" w:rsidRPr="00EF2E8A">
        <w:t xml:space="preserve"> et al, 2014; Previs et al, 2024</w:t>
      </w:r>
      <w:r w:rsidR="00DF3305" w:rsidRPr="00EF2E8A">
        <w:t xml:space="preserve">). </w:t>
      </w:r>
      <w:r w:rsidR="00502693" w:rsidRPr="00EF2E8A">
        <w:t xml:space="preserve">The ESCs noted the proportion of </w:t>
      </w:r>
      <w:r w:rsidR="006C257D" w:rsidRPr="00EF2E8A">
        <w:t xml:space="preserve">patients with </w:t>
      </w:r>
      <w:r w:rsidR="00502693" w:rsidRPr="00EF2E8A">
        <w:t>non</w:t>
      </w:r>
      <w:r w:rsidR="00A46D2B">
        <w:noBreakHyphen/>
      </w:r>
      <w:r w:rsidR="00502693" w:rsidRPr="00EF2E8A">
        <w:t xml:space="preserve">serous ovarian cancers with high FRα expression is low, therefore excluding the term ‘serous’ in </w:t>
      </w:r>
      <w:r w:rsidR="006C257D" w:rsidRPr="00EF2E8A">
        <w:t xml:space="preserve">the </w:t>
      </w:r>
      <w:r w:rsidR="00502693" w:rsidRPr="00EF2E8A">
        <w:t>population description would likely have minimal impact</w:t>
      </w:r>
      <w:r w:rsidR="006C257D" w:rsidRPr="00EF2E8A">
        <w:t xml:space="preserve">. </w:t>
      </w:r>
      <w:r w:rsidR="004C215C" w:rsidRPr="00EF2E8A">
        <w:t>The</w:t>
      </w:r>
      <w:r w:rsidR="006C257D" w:rsidRPr="00EF2E8A">
        <w:t xml:space="preserve"> </w:t>
      </w:r>
      <w:r w:rsidR="004C215C" w:rsidRPr="00EF2E8A">
        <w:t>ESC</w:t>
      </w:r>
      <w:r w:rsidR="005C6BE4" w:rsidRPr="00EF2E8A">
        <w:t>s</w:t>
      </w:r>
      <w:r w:rsidR="004C215C" w:rsidRPr="00EF2E8A">
        <w:t xml:space="preserve"> considered that </w:t>
      </w:r>
      <w:r w:rsidR="006C257D" w:rsidRPr="00EF2E8A">
        <w:t>th</w:t>
      </w:r>
      <w:r w:rsidR="00797C02" w:rsidRPr="00EF2E8A">
        <w:t xml:space="preserve">e </w:t>
      </w:r>
      <w:r w:rsidR="006C257D" w:rsidRPr="00EF2E8A">
        <w:t xml:space="preserve">very small group of patients </w:t>
      </w:r>
      <w:r w:rsidR="00797C02" w:rsidRPr="00EF2E8A">
        <w:t>with non</w:t>
      </w:r>
      <w:r w:rsidR="00A46D2B">
        <w:noBreakHyphen/>
      </w:r>
      <w:r w:rsidR="00797C02" w:rsidRPr="00EF2E8A">
        <w:t xml:space="preserve">serous ovarian cancer and high FRα expression </w:t>
      </w:r>
      <w:r w:rsidR="006C257D" w:rsidRPr="00EF2E8A">
        <w:t>is</w:t>
      </w:r>
      <w:r w:rsidR="000113F8" w:rsidRPr="00EF2E8A">
        <w:t xml:space="preserve"> likely </w:t>
      </w:r>
      <w:r w:rsidR="00797C02" w:rsidRPr="00EF2E8A">
        <w:t xml:space="preserve">to </w:t>
      </w:r>
      <w:r w:rsidR="00650B1A" w:rsidRPr="00EF2E8A">
        <w:t>benefit from treatment with</w:t>
      </w:r>
      <w:r w:rsidR="00750027" w:rsidRPr="00EF2E8A">
        <w:t xml:space="preserve"> </w:t>
      </w:r>
      <w:r w:rsidR="00B75F1C" w:rsidRPr="00EF2E8A">
        <w:t>MIRV</w:t>
      </w:r>
      <w:r w:rsidR="006C257D" w:rsidRPr="00EF2E8A">
        <w:t xml:space="preserve"> and it may be reasonable for the PBAC to consider </w:t>
      </w:r>
      <w:r w:rsidR="008229E8" w:rsidRPr="00EF2E8A">
        <w:t>including them under the restrictions</w:t>
      </w:r>
      <w:r w:rsidR="008E7096" w:rsidRPr="00EF2E8A">
        <w:t xml:space="preserve"> for MIRV</w:t>
      </w:r>
      <w:r w:rsidR="00B75F1C" w:rsidRPr="00EF2E8A">
        <w:t>.</w:t>
      </w:r>
      <w:bookmarkEnd w:id="12"/>
      <w:r w:rsidR="00B75F1C" w:rsidRPr="00EF2E8A">
        <w:t xml:space="preserve"> </w:t>
      </w:r>
    </w:p>
    <w:p w14:paraId="0E827308" w14:textId="4B4FB44D" w:rsidR="004E351C" w:rsidRPr="00EF2E8A" w:rsidRDefault="004E351C" w:rsidP="00591C83">
      <w:pPr>
        <w:pStyle w:val="3-BodyText"/>
        <w:numPr>
          <w:ilvl w:val="1"/>
          <w:numId w:val="13"/>
        </w:numPr>
      </w:pPr>
      <w:bookmarkStart w:id="13" w:name="_Ref204777401"/>
      <w:r w:rsidRPr="00EF2E8A">
        <w:t>The proposed target population of platinum resistant patients excluded those with a platinum</w:t>
      </w:r>
      <w:r w:rsidR="00A46D2B">
        <w:noBreakHyphen/>
      </w:r>
      <w:r w:rsidRPr="00EF2E8A">
        <w:t xml:space="preserve">free interval of less than three months </w:t>
      </w:r>
      <w:r w:rsidR="009C1416" w:rsidRPr="00EF2E8A">
        <w:t>following one line of platinum therapy</w:t>
      </w:r>
      <w:r w:rsidR="004117EA" w:rsidRPr="00EF2E8A">
        <w:t xml:space="preserve"> </w:t>
      </w:r>
      <w:r w:rsidRPr="00EF2E8A">
        <w:t xml:space="preserve">(these patients were defined </w:t>
      </w:r>
      <w:r w:rsidR="00F759CA" w:rsidRPr="00EF2E8A">
        <w:t xml:space="preserve">in the submission </w:t>
      </w:r>
      <w:r w:rsidRPr="00EF2E8A">
        <w:t xml:space="preserve">as </w:t>
      </w:r>
      <w:r w:rsidR="00F759CA" w:rsidRPr="00EF2E8A">
        <w:t>‘</w:t>
      </w:r>
      <w:r w:rsidRPr="00EF2E8A">
        <w:t>platinum refractory</w:t>
      </w:r>
      <w:r w:rsidR="00F759CA" w:rsidRPr="00EF2E8A">
        <w:t>’</w:t>
      </w:r>
      <w:r w:rsidRPr="00EF2E8A">
        <w:t xml:space="preserve">). </w:t>
      </w:r>
      <w:r w:rsidR="00D26D42" w:rsidRPr="00EF2E8A">
        <w:t>The evaluation noted that p</w:t>
      </w:r>
      <w:r w:rsidRPr="00EF2E8A">
        <w:t>atients meeting the submission definition of ‘platinum refractory’ would be indicated for the same treatment as platinum resistant patients under current guideline recommendations</w:t>
      </w:r>
      <w:r w:rsidR="001C1D90" w:rsidRPr="00EF2E8A">
        <w:t xml:space="preserve"> (NCCN 2025)</w:t>
      </w:r>
      <w:r w:rsidRPr="00EF2E8A">
        <w:t xml:space="preserve">. </w:t>
      </w:r>
      <w:r w:rsidR="00246446" w:rsidRPr="00EF2E8A">
        <w:t>T</w:t>
      </w:r>
      <w:r w:rsidRPr="00EF2E8A">
        <w:t>here was however no clinical evidence to support use of MIRV in these patients</w:t>
      </w:r>
      <w:r w:rsidR="00AF20D9" w:rsidRPr="00EF2E8A">
        <w:t xml:space="preserve">, who </w:t>
      </w:r>
      <w:r w:rsidRPr="00EF2E8A">
        <w:t>may represent a high risk of use outside the proposed restriction.</w:t>
      </w:r>
      <w:r w:rsidR="001C1D90" w:rsidRPr="00EF2E8A">
        <w:t xml:space="preserve"> The ESCs</w:t>
      </w:r>
      <w:r w:rsidR="00624FD7" w:rsidRPr="00EF2E8A">
        <w:t xml:space="preserve"> </w:t>
      </w:r>
      <w:r w:rsidR="003B7C5F" w:rsidRPr="00EF2E8A">
        <w:t xml:space="preserve">noted </w:t>
      </w:r>
      <w:r w:rsidR="00731655" w:rsidRPr="00EF2E8A">
        <w:t>the additional details regarding platinum resistance provided in the PSCR (table 5</w:t>
      </w:r>
      <w:r w:rsidR="00B27D3E" w:rsidRPr="00EF2E8A">
        <w:t>) and</w:t>
      </w:r>
      <w:r w:rsidR="00731655" w:rsidRPr="00EF2E8A">
        <w:t xml:space="preserve"> considered the sponsor’s proposed definition of platinum resistance </w:t>
      </w:r>
      <w:r w:rsidR="00846567" w:rsidRPr="00EF2E8A">
        <w:t>to be reasonable</w:t>
      </w:r>
      <w:r w:rsidR="001701AB" w:rsidRPr="00EF2E8A">
        <w:t xml:space="preserve"> and</w:t>
      </w:r>
      <w:r w:rsidR="00731655" w:rsidRPr="00EF2E8A">
        <w:t xml:space="preserve"> in line with the MIRV trials</w:t>
      </w:r>
      <w:r w:rsidR="00483B63" w:rsidRPr="00EF2E8A">
        <w:t>. The ESCs noted that patients classified as platinum refractory were not included</w:t>
      </w:r>
      <w:r w:rsidR="00E1183A">
        <w:t>,</w:t>
      </w:r>
      <w:r w:rsidR="00731655" w:rsidRPr="00EF2E8A">
        <w:t xml:space="preserve"> however </w:t>
      </w:r>
      <w:r w:rsidR="00FA2ACC" w:rsidRPr="00EF2E8A">
        <w:t>the ESCs considered that</w:t>
      </w:r>
      <w:r w:rsidR="00731655" w:rsidRPr="00EF2E8A">
        <w:t xml:space="preserve"> </w:t>
      </w:r>
      <w:r w:rsidR="00E454F7" w:rsidRPr="00EF2E8A">
        <w:t xml:space="preserve">patients </w:t>
      </w:r>
      <w:r w:rsidR="00FA2ACC" w:rsidRPr="00EF2E8A">
        <w:t>classified as platinum refractory may also benefit from MIRV</w:t>
      </w:r>
      <w:r w:rsidR="009D4060" w:rsidRPr="00EF2E8A">
        <w:t>.</w:t>
      </w:r>
      <w:bookmarkEnd w:id="13"/>
      <w:r w:rsidR="009D4060" w:rsidRPr="00EF2E8A">
        <w:t xml:space="preserve"> </w:t>
      </w:r>
    </w:p>
    <w:p w14:paraId="45632647" w14:textId="4DA52377" w:rsidR="004E351C" w:rsidRPr="006C34D4" w:rsidRDefault="004E351C" w:rsidP="00591C83">
      <w:pPr>
        <w:pStyle w:val="3-BodyText"/>
        <w:numPr>
          <w:ilvl w:val="1"/>
          <w:numId w:val="13"/>
        </w:numPr>
      </w:pPr>
      <w:bookmarkStart w:id="14" w:name="_Ref204777422"/>
      <w:r w:rsidRPr="00EF2E8A">
        <w:t xml:space="preserve">The </w:t>
      </w:r>
      <w:r w:rsidR="00B223AD" w:rsidRPr="00EF2E8A">
        <w:t xml:space="preserve">proposed </w:t>
      </w:r>
      <w:r w:rsidRPr="00EF2E8A">
        <w:t>TGA indication specifie</w:t>
      </w:r>
      <w:r w:rsidR="00150968" w:rsidRPr="00EF2E8A">
        <w:t>d</w:t>
      </w:r>
      <w:r w:rsidRPr="00EF2E8A">
        <w:t xml:space="preserve"> treatment as monotherapy, </w:t>
      </w:r>
      <w:r w:rsidR="00F85D06" w:rsidRPr="00EF2E8A">
        <w:t xml:space="preserve">and this criterion, not initially included in the proposed </w:t>
      </w:r>
      <w:r w:rsidRPr="00EF2E8A">
        <w:t>restriction</w:t>
      </w:r>
      <w:r w:rsidR="00A36F07" w:rsidRPr="00EF2E8A">
        <w:t xml:space="preserve">, was </w:t>
      </w:r>
      <w:r w:rsidR="007617B2" w:rsidRPr="00EF2E8A">
        <w:t>proposed</w:t>
      </w:r>
      <w:r w:rsidR="00A36F07" w:rsidRPr="00EF2E8A">
        <w:t xml:space="preserve"> in the PSCR</w:t>
      </w:r>
      <w:r w:rsidRPr="00EF2E8A">
        <w:t>. The</w:t>
      </w:r>
      <w:r w:rsidR="00BE2FEA" w:rsidRPr="00EF2E8A">
        <w:t xml:space="preserve"> evaluation noted </w:t>
      </w:r>
      <w:r w:rsidR="007F2C3E" w:rsidRPr="00EF2E8A">
        <w:t xml:space="preserve">that </w:t>
      </w:r>
      <w:r w:rsidRPr="00EF2E8A">
        <w:t xml:space="preserve">MIRV in combination with other agents in PROC patients </w:t>
      </w:r>
      <w:r w:rsidR="007F2C3E" w:rsidRPr="00EF2E8A">
        <w:t xml:space="preserve">has been reported in at least five clinical </w:t>
      </w:r>
      <w:r w:rsidR="00B27D3E" w:rsidRPr="00EF2E8A">
        <w:t>trials and</w:t>
      </w:r>
      <w:r w:rsidR="007F2C3E" w:rsidRPr="00EF2E8A">
        <w:t xml:space="preserve"> recommended in</w:t>
      </w:r>
      <w:r w:rsidRPr="00EF2E8A">
        <w:t xml:space="preserve"> National Comprehensive Cancer Network (NCCN) Guidelines in some circumstances (NCCN, March 2025).</w:t>
      </w:r>
      <w:r w:rsidR="005C6BE4" w:rsidRPr="00EF2E8A">
        <w:t xml:space="preserve"> The ESCs considered </w:t>
      </w:r>
      <w:r w:rsidR="00D94FCB" w:rsidRPr="00EF2E8A">
        <w:t>use in combination with BEVA</w:t>
      </w:r>
      <w:r w:rsidR="005A5D6A" w:rsidRPr="00EF2E8A">
        <w:t xml:space="preserve"> </w:t>
      </w:r>
      <w:r w:rsidR="007659E4" w:rsidRPr="00EF2E8A">
        <w:t>is unlikely for patients with high FRα expression,</w:t>
      </w:r>
      <w:r w:rsidR="00D94FCB" w:rsidRPr="00EF2E8A">
        <w:t xml:space="preserve"> however </w:t>
      </w:r>
      <w:r w:rsidR="00B55108" w:rsidRPr="00EF2E8A">
        <w:t>considered</w:t>
      </w:r>
      <w:r w:rsidR="00D94FCB" w:rsidRPr="00EF2E8A">
        <w:t xml:space="preserve"> </w:t>
      </w:r>
      <w:r w:rsidR="007659E4" w:rsidRPr="00EF2E8A">
        <w:t xml:space="preserve">it would be appropriate for the restrictions to specify </w:t>
      </w:r>
      <w:r w:rsidR="009D7C2B" w:rsidRPr="006C34D4">
        <w:t>MIRV is used as monotherapy</w:t>
      </w:r>
      <w:r w:rsidR="00DD2FA0" w:rsidRPr="006C34D4">
        <w:rPr>
          <w:rFonts w:cstheme="minorHAnsi"/>
        </w:rPr>
        <w:t>.</w:t>
      </w:r>
      <w:r w:rsidR="00B65B3F">
        <w:rPr>
          <w:rFonts w:cstheme="minorHAnsi"/>
        </w:rPr>
        <w:t xml:space="preserve"> </w:t>
      </w:r>
      <w:bookmarkEnd w:id="14"/>
    </w:p>
    <w:p w14:paraId="4395D2D0" w14:textId="00D13C2C" w:rsidR="00F478DF" w:rsidRPr="006C34D4" w:rsidRDefault="00F478DF" w:rsidP="00591C83">
      <w:pPr>
        <w:pStyle w:val="3-BodyText"/>
        <w:numPr>
          <w:ilvl w:val="1"/>
          <w:numId w:val="13"/>
        </w:numPr>
      </w:pPr>
      <w:r w:rsidRPr="004B0FF1">
        <w:lastRenderedPageBreak/>
        <w:t>MIRV is administered via IV infusion at a dose of 6 mg/kg adjusted to ideal body weight (AIBW) once every 3 weeks (21</w:t>
      </w:r>
      <w:r w:rsidR="00A46D2B">
        <w:noBreakHyphen/>
      </w:r>
      <w:r w:rsidRPr="004B0FF1">
        <w:t>day cycle). The sponsor has requested a max amount sufficient to treat a patient with 83.3kg AIBW, which appears reasonable. The mean AIBW in MIRASOL was 59kg. The sponsor has proposed that an increase to maximum amounts be allowed for patients with an AIBW greater than 83.3kg, where a higher quantity of drug would be required as per the TGA dosing schedule (6mg/kg AIBW).</w:t>
      </w:r>
      <w:r w:rsidR="00B65B3F">
        <w:t xml:space="preserve"> </w:t>
      </w:r>
    </w:p>
    <w:p w14:paraId="765DF30A" w14:textId="0921B74B" w:rsidR="00B0682B" w:rsidRPr="00EF2E8A" w:rsidRDefault="00B0682B" w:rsidP="00591C83">
      <w:pPr>
        <w:spacing w:before="0" w:line="259" w:lineRule="auto"/>
        <w:ind w:left="720" w:hanging="720"/>
        <w:jc w:val="left"/>
        <w:rPr>
          <w:i/>
          <w:iCs/>
        </w:rPr>
      </w:pPr>
      <w:r w:rsidRPr="00EF2E8A">
        <w:rPr>
          <w:i/>
          <w:iCs/>
        </w:rPr>
        <w:t>For more detail on PBAC’s view, see section 7 PBAC outcome.</w:t>
      </w:r>
    </w:p>
    <w:p w14:paraId="6229A638" w14:textId="77777777" w:rsidR="008D7BF5" w:rsidRPr="00EF2E8A" w:rsidRDefault="008D7BF5" w:rsidP="00591C83">
      <w:pPr>
        <w:pStyle w:val="PBACESHeading1"/>
      </w:pPr>
      <w:bookmarkStart w:id="15" w:name="_Toc198722000"/>
      <w:r w:rsidRPr="00EF2E8A">
        <w:t>Population and disease</w:t>
      </w:r>
      <w:bookmarkEnd w:id="9"/>
      <w:bookmarkEnd w:id="15"/>
    </w:p>
    <w:p w14:paraId="47C46138" w14:textId="1F9B608F" w:rsidR="00A06F13" w:rsidRPr="00EF2E8A" w:rsidRDefault="00A06F13" w:rsidP="00591C83">
      <w:pPr>
        <w:pStyle w:val="ListParagraph"/>
        <w:rPr>
          <w:color w:val="auto"/>
        </w:rPr>
      </w:pPr>
      <w:r w:rsidRPr="00EF2E8A">
        <w:rPr>
          <w:color w:val="auto"/>
        </w:rPr>
        <w:t xml:space="preserve">Epithelial ovarian, fallopian tube, and primary peritoneal cancer are collectively described as EOC. There are currently no recommended screening tests for </w:t>
      </w:r>
      <w:r w:rsidR="007E5940" w:rsidRPr="00EF2E8A">
        <w:rPr>
          <w:color w:val="auto"/>
        </w:rPr>
        <w:t xml:space="preserve">EOC </w:t>
      </w:r>
      <w:r w:rsidRPr="00EF2E8A">
        <w:rPr>
          <w:color w:val="auto"/>
        </w:rPr>
        <w:t>and the absence of definitive symptoms makes it difficult to diagnose in the early stages (Cancer Australia, 2019). Late</w:t>
      </w:r>
      <w:r w:rsidR="00A46D2B">
        <w:rPr>
          <w:color w:val="auto"/>
        </w:rPr>
        <w:noBreakHyphen/>
      </w:r>
      <w:r w:rsidRPr="00EF2E8A">
        <w:rPr>
          <w:color w:val="auto"/>
        </w:rPr>
        <w:t>stage EOC is rarely curable despite optimal surgical resection and intensive adjuvant or neo</w:t>
      </w:r>
      <w:r w:rsidR="00A46D2B">
        <w:rPr>
          <w:color w:val="auto"/>
        </w:rPr>
        <w:noBreakHyphen/>
      </w:r>
      <w:r w:rsidRPr="00EF2E8A">
        <w:rPr>
          <w:color w:val="auto"/>
        </w:rPr>
        <w:t>adjuvant chemotherapy. Due to the ambiguous nature of these disease symptoms, a lack of early detection tests, and because early</w:t>
      </w:r>
      <w:r w:rsidR="00A46D2B">
        <w:rPr>
          <w:color w:val="auto"/>
        </w:rPr>
        <w:noBreakHyphen/>
      </w:r>
      <w:r w:rsidRPr="00EF2E8A">
        <w:rPr>
          <w:color w:val="auto"/>
        </w:rPr>
        <w:t xml:space="preserve">stage disease is typically asymptomatic, 70% of patients receive a </w:t>
      </w:r>
      <w:r w:rsidR="00591C83">
        <w:rPr>
          <w:color w:val="auto"/>
        </w:rPr>
        <w:br/>
      </w:r>
      <w:r w:rsidRPr="00EF2E8A">
        <w:rPr>
          <w:color w:val="auto"/>
        </w:rPr>
        <w:t>late</w:t>
      </w:r>
      <w:r w:rsidR="00A46D2B">
        <w:rPr>
          <w:color w:val="auto"/>
        </w:rPr>
        <w:noBreakHyphen/>
      </w:r>
      <w:r w:rsidRPr="00EF2E8A">
        <w:rPr>
          <w:color w:val="auto"/>
        </w:rPr>
        <w:t>stage diagnosis (stage III</w:t>
      </w:r>
      <w:r w:rsidR="00A46D2B">
        <w:rPr>
          <w:color w:val="auto"/>
        </w:rPr>
        <w:noBreakHyphen/>
      </w:r>
      <w:r w:rsidRPr="00EF2E8A">
        <w:rPr>
          <w:color w:val="auto"/>
        </w:rPr>
        <w:t>IV) (Cancer Council, 2024).</w:t>
      </w:r>
    </w:p>
    <w:p w14:paraId="454AFB8A" w14:textId="1D8EA35D" w:rsidR="00A06F13" w:rsidRPr="00EF2E8A" w:rsidRDefault="00A06F13" w:rsidP="00591C83">
      <w:pPr>
        <w:pStyle w:val="ListParagraph"/>
        <w:rPr>
          <w:color w:val="auto"/>
        </w:rPr>
      </w:pPr>
      <w:r w:rsidRPr="00EF2E8A">
        <w:rPr>
          <w:color w:val="auto"/>
        </w:rPr>
        <w:t>At the time of diagnosis, women have a five</w:t>
      </w:r>
      <w:r w:rsidR="00A46D2B">
        <w:rPr>
          <w:color w:val="auto"/>
        </w:rPr>
        <w:noBreakHyphen/>
      </w:r>
      <w:r w:rsidRPr="00EF2E8A">
        <w:rPr>
          <w:color w:val="auto"/>
        </w:rPr>
        <w:t>year survival rate of 48% (Australian Cancer Research Foundation [ACRF], 2022). Ovarian cancer was ranked 6th highest as a cause of cancer death in Australian women in 2022 (Cancer Australia, 2024; NCCI, 2022). For Australian patients with advanced or metastatic EOC with serous histology, a median overall survival (OS) of 5.2 years was reported for a cohort of 421 women, in an unpublished draft study commissioned for this submission (registry data collected by the not</w:t>
      </w:r>
      <w:r w:rsidR="00A46D2B">
        <w:rPr>
          <w:color w:val="auto"/>
        </w:rPr>
        <w:noBreakHyphen/>
      </w:r>
      <w:r w:rsidRPr="00EF2E8A">
        <w:rPr>
          <w:color w:val="auto"/>
        </w:rPr>
        <w:t>for</w:t>
      </w:r>
      <w:r w:rsidR="00A46D2B">
        <w:rPr>
          <w:color w:val="auto"/>
        </w:rPr>
        <w:noBreakHyphen/>
      </w:r>
      <w:r w:rsidRPr="00EF2E8A">
        <w:rPr>
          <w:color w:val="auto"/>
        </w:rPr>
        <w:t>profit Cancer Screening Program [CaSP]) (</w:t>
      </w:r>
      <w:proofErr w:type="spellStart"/>
      <w:r w:rsidRPr="00EF2E8A">
        <w:rPr>
          <w:color w:val="auto"/>
        </w:rPr>
        <w:t>Quantium</w:t>
      </w:r>
      <w:proofErr w:type="spellEnd"/>
      <w:r w:rsidRPr="00EF2E8A">
        <w:rPr>
          <w:color w:val="auto"/>
        </w:rPr>
        <w:t>, 2025).</w:t>
      </w:r>
    </w:p>
    <w:p w14:paraId="1FFDEB49" w14:textId="08CB8B8F" w:rsidR="006025CB" w:rsidRPr="00EF2E8A" w:rsidRDefault="00A06F13" w:rsidP="00591C83">
      <w:pPr>
        <w:pStyle w:val="ListParagraph"/>
      </w:pPr>
      <w:r w:rsidRPr="00EF2E8A">
        <w:t>Ovarian cancer is managed according to tumour histology. The currently understood spectrum of tumour subtypes</w:t>
      </w:r>
      <w:r w:rsidR="00A6060E" w:rsidRPr="00EF2E8A">
        <w:t>,</w:t>
      </w:r>
      <w:r w:rsidRPr="00EF2E8A">
        <w:t xml:space="preserve"> differentiated according to histology, and their proportions, has been conceptualised </w:t>
      </w:r>
      <w:r w:rsidR="00AB0982" w:rsidRPr="00EF2E8A">
        <w:t>during</w:t>
      </w:r>
      <w:r w:rsidR="006D6B7E" w:rsidRPr="00EF2E8A">
        <w:t xml:space="preserve"> the evaluat</w:t>
      </w:r>
      <w:r w:rsidR="00F72F03" w:rsidRPr="00EF2E8A">
        <w:t>ion,</w:t>
      </w:r>
      <w:r w:rsidR="006D6B7E" w:rsidRPr="00EF2E8A">
        <w:t xml:space="preserve"> </w:t>
      </w:r>
      <w:r w:rsidRPr="00EF2E8A">
        <w:t>in</w:t>
      </w:r>
      <w:r w:rsidR="006025CB" w:rsidRPr="00EF2E8A">
        <w:t xml:space="preserve"> </w:t>
      </w:r>
      <w:r w:rsidR="007E1E60">
        <w:fldChar w:fldCharType="begin" w:fldLock="1"/>
      </w:r>
      <w:r w:rsidR="007E1E60">
        <w:instrText xml:space="preserve"> REF _Ref205197585 \h </w:instrText>
      </w:r>
      <w:r w:rsidR="007E1E60">
        <w:fldChar w:fldCharType="separate"/>
      </w:r>
      <w:r w:rsidR="00CC5CAD">
        <w:t xml:space="preserve">Figure </w:t>
      </w:r>
      <w:r w:rsidR="00CC5CAD">
        <w:rPr>
          <w:noProof/>
        </w:rPr>
        <w:t>1</w:t>
      </w:r>
      <w:r w:rsidR="007E1E60">
        <w:fldChar w:fldCharType="end"/>
      </w:r>
      <w:r w:rsidRPr="00EF2E8A">
        <w:t>.</w:t>
      </w:r>
    </w:p>
    <w:p w14:paraId="26CA9F75" w14:textId="5771AF13" w:rsidR="007E1E60" w:rsidRDefault="007E1E60" w:rsidP="00AA3864">
      <w:pPr>
        <w:pStyle w:val="Caption"/>
        <w:keepLines/>
      </w:pPr>
      <w:bookmarkStart w:id="16" w:name="_Ref205197585"/>
      <w:r>
        <w:t xml:space="preserve">Figure </w:t>
      </w:r>
      <w:r w:rsidR="00CC5CAD">
        <w:fldChar w:fldCharType="begin" w:fldLock="1"/>
      </w:r>
      <w:r w:rsidR="00CC5CAD">
        <w:instrText xml:space="preserve"> SEQ Figure \* ARABIC </w:instrText>
      </w:r>
      <w:r w:rsidR="00CC5CAD">
        <w:fldChar w:fldCharType="separate"/>
      </w:r>
      <w:r w:rsidR="00CC5CAD">
        <w:rPr>
          <w:noProof/>
        </w:rPr>
        <w:t>1</w:t>
      </w:r>
      <w:r w:rsidR="00CC5CAD">
        <w:rPr>
          <w:noProof/>
        </w:rPr>
        <w:fldChar w:fldCharType="end"/>
      </w:r>
      <w:bookmarkEnd w:id="16"/>
      <w:r>
        <w:t xml:space="preserve">: </w:t>
      </w:r>
      <w:r w:rsidRPr="006E6853">
        <w:t>Diagram of ovarian cancer subtypes by histology</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Figure 1: Diagram of ovarian cancer subtypes by histology"/>
      </w:tblPr>
      <w:tblGrid>
        <w:gridCol w:w="1981"/>
        <w:gridCol w:w="709"/>
        <w:gridCol w:w="3401"/>
        <w:gridCol w:w="994"/>
        <w:gridCol w:w="1132"/>
        <w:gridCol w:w="799"/>
      </w:tblGrid>
      <w:tr w:rsidR="00A06F13" w:rsidRPr="00EF2E8A" w14:paraId="3020692E" w14:textId="77777777">
        <w:trPr>
          <w:cnfStyle w:val="100000000000" w:firstRow="1" w:lastRow="0" w:firstColumn="0" w:lastColumn="0" w:oddVBand="0" w:evenVBand="0" w:oddHBand="0" w:evenHBand="0" w:firstRowFirstColumn="0" w:firstRowLastColumn="0" w:lastRowFirstColumn="0" w:lastRowLastColumn="0"/>
        </w:trPr>
        <w:tc>
          <w:tcPr>
            <w:tcW w:w="1099" w:type="pct"/>
            <w:vMerge w:val="restart"/>
            <w:tcBorders>
              <w:right w:val="nil"/>
            </w:tcBorders>
            <w:shd w:val="clear" w:color="auto" w:fill="92D050"/>
          </w:tcPr>
          <w:p w14:paraId="7232532A" w14:textId="77777777" w:rsidR="00A06F13" w:rsidRPr="00EF2E8A" w:rsidRDefault="00A06F13" w:rsidP="00AA3864">
            <w:pPr>
              <w:keepNext/>
              <w:keepLines/>
              <w:spacing w:before="0"/>
              <w:jc w:val="left"/>
              <w:rPr>
                <w:rFonts w:ascii="Arial Narrow" w:hAnsi="Arial Narrow"/>
                <w:b w:val="0"/>
                <w:sz w:val="20"/>
                <w:lang w:val="en-AU"/>
              </w:rPr>
            </w:pPr>
            <w:r w:rsidRPr="00EF2E8A">
              <w:rPr>
                <w:rFonts w:ascii="Arial Narrow" w:hAnsi="Arial Narrow"/>
                <w:b w:val="0"/>
                <w:sz w:val="20"/>
                <w:lang w:val="en-AU"/>
              </w:rPr>
              <w:t>Epithelial ovarian cancer (EOC)</w:t>
            </w:r>
          </w:p>
        </w:tc>
        <w:tc>
          <w:tcPr>
            <w:tcW w:w="393" w:type="pct"/>
            <w:vMerge w:val="restart"/>
            <w:tcBorders>
              <w:left w:val="nil"/>
            </w:tcBorders>
            <w:shd w:val="clear" w:color="auto" w:fill="92D050"/>
          </w:tcPr>
          <w:p w14:paraId="0FAD67E6" w14:textId="0C899D21" w:rsidR="00A06F13" w:rsidRPr="00EF2E8A" w:rsidRDefault="00A06F13" w:rsidP="00AA3864">
            <w:pPr>
              <w:keepNext/>
              <w:keepLines/>
              <w:spacing w:before="0"/>
              <w:jc w:val="left"/>
              <w:rPr>
                <w:rFonts w:ascii="Arial Narrow" w:hAnsi="Arial Narrow"/>
                <w:b w:val="0"/>
                <w:sz w:val="20"/>
                <w:lang w:val="en-AU"/>
              </w:rPr>
            </w:pPr>
            <w:r w:rsidRPr="00EF2E8A">
              <w:rPr>
                <w:rFonts w:ascii="Arial Narrow" w:hAnsi="Arial Narrow"/>
                <w:b w:val="0"/>
                <w:sz w:val="20"/>
                <w:lang w:val="en-AU"/>
              </w:rPr>
              <w:t>85</w:t>
            </w:r>
            <w:r w:rsidR="00A46D2B">
              <w:rPr>
                <w:rFonts w:ascii="Arial Narrow" w:hAnsi="Arial Narrow"/>
                <w:b w:val="0"/>
                <w:sz w:val="20"/>
                <w:lang w:val="en-AU"/>
              </w:rPr>
              <w:noBreakHyphen/>
            </w:r>
            <w:r w:rsidRPr="00EF2E8A">
              <w:rPr>
                <w:rFonts w:ascii="Arial Narrow" w:hAnsi="Arial Narrow"/>
                <w:b w:val="0"/>
                <w:sz w:val="20"/>
                <w:lang w:val="en-AU"/>
              </w:rPr>
              <w:t>90%</w:t>
            </w:r>
          </w:p>
        </w:tc>
        <w:tc>
          <w:tcPr>
            <w:tcW w:w="1886" w:type="pct"/>
            <w:vMerge w:val="restart"/>
            <w:tcBorders>
              <w:right w:val="nil"/>
            </w:tcBorders>
            <w:shd w:val="clear" w:color="auto" w:fill="92D050"/>
          </w:tcPr>
          <w:p w14:paraId="0A779CED" w14:textId="77777777" w:rsidR="00A06F13" w:rsidRPr="00EF2E8A" w:rsidRDefault="00A06F13" w:rsidP="00AA3864">
            <w:pPr>
              <w:keepNext/>
              <w:keepLines/>
              <w:spacing w:before="0"/>
              <w:jc w:val="left"/>
              <w:rPr>
                <w:rFonts w:ascii="Arial Narrow" w:hAnsi="Arial Narrow"/>
                <w:b w:val="0"/>
                <w:sz w:val="20"/>
                <w:lang w:val="en-AU"/>
              </w:rPr>
            </w:pPr>
            <w:r w:rsidRPr="00EF2E8A">
              <w:rPr>
                <w:rFonts w:ascii="Arial Narrow" w:hAnsi="Arial Narrow"/>
                <w:b w:val="0"/>
                <w:sz w:val="20"/>
                <w:lang w:val="en-AU"/>
              </w:rPr>
              <w:t>Serous</w:t>
            </w:r>
          </w:p>
        </w:tc>
        <w:tc>
          <w:tcPr>
            <w:tcW w:w="551" w:type="pct"/>
            <w:vMerge w:val="restart"/>
            <w:tcBorders>
              <w:left w:val="nil"/>
            </w:tcBorders>
            <w:shd w:val="clear" w:color="auto" w:fill="92D050"/>
          </w:tcPr>
          <w:p w14:paraId="29CBF6AF" w14:textId="252E438E" w:rsidR="00A06F13" w:rsidRPr="00EF2E8A" w:rsidRDefault="00A06F13" w:rsidP="00AA3864">
            <w:pPr>
              <w:keepNext/>
              <w:keepLines/>
              <w:spacing w:before="0"/>
              <w:jc w:val="left"/>
              <w:rPr>
                <w:rFonts w:ascii="Arial Narrow" w:hAnsi="Arial Narrow"/>
                <w:b w:val="0"/>
                <w:sz w:val="20"/>
                <w:lang w:val="en-AU"/>
              </w:rPr>
            </w:pPr>
            <w:r w:rsidRPr="00EF2E8A">
              <w:rPr>
                <w:rFonts w:ascii="Arial Narrow" w:hAnsi="Arial Narrow"/>
                <w:b w:val="0"/>
                <w:sz w:val="20"/>
                <w:lang w:val="en-AU"/>
              </w:rPr>
              <w:t>70</w:t>
            </w:r>
            <w:r w:rsidR="00A46D2B">
              <w:rPr>
                <w:rFonts w:ascii="Arial Narrow" w:hAnsi="Arial Narrow"/>
                <w:b w:val="0"/>
                <w:sz w:val="20"/>
                <w:lang w:val="en-AU"/>
              </w:rPr>
              <w:noBreakHyphen/>
            </w:r>
            <w:r w:rsidRPr="00EF2E8A">
              <w:rPr>
                <w:rFonts w:ascii="Arial Narrow" w:hAnsi="Arial Narrow"/>
                <w:b w:val="0"/>
                <w:sz w:val="20"/>
                <w:lang w:val="en-AU"/>
              </w:rPr>
              <w:t>75%</w:t>
            </w:r>
          </w:p>
        </w:tc>
        <w:tc>
          <w:tcPr>
            <w:tcW w:w="628" w:type="pct"/>
            <w:tcBorders>
              <w:bottom w:val="single" w:sz="4" w:space="0" w:color="auto"/>
              <w:right w:val="nil"/>
            </w:tcBorders>
            <w:shd w:val="clear" w:color="auto" w:fill="92D050"/>
          </w:tcPr>
          <w:p w14:paraId="10C34F19" w14:textId="77777777" w:rsidR="00A06F13" w:rsidRPr="00EF2E8A" w:rsidRDefault="00A06F13" w:rsidP="00AA3864">
            <w:pPr>
              <w:keepNext/>
              <w:keepLines/>
              <w:spacing w:before="0"/>
              <w:jc w:val="left"/>
              <w:rPr>
                <w:rFonts w:ascii="Arial Narrow" w:hAnsi="Arial Narrow"/>
                <w:b w:val="0"/>
                <w:sz w:val="20"/>
                <w:lang w:val="en-AU"/>
              </w:rPr>
            </w:pPr>
            <w:r w:rsidRPr="00EF2E8A">
              <w:rPr>
                <w:rFonts w:ascii="Arial Narrow" w:hAnsi="Arial Narrow"/>
                <w:b w:val="0"/>
                <w:sz w:val="20"/>
                <w:lang w:val="en-AU"/>
              </w:rPr>
              <w:t>High grade</w:t>
            </w:r>
          </w:p>
        </w:tc>
        <w:tc>
          <w:tcPr>
            <w:tcW w:w="443" w:type="pct"/>
            <w:tcBorders>
              <w:left w:val="nil"/>
              <w:bottom w:val="single" w:sz="4" w:space="0" w:color="auto"/>
            </w:tcBorders>
            <w:shd w:val="clear" w:color="auto" w:fill="92D050"/>
          </w:tcPr>
          <w:p w14:paraId="2FBE3C6A" w14:textId="5CD103AA" w:rsidR="00A06F13" w:rsidRPr="00EF2E8A" w:rsidRDefault="00A06F13" w:rsidP="00AA3864">
            <w:pPr>
              <w:keepNext/>
              <w:keepLines/>
              <w:spacing w:before="0"/>
              <w:jc w:val="left"/>
              <w:rPr>
                <w:rFonts w:ascii="Arial Narrow" w:hAnsi="Arial Narrow"/>
                <w:b w:val="0"/>
                <w:sz w:val="20"/>
                <w:lang w:val="en-AU"/>
              </w:rPr>
            </w:pPr>
            <w:r w:rsidRPr="00EF2E8A">
              <w:rPr>
                <w:rFonts w:ascii="Arial Narrow" w:hAnsi="Arial Narrow"/>
                <w:b w:val="0"/>
                <w:sz w:val="20"/>
                <w:lang w:val="en-AU"/>
              </w:rPr>
              <w:t>95</w:t>
            </w:r>
            <w:r w:rsidR="00A46D2B">
              <w:rPr>
                <w:rFonts w:ascii="Arial Narrow" w:hAnsi="Arial Narrow"/>
                <w:b w:val="0"/>
                <w:sz w:val="20"/>
                <w:lang w:val="en-AU"/>
              </w:rPr>
              <w:noBreakHyphen/>
            </w:r>
            <w:r w:rsidRPr="00EF2E8A">
              <w:rPr>
                <w:rFonts w:ascii="Arial Narrow" w:hAnsi="Arial Narrow"/>
                <w:b w:val="0"/>
                <w:sz w:val="20"/>
                <w:lang w:val="en-AU"/>
              </w:rPr>
              <w:t>97%</w:t>
            </w:r>
          </w:p>
        </w:tc>
      </w:tr>
      <w:tr w:rsidR="00A06F13" w:rsidRPr="00EF2E8A" w14:paraId="4AB5D3C5" w14:textId="77777777">
        <w:tc>
          <w:tcPr>
            <w:tcW w:w="1099" w:type="pct"/>
            <w:vMerge/>
            <w:tcBorders>
              <w:right w:val="nil"/>
            </w:tcBorders>
            <w:shd w:val="clear" w:color="auto" w:fill="92D050"/>
          </w:tcPr>
          <w:p w14:paraId="666FC5CD" w14:textId="77777777" w:rsidR="00A06F13" w:rsidRPr="00EF2E8A" w:rsidRDefault="00A06F13" w:rsidP="00AA3864">
            <w:pPr>
              <w:keepNext/>
              <w:keepLines/>
              <w:spacing w:before="0"/>
              <w:jc w:val="left"/>
              <w:rPr>
                <w:rFonts w:ascii="Arial Narrow" w:hAnsi="Arial Narrow"/>
                <w:b/>
                <w:sz w:val="20"/>
                <w:lang w:val="en-AU"/>
              </w:rPr>
            </w:pPr>
          </w:p>
        </w:tc>
        <w:tc>
          <w:tcPr>
            <w:tcW w:w="393" w:type="pct"/>
            <w:vMerge/>
            <w:tcBorders>
              <w:left w:val="nil"/>
            </w:tcBorders>
            <w:shd w:val="clear" w:color="auto" w:fill="92D050"/>
          </w:tcPr>
          <w:p w14:paraId="69043D3C" w14:textId="77777777" w:rsidR="00A06F13" w:rsidRPr="00EF2E8A" w:rsidRDefault="00A06F13" w:rsidP="00AA3864">
            <w:pPr>
              <w:keepNext/>
              <w:keepLines/>
              <w:spacing w:before="0"/>
              <w:jc w:val="left"/>
              <w:rPr>
                <w:rFonts w:ascii="Arial Narrow" w:hAnsi="Arial Narrow"/>
                <w:b/>
                <w:sz w:val="20"/>
                <w:lang w:val="en-AU"/>
              </w:rPr>
            </w:pPr>
          </w:p>
        </w:tc>
        <w:tc>
          <w:tcPr>
            <w:tcW w:w="1886" w:type="pct"/>
            <w:vMerge/>
            <w:tcBorders>
              <w:bottom w:val="single" w:sz="4" w:space="0" w:color="auto"/>
              <w:right w:val="nil"/>
            </w:tcBorders>
            <w:shd w:val="clear" w:color="auto" w:fill="92D050"/>
          </w:tcPr>
          <w:p w14:paraId="62AE18FC" w14:textId="77777777" w:rsidR="00A06F13" w:rsidRPr="00EF2E8A" w:rsidRDefault="00A06F13" w:rsidP="00AA3864">
            <w:pPr>
              <w:keepNext/>
              <w:keepLines/>
              <w:spacing w:before="0"/>
              <w:jc w:val="left"/>
              <w:rPr>
                <w:rFonts w:ascii="Arial Narrow" w:hAnsi="Arial Narrow"/>
                <w:sz w:val="20"/>
                <w:lang w:val="en-AU"/>
              </w:rPr>
            </w:pPr>
          </w:p>
        </w:tc>
        <w:tc>
          <w:tcPr>
            <w:tcW w:w="551" w:type="pct"/>
            <w:vMerge/>
            <w:tcBorders>
              <w:left w:val="nil"/>
              <w:bottom w:val="single" w:sz="4" w:space="0" w:color="auto"/>
            </w:tcBorders>
            <w:shd w:val="clear" w:color="auto" w:fill="92D050"/>
          </w:tcPr>
          <w:p w14:paraId="4C0174DB" w14:textId="77777777" w:rsidR="00A06F13" w:rsidRPr="00EF2E8A" w:rsidRDefault="00A06F13" w:rsidP="00AA3864">
            <w:pPr>
              <w:keepNext/>
              <w:keepLines/>
              <w:spacing w:before="0"/>
              <w:jc w:val="left"/>
              <w:rPr>
                <w:rFonts w:ascii="Arial Narrow" w:hAnsi="Arial Narrow"/>
                <w:sz w:val="20"/>
                <w:lang w:val="en-AU"/>
              </w:rPr>
            </w:pPr>
          </w:p>
        </w:tc>
        <w:tc>
          <w:tcPr>
            <w:tcW w:w="628" w:type="pct"/>
            <w:tcBorders>
              <w:bottom w:val="single" w:sz="4" w:space="0" w:color="auto"/>
              <w:right w:val="nil"/>
            </w:tcBorders>
            <w:shd w:val="clear" w:color="auto" w:fill="E2EFD9" w:themeFill="accent6" w:themeFillTint="33"/>
          </w:tcPr>
          <w:p w14:paraId="6EECD251" w14:textId="51ADB6FF"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 xml:space="preserve">Low grade </w:t>
            </w:r>
          </w:p>
        </w:tc>
        <w:tc>
          <w:tcPr>
            <w:tcW w:w="443" w:type="pct"/>
            <w:tcBorders>
              <w:left w:val="nil"/>
              <w:bottom w:val="single" w:sz="4" w:space="0" w:color="auto"/>
            </w:tcBorders>
            <w:shd w:val="clear" w:color="auto" w:fill="E2EFD9" w:themeFill="accent6" w:themeFillTint="33"/>
          </w:tcPr>
          <w:p w14:paraId="0E4D68B0" w14:textId="186316D6"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3</w:t>
            </w:r>
            <w:r w:rsidR="00A46D2B">
              <w:rPr>
                <w:rFonts w:ascii="Arial Narrow" w:hAnsi="Arial Narrow"/>
                <w:sz w:val="20"/>
                <w:lang w:val="en-AU"/>
              </w:rPr>
              <w:noBreakHyphen/>
            </w:r>
            <w:r w:rsidRPr="00EF2E8A">
              <w:rPr>
                <w:rFonts w:ascii="Arial Narrow" w:hAnsi="Arial Narrow"/>
                <w:sz w:val="20"/>
                <w:lang w:val="en-AU"/>
              </w:rPr>
              <w:t>5%</w:t>
            </w:r>
          </w:p>
        </w:tc>
      </w:tr>
      <w:tr w:rsidR="00A06F13" w:rsidRPr="00EF2E8A" w14:paraId="0EFA70B1" w14:textId="77777777">
        <w:tc>
          <w:tcPr>
            <w:tcW w:w="1099" w:type="pct"/>
            <w:vMerge/>
            <w:tcBorders>
              <w:bottom w:val="single" w:sz="4" w:space="0" w:color="auto"/>
              <w:right w:val="nil"/>
            </w:tcBorders>
            <w:shd w:val="clear" w:color="auto" w:fill="92D050"/>
          </w:tcPr>
          <w:p w14:paraId="3C8A105F" w14:textId="77777777" w:rsidR="00A06F13" w:rsidRPr="00EF2E8A" w:rsidRDefault="00A06F13" w:rsidP="00AA3864">
            <w:pPr>
              <w:keepNext/>
              <w:keepLines/>
              <w:spacing w:before="0"/>
              <w:jc w:val="left"/>
              <w:rPr>
                <w:rFonts w:ascii="Arial Narrow" w:hAnsi="Arial Narrow"/>
                <w:sz w:val="20"/>
                <w:lang w:val="en-AU"/>
              </w:rPr>
            </w:pPr>
          </w:p>
        </w:tc>
        <w:tc>
          <w:tcPr>
            <w:tcW w:w="393" w:type="pct"/>
            <w:vMerge/>
            <w:tcBorders>
              <w:left w:val="nil"/>
              <w:bottom w:val="single" w:sz="4" w:space="0" w:color="auto"/>
            </w:tcBorders>
            <w:shd w:val="clear" w:color="auto" w:fill="92D050"/>
          </w:tcPr>
          <w:p w14:paraId="17A2E441" w14:textId="77777777" w:rsidR="00A06F13" w:rsidRPr="00EF2E8A" w:rsidRDefault="00A06F13" w:rsidP="00AA3864">
            <w:pPr>
              <w:keepNext/>
              <w:keepLines/>
              <w:spacing w:before="0"/>
              <w:jc w:val="left"/>
              <w:rPr>
                <w:rFonts w:ascii="Arial Narrow" w:hAnsi="Arial Narrow"/>
                <w:sz w:val="20"/>
                <w:lang w:val="en-AU"/>
              </w:rPr>
            </w:pPr>
          </w:p>
        </w:tc>
        <w:tc>
          <w:tcPr>
            <w:tcW w:w="1886" w:type="pct"/>
            <w:tcBorders>
              <w:bottom w:val="single" w:sz="4" w:space="0" w:color="auto"/>
              <w:right w:val="nil"/>
            </w:tcBorders>
            <w:shd w:val="clear" w:color="auto" w:fill="E2EFD9" w:themeFill="accent6" w:themeFillTint="33"/>
          </w:tcPr>
          <w:p w14:paraId="5F1B5FFD" w14:textId="5AF69B18"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Clear cell carcinoma (5</w:t>
            </w:r>
            <w:r w:rsidR="00A46D2B">
              <w:rPr>
                <w:rFonts w:ascii="Arial Narrow" w:hAnsi="Arial Narrow"/>
                <w:sz w:val="20"/>
                <w:lang w:val="en-AU"/>
              </w:rPr>
              <w:noBreakHyphen/>
            </w:r>
            <w:r w:rsidRPr="00EF2E8A">
              <w:rPr>
                <w:rFonts w:ascii="Arial Narrow" w:hAnsi="Arial Narrow"/>
                <w:sz w:val="20"/>
                <w:lang w:val="en-AU"/>
              </w:rPr>
              <w:t>12%)</w:t>
            </w:r>
          </w:p>
          <w:p w14:paraId="383E469A" w14:textId="0518B9F7"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Endometrioid (11</w:t>
            </w:r>
            <w:r w:rsidR="00A46D2B">
              <w:rPr>
                <w:rFonts w:ascii="Arial Narrow" w:hAnsi="Arial Narrow"/>
                <w:sz w:val="20"/>
                <w:lang w:val="en-AU"/>
              </w:rPr>
              <w:noBreakHyphen/>
            </w:r>
            <w:r w:rsidRPr="00EF2E8A">
              <w:rPr>
                <w:rFonts w:ascii="Arial Narrow" w:hAnsi="Arial Narrow"/>
                <w:sz w:val="20"/>
                <w:lang w:val="en-AU"/>
              </w:rPr>
              <w:t>20%)</w:t>
            </w:r>
          </w:p>
          <w:p w14:paraId="482745AE" w14:textId="77777777"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Mucinous (3%)</w:t>
            </w:r>
          </w:p>
          <w:p w14:paraId="25A905D8" w14:textId="77777777"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Others (mixed; undifferentiated &lt;5%)</w:t>
            </w:r>
          </w:p>
        </w:tc>
        <w:tc>
          <w:tcPr>
            <w:tcW w:w="551" w:type="pct"/>
            <w:tcBorders>
              <w:left w:val="nil"/>
              <w:bottom w:val="single" w:sz="4" w:space="0" w:color="auto"/>
              <w:right w:val="nil"/>
            </w:tcBorders>
            <w:shd w:val="clear" w:color="auto" w:fill="E2EFD9" w:themeFill="accent6" w:themeFillTint="33"/>
          </w:tcPr>
          <w:p w14:paraId="6051FCF1" w14:textId="2671B1BD"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25</w:t>
            </w:r>
            <w:r w:rsidR="00A46D2B">
              <w:rPr>
                <w:rFonts w:ascii="Arial Narrow" w:hAnsi="Arial Narrow"/>
                <w:sz w:val="20"/>
                <w:lang w:val="en-AU"/>
              </w:rPr>
              <w:noBreakHyphen/>
            </w:r>
            <w:r w:rsidRPr="00EF2E8A">
              <w:rPr>
                <w:rFonts w:ascii="Arial Narrow" w:hAnsi="Arial Narrow"/>
                <w:sz w:val="20"/>
                <w:lang w:val="en-AU"/>
              </w:rPr>
              <w:t>30%</w:t>
            </w:r>
          </w:p>
        </w:tc>
        <w:tc>
          <w:tcPr>
            <w:tcW w:w="628" w:type="pct"/>
            <w:tcBorders>
              <w:left w:val="nil"/>
              <w:bottom w:val="single" w:sz="4" w:space="0" w:color="auto"/>
              <w:right w:val="nil"/>
            </w:tcBorders>
            <w:shd w:val="clear" w:color="auto" w:fill="E2EFD9" w:themeFill="accent6" w:themeFillTint="33"/>
          </w:tcPr>
          <w:p w14:paraId="4461A2B6" w14:textId="77777777" w:rsidR="00A06F13" w:rsidRPr="00EF2E8A" w:rsidRDefault="00A06F13" w:rsidP="00AA3864">
            <w:pPr>
              <w:keepNext/>
              <w:keepLines/>
              <w:spacing w:before="0"/>
              <w:jc w:val="left"/>
              <w:rPr>
                <w:rFonts w:ascii="Arial Narrow" w:hAnsi="Arial Narrow"/>
                <w:sz w:val="20"/>
                <w:lang w:val="en-AU"/>
              </w:rPr>
            </w:pPr>
          </w:p>
        </w:tc>
        <w:tc>
          <w:tcPr>
            <w:tcW w:w="443" w:type="pct"/>
            <w:tcBorders>
              <w:left w:val="nil"/>
              <w:bottom w:val="single" w:sz="4" w:space="0" w:color="auto"/>
            </w:tcBorders>
            <w:shd w:val="clear" w:color="auto" w:fill="E2EFD9" w:themeFill="accent6" w:themeFillTint="33"/>
          </w:tcPr>
          <w:p w14:paraId="70ABEEF0" w14:textId="77777777" w:rsidR="00A06F13" w:rsidRPr="00EF2E8A" w:rsidRDefault="00A06F13" w:rsidP="00AA3864">
            <w:pPr>
              <w:keepNext/>
              <w:keepLines/>
              <w:spacing w:before="0"/>
              <w:jc w:val="left"/>
              <w:rPr>
                <w:rFonts w:ascii="Arial Narrow" w:hAnsi="Arial Narrow"/>
                <w:sz w:val="20"/>
                <w:lang w:val="en-AU"/>
              </w:rPr>
            </w:pPr>
          </w:p>
        </w:tc>
      </w:tr>
      <w:tr w:rsidR="00A06F13" w:rsidRPr="00EF2E8A" w14:paraId="133C1091" w14:textId="77777777">
        <w:tc>
          <w:tcPr>
            <w:tcW w:w="1099" w:type="pct"/>
            <w:tcBorders>
              <w:right w:val="nil"/>
            </w:tcBorders>
            <w:shd w:val="clear" w:color="auto" w:fill="E2EFD9" w:themeFill="accent6" w:themeFillTint="33"/>
          </w:tcPr>
          <w:p w14:paraId="38C1E163" w14:textId="3DFC3551"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Non</w:t>
            </w:r>
            <w:r w:rsidR="00A46D2B">
              <w:rPr>
                <w:rFonts w:ascii="Arial Narrow" w:hAnsi="Arial Narrow"/>
                <w:sz w:val="20"/>
                <w:lang w:val="en-AU"/>
              </w:rPr>
              <w:noBreakHyphen/>
            </w:r>
            <w:r w:rsidRPr="00EF2E8A">
              <w:rPr>
                <w:rFonts w:ascii="Arial Narrow" w:hAnsi="Arial Narrow"/>
                <w:sz w:val="20"/>
                <w:lang w:val="en-AU"/>
              </w:rPr>
              <w:t>epithelial OC (stromal or germ cell)</w:t>
            </w:r>
          </w:p>
        </w:tc>
        <w:tc>
          <w:tcPr>
            <w:tcW w:w="393" w:type="pct"/>
            <w:tcBorders>
              <w:left w:val="nil"/>
              <w:right w:val="nil"/>
            </w:tcBorders>
            <w:shd w:val="clear" w:color="auto" w:fill="E2EFD9" w:themeFill="accent6" w:themeFillTint="33"/>
          </w:tcPr>
          <w:p w14:paraId="00F05774" w14:textId="1371F646" w:rsidR="00A06F13" w:rsidRPr="00EF2E8A" w:rsidRDefault="00A06F13" w:rsidP="00AA3864">
            <w:pPr>
              <w:keepNext/>
              <w:keepLines/>
              <w:spacing w:before="0"/>
              <w:jc w:val="left"/>
              <w:rPr>
                <w:rFonts w:ascii="Arial Narrow" w:hAnsi="Arial Narrow"/>
                <w:sz w:val="20"/>
                <w:lang w:val="en-AU"/>
              </w:rPr>
            </w:pPr>
            <w:r w:rsidRPr="00EF2E8A">
              <w:rPr>
                <w:rFonts w:ascii="Arial Narrow" w:hAnsi="Arial Narrow"/>
                <w:sz w:val="20"/>
                <w:lang w:val="en-AU"/>
              </w:rPr>
              <w:t>10</w:t>
            </w:r>
            <w:r w:rsidR="00A46D2B">
              <w:rPr>
                <w:rFonts w:ascii="Arial Narrow" w:hAnsi="Arial Narrow"/>
                <w:sz w:val="20"/>
                <w:lang w:val="en-AU"/>
              </w:rPr>
              <w:noBreakHyphen/>
            </w:r>
            <w:r w:rsidRPr="00EF2E8A">
              <w:rPr>
                <w:rFonts w:ascii="Arial Narrow" w:hAnsi="Arial Narrow"/>
                <w:sz w:val="20"/>
                <w:lang w:val="en-AU"/>
              </w:rPr>
              <w:t>15%</w:t>
            </w:r>
          </w:p>
        </w:tc>
        <w:tc>
          <w:tcPr>
            <w:tcW w:w="1886" w:type="pct"/>
            <w:tcBorders>
              <w:left w:val="nil"/>
              <w:right w:val="nil"/>
            </w:tcBorders>
            <w:shd w:val="clear" w:color="auto" w:fill="E2EFD9" w:themeFill="accent6" w:themeFillTint="33"/>
          </w:tcPr>
          <w:p w14:paraId="1F57B15E" w14:textId="77777777" w:rsidR="00A06F13" w:rsidRPr="00EF2E8A" w:rsidRDefault="00A06F13" w:rsidP="00AA3864">
            <w:pPr>
              <w:keepNext/>
              <w:keepLines/>
              <w:spacing w:before="0"/>
              <w:jc w:val="left"/>
              <w:rPr>
                <w:rFonts w:ascii="Arial Narrow" w:hAnsi="Arial Narrow"/>
                <w:sz w:val="20"/>
                <w:lang w:val="en-AU"/>
              </w:rPr>
            </w:pPr>
          </w:p>
        </w:tc>
        <w:tc>
          <w:tcPr>
            <w:tcW w:w="551" w:type="pct"/>
            <w:tcBorders>
              <w:left w:val="nil"/>
              <w:right w:val="nil"/>
            </w:tcBorders>
            <w:shd w:val="clear" w:color="auto" w:fill="E2EFD9" w:themeFill="accent6" w:themeFillTint="33"/>
          </w:tcPr>
          <w:p w14:paraId="023C2DC8" w14:textId="77777777" w:rsidR="00A06F13" w:rsidRPr="00EF2E8A" w:rsidRDefault="00A06F13" w:rsidP="00AA3864">
            <w:pPr>
              <w:keepNext/>
              <w:keepLines/>
              <w:spacing w:before="0"/>
              <w:jc w:val="left"/>
              <w:rPr>
                <w:rFonts w:ascii="Arial Narrow" w:hAnsi="Arial Narrow"/>
                <w:sz w:val="20"/>
                <w:lang w:val="en-AU"/>
              </w:rPr>
            </w:pPr>
          </w:p>
        </w:tc>
        <w:tc>
          <w:tcPr>
            <w:tcW w:w="628" w:type="pct"/>
            <w:tcBorders>
              <w:left w:val="nil"/>
              <w:right w:val="nil"/>
            </w:tcBorders>
            <w:shd w:val="clear" w:color="auto" w:fill="E2EFD9" w:themeFill="accent6" w:themeFillTint="33"/>
          </w:tcPr>
          <w:p w14:paraId="59B50D56" w14:textId="77777777" w:rsidR="00A06F13" w:rsidRPr="00EF2E8A" w:rsidRDefault="00A06F13" w:rsidP="00AA3864">
            <w:pPr>
              <w:keepNext/>
              <w:keepLines/>
              <w:spacing w:before="0"/>
              <w:jc w:val="left"/>
              <w:rPr>
                <w:rFonts w:ascii="Arial Narrow" w:hAnsi="Arial Narrow"/>
                <w:sz w:val="20"/>
                <w:lang w:val="en-AU"/>
              </w:rPr>
            </w:pPr>
          </w:p>
        </w:tc>
        <w:tc>
          <w:tcPr>
            <w:tcW w:w="443" w:type="pct"/>
            <w:tcBorders>
              <w:left w:val="nil"/>
            </w:tcBorders>
            <w:shd w:val="clear" w:color="auto" w:fill="E2EFD9" w:themeFill="accent6" w:themeFillTint="33"/>
          </w:tcPr>
          <w:p w14:paraId="11CD7CDE" w14:textId="77777777" w:rsidR="00A06F13" w:rsidRPr="00EF2E8A" w:rsidRDefault="00A06F13" w:rsidP="00AA3864">
            <w:pPr>
              <w:keepNext/>
              <w:keepLines/>
              <w:spacing w:before="0"/>
              <w:jc w:val="left"/>
              <w:rPr>
                <w:rFonts w:ascii="Arial Narrow" w:hAnsi="Arial Narrow"/>
                <w:sz w:val="20"/>
                <w:lang w:val="en-AU"/>
              </w:rPr>
            </w:pPr>
          </w:p>
        </w:tc>
      </w:tr>
    </w:tbl>
    <w:p w14:paraId="02543BD5" w14:textId="4F5220DC" w:rsidR="00A06F13" w:rsidRPr="00EF2E8A" w:rsidRDefault="00A06F13" w:rsidP="00AA3864">
      <w:pPr>
        <w:keepNext/>
        <w:keepLines/>
        <w:spacing w:before="0" w:after="24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Source: Developed during the evaluation from Section 1.1.3.1. Disease Background (p5</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7 of the submission); Redi et al, (2017); González</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Martín et al, (2023); Bergstrom et al, (2017) (cited in the MIRASOL CSR); Fleury et al, (2015); Atallah et al, (2023) (cited in the 1787 PICO Confirmation).</w:t>
      </w:r>
    </w:p>
    <w:p w14:paraId="57FAA94C" w14:textId="3E6E9636" w:rsidR="0085292F" w:rsidRPr="00EF2E8A" w:rsidRDefault="00E0460A" w:rsidP="00AA3864">
      <w:pPr>
        <w:keepNext/>
        <w:keepLines/>
        <w:spacing w:before="0" w:after="24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EOC: epithelial ovarian cancer; OC: ovarian cancer</w:t>
      </w:r>
      <w:r w:rsidR="0081578F" w:rsidRPr="00EF2E8A">
        <w:rPr>
          <w:rFonts w:ascii="Arial Narrow" w:eastAsia="Times New Roman" w:hAnsi="Arial Narrow" w:cs="Arial"/>
          <w:snapToGrid w:val="0"/>
          <w:sz w:val="18"/>
          <w:szCs w:val="20"/>
        </w:rPr>
        <w:t xml:space="preserve"> (not including peritoneal or fallopian tube)</w:t>
      </w:r>
      <w:r w:rsidRPr="00EF2E8A">
        <w:rPr>
          <w:rFonts w:ascii="Arial Narrow" w:eastAsia="Times New Roman" w:hAnsi="Arial Narrow" w:cs="Arial"/>
          <w:snapToGrid w:val="0"/>
          <w:sz w:val="18"/>
          <w:szCs w:val="20"/>
        </w:rPr>
        <w:t>.</w:t>
      </w:r>
    </w:p>
    <w:p w14:paraId="3AA02DDE" w14:textId="11349D6C" w:rsidR="00A06F13" w:rsidRPr="00EF2E8A" w:rsidRDefault="00A06F13" w:rsidP="00591C83">
      <w:pPr>
        <w:pStyle w:val="ListParagraph"/>
        <w:rPr>
          <w:color w:val="auto"/>
        </w:rPr>
      </w:pPr>
      <w:r w:rsidRPr="00EF2E8A">
        <w:rPr>
          <w:color w:val="auto"/>
        </w:rPr>
        <w:t>High grade serous tumours are the most common subtype of EOC. Clinical experts consulted for the submission noted that different EOC subtypes may not be readily distinguishable on examination.</w:t>
      </w:r>
    </w:p>
    <w:p w14:paraId="7387C4B9" w14:textId="110CD639" w:rsidR="00A06F13" w:rsidRPr="00EF2E8A" w:rsidRDefault="00A06F13" w:rsidP="00591C83">
      <w:pPr>
        <w:pStyle w:val="ListParagraph"/>
        <w:rPr>
          <w:color w:val="auto"/>
        </w:rPr>
      </w:pPr>
      <w:r w:rsidRPr="00EF2E8A">
        <w:rPr>
          <w:color w:val="auto"/>
        </w:rPr>
        <w:t xml:space="preserve">In 2024, it was projected there would be 1,805 incident cases of ovarian cancer and serous carcinomas of the fallopian tube in Australia (AIHW, 2024), of which the </w:t>
      </w:r>
      <w:r w:rsidRPr="00EF2E8A">
        <w:rPr>
          <w:color w:val="auto"/>
        </w:rPr>
        <w:lastRenderedPageBreak/>
        <w:t>submission assume</w:t>
      </w:r>
      <w:r w:rsidR="00B57967" w:rsidRPr="00EF2E8A">
        <w:rPr>
          <w:color w:val="auto"/>
        </w:rPr>
        <w:t>d</w:t>
      </w:r>
      <w:r w:rsidRPr="00EF2E8A">
        <w:rPr>
          <w:color w:val="auto"/>
        </w:rPr>
        <w:t xml:space="preserve"> 90% would be EOC. In 2020, the estimated 10</w:t>
      </w:r>
      <w:r w:rsidR="00A46D2B">
        <w:rPr>
          <w:color w:val="auto"/>
        </w:rPr>
        <w:noBreakHyphen/>
      </w:r>
      <w:r w:rsidRPr="00EF2E8A">
        <w:rPr>
          <w:color w:val="auto"/>
        </w:rPr>
        <w:t>year prevalent population of Australian women with ovarian cancer, serous cancers of the fallopian tube, and peritoneal cancer was 8,950 (AIHW Cancer Data in Australia).</w:t>
      </w:r>
    </w:p>
    <w:p w14:paraId="6D95F416" w14:textId="113070A3" w:rsidR="00591C83" w:rsidRDefault="00A06F13" w:rsidP="00591C83">
      <w:pPr>
        <w:pStyle w:val="ListParagraph"/>
        <w:rPr>
          <w:color w:val="auto"/>
        </w:rPr>
      </w:pPr>
      <w:r w:rsidRPr="00EF2E8A">
        <w:rPr>
          <w:color w:val="auto"/>
        </w:rPr>
        <w:t>MIRV is an anti</w:t>
      </w:r>
      <w:r w:rsidR="00A46D2B">
        <w:rPr>
          <w:color w:val="auto"/>
        </w:rPr>
        <w:noBreakHyphen/>
      </w:r>
      <w:r w:rsidRPr="00EF2E8A">
        <w:rPr>
          <w:color w:val="auto"/>
        </w:rPr>
        <w:t>body drug conjugate (ADC). The mirvetuximab antibody component binds with high affinity to the FRα cell surface protein, which in turn is over</w:t>
      </w:r>
      <w:r w:rsidR="00A46D2B">
        <w:rPr>
          <w:color w:val="auto"/>
        </w:rPr>
        <w:noBreakHyphen/>
      </w:r>
      <w:r w:rsidRPr="00EF2E8A">
        <w:rPr>
          <w:color w:val="auto"/>
        </w:rPr>
        <w:t xml:space="preserve">expressed in </w:t>
      </w:r>
      <w:proofErr w:type="gramStart"/>
      <w:r w:rsidRPr="00EF2E8A">
        <w:rPr>
          <w:color w:val="auto"/>
        </w:rPr>
        <w:t>a majority of</w:t>
      </w:r>
      <w:proofErr w:type="gramEnd"/>
      <w:r w:rsidRPr="00EF2E8A">
        <w:rPr>
          <w:color w:val="auto"/>
        </w:rPr>
        <w:t xml:space="preserve"> ovarian cancers (Kelemen, 2006). The drug conjugate delivers the cytotoxic drug component (soravtansine) to cells expressing FRα proteins. Soravtansine is a maytansinoid – an anti</w:t>
      </w:r>
      <w:r w:rsidR="00A46D2B">
        <w:rPr>
          <w:color w:val="auto"/>
        </w:rPr>
        <w:noBreakHyphen/>
      </w:r>
      <w:r w:rsidRPr="00EF2E8A">
        <w:rPr>
          <w:color w:val="auto"/>
        </w:rPr>
        <w:t xml:space="preserve">mitotic agent which inhibits tubulin function, causing cell cycle arrest and cell death, a mechanism </w:t>
      </w:r>
      <w:proofErr w:type="gramStart"/>
      <w:r w:rsidRPr="00EF2E8A">
        <w:rPr>
          <w:color w:val="auto"/>
        </w:rPr>
        <w:t>similar to</w:t>
      </w:r>
      <w:proofErr w:type="gramEnd"/>
      <w:r w:rsidRPr="00EF2E8A">
        <w:rPr>
          <w:color w:val="auto"/>
        </w:rPr>
        <w:t xml:space="preserve"> vinca alkaloids.</w:t>
      </w:r>
    </w:p>
    <w:p w14:paraId="21DF5AC6" w14:textId="5CA5B3A8" w:rsidR="00A06F13" w:rsidRPr="00591C83" w:rsidRDefault="00A06F13" w:rsidP="00591C83">
      <w:pPr>
        <w:pStyle w:val="ListParagraph"/>
        <w:rPr>
          <w:color w:val="auto"/>
        </w:rPr>
      </w:pPr>
      <w:r w:rsidRPr="00591C83">
        <w:t>The submission proposed management of platinum resistant patients split between those with high FRα expression who would receive MIRV and those with low</w:t>
      </w:r>
      <w:r w:rsidR="00A46D2B">
        <w:noBreakHyphen/>
      </w:r>
      <w:r w:rsidRPr="00591C83">
        <w:t xml:space="preserve">medium FRα expression (i.e. who are in effect biomarker negative and who would receive </w:t>
      </w:r>
      <w:r w:rsidR="00591C83">
        <w:br/>
      </w:r>
      <w:r w:rsidRPr="00591C83">
        <w:t>non</w:t>
      </w:r>
      <w:r w:rsidR="00A46D2B">
        <w:noBreakHyphen/>
      </w:r>
      <w:r w:rsidRPr="00591C83">
        <w:t xml:space="preserve">platinum chemotherapy). </w:t>
      </w:r>
      <w:r w:rsidR="002D51A8" w:rsidRPr="00591C83">
        <w:t xml:space="preserve">Thresholds for </w:t>
      </w:r>
      <w:r w:rsidR="00257D7F" w:rsidRPr="00591C83">
        <w:t>FRα expression</w:t>
      </w:r>
      <w:r w:rsidR="006F1055" w:rsidRPr="00591C83">
        <w:t xml:space="preserve"> are discussed </w:t>
      </w:r>
      <w:r w:rsidR="00E30774" w:rsidRPr="00591C83">
        <w:t>under</w:t>
      </w:r>
      <w:r w:rsidR="006F1055" w:rsidRPr="00591C83">
        <w:t xml:space="preserve"> </w:t>
      </w:r>
      <w:r w:rsidR="00E30774" w:rsidRPr="00591C83">
        <w:t>Claim of codependence (</w:t>
      </w:r>
      <w:r w:rsidR="002A5C78" w:rsidRPr="00591C83">
        <w:t xml:space="preserve">paragraphs </w:t>
      </w:r>
      <w:r w:rsidR="002A5C78" w:rsidRPr="00591C83">
        <w:fldChar w:fldCharType="begin" w:fldLock="1"/>
      </w:r>
      <w:r w:rsidR="002A5C78" w:rsidRPr="00591C83">
        <w:instrText xml:space="preserve"> REF _Ref205215172 \r \h </w:instrText>
      </w:r>
      <w:r w:rsidR="002A5C78" w:rsidRPr="00591C83">
        <w:fldChar w:fldCharType="separate"/>
      </w:r>
      <w:r w:rsidR="00CC5CAD" w:rsidRPr="00591C83">
        <w:t>6.61</w:t>
      </w:r>
      <w:r w:rsidR="002A5C78" w:rsidRPr="00591C83">
        <w:fldChar w:fldCharType="end"/>
      </w:r>
      <w:r w:rsidR="00A46D2B">
        <w:noBreakHyphen/>
      </w:r>
      <w:r w:rsidR="002A5C78" w:rsidRPr="00591C83">
        <w:fldChar w:fldCharType="begin" w:fldLock="1"/>
      </w:r>
      <w:r w:rsidR="002A5C78" w:rsidRPr="00591C83">
        <w:instrText xml:space="preserve"> REF _Ref205215176 \r \h </w:instrText>
      </w:r>
      <w:r w:rsidR="002A5C78" w:rsidRPr="00591C83">
        <w:fldChar w:fldCharType="separate"/>
      </w:r>
      <w:r w:rsidR="00CC5CAD" w:rsidRPr="00591C83">
        <w:t>6.65</w:t>
      </w:r>
      <w:r w:rsidR="002A5C78" w:rsidRPr="00591C83">
        <w:fldChar w:fldCharType="end"/>
      </w:r>
      <w:r w:rsidR="00FE2274" w:rsidRPr="00591C83">
        <w:t>)</w:t>
      </w:r>
      <w:r w:rsidR="00E30774" w:rsidRPr="00591C83">
        <w:t>.</w:t>
      </w:r>
      <w:r w:rsidR="002D51A8" w:rsidRPr="00591C83">
        <w:t xml:space="preserve"> </w:t>
      </w:r>
      <w:r w:rsidRPr="00591C83">
        <w:t xml:space="preserve">The main proposed use of MIRV was </w:t>
      </w:r>
      <w:r w:rsidR="00752FBE" w:rsidRPr="00591C83">
        <w:t>as</w:t>
      </w:r>
      <w:r w:rsidRPr="00591C83">
        <w:t xml:space="preserve"> second line </w:t>
      </w:r>
      <w:r w:rsidR="00752FBE" w:rsidRPr="00591C83">
        <w:t xml:space="preserve">treatment </w:t>
      </w:r>
      <w:r w:rsidRPr="00591C83">
        <w:t>on disease recurrence after platinum</w:t>
      </w:r>
      <w:r w:rsidR="00A46D2B">
        <w:noBreakHyphen/>
      </w:r>
      <w:r w:rsidRPr="00591C83">
        <w:t xml:space="preserve">based chemotherapy. The </w:t>
      </w:r>
      <w:r w:rsidR="00AB0982" w:rsidRPr="00591C83">
        <w:t xml:space="preserve">evaluation </w:t>
      </w:r>
      <w:r w:rsidRPr="00591C83">
        <w:t xml:space="preserve">patients with malignant ascites may receive </w:t>
      </w:r>
      <w:r w:rsidR="00F71695" w:rsidRPr="00591C83">
        <w:t>BEVA</w:t>
      </w:r>
      <w:r w:rsidRPr="00591C83">
        <w:t xml:space="preserve"> in preference </w:t>
      </w:r>
      <w:r w:rsidR="007538FF" w:rsidRPr="00591C83">
        <w:t xml:space="preserve">to MIRV </w:t>
      </w:r>
      <w:r w:rsidRPr="00591C83">
        <w:t>as it is known to be effective</w:t>
      </w:r>
      <w:r w:rsidR="007538FF" w:rsidRPr="00591C83">
        <w:t>,</w:t>
      </w:r>
      <w:r w:rsidRPr="00591C83">
        <w:t xml:space="preserve"> or </w:t>
      </w:r>
      <w:r w:rsidR="007538FF" w:rsidRPr="00591C83">
        <w:t xml:space="preserve">in </w:t>
      </w:r>
      <w:r w:rsidRPr="00591C83">
        <w:t xml:space="preserve">patients with a history of ocular disorders who may be considered unsuitable for MIRV. MIRV was also proposed in later line </w:t>
      </w:r>
      <w:r w:rsidR="00EB44BF" w:rsidRPr="00591C83">
        <w:t>treatment</w:t>
      </w:r>
      <w:r w:rsidRPr="00591C83">
        <w:t xml:space="preserve"> after non</w:t>
      </w:r>
      <w:r w:rsidR="00A46D2B">
        <w:noBreakHyphen/>
      </w:r>
      <w:r w:rsidRPr="00591C83">
        <w:t>platinum chemotherapy or other regimens.</w:t>
      </w:r>
    </w:p>
    <w:p w14:paraId="2BA60A60" w14:textId="575D30CF" w:rsidR="00B0682B" w:rsidRPr="00EF2E8A" w:rsidRDefault="00B0682B" w:rsidP="00591C83">
      <w:pPr>
        <w:rPr>
          <w:i/>
          <w:iCs/>
        </w:rPr>
      </w:pPr>
      <w:r w:rsidRPr="00EF2E8A">
        <w:rPr>
          <w:i/>
          <w:iCs/>
        </w:rPr>
        <w:t>For more detail on PBAC’s view, see section 7 PBAC outcome.</w:t>
      </w:r>
    </w:p>
    <w:p w14:paraId="3E1782A8" w14:textId="77777777" w:rsidR="00C317F3" w:rsidRPr="00EF2E8A" w:rsidRDefault="00C317F3" w:rsidP="00591C83">
      <w:pPr>
        <w:pStyle w:val="PBACESHeading1"/>
      </w:pPr>
      <w:bookmarkStart w:id="17" w:name="_Toc198722001"/>
      <w:r w:rsidRPr="00EF2E8A">
        <w:t>Comparator</w:t>
      </w:r>
      <w:bookmarkEnd w:id="10"/>
      <w:bookmarkEnd w:id="17"/>
    </w:p>
    <w:p w14:paraId="1E3DFF9F" w14:textId="12019B3A" w:rsidR="00C01AB8" w:rsidRPr="00EF2E8A" w:rsidRDefault="00C01AB8" w:rsidP="00591C83">
      <w:pPr>
        <w:pStyle w:val="ListParagraph"/>
        <w:rPr>
          <w:color w:val="auto"/>
        </w:rPr>
      </w:pPr>
      <w:bookmarkStart w:id="18" w:name="_Ref198548654"/>
      <w:r w:rsidRPr="00EF2E8A">
        <w:rPr>
          <w:color w:val="auto"/>
        </w:rPr>
        <w:t>The submission nominated non</w:t>
      </w:r>
      <w:r w:rsidR="00A46D2B">
        <w:rPr>
          <w:color w:val="auto"/>
        </w:rPr>
        <w:noBreakHyphen/>
      </w:r>
      <w:r w:rsidRPr="00EF2E8A">
        <w:rPr>
          <w:color w:val="auto"/>
        </w:rPr>
        <w:t xml:space="preserve">platinum chemotherapy (paclitaxel, topotecan, or PEGylated doxorubicin [PLD]) either with or without concomitant </w:t>
      </w:r>
      <w:r w:rsidR="00F71695" w:rsidRPr="00EF2E8A">
        <w:rPr>
          <w:color w:val="auto"/>
        </w:rPr>
        <w:t>BEVA</w:t>
      </w:r>
      <w:r w:rsidRPr="00EF2E8A">
        <w:rPr>
          <w:color w:val="auto"/>
        </w:rPr>
        <w:t xml:space="preserve"> as the main comparator. </w:t>
      </w:r>
      <w:r w:rsidRPr="00EF2E8A" w:rsidDel="00AB0982">
        <w:rPr>
          <w:color w:val="auto"/>
        </w:rPr>
        <w:t>T</w:t>
      </w:r>
      <w:r w:rsidRPr="00EF2E8A">
        <w:rPr>
          <w:color w:val="auto"/>
        </w:rPr>
        <w:t>his was consistent with current clinical guidelines.</w:t>
      </w:r>
      <w:bookmarkEnd w:id="18"/>
      <w:r w:rsidRPr="00EF2E8A">
        <w:rPr>
          <w:color w:val="auto"/>
        </w:rPr>
        <w:t xml:space="preserve"> </w:t>
      </w:r>
    </w:p>
    <w:p w14:paraId="784F7E6D" w14:textId="24BC268E" w:rsidR="00C01AB8" w:rsidRPr="00EF2E8A" w:rsidRDefault="00C01AB8" w:rsidP="00591C83">
      <w:pPr>
        <w:pStyle w:val="ListParagraph"/>
        <w:rPr>
          <w:color w:val="auto"/>
        </w:rPr>
      </w:pPr>
      <w:proofErr w:type="gramStart"/>
      <w:r w:rsidRPr="00EF2E8A">
        <w:rPr>
          <w:color w:val="auto"/>
        </w:rPr>
        <w:t>For the purpose of</w:t>
      </w:r>
      <w:proofErr w:type="gramEnd"/>
      <w:r w:rsidRPr="00EF2E8A">
        <w:rPr>
          <w:color w:val="auto"/>
        </w:rPr>
        <w:t xml:space="preserve"> the clinical trials, non</w:t>
      </w:r>
      <w:r w:rsidR="00A46D2B">
        <w:rPr>
          <w:color w:val="auto"/>
        </w:rPr>
        <w:noBreakHyphen/>
      </w:r>
      <w:r w:rsidRPr="00EF2E8A">
        <w:rPr>
          <w:color w:val="auto"/>
        </w:rPr>
        <w:t xml:space="preserve">platinum chemotherapy </w:t>
      </w:r>
      <w:r w:rsidR="004C6A9A" w:rsidRPr="00EF2E8A">
        <w:rPr>
          <w:color w:val="auto"/>
        </w:rPr>
        <w:t>(</w:t>
      </w:r>
      <w:r w:rsidR="004D642E" w:rsidRPr="00EF2E8A">
        <w:rPr>
          <w:color w:val="auto"/>
        </w:rPr>
        <w:t>as per</w:t>
      </w:r>
      <w:r w:rsidR="004C6A9A" w:rsidRPr="00EF2E8A">
        <w:rPr>
          <w:color w:val="auto"/>
        </w:rPr>
        <w:t xml:space="preserve"> paragraph </w:t>
      </w:r>
      <w:r w:rsidR="004C6A9A" w:rsidRPr="00EF2E8A">
        <w:rPr>
          <w:color w:val="auto"/>
        </w:rPr>
        <w:fldChar w:fldCharType="begin" w:fldLock="1"/>
      </w:r>
      <w:r w:rsidR="004C6A9A" w:rsidRPr="00EF2E8A">
        <w:rPr>
          <w:color w:val="auto"/>
        </w:rPr>
        <w:instrText xml:space="preserve"> REF _Ref198548654 \r \h </w:instrText>
      </w:r>
      <w:r w:rsidR="00A71BEE" w:rsidRPr="00EF2E8A">
        <w:rPr>
          <w:color w:val="auto"/>
        </w:rPr>
        <w:instrText xml:space="preserve"> \* MERGEFORMAT </w:instrText>
      </w:r>
      <w:r w:rsidR="004C6A9A" w:rsidRPr="00EF2E8A">
        <w:rPr>
          <w:color w:val="auto"/>
        </w:rPr>
      </w:r>
      <w:r w:rsidR="004C6A9A" w:rsidRPr="00EF2E8A">
        <w:rPr>
          <w:color w:val="auto"/>
        </w:rPr>
        <w:fldChar w:fldCharType="separate"/>
      </w:r>
      <w:r w:rsidR="00CC5CAD">
        <w:rPr>
          <w:color w:val="auto"/>
        </w:rPr>
        <w:t>5.1</w:t>
      </w:r>
      <w:r w:rsidR="004C6A9A" w:rsidRPr="00EF2E8A">
        <w:rPr>
          <w:color w:val="auto"/>
        </w:rPr>
        <w:fldChar w:fldCharType="end"/>
      </w:r>
      <w:r w:rsidR="004C6A9A" w:rsidRPr="00EF2E8A">
        <w:rPr>
          <w:color w:val="auto"/>
        </w:rPr>
        <w:t xml:space="preserve">) </w:t>
      </w:r>
      <w:r w:rsidRPr="00EF2E8A">
        <w:rPr>
          <w:color w:val="auto"/>
        </w:rPr>
        <w:t xml:space="preserve">was defined as investigator’s choice of chemotherapy (ICC). Direct evidence was available for the comparison of MIRV versus ICC. The comparison of MIRV versus </w:t>
      </w:r>
      <w:r w:rsidR="00F71695" w:rsidRPr="00EF2E8A">
        <w:rPr>
          <w:color w:val="auto"/>
        </w:rPr>
        <w:t>BEVA</w:t>
      </w:r>
      <w:r w:rsidRPr="00EF2E8A">
        <w:rPr>
          <w:color w:val="auto"/>
        </w:rPr>
        <w:t>+ICC relied on an indirect comparison with ICC as the common comparator.</w:t>
      </w:r>
    </w:p>
    <w:p w14:paraId="0D8409F9" w14:textId="3D1D17D4" w:rsidR="001C7D1B" w:rsidRPr="00EF2E8A" w:rsidRDefault="00C01AB8" w:rsidP="00591C83">
      <w:pPr>
        <w:pStyle w:val="ListParagraph"/>
        <w:rPr>
          <w:color w:val="auto"/>
        </w:rPr>
      </w:pPr>
      <w:bookmarkStart w:id="19" w:name="_Ref200972669"/>
      <w:r w:rsidRPr="00EF2E8A">
        <w:rPr>
          <w:color w:val="auto"/>
        </w:rPr>
        <w:t>The sponsor’s registry study (</w:t>
      </w:r>
      <w:proofErr w:type="spellStart"/>
      <w:r w:rsidRPr="00EF2E8A">
        <w:rPr>
          <w:color w:val="auto"/>
        </w:rPr>
        <w:t>Quantium</w:t>
      </w:r>
      <w:proofErr w:type="spellEnd"/>
      <w:r w:rsidRPr="00EF2E8A">
        <w:rPr>
          <w:color w:val="auto"/>
        </w:rPr>
        <w:t xml:space="preserve"> 2025) showed </w:t>
      </w:r>
      <w:proofErr w:type="gramStart"/>
      <w:r w:rsidRPr="00EF2E8A">
        <w:rPr>
          <w:color w:val="auto"/>
        </w:rPr>
        <w:t>the majority of</w:t>
      </w:r>
      <w:proofErr w:type="gramEnd"/>
      <w:r w:rsidRPr="00EF2E8A">
        <w:rPr>
          <w:color w:val="auto"/>
        </w:rPr>
        <w:t xml:space="preserve"> patients defined as either platinum resistant or platinum refractory in the Australian CaSP cohort received PLD (33% or 35%, respectively) or PLD/non</w:t>
      </w:r>
      <w:r w:rsidR="00A46D2B">
        <w:rPr>
          <w:color w:val="auto"/>
        </w:rPr>
        <w:noBreakHyphen/>
      </w:r>
      <w:r w:rsidRPr="00EF2E8A">
        <w:rPr>
          <w:color w:val="auto"/>
        </w:rPr>
        <w:t xml:space="preserve">platinum chemotherapy with </w:t>
      </w:r>
      <w:r w:rsidR="00F71695" w:rsidRPr="00EF2E8A">
        <w:rPr>
          <w:color w:val="auto"/>
        </w:rPr>
        <w:t>BEVA</w:t>
      </w:r>
      <w:r w:rsidRPr="00EF2E8A">
        <w:rPr>
          <w:color w:val="auto"/>
        </w:rPr>
        <w:t xml:space="preserve"> (33% or 45%) as the first treatment after post</w:t>
      </w:r>
      <w:r w:rsidR="00A46D2B">
        <w:rPr>
          <w:color w:val="auto"/>
        </w:rPr>
        <w:noBreakHyphen/>
      </w:r>
      <w:r w:rsidRPr="00EF2E8A">
        <w:rPr>
          <w:color w:val="auto"/>
        </w:rPr>
        <w:t xml:space="preserve">platinum relapse (second line). Notably, most patients in the CaSP cohort had already received paclitaxel in first line in combination with carboplatin (72%), precluding its use as single agent chemotherapy in subsequent lines. The proportion of topotecan use in treatment of these patients was very small (N=7 in platinum resistant patients across second and third line), suggesting a move away from use of this agent in Australian clinical practice. </w:t>
      </w:r>
      <w:r w:rsidR="0089180C" w:rsidRPr="00EF2E8A">
        <w:rPr>
          <w:color w:val="auto"/>
        </w:rPr>
        <w:t xml:space="preserve">The distribution of therapies that comprised ICC in MIRASOL included </w:t>
      </w:r>
      <w:r w:rsidR="0021345A" w:rsidRPr="00EF2E8A">
        <w:rPr>
          <w:color w:val="auto"/>
        </w:rPr>
        <w:t>p</w:t>
      </w:r>
      <w:r w:rsidR="0089180C" w:rsidRPr="00EF2E8A">
        <w:rPr>
          <w:color w:val="auto"/>
        </w:rPr>
        <w:t xml:space="preserve">aclitaxel (40.70%), PLD (35.80%) and </w:t>
      </w:r>
      <w:r w:rsidR="0021345A" w:rsidRPr="00EF2E8A">
        <w:rPr>
          <w:color w:val="auto"/>
        </w:rPr>
        <w:t>t</w:t>
      </w:r>
      <w:r w:rsidR="0089180C" w:rsidRPr="00EF2E8A">
        <w:rPr>
          <w:color w:val="auto"/>
        </w:rPr>
        <w:t xml:space="preserve">opotecan (23.50%). </w:t>
      </w:r>
      <w:r w:rsidRPr="00EF2E8A">
        <w:rPr>
          <w:color w:val="auto"/>
        </w:rPr>
        <w:t>Thus,</w:t>
      </w:r>
      <w:r w:rsidR="0089180C" w:rsidRPr="00EF2E8A">
        <w:rPr>
          <w:color w:val="auto"/>
        </w:rPr>
        <w:t xml:space="preserve"> </w:t>
      </w:r>
      <w:r w:rsidR="005F70E6" w:rsidRPr="00EF2E8A">
        <w:rPr>
          <w:color w:val="auto"/>
        </w:rPr>
        <w:t xml:space="preserve">the evaluation considered that </w:t>
      </w:r>
      <w:proofErr w:type="gramStart"/>
      <w:r w:rsidR="0089180C" w:rsidRPr="00EF2E8A">
        <w:rPr>
          <w:color w:val="auto"/>
        </w:rPr>
        <w:t>with the exception of</w:t>
      </w:r>
      <w:proofErr w:type="gramEnd"/>
      <w:r w:rsidR="0089180C" w:rsidRPr="00EF2E8A">
        <w:rPr>
          <w:color w:val="auto"/>
        </w:rPr>
        <w:t xml:space="preserve"> PLD, the distribution of therapies </w:t>
      </w:r>
      <w:r w:rsidR="008116E1" w:rsidRPr="00EF2E8A">
        <w:rPr>
          <w:color w:val="auto"/>
        </w:rPr>
        <w:t>was</w:t>
      </w:r>
      <w:r w:rsidR="0089180C" w:rsidRPr="00EF2E8A">
        <w:rPr>
          <w:color w:val="auto"/>
        </w:rPr>
        <w:t xml:space="preserve"> not generally representative of that used in Australian clinical practice</w:t>
      </w:r>
      <w:r w:rsidR="00B943C6" w:rsidRPr="00EF2E8A">
        <w:rPr>
          <w:color w:val="auto"/>
        </w:rPr>
        <w:t xml:space="preserve"> based on the CaSP registry data</w:t>
      </w:r>
      <w:r w:rsidRPr="00EF2E8A">
        <w:rPr>
          <w:color w:val="auto"/>
        </w:rPr>
        <w:t>.</w:t>
      </w:r>
      <w:r w:rsidR="00C21784" w:rsidRPr="00EF2E8A">
        <w:rPr>
          <w:color w:val="auto"/>
        </w:rPr>
        <w:t xml:space="preserve"> The PSCR contended that that </w:t>
      </w:r>
      <w:r w:rsidR="002B42E0" w:rsidRPr="00EF2E8A">
        <w:rPr>
          <w:color w:val="auto"/>
        </w:rPr>
        <w:t xml:space="preserve">the </w:t>
      </w:r>
      <w:r w:rsidR="005A20B6" w:rsidRPr="00EF2E8A">
        <w:rPr>
          <w:color w:val="auto"/>
        </w:rPr>
        <w:t xml:space="preserve">small sample </w:t>
      </w:r>
      <w:r w:rsidR="00047AE0" w:rsidRPr="00EF2E8A">
        <w:rPr>
          <w:color w:val="auto"/>
        </w:rPr>
        <w:t xml:space="preserve">size </w:t>
      </w:r>
      <w:r w:rsidR="005A20B6" w:rsidRPr="00EF2E8A">
        <w:rPr>
          <w:color w:val="auto"/>
        </w:rPr>
        <w:t xml:space="preserve">of the </w:t>
      </w:r>
      <w:r w:rsidR="00047AE0" w:rsidRPr="00EF2E8A">
        <w:rPr>
          <w:color w:val="auto"/>
        </w:rPr>
        <w:t>Australian</w:t>
      </w:r>
      <w:r w:rsidR="005A20B6" w:rsidRPr="00EF2E8A">
        <w:rPr>
          <w:color w:val="auto"/>
        </w:rPr>
        <w:t xml:space="preserve"> </w:t>
      </w:r>
      <w:bookmarkEnd w:id="19"/>
      <w:r w:rsidR="005A20B6" w:rsidRPr="00EF2E8A">
        <w:rPr>
          <w:color w:val="auto"/>
        </w:rPr>
        <w:lastRenderedPageBreak/>
        <w:t>C</w:t>
      </w:r>
      <w:r w:rsidR="00AD4199" w:rsidRPr="00EF2E8A">
        <w:rPr>
          <w:color w:val="auto"/>
        </w:rPr>
        <w:t>a</w:t>
      </w:r>
      <w:r w:rsidR="005A20B6" w:rsidRPr="00EF2E8A">
        <w:rPr>
          <w:color w:val="auto"/>
        </w:rPr>
        <w:t>SP c</w:t>
      </w:r>
      <w:r w:rsidR="00047AE0" w:rsidRPr="00EF2E8A">
        <w:rPr>
          <w:color w:val="auto"/>
        </w:rPr>
        <w:t>ohort</w:t>
      </w:r>
      <w:r w:rsidR="005A20B6" w:rsidRPr="00EF2E8A">
        <w:rPr>
          <w:color w:val="auto"/>
        </w:rPr>
        <w:t xml:space="preserve"> limits </w:t>
      </w:r>
      <w:r w:rsidR="00AA6888" w:rsidRPr="00EF2E8A">
        <w:rPr>
          <w:color w:val="auto"/>
        </w:rPr>
        <w:t xml:space="preserve">its </w:t>
      </w:r>
      <w:r w:rsidR="005A20B6" w:rsidRPr="00EF2E8A">
        <w:rPr>
          <w:color w:val="auto"/>
        </w:rPr>
        <w:t>applicability</w:t>
      </w:r>
      <w:r w:rsidR="00A04F86" w:rsidRPr="00EF2E8A">
        <w:rPr>
          <w:color w:val="auto"/>
        </w:rPr>
        <w:t>.</w:t>
      </w:r>
      <w:r w:rsidR="00187EC8" w:rsidRPr="00EF2E8A">
        <w:rPr>
          <w:color w:val="auto"/>
        </w:rPr>
        <w:t xml:space="preserve"> The ESCs considered any</w:t>
      </w:r>
      <w:r w:rsidR="001C411D" w:rsidRPr="00EF2E8A">
        <w:rPr>
          <w:color w:val="auto"/>
        </w:rPr>
        <w:t xml:space="preserve"> efficacy and safety</w:t>
      </w:r>
      <w:r w:rsidR="00187EC8" w:rsidRPr="00EF2E8A">
        <w:rPr>
          <w:color w:val="auto"/>
        </w:rPr>
        <w:t xml:space="preserve"> differences between </w:t>
      </w:r>
      <w:r w:rsidR="005C6052" w:rsidRPr="00EF2E8A">
        <w:rPr>
          <w:color w:val="auto"/>
        </w:rPr>
        <w:t xml:space="preserve">the choice of </w:t>
      </w:r>
      <w:r w:rsidR="001C411D" w:rsidRPr="00EF2E8A">
        <w:rPr>
          <w:color w:val="auto"/>
        </w:rPr>
        <w:t>non</w:t>
      </w:r>
      <w:r w:rsidR="00A46D2B">
        <w:rPr>
          <w:color w:val="auto"/>
        </w:rPr>
        <w:noBreakHyphen/>
      </w:r>
      <w:r w:rsidR="001C411D" w:rsidRPr="00EF2E8A">
        <w:rPr>
          <w:color w:val="auto"/>
        </w:rPr>
        <w:t xml:space="preserve">platinum agents </w:t>
      </w:r>
      <w:r w:rsidR="00973AD8" w:rsidRPr="00EF2E8A">
        <w:rPr>
          <w:color w:val="auto"/>
        </w:rPr>
        <w:t xml:space="preserve">used in MIRASOL and </w:t>
      </w:r>
      <w:r w:rsidR="005C6052" w:rsidRPr="00EF2E8A">
        <w:rPr>
          <w:color w:val="auto"/>
        </w:rPr>
        <w:t xml:space="preserve">those used in </w:t>
      </w:r>
      <w:r w:rsidR="00973AD8" w:rsidRPr="00EF2E8A">
        <w:rPr>
          <w:color w:val="auto"/>
        </w:rPr>
        <w:t xml:space="preserve">Australian clinical practice </w:t>
      </w:r>
      <w:r w:rsidR="001C411D" w:rsidRPr="00EF2E8A">
        <w:rPr>
          <w:color w:val="auto"/>
        </w:rPr>
        <w:t xml:space="preserve">are unlikely to </w:t>
      </w:r>
      <w:r w:rsidR="005C6052" w:rsidRPr="00EF2E8A">
        <w:rPr>
          <w:color w:val="auto"/>
        </w:rPr>
        <w:t>have a substantial impact on the trial outcomes</w:t>
      </w:r>
      <w:r w:rsidR="002A1AAD" w:rsidRPr="00EF2E8A">
        <w:rPr>
          <w:color w:val="auto"/>
        </w:rPr>
        <w:t>.</w:t>
      </w:r>
      <w:r w:rsidR="00B65B3F">
        <w:rPr>
          <w:color w:val="auto"/>
        </w:rPr>
        <w:t xml:space="preserve">  </w:t>
      </w:r>
    </w:p>
    <w:p w14:paraId="63AF465D" w14:textId="5E555456" w:rsidR="00B0682B" w:rsidRPr="00EF2E8A" w:rsidRDefault="00B0682B" w:rsidP="00591C83">
      <w:pPr>
        <w:rPr>
          <w:i/>
          <w:iCs/>
        </w:rPr>
      </w:pPr>
      <w:r w:rsidRPr="00EF2E8A">
        <w:rPr>
          <w:i/>
          <w:iCs/>
        </w:rPr>
        <w:t>For more detail on PBAC’s view, see section 7 PBAC outcome.</w:t>
      </w:r>
    </w:p>
    <w:p w14:paraId="1D7F58E5" w14:textId="77777777" w:rsidR="00015290" w:rsidRPr="00EF2E8A" w:rsidRDefault="00015290" w:rsidP="00591C83">
      <w:pPr>
        <w:pStyle w:val="PBACESHeading1"/>
      </w:pPr>
      <w:bookmarkStart w:id="20" w:name="_Toc198722002"/>
      <w:r w:rsidRPr="00EF2E8A">
        <w:t>Consideration of the evidence</w:t>
      </w:r>
      <w:bookmarkEnd w:id="20"/>
    </w:p>
    <w:p w14:paraId="59A8DA8E" w14:textId="77777777" w:rsidR="000D6B8C" w:rsidRPr="00EF2E8A" w:rsidRDefault="000D6B8C" w:rsidP="00591C83">
      <w:pPr>
        <w:pStyle w:val="OutlineHeading2"/>
        <w:rPr>
          <w:rFonts w:ascii="Calibri" w:hAnsi="Calibri" w:cs="Calibri"/>
        </w:rPr>
      </w:pPr>
      <w:bookmarkStart w:id="21" w:name="_Hlk76375935"/>
      <w:r w:rsidRPr="00EF2E8A">
        <w:rPr>
          <w:rFonts w:ascii="Calibri" w:hAnsi="Calibri" w:cs="Calibri"/>
        </w:rPr>
        <w:t>Sponsor hearing</w:t>
      </w:r>
    </w:p>
    <w:p w14:paraId="3DD550CE" w14:textId="5871EA30" w:rsidR="000D6B8C" w:rsidRPr="00D008B6" w:rsidRDefault="000D6B8C" w:rsidP="00591C83">
      <w:pPr>
        <w:pStyle w:val="ListParagraph"/>
        <w:rPr>
          <w:snapToGrid w:val="0"/>
        </w:rPr>
      </w:pPr>
      <w:bookmarkStart w:id="22" w:name="_Hlk76382586"/>
      <w:r w:rsidRPr="00D008B6">
        <w:rPr>
          <w:snapToGrid w:val="0"/>
        </w:rPr>
        <w:t xml:space="preserve">The sponsor requested a hearing for this item. The clinician </w:t>
      </w:r>
      <w:r w:rsidRPr="00D008B6">
        <w:rPr>
          <w:color w:val="auto"/>
        </w:rPr>
        <w:t>discussed</w:t>
      </w:r>
      <w:r w:rsidRPr="00D008B6">
        <w:rPr>
          <w:snapToGrid w:val="0"/>
        </w:rPr>
        <w:t xml:space="preserve"> the </w:t>
      </w:r>
      <w:r w:rsidR="005030DD" w:rsidRPr="00D008B6">
        <w:rPr>
          <w:snapToGrid w:val="0"/>
        </w:rPr>
        <w:t xml:space="preserve">poor prognosis and </w:t>
      </w:r>
      <w:r w:rsidR="00833A76" w:rsidRPr="00D008B6">
        <w:rPr>
          <w:snapToGrid w:val="0"/>
        </w:rPr>
        <w:t xml:space="preserve">current treatment options for </w:t>
      </w:r>
      <w:r w:rsidR="005030DD" w:rsidRPr="00D008B6">
        <w:rPr>
          <w:snapToGrid w:val="0"/>
        </w:rPr>
        <w:t xml:space="preserve">platinum resistant </w:t>
      </w:r>
      <w:r w:rsidR="00833A76" w:rsidRPr="00D008B6">
        <w:rPr>
          <w:snapToGrid w:val="0"/>
        </w:rPr>
        <w:t>ovarian cancer</w:t>
      </w:r>
      <w:r w:rsidRPr="00D008B6">
        <w:rPr>
          <w:snapToGrid w:val="0"/>
        </w:rPr>
        <w:t>, how the drug would be used in practice, and addressed other matters in response to the Committee’s questions.</w:t>
      </w:r>
      <w:r w:rsidR="00894339" w:rsidRPr="00D008B6">
        <w:rPr>
          <w:snapToGrid w:val="0"/>
        </w:rPr>
        <w:t xml:space="preserve"> The clinician noted that </w:t>
      </w:r>
      <w:r w:rsidR="00C34975" w:rsidRPr="00D008B6">
        <w:rPr>
          <w:rFonts w:cs="Arial"/>
          <w:bCs/>
          <w:snapToGrid w:val="0"/>
        </w:rPr>
        <w:t xml:space="preserve">despite good </w:t>
      </w:r>
      <w:r w:rsidR="00452EB2">
        <w:rPr>
          <w:rFonts w:cs="Arial"/>
          <w:bCs/>
          <w:snapToGrid w:val="0"/>
        </w:rPr>
        <w:t xml:space="preserve">initial </w:t>
      </w:r>
      <w:r w:rsidR="00C34975" w:rsidRPr="00D008B6">
        <w:rPr>
          <w:rFonts w:cs="Arial"/>
          <w:bCs/>
          <w:snapToGrid w:val="0"/>
        </w:rPr>
        <w:t xml:space="preserve">response rates </w:t>
      </w:r>
      <w:r w:rsidR="00A70311" w:rsidRPr="00D008B6">
        <w:rPr>
          <w:rFonts w:cs="Arial"/>
          <w:bCs/>
          <w:snapToGrid w:val="0"/>
        </w:rPr>
        <w:t xml:space="preserve">to </w:t>
      </w:r>
      <w:r w:rsidR="00410BB3" w:rsidRPr="00D008B6">
        <w:rPr>
          <w:rFonts w:cs="Arial"/>
          <w:bCs/>
          <w:snapToGrid w:val="0"/>
        </w:rPr>
        <w:t>chemotherapy</w:t>
      </w:r>
      <w:r w:rsidR="00A70311" w:rsidRPr="00D008B6">
        <w:rPr>
          <w:rFonts w:cs="Arial"/>
          <w:bCs/>
          <w:snapToGrid w:val="0"/>
        </w:rPr>
        <w:t xml:space="preserve"> (80%), </w:t>
      </w:r>
      <w:proofErr w:type="gramStart"/>
      <w:r w:rsidR="00A70311" w:rsidRPr="00D008B6">
        <w:rPr>
          <w:rFonts w:cs="Arial"/>
          <w:bCs/>
          <w:snapToGrid w:val="0"/>
        </w:rPr>
        <w:t xml:space="preserve">the majority </w:t>
      </w:r>
      <w:r w:rsidR="00821E20" w:rsidRPr="00D008B6">
        <w:rPr>
          <w:rFonts w:cs="Arial"/>
          <w:bCs/>
          <w:snapToGrid w:val="0"/>
        </w:rPr>
        <w:t>of</w:t>
      </w:r>
      <w:proofErr w:type="gramEnd"/>
      <w:r w:rsidR="00821E20" w:rsidRPr="00D008B6">
        <w:rPr>
          <w:rFonts w:cs="Arial"/>
          <w:bCs/>
          <w:snapToGrid w:val="0"/>
        </w:rPr>
        <w:t xml:space="preserve"> patients </w:t>
      </w:r>
      <w:r w:rsidR="00A70311" w:rsidRPr="00D008B6">
        <w:rPr>
          <w:rFonts w:cs="Arial"/>
          <w:bCs/>
          <w:snapToGrid w:val="0"/>
        </w:rPr>
        <w:t>relapse</w:t>
      </w:r>
      <w:r w:rsidR="00452EB2">
        <w:rPr>
          <w:rFonts w:cs="Arial"/>
          <w:bCs/>
          <w:snapToGrid w:val="0"/>
        </w:rPr>
        <w:t xml:space="preserve"> within </w:t>
      </w:r>
      <w:r w:rsidR="005E4DEA">
        <w:rPr>
          <w:rFonts w:cs="Arial"/>
          <w:bCs/>
          <w:snapToGrid w:val="0"/>
        </w:rPr>
        <w:t>the first year</w:t>
      </w:r>
      <w:r w:rsidR="00817050">
        <w:rPr>
          <w:rFonts w:cs="Arial"/>
          <w:bCs/>
          <w:snapToGrid w:val="0"/>
        </w:rPr>
        <w:t xml:space="preserve">, and ~20% of patients progress </w:t>
      </w:r>
      <w:r w:rsidR="00553E6B">
        <w:rPr>
          <w:rFonts w:cs="Arial"/>
          <w:bCs/>
          <w:snapToGrid w:val="0"/>
        </w:rPr>
        <w:t>rapidly</w:t>
      </w:r>
      <w:r w:rsidR="00EB5095" w:rsidRPr="00D008B6">
        <w:rPr>
          <w:rFonts w:cs="Arial"/>
          <w:bCs/>
          <w:snapToGrid w:val="0"/>
        </w:rPr>
        <w:t xml:space="preserve">. </w:t>
      </w:r>
      <w:r w:rsidR="00A74962">
        <w:rPr>
          <w:rFonts w:cs="Arial"/>
          <w:bCs/>
          <w:snapToGrid w:val="0"/>
        </w:rPr>
        <w:t xml:space="preserve">For </w:t>
      </w:r>
      <w:r w:rsidR="00AF4309">
        <w:rPr>
          <w:rFonts w:cs="Arial"/>
          <w:bCs/>
          <w:snapToGrid w:val="0"/>
        </w:rPr>
        <w:t>patients with platinum resistant EOC the m</w:t>
      </w:r>
      <w:r w:rsidR="00EB5095" w:rsidRPr="00D008B6">
        <w:rPr>
          <w:rFonts w:cs="Arial"/>
          <w:bCs/>
          <w:snapToGrid w:val="0"/>
        </w:rPr>
        <w:t xml:space="preserve">edian </w:t>
      </w:r>
      <w:r w:rsidR="00410BB3" w:rsidRPr="00D008B6">
        <w:rPr>
          <w:rFonts w:cs="Arial"/>
          <w:bCs/>
          <w:snapToGrid w:val="0"/>
        </w:rPr>
        <w:t xml:space="preserve">PFS </w:t>
      </w:r>
      <w:r w:rsidR="00EB5095" w:rsidRPr="00D008B6">
        <w:rPr>
          <w:rFonts w:cs="Arial"/>
          <w:bCs/>
          <w:snapToGrid w:val="0"/>
        </w:rPr>
        <w:t xml:space="preserve">is short </w:t>
      </w:r>
      <w:r w:rsidR="00410BB3" w:rsidRPr="00D008B6">
        <w:rPr>
          <w:rFonts w:cs="Arial"/>
          <w:bCs/>
          <w:snapToGrid w:val="0"/>
        </w:rPr>
        <w:t xml:space="preserve">(~3 months), and OS </w:t>
      </w:r>
      <w:r w:rsidR="00EB5095" w:rsidRPr="00D008B6">
        <w:rPr>
          <w:rFonts w:cs="Arial"/>
          <w:bCs/>
          <w:snapToGrid w:val="0"/>
        </w:rPr>
        <w:t xml:space="preserve">is approximately </w:t>
      </w:r>
      <w:r w:rsidR="001B72BF" w:rsidRPr="00D008B6">
        <w:rPr>
          <w:rFonts w:cs="Arial"/>
          <w:bCs/>
          <w:snapToGrid w:val="0"/>
        </w:rPr>
        <w:t xml:space="preserve">a year. </w:t>
      </w:r>
      <w:r w:rsidR="00410BB3" w:rsidRPr="00D008B6">
        <w:rPr>
          <w:rFonts w:cs="Arial"/>
          <w:bCs/>
          <w:snapToGrid w:val="0"/>
        </w:rPr>
        <w:t xml:space="preserve">The </w:t>
      </w:r>
      <w:r w:rsidR="001B72BF" w:rsidRPr="00D008B6">
        <w:rPr>
          <w:rFonts w:cs="Arial"/>
          <w:bCs/>
          <w:snapToGrid w:val="0"/>
        </w:rPr>
        <w:t>clinician had not personally used MIRV but cited real</w:t>
      </w:r>
      <w:r w:rsidR="00A46D2B">
        <w:rPr>
          <w:rFonts w:cs="Arial"/>
          <w:bCs/>
          <w:snapToGrid w:val="0"/>
        </w:rPr>
        <w:noBreakHyphen/>
      </w:r>
      <w:r w:rsidR="001B72BF" w:rsidRPr="00D008B6">
        <w:rPr>
          <w:rFonts w:cs="Arial"/>
          <w:bCs/>
          <w:snapToGrid w:val="0"/>
        </w:rPr>
        <w:t xml:space="preserve">world data consistent with </w:t>
      </w:r>
      <w:r w:rsidR="001F6687" w:rsidRPr="00D008B6">
        <w:rPr>
          <w:rFonts w:cs="Arial"/>
          <w:bCs/>
          <w:snapToGrid w:val="0"/>
        </w:rPr>
        <w:t xml:space="preserve">MIRASOL </w:t>
      </w:r>
      <w:r w:rsidR="001B72BF" w:rsidRPr="00D008B6">
        <w:rPr>
          <w:rFonts w:cs="Arial"/>
          <w:bCs/>
          <w:snapToGrid w:val="0"/>
        </w:rPr>
        <w:t>trial outcomes.</w:t>
      </w:r>
      <w:r w:rsidR="001F6687" w:rsidRPr="00D008B6">
        <w:rPr>
          <w:rFonts w:cs="Arial"/>
          <w:bCs/>
          <w:snapToGrid w:val="0"/>
        </w:rPr>
        <w:t xml:space="preserve"> The clinician noted that </w:t>
      </w:r>
      <w:r w:rsidR="0046767C" w:rsidRPr="00D008B6">
        <w:rPr>
          <w:rFonts w:cs="Arial"/>
          <w:bCs/>
          <w:snapToGrid w:val="0"/>
        </w:rPr>
        <w:t xml:space="preserve">toxicity and safety are very important in this </w:t>
      </w:r>
      <w:r w:rsidR="008116E1" w:rsidRPr="00D008B6">
        <w:rPr>
          <w:rFonts w:cs="Arial"/>
          <w:bCs/>
          <w:snapToGrid w:val="0"/>
        </w:rPr>
        <w:t>condition and</w:t>
      </w:r>
      <w:r w:rsidR="007D27BC" w:rsidRPr="00D008B6">
        <w:rPr>
          <w:rFonts w:cs="Arial"/>
          <w:bCs/>
          <w:snapToGrid w:val="0"/>
        </w:rPr>
        <w:t xml:space="preserve"> considered that MIRV has a superior safety profile to chemotherapy, except for o</w:t>
      </w:r>
      <w:r w:rsidR="00410BB3" w:rsidRPr="00D008B6">
        <w:rPr>
          <w:rFonts w:cs="Arial"/>
          <w:bCs/>
          <w:snapToGrid w:val="0"/>
        </w:rPr>
        <w:t>cular toxicity</w:t>
      </w:r>
      <w:r w:rsidR="007D27BC" w:rsidRPr="00D008B6">
        <w:rPr>
          <w:rFonts w:cs="Arial"/>
          <w:bCs/>
          <w:snapToGrid w:val="0"/>
        </w:rPr>
        <w:t xml:space="preserve">, which the clinician </w:t>
      </w:r>
      <w:r w:rsidR="00410BB3" w:rsidRPr="00D008B6">
        <w:rPr>
          <w:rFonts w:cs="Arial"/>
          <w:bCs/>
          <w:snapToGrid w:val="0"/>
        </w:rPr>
        <w:t xml:space="preserve">considered manageable. The clinician </w:t>
      </w:r>
      <w:r w:rsidR="004E7FD9" w:rsidRPr="00D008B6">
        <w:rPr>
          <w:rFonts w:cs="Arial"/>
          <w:bCs/>
          <w:snapToGrid w:val="0"/>
        </w:rPr>
        <w:t>indicated that b</w:t>
      </w:r>
      <w:r w:rsidR="00410BB3" w:rsidRPr="00D008B6">
        <w:rPr>
          <w:rFonts w:cs="Arial"/>
          <w:bCs/>
          <w:snapToGrid w:val="0"/>
        </w:rPr>
        <w:t>evacizumab</w:t>
      </w:r>
      <w:r w:rsidR="00A46D83">
        <w:rPr>
          <w:rFonts w:cs="Arial"/>
          <w:bCs/>
          <w:snapToGrid w:val="0"/>
        </w:rPr>
        <w:t xml:space="preserve"> can be used</w:t>
      </w:r>
      <w:r w:rsidR="00410BB3" w:rsidRPr="00D008B6">
        <w:rPr>
          <w:rFonts w:cs="Arial"/>
          <w:bCs/>
          <w:snapToGrid w:val="0"/>
        </w:rPr>
        <w:t xml:space="preserve"> </w:t>
      </w:r>
      <w:r w:rsidR="00FF0DFF" w:rsidRPr="00D008B6">
        <w:rPr>
          <w:rFonts w:cs="Arial"/>
          <w:bCs/>
          <w:snapToGrid w:val="0"/>
        </w:rPr>
        <w:t>in all lines of treatment</w:t>
      </w:r>
      <w:r w:rsidR="00F92C19">
        <w:rPr>
          <w:rFonts w:cs="Arial"/>
          <w:bCs/>
          <w:snapToGrid w:val="0"/>
        </w:rPr>
        <w:t xml:space="preserve"> and is used </w:t>
      </w:r>
      <w:r w:rsidR="008116E1">
        <w:rPr>
          <w:rFonts w:cs="Arial"/>
          <w:bCs/>
          <w:snapToGrid w:val="0"/>
        </w:rPr>
        <w:t>frequently</w:t>
      </w:r>
      <w:r w:rsidR="008116E1" w:rsidRPr="00D008B6">
        <w:rPr>
          <w:rFonts w:cs="Arial"/>
          <w:bCs/>
          <w:snapToGrid w:val="0"/>
        </w:rPr>
        <w:t xml:space="preserve"> but</w:t>
      </w:r>
      <w:r w:rsidR="00FF0DFF" w:rsidRPr="00D008B6">
        <w:rPr>
          <w:rFonts w:cs="Arial"/>
          <w:bCs/>
          <w:snapToGrid w:val="0"/>
        </w:rPr>
        <w:t xml:space="preserve"> noted that it is</w:t>
      </w:r>
      <w:r w:rsidR="00410BB3" w:rsidRPr="00D008B6">
        <w:rPr>
          <w:rFonts w:cs="Arial"/>
          <w:bCs/>
          <w:snapToGrid w:val="0"/>
        </w:rPr>
        <w:t xml:space="preserve"> contraindicated in many patients</w:t>
      </w:r>
      <w:r w:rsidR="0079061B" w:rsidRPr="00D008B6">
        <w:rPr>
          <w:rFonts w:cs="Arial"/>
          <w:bCs/>
          <w:snapToGrid w:val="0"/>
        </w:rPr>
        <w:t xml:space="preserve"> (</w:t>
      </w:r>
      <w:r w:rsidR="008116E1" w:rsidRPr="00D008B6">
        <w:rPr>
          <w:rFonts w:cs="Arial"/>
          <w:bCs/>
          <w:snapToGrid w:val="0"/>
        </w:rPr>
        <w:t>e.g.</w:t>
      </w:r>
      <w:r w:rsidR="0079061B" w:rsidRPr="00D008B6">
        <w:rPr>
          <w:rFonts w:cs="Arial"/>
          <w:bCs/>
          <w:snapToGrid w:val="0"/>
        </w:rPr>
        <w:t xml:space="preserve"> those with bowl obstructions)</w:t>
      </w:r>
      <w:r w:rsidR="00410BB3" w:rsidRPr="00D008B6">
        <w:rPr>
          <w:rFonts w:cs="Arial"/>
          <w:bCs/>
          <w:snapToGrid w:val="0"/>
        </w:rPr>
        <w:t>.</w:t>
      </w:r>
      <w:r w:rsidR="00D008B6" w:rsidRPr="00D008B6">
        <w:rPr>
          <w:rFonts w:cs="Arial"/>
          <w:bCs/>
          <w:snapToGrid w:val="0"/>
        </w:rPr>
        <w:t xml:space="preserve"> </w:t>
      </w:r>
      <w:r w:rsidR="00410BB3" w:rsidRPr="00D008B6">
        <w:rPr>
          <w:rFonts w:cs="Arial"/>
          <w:bCs/>
          <w:snapToGrid w:val="0"/>
        </w:rPr>
        <w:t>The PBAC considered the hearing informative, providing a clinical perspective on the treatment of platinum</w:t>
      </w:r>
      <w:r w:rsidR="00A46D2B">
        <w:rPr>
          <w:rFonts w:cs="Arial"/>
          <w:bCs/>
          <w:snapToGrid w:val="0"/>
        </w:rPr>
        <w:noBreakHyphen/>
      </w:r>
      <w:r w:rsidR="00410BB3" w:rsidRPr="00D008B6">
        <w:rPr>
          <w:rFonts w:cs="Arial"/>
          <w:bCs/>
          <w:snapToGrid w:val="0"/>
        </w:rPr>
        <w:t>resistant ovarian cancer.</w:t>
      </w:r>
    </w:p>
    <w:bookmarkEnd w:id="22"/>
    <w:p w14:paraId="1FED0DA2" w14:textId="77777777" w:rsidR="000D6B8C" w:rsidRPr="00EF2E8A" w:rsidRDefault="000D6B8C" w:rsidP="00591C83">
      <w:pPr>
        <w:pStyle w:val="OutlineHeading2"/>
        <w:rPr>
          <w:rFonts w:ascii="Calibri" w:hAnsi="Calibri" w:cs="Calibri"/>
        </w:rPr>
      </w:pPr>
      <w:r w:rsidRPr="00EF2E8A">
        <w:rPr>
          <w:rFonts w:ascii="Calibri" w:hAnsi="Calibri" w:cs="Calibri"/>
        </w:rPr>
        <w:t>Consumer comments</w:t>
      </w:r>
    </w:p>
    <w:p w14:paraId="0AE1146A" w14:textId="375BA73C" w:rsidR="00CA3F55" w:rsidRPr="00CA3F55" w:rsidRDefault="000D6B8C" w:rsidP="00591C83">
      <w:pPr>
        <w:pStyle w:val="ListParagraph"/>
        <w:rPr>
          <w:rFonts w:cs="Arial"/>
          <w:bCs/>
          <w:snapToGrid w:val="0"/>
        </w:rPr>
      </w:pPr>
      <w:bookmarkStart w:id="23" w:name="_Hlk76382618"/>
      <w:r w:rsidRPr="003E2552">
        <w:rPr>
          <w:snapToGrid w:val="0"/>
        </w:rPr>
        <w:t>The PBAC noted and welcomed the input from individuals (</w:t>
      </w:r>
      <w:r w:rsidR="008542CC" w:rsidRPr="003E2552">
        <w:rPr>
          <w:snapToGrid w:val="0"/>
        </w:rPr>
        <w:t>1</w:t>
      </w:r>
      <w:r w:rsidRPr="003E2552">
        <w:rPr>
          <w:snapToGrid w:val="0"/>
        </w:rPr>
        <w:t>), health care professionals (</w:t>
      </w:r>
      <w:r w:rsidR="008542CC" w:rsidRPr="003E2552">
        <w:rPr>
          <w:snapToGrid w:val="0"/>
        </w:rPr>
        <w:t>1</w:t>
      </w:r>
      <w:r w:rsidRPr="003E2552">
        <w:rPr>
          <w:snapToGrid w:val="0"/>
        </w:rPr>
        <w:t>) and organisations (</w:t>
      </w:r>
      <w:r w:rsidR="00520F54" w:rsidRPr="003E2552">
        <w:rPr>
          <w:snapToGrid w:val="0"/>
        </w:rPr>
        <w:t>4</w:t>
      </w:r>
      <w:r w:rsidRPr="003E2552">
        <w:rPr>
          <w:snapToGrid w:val="0"/>
        </w:rPr>
        <w:t>) via the Consumer Comments facility on the PBS website. The comments described</w:t>
      </w:r>
      <w:r w:rsidR="000A428C">
        <w:rPr>
          <w:snapToGrid w:val="0"/>
        </w:rPr>
        <w:t xml:space="preserve"> the</w:t>
      </w:r>
      <w:r w:rsidRPr="003E2552">
        <w:rPr>
          <w:snapToGrid w:val="0"/>
        </w:rPr>
        <w:t xml:space="preserve"> </w:t>
      </w:r>
      <w:r w:rsidR="00752404" w:rsidRPr="003E2552">
        <w:rPr>
          <w:snapToGrid w:val="0"/>
        </w:rPr>
        <w:t>impact</w:t>
      </w:r>
      <w:r w:rsidR="000A428C">
        <w:rPr>
          <w:snapToGrid w:val="0"/>
        </w:rPr>
        <w:t xml:space="preserve"> </w:t>
      </w:r>
      <w:r w:rsidR="00F66C0D" w:rsidRPr="003E2552">
        <w:rPr>
          <w:snapToGrid w:val="0"/>
        </w:rPr>
        <w:t>and clinical outcomes</w:t>
      </w:r>
      <w:r w:rsidR="000A428C">
        <w:rPr>
          <w:snapToGrid w:val="0"/>
        </w:rPr>
        <w:t xml:space="preserve"> for people living with</w:t>
      </w:r>
      <w:r w:rsidR="000A428C" w:rsidRPr="003E2552">
        <w:rPr>
          <w:snapToGrid w:val="0"/>
        </w:rPr>
        <w:t xml:space="preserve"> ovarian cancer </w:t>
      </w:r>
      <w:r w:rsidR="00F66C0D" w:rsidRPr="003E2552">
        <w:rPr>
          <w:snapToGrid w:val="0"/>
        </w:rPr>
        <w:t>including burdensome symptoms,</w:t>
      </w:r>
      <w:r w:rsidR="00B65B3F">
        <w:rPr>
          <w:snapToGrid w:val="0"/>
        </w:rPr>
        <w:t xml:space="preserve"> </w:t>
      </w:r>
      <w:r w:rsidR="00F66C0D" w:rsidRPr="003E2552">
        <w:rPr>
          <w:snapToGrid w:val="0"/>
        </w:rPr>
        <w:t>poor quality of life, and short life expectancy</w:t>
      </w:r>
      <w:r w:rsidR="00B3619A" w:rsidRPr="003E2552">
        <w:rPr>
          <w:snapToGrid w:val="0"/>
        </w:rPr>
        <w:t xml:space="preserve">. </w:t>
      </w:r>
    </w:p>
    <w:p w14:paraId="57ABFA85" w14:textId="6714DD5B" w:rsidR="00CA3F55" w:rsidRPr="003E2552" w:rsidRDefault="00D57A90" w:rsidP="00591C83">
      <w:pPr>
        <w:pStyle w:val="ListParagraph"/>
        <w:rPr>
          <w:rFonts w:cs="Arial"/>
          <w:bCs/>
          <w:snapToGrid w:val="0"/>
        </w:rPr>
      </w:pPr>
      <w:r>
        <w:rPr>
          <w:snapToGrid w:val="0"/>
        </w:rPr>
        <w:t xml:space="preserve">Individuals </w:t>
      </w:r>
      <w:r w:rsidR="00CF4D6D">
        <w:rPr>
          <w:snapToGrid w:val="0"/>
        </w:rPr>
        <w:t xml:space="preserve">noted that there are few effective treatments for </w:t>
      </w:r>
      <w:r w:rsidR="00DD2ABB">
        <w:rPr>
          <w:snapToGrid w:val="0"/>
        </w:rPr>
        <w:t xml:space="preserve">platinum resistant </w:t>
      </w:r>
      <w:r w:rsidR="008116E1">
        <w:rPr>
          <w:snapToGrid w:val="0"/>
        </w:rPr>
        <w:t>EOC and</w:t>
      </w:r>
      <w:r w:rsidR="00DD2ABB">
        <w:rPr>
          <w:snapToGrid w:val="0"/>
        </w:rPr>
        <w:t xml:space="preserve"> emphasized the need for effective </w:t>
      </w:r>
      <w:r w:rsidR="00645E08">
        <w:rPr>
          <w:snapToGrid w:val="0"/>
        </w:rPr>
        <w:t xml:space="preserve">new therapies. </w:t>
      </w:r>
      <w:r w:rsidR="00CA3F55" w:rsidRPr="00CA3F55">
        <w:rPr>
          <w:snapToGrid w:val="0"/>
        </w:rPr>
        <w:t xml:space="preserve">The PBAC noted the advice received from </w:t>
      </w:r>
      <w:r w:rsidR="00CA3F55" w:rsidRPr="00CA3F55">
        <w:rPr>
          <w:rFonts w:cs="Arial"/>
          <w:bCs/>
          <w:snapToGrid w:val="0"/>
        </w:rPr>
        <w:t>Rare Cancers Australia, Ovarian Cancer Australia, and Inherited Cancers Australia</w:t>
      </w:r>
      <w:r w:rsidR="00645E08">
        <w:rPr>
          <w:rFonts w:cs="Arial"/>
          <w:bCs/>
          <w:snapToGrid w:val="0"/>
        </w:rPr>
        <w:t>.</w:t>
      </w:r>
      <w:r w:rsidR="00CA3F55" w:rsidRPr="00CA3F55">
        <w:rPr>
          <w:rFonts w:cs="Arial"/>
          <w:bCs/>
          <w:snapToGrid w:val="0"/>
        </w:rPr>
        <w:t xml:space="preserve"> </w:t>
      </w:r>
      <w:r w:rsidR="007C6E07">
        <w:rPr>
          <w:snapToGrid w:val="0"/>
        </w:rPr>
        <w:t xml:space="preserve">Organisations described the </w:t>
      </w:r>
      <w:r w:rsidR="00F86151">
        <w:rPr>
          <w:snapToGrid w:val="0"/>
        </w:rPr>
        <w:t>experience of p</w:t>
      </w:r>
      <w:r w:rsidR="00874E07" w:rsidRPr="00CA3F55">
        <w:rPr>
          <w:snapToGrid w:val="0"/>
        </w:rPr>
        <w:t xml:space="preserve">atients </w:t>
      </w:r>
      <w:r w:rsidR="0004665C">
        <w:rPr>
          <w:rFonts w:cs="Arial"/>
          <w:bCs/>
          <w:snapToGrid w:val="0"/>
        </w:rPr>
        <w:t>in terms of the</w:t>
      </w:r>
      <w:r w:rsidR="0004665C" w:rsidRPr="00874E07">
        <w:rPr>
          <w:rFonts w:cs="Arial"/>
          <w:bCs/>
          <w:snapToGrid w:val="0"/>
        </w:rPr>
        <w:t xml:space="preserve"> </w:t>
      </w:r>
      <w:r w:rsidR="00B3619A" w:rsidRPr="00CA3F55">
        <w:rPr>
          <w:snapToGrid w:val="0"/>
        </w:rPr>
        <w:t>morbidity of current treatments,</w:t>
      </w:r>
      <w:r w:rsidR="00B65B3F">
        <w:rPr>
          <w:snapToGrid w:val="0"/>
        </w:rPr>
        <w:t xml:space="preserve"> </w:t>
      </w:r>
      <w:r w:rsidR="0004665C">
        <w:rPr>
          <w:rFonts w:cs="Arial"/>
          <w:bCs/>
          <w:snapToGrid w:val="0"/>
        </w:rPr>
        <w:t xml:space="preserve">which are </w:t>
      </w:r>
      <w:r w:rsidR="00B3619A" w:rsidRPr="00874E07">
        <w:rPr>
          <w:rFonts w:cs="Arial"/>
          <w:bCs/>
          <w:snapToGrid w:val="0"/>
        </w:rPr>
        <w:t>associated with serious and bothersome side effects that impact quality of life</w:t>
      </w:r>
      <w:r w:rsidR="00B3619A" w:rsidRPr="00CA3F55">
        <w:rPr>
          <w:rFonts w:cs="Arial"/>
          <w:bCs/>
          <w:snapToGrid w:val="0"/>
        </w:rPr>
        <w:t xml:space="preserve"> (</w:t>
      </w:r>
      <w:r w:rsidR="008116E1" w:rsidRPr="00CA3F55">
        <w:rPr>
          <w:rFonts w:cs="Arial"/>
          <w:bCs/>
          <w:snapToGrid w:val="0"/>
        </w:rPr>
        <w:t>e.g.</w:t>
      </w:r>
      <w:r w:rsidR="00B3619A" w:rsidRPr="00874E07">
        <w:rPr>
          <w:rFonts w:cs="Arial"/>
          <w:bCs/>
          <w:snapToGrid w:val="0"/>
        </w:rPr>
        <w:t xml:space="preserve"> alopecia</w:t>
      </w:r>
      <w:r w:rsidR="00A8503D" w:rsidRPr="00CA3F55">
        <w:rPr>
          <w:rFonts w:cs="Arial"/>
          <w:bCs/>
          <w:snapToGrid w:val="0"/>
        </w:rPr>
        <w:t>) and</w:t>
      </w:r>
      <w:r w:rsidR="00B3619A" w:rsidRPr="00CA3F55">
        <w:rPr>
          <w:rFonts w:cs="Arial"/>
          <w:bCs/>
          <w:snapToGrid w:val="0"/>
        </w:rPr>
        <w:t xml:space="preserve"> </w:t>
      </w:r>
      <w:r w:rsidR="00016BA3" w:rsidRPr="00CA3F55">
        <w:rPr>
          <w:rFonts w:cs="Arial"/>
          <w:bCs/>
          <w:snapToGrid w:val="0"/>
        </w:rPr>
        <w:t xml:space="preserve">require travel </w:t>
      </w:r>
      <w:r w:rsidR="00874E07" w:rsidRPr="00874E07">
        <w:rPr>
          <w:rFonts w:cs="Arial"/>
          <w:bCs/>
          <w:snapToGrid w:val="0"/>
        </w:rPr>
        <w:t>to specialist settings for injections (often weekly)</w:t>
      </w:r>
      <w:r w:rsidR="00016BA3" w:rsidRPr="00CA3F55">
        <w:rPr>
          <w:rFonts w:cs="Arial"/>
          <w:bCs/>
          <w:snapToGrid w:val="0"/>
        </w:rPr>
        <w:t xml:space="preserve">. </w:t>
      </w:r>
      <w:r w:rsidR="006A0D16">
        <w:rPr>
          <w:rFonts w:cs="Arial"/>
          <w:bCs/>
          <w:snapToGrid w:val="0"/>
        </w:rPr>
        <w:t>The comments described the</w:t>
      </w:r>
      <w:r w:rsidR="001B1EF6">
        <w:rPr>
          <w:rFonts w:cs="Arial"/>
          <w:bCs/>
          <w:snapToGrid w:val="0"/>
        </w:rPr>
        <w:t xml:space="preserve"> benefit of having a targeted treatment </w:t>
      </w:r>
      <w:r w:rsidR="00A23E28">
        <w:rPr>
          <w:rFonts w:cs="Arial"/>
          <w:bCs/>
          <w:snapToGrid w:val="0"/>
        </w:rPr>
        <w:t xml:space="preserve">with a demonstrated survival benefit, </w:t>
      </w:r>
      <w:r w:rsidR="001B1EF6">
        <w:rPr>
          <w:rFonts w:cs="Arial"/>
          <w:bCs/>
          <w:snapToGrid w:val="0"/>
        </w:rPr>
        <w:t>and considered</w:t>
      </w:r>
      <w:r w:rsidR="006A0D16">
        <w:rPr>
          <w:rFonts w:cs="Arial"/>
          <w:bCs/>
          <w:snapToGrid w:val="0"/>
        </w:rPr>
        <w:t xml:space="preserve"> side effects for MIRV </w:t>
      </w:r>
      <w:r w:rsidR="001B1EF6">
        <w:rPr>
          <w:rFonts w:cs="Arial"/>
          <w:bCs/>
          <w:snapToGrid w:val="0"/>
        </w:rPr>
        <w:t>to be</w:t>
      </w:r>
      <w:r w:rsidR="006A0D16">
        <w:rPr>
          <w:rFonts w:cs="Arial"/>
          <w:bCs/>
          <w:snapToGrid w:val="0"/>
        </w:rPr>
        <w:t xml:space="preserve"> manageable</w:t>
      </w:r>
      <w:r w:rsidR="001B1EF6">
        <w:rPr>
          <w:rFonts w:cs="Arial"/>
          <w:bCs/>
          <w:snapToGrid w:val="0"/>
        </w:rPr>
        <w:t xml:space="preserve">, </w:t>
      </w:r>
      <w:r w:rsidR="0055351C">
        <w:rPr>
          <w:rFonts w:cs="Arial"/>
          <w:bCs/>
          <w:snapToGrid w:val="0"/>
        </w:rPr>
        <w:t>particularly</w:t>
      </w:r>
      <w:r w:rsidR="001B1EF6">
        <w:rPr>
          <w:rFonts w:cs="Arial"/>
          <w:bCs/>
          <w:snapToGrid w:val="0"/>
        </w:rPr>
        <w:t xml:space="preserve"> in comparison to chemotherapy.</w:t>
      </w:r>
      <w:r w:rsidR="006A0D16">
        <w:rPr>
          <w:rFonts w:cs="Arial"/>
          <w:bCs/>
          <w:snapToGrid w:val="0"/>
        </w:rPr>
        <w:t xml:space="preserve"> </w:t>
      </w:r>
      <w:r w:rsidR="000D6B8C" w:rsidRPr="003E2552">
        <w:rPr>
          <w:snapToGrid w:val="0"/>
        </w:rPr>
        <w:t>The PBAC noted that this advice was supportive of the evidence provided in the submission.</w:t>
      </w:r>
      <w:r w:rsidR="00CA3F55" w:rsidRPr="00CA3F55">
        <w:rPr>
          <w:rFonts w:cs="Arial"/>
          <w:bCs/>
          <w:snapToGrid w:val="0"/>
        </w:rPr>
        <w:t xml:space="preserve"> </w:t>
      </w:r>
      <w:r w:rsidR="00CA3F55" w:rsidRPr="003E2552">
        <w:rPr>
          <w:rFonts w:cs="Arial"/>
          <w:bCs/>
          <w:snapToGrid w:val="0"/>
        </w:rPr>
        <w:t xml:space="preserve">The PBAC </w:t>
      </w:r>
      <w:r w:rsidR="001E0FCB">
        <w:rPr>
          <w:rFonts w:cs="Arial"/>
          <w:bCs/>
          <w:snapToGrid w:val="0"/>
        </w:rPr>
        <w:t>noted</w:t>
      </w:r>
      <w:r w:rsidR="001E0FCB" w:rsidRPr="003E2552">
        <w:rPr>
          <w:rFonts w:cs="Arial"/>
          <w:bCs/>
          <w:snapToGrid w:val="0"/>
        </w:rPr>
        <w:t xml:space="preserve"> </w:t>
      </w:r>
      <w:r w:rsidR="00CA3F55" w:rsidRPr="003E2552">
        <w:rPr>
          <w:rFonts w:cs="Arial"/>
          <w:bCs/>
          <w:snapToGrid w:val="0"/>
        </w:rPr>
        <w:t xml:space="preserve">that based on the consumer input, the most important clinical need to address for this population is </w:t>
      </w:r>
      <w:r w:rsidR="001E0FCB">
        <w:rPr>
          <w:rFonts w:cs="Arial"/>
          <w:bCs/>
          <w:snapToGrid w:val="0"/>
        </w:rPr>
        <w:t xml:space="preserve">extending </w:t>
      </w:r>
      <w:r w:rsidR="00F429E3">
        <w:rPr>
          <w:rFonts w:cs="Arial"/>
          <w:bCs/>
          <w:snapToGrid w:val="0"/>
        </w:rPr>
        <w:t>survival time</w:t>
      </w:r>
      <w:r w:rsidR="00CA3F55" w:rsidRPr="003E2552">
        <w:rPr>
          <w:rFonts w:cs="Arial"/>
          <w:bCs/>
          <w:snapToGrid w:val="0"/>
        </w:rPr>
        <w:t xml:space="preserve">. </w:t>
      </w:r>
    </w:p>
    <w:bookmarkEnd w:id="21"/>
    <w:bookmarkEnd w:id="23"/>
    <w:p w14:paraId="2CC94B00" w14:textId="1D5EC79B" w:rsidR="000D6B8C" w:rsidRPr="00CA3F55" w:rsidRDefault="000D6B8C" w:rsidP="00591C83">
      <w:pPr>
        <w:pStyle w:val="ListParagraph"/>
        <w:rPr>
          <w:rFonts w:cs="Arial"/>
          <w:bCs/>
          <w:iCs/>
          <w:snapToGrid w:val="0"/>
        </w:rPr>
      </w:pPr>
      <w:r w:rsidRPr="00CA3F55">
        <w:rPr>
          <w:rFonts w:cs="Arial"/>
          <w:bCs/>
          <w:snapToGrid w:val="0"/>
        </w:rPr>
        <w:lastRenderedPageBreak/>
        <w:t xml:space="preserve">The Medical Oncology Group of Australia (MOGA) also expressed its strong support for the </w:t>
      </w:r>
      <w:r w:rsidR="00537A05" w:rsidRPr="00CA3F55">
        <w:rPr>
          <w:rFonts w:cs="Arial"/>
          <w:bCs/>
          <w:snapToGrid w:val="0"/>
        </w:rPr>
        <w:t xml:space="preserve">MIRV </w:t>
      </w:r>
      <w:r w:rsidRPr="00CA3F55">
        <w:rPr>
          <w:rFonts w:cs="Arial"/>
          <w:bCs/>
          <w:snapToGrid w:val="0"/>
        </w:rPr>
        <w:t xml:space="preserve">submission, categorising it as one of the therapies of “high priority for PBS listing” </w:t>
      </w:r>
      <w:proofErr w:type="gramStart"/>
      <w:r w:rsidRPr="00CA3F55">
        <w:rPr>
          <w:rFonts w:cs="Arial"/>
          <w:bCs/>
          <w:snapToGrid w:val="0"/>
        </w:rPr>
        <w:t>on the basis of</w:t>
      </w:r>
      <w:proofErr w:type="gramEnd"/>
      <w:r w:rsidRPr="00CA3F55">
        <w:rPr>
          <w:rFonts w:cs="Arial"/>
          <w:bCs/>
          <w:snapToGrid w:val="0"/>
        </w:rPr>
        <w:t xml:space="preserve"> the </w:t>
      </w:r>
      <w:r w:rsidR="005D0C21" w:rsidRPr="00CA3F55">
        <w:rPr>
          <w:rFonts w:cs="Arial"/>
          <w:bCs/>
          <w:snapToGrid w:val="0"/>
        </w:rPr>
        <w:t xml:space="preserve">MIRASOL </w:t>
      </w:r>
      <w:r w:rsidRPr="00CA3F55">
        <w:rPr>
          <w:rFonts w:cs="Arial"/>
          <w:bCs/>
          <w:snapToGrid w:val="0"/>
        </w:rPr>
        <w:t>trial. The PBAC noted that MOGA presented a European Society for Medical Oncology Magnitude of Clinical Benefit Scale (ESMO</w:t>
      </w:r>
      <w:r w:rsidR="00A46D2B">
        <w:rPr>
          <w:rFonts w:cs="Arial"/>
          <w:bCs/>
          <w:snapToGrid w:val="0"/>
        </w:rPr>
        <w:noBreakHyphen/>
      </w:r>
      <w:r w:rsidRPr="00CA3F55">
        <w:rPr>
          <w:rFonts w:cs="Arial"/>
          <w:bCs/>
          <w:snapToGrid w:val="0"/>
        </w:rPr>
        <w:t xml:space="preserve">MCBS) for </w:t>
      </w:r>
      <w:r w:rsidR="005D0C21" w:rsidRPr="00CA3F55">
        <w:rPr>
          <w:rFonts w:cs="Arial"/>
          <w:bCs/>
          <w:snapToGrid w:val="0"/>
        </w:rPr>
        <w:t>MIRV</w:t>
      </w:r>
      <w:r w:rsidRPr="00CA3F55">
        <w:rPr>
          <w:rFonts w:cs="Arial"/>
          <w:bCs/>
          <w:snapToGrid w:val="0"/>
        </w:rPr>
        <w:t xml:space="preserve">, which was limited to </w:t>
      </w:r>
      <w:r w:rsidR="00A649FA" w:rsidRPr="00CA3F55">
        <w:rPr>
          <w:rFonts w:cs="Arial"/>
          <w:bCs/>
          <w:snapToGrid w:val="0"/>
        </w:rPr>
        <w:t xml:space="preserve">3 </w:t>
      </w:r>
      <w:r w:rsidRPr="00CA3F55">
        <w:rPr>
          <w:rFonts w:cs="Arial"/>
          <w:bCs/>
          <w:snapToGrid w:val="0"/>
        </w:rPr>
        <w:t>(out of a maximum of 5, where 5 and 4 represent the grades with substantial improvement)</w:t>
      </w:r>
      <w:r w:rsidR="00D019DB" w:rsidRPr="003E2552">
        <w:rPr>
          <w:rStyle w:val="FootnoteReference"/>
          <w:rFonts w:cs="Arial"/>
          <w:bCs/>
          <w:snapToGrid w:val="0"/>
        </w:rPr>
        <w:footnoteReference w:id="2"/>
      </w:r>
      <w:r w:rsidRPr="00CA3F55">
        <w:rPr>
          <w:rFonts w:cs="Arial"/>
          <w:bCs/>
          <w:snapToGrid w:val="0"/>
          <w:vertAlign w:val="superscript"/>
        </w:rPr>
        <w:t>]</w:t>
      </w:r>
      <w:r w:rsidRPr="00CA3F55">
        <w:rPr>
          <w:rFonts w:cs="Arial"/>
          <w:bCs/>
          <w:snapToGrid w:val="0"/>
        </w:rPr>
        <w:t xml:space="preserve">, based on </w:t>
      </w:r>
      <w:r w:rsidR="00CD3944" w:rsidRPr="00CA3F55">
        <w:rPr>
          <w:rFonts w:cs="Arial"/>
          <w:bCs/>
          <w:snapToGrid w:val="0"/>
        </w:rPr>
        <w:t xml:space="preserve">an overall survival gain of </w:t>
      </w:r>
      <w:r w:rsidR="008D4822" w:rsidRPr="00CA3F55">
        <w:rPr>
          <w:rFonts w:cs="Arial"/>
          <w:bCs/>
          <w:snapToGrid w:val="0"/>
        </w:rPr>
        <w:t xml:space="preserve">approximately </w:t>
      </w:r>
      <w:r w:rsidR="00CD3944" w:rsidRPr="00CA3F55">
        <w:rPr>
          <w:rFonts w:cs="Arial"/>
          <w:bCs/>
          <w:snapToGrid w:val="0"/>
        </w:rPr>
        <w:t>3</w:t>
      </w:r>
      <w:r w:rsidR="008D4822" w:rsidRPr="00CA3F55">
        <w:rPr>
          <w:rFonts w:cs="Arial"/>
          <w:bCs/>
          <w:snapToGrid w:val="0"/>
        </w:rPr>
        <w:t>.7 months in</w:t>
      </w:r>
      <w:r w:rsidR="00CD3944" w:rsidRPr="00CA3F55">
        <w:rPr>
          <w:rFonts w:cs="Arial"/>
          <w:bCs/>
          <w:snapToGrid w:val="0"/>
        </w:rPr>
        <w:t xml:space="preserve"> </w:t>
      </w:r>
      <w:r w:rsidRPr="00CA3F55">
        <w:rPr>
          <w:rFonts w:cs="Arial"/>
          <w:bCs/>
          <w:snapToGrid w:val="0"/>
        </w:rPr>
        <w:t xml:space="preserve">a comparison with </w:t>
      </w:r>
      <w:r w:rsidR="00D019DB" w:rsidRPr="00CA3F55">
        <w:rPr>
          <w:rFonts w:cs="Arial"/>
          <w:bCs/>
          <w:snapToGrid w:val="0"/>
        </w:rPr>
        <w:t>ICC</w:t>
      </w:r>
      <w:r w:rsidR="00CD3944" w:rsidRPr="00CA3F55">
        <w:rPr>
          <w:rFonts w:cs="Arial"/>
          <w:bCs/>
          <w:snapToGrid w:val="0"/>
        </w:rPr>
        <w:t xml:space="preserve">, </w:t>
      </w:r>
      <w:r w:rsidR="00F6317F" w:rsidRPr="00CA3F55">
        <w:rPr>
          <w:rFonts w:cs="Arial"/>
          <w:bCs/>
          <w:snapToGrid w:val="0"/>
        </w:rPr>
        <w:t>noting similar quality of life outcomes and improved grade 3 adverse events</w:t>
      </w:r>
      <w:r w:rsidRPr="00CA3F55">
        <w:rPr>
          <w:rFonts w:cs="Arial"/>
          <w:bCs/>
          <w:snapToGrid w:val="0"/>
        </w:rPr>
        <w:t>.</w:t>
      </w:r>
      <w:r w:rsidR="00B65B3F">
        <w:rPr>
          <w:rFonts w:cs="Arial"/>
          <w:bCs/>
          <w:snapToGrid w:val="0"/>
        </w:rPr>
        <w:t xml:space="preserve"> </w:t>
      </w:r>
    </w:p>
    <w:p w14:paraId="39820EF3" w14:textId="77777777" w:rsidR="00214438" w:rsidRPr="00EF2E8A" w:rsidRDefault="00214438" w:rsidP="00591C83">
      <w:pPr>
        <w:pStyle w:val="OutlineHeading2"/>
        <w:rPr>
          <w:rFonts w:ascii="Calibri" w:hAnsi="Calibri" w:cs="Calibri"/>
        </w:rPr>
      </w:pPr>
      <w:r w:rsidRPr="00EF2E8A">
        <w:rPr>
          <w:rFonts w:ascii="Calibri" w:hAnsi="Calibri" w:cs="Calibri"/>
        </w:rPr>
        <w:t>Overview of the evidence base</w:t>
      </w:r>
    </w:p>
    <w:p w14:paraId="07B2CFB7" w14:textId="7E8FC863" w:rsidR="00730859" w:rsidRPr="00EF2E8A" w:rsidRDefault="00730859" w:rsidP="00591C83">
      <w:pPr>
        <w:pStyle w:val="ListParagraph"/>
      </w:pPr>
      <w:r w:rsidRPr="00EF2E8A">
        <w:t>A linked evidence approach was presented to consider validity of the treatment effect of MIRV in FR</w:t>
      </w:r>
      <w:r w:rsidRPr="00EF2E8A">
        <w:rPr>
          <w:rFonts w:cstheme="minorHAnsi"/>
        </w:rPr>
        <w:t>α</w:t>
      </w:r>
      <w:r w:rsidRPr="00EF2E8A">
        <w:t xml:space="preserve"> high expression patients. The MIRV clinical program was not designed to examine treatment of patients explicitly defined as FR</w:t>
      </w:r>
      <w:r w:rsidRPr="00EF2E8A">
        <w:rPr>
          <w:rFonts w:cstheme="minorHAnsi"/>
        </w:rPr>
        <w:t>α</w:t>
      </w:r>
      <w:r w:rsidRPr="00EF2E8A">
        <w:t xml:space="preserve"> test negative. The included evidence is summarised in</w:t>
      </w:r>
      <w:r w:rsidR="007319B1">
        <w:t xml:space="preserve"> </w:t>
      </w:r>
      <w:r w:rsidR="008B70AB">
        <w:fldChar w:fldCharType="begin" w:fldLock="1"/>
      </w:r>
      <w:r w:rsidR="008B70AB">
        <w:instrText xml:space="preserve"> REF _Ref205278685 \h </w:instrText>
      </w:r>
      <w:r w:rsidR="008B70AB">
        <w:fldChar w:fldCharType="separate"/>
      </w:r>
      <w:r w:rsidR="00CC5CAD">
        <w:t xml:space="preserve">Table </w:t>
      </w:r>
      <w:r w:rsidR="00CC5CAD">
        <w:rPr>
          <w:noProof/>
        </w:rPr>
        <w:t>2</w:t>
      </w:r>
      <w:r w:rsidR="008B70AB">
        <w:fldChar w:fldCharType="end"/>
      </w:r>
      <w:r w:rsidRPr="00EF2E8A">
        <w:t>.</w:t>
      </w:r>
    </w:p>
    <w:p w14:paraId="2888ED4D" w14:textId="1B481BBA" w:rsidR="007E1E60" w:rsidRDefault="00F82346" w:rsidP="00591C83">
      <w:pPr>
        <w:pStyle w:val="Caption"/>
      </w:pPr>
      <w:bookmarkStart w:id="24" w:name="_Ref205278685"/>
      <w:bookmarkStart w:id="25" w:name="_Ref205197639"/>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2</w:t>
      </w:r>
      <w:r w:rsidR="00CC5CAD">
        <w:rPr>
          <w:noProof/>
        </w:rPr>
        <w:fldChar w:fldCharType="end"/>
      </w:r>
      <w:bookmarkEnd w:id="24"/>
      <w:r w:rsidR="007E1E60">
        <w:t xml:space="preserve">: </w:t>
      </w:r>
      <w:r w:rsidR="007E1E60" w:rsidRPr="006F2D1B">
        <w:t>Summary of the linked evidence approach</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the linked evidence approach"/>
      </w:tblPr>
      <w:tblGrid>
        <w:gridCol w:w="2313"/>
        <w:gridCol w:w="4234"/>
        <w:gridCol w:w="2469"/>
      </w:tblGrid>
      <w:tr w:rsidR="00730859" w:rsidRPr="00EF2E8A" w14:paraId="28BAA583" w14:textId="77777777">
        <w:tc>
          <w:tcPr>
            <w:tcW w:w="1283" w:type="pct"/>
            <w:tcBorders>
              <w:top w:val="single" w:sz="4" w:space="0" w:color="auto"/>
              <w:left w:val="single" w:sz="4" w:space="0" w:color="auto"/>
              <w:bottom w:val="single" w:sz="4" w:space="0" w:color="auto"/>
              <w:right w:val="single" w:sz="4" w:space="0" w:color="auto"/>
            </w:tcBorders>
            <w:vAlign w:val="bottom"/>
          </w:tcPr>
          <w:p w14:paraId="6BCA7C6C" w14:textId="77777777" w:rsidR="00730859" w:rsidRPr="00EF2E8A" w:rsidRDefault="00730859" w:rsidP="00591C83">
            <w:pPr>
              <w:keepNext/>
              <w:spacing w:before="0" w:after="0"/>
              <w:jc w:val="left"/>
              <w:rPr>
                <w:rFonts w:ascii="Arial Narrow" w:hAnsi="Arial Narrow"/>
                <w:b/>
                <w:sz w:val="20"/>
              </w:rPr>
            </w:pPr>
          </w:p>
        </w:tc>
        <w:tc>
          <w:tcPr>
            <w:tcW w:w="2348" w:type="pct"/>
            <w:tcBorders>
              <w:top w:val="single" w:sz="4" w:space="0" w:color="auto"/>
              <w:left w:val="single" w:sz="4" w:space="0" w:color="auto"/>
              <w:bottom w:val="single" w:sz="4" w:space="0" w:color="auto"/>
              <w:right w:val="single" w:sz="4" w:space="0" w:color="auto"/>
            </w:tcBorders>
            <w:vAlign w:val="bottom"/>
            <w:hideMark/>
          </w:tcPr>
          <w:p w14:paraId="5214336B" w14:textId="77777777" w:rsidR="00730859" w:rsidRPr="00EF2E8A" w:rsidRDefault="00730859" w:rsidP="00591C83">
            <w:pPr>
              <w:keepNext/>
              <w:spacing w:before="0" w:after="0"/>
              <w:jc w:val="left"/>
              <w:rPr>
                <w:rFonts w:ascii="Arial Narrow" w:hAnsi="Arial Narrow"/>
                <w:b/>
                <w:sz w:val="20"/>
              </w:rPr>
            </w:pPr>
            <w:r w:rsidRPr="00EF2E8A">
              <w:rPr>
                <w:rFonts w:ascii="Arial Narrow" w:hAnsi="Arial Narrow"/>
                <w:b/>
                <w:sz w:val="20"/>
              </w:rPr>
              <w:t>Type of evidence supplied</w:t>
            </w:r>
          </w:p>
        </w:tc>
        <w:tc>
          <w:tcPr>
            <w:tcW w:w="1369" w:type="pct"/>
            <w:tcBorders>
              <w:top w:val="single" w:sz="4" w:space="0" w:color="auto"/>
              <w:left w:val="single" w:sz="4" w:space="0" w:color="auto"/>
              <w:bottom w:val="single" w:sz="4" w:space="0" w:color="auto"/>
              <w:right w:val="single" w:sz="4" w:space="0" w:color="auto"/>
            </w:tcBorders>
            <w:vAlign w:val="bottom"/>
            <w:hideMark/>
          </w:tcPr>
          <w:p w14:paraId="6C057732" w14:textId="77777777" w:rsidR="00730859" w:rsidRPr="00EF2E8A" w:rsidRDefault="00730859" w:rsidP="00591C83">
            <w:pPr>
              <w:keepNext/>
              <w:spacing w:before="0" w:after="0"/>
              <w:jc w:val="left"/>
              <w:rPr>
                <w:rFonts w:ascii="Arial Narrow" w:hAnsi="Arial Narrow"/>
                <w:b/>
                <w:sz w:val="20"/>
              </w:rPr>
            </w:pPr>
            <w:r w:rsidRPr="00EF2E8A">
              <w:rPr>
                <w:rFonts w:ascii="Arial Narrow" w:hAnsi="Arial Narrow"/>
                <w:b/>
                <w:sz w:val="20"/>
              </w:rPr>
              <w:t>Extent of evidence supplied</w:t>
            </w:r>
          </w:p>
        </w:tc>
      </w:tr>
      <w:tr w:rsidR="00730859" w:rsidRPr="00EF2E8A" w14:paraId="1211F919" w14:textId="77777777">
        <w:tc>
          <w:tcPr>
            <w:tcW w:w="1283" w:type="pct"/>
            <w:tcBorders>
              <w:top w:val="single" w:sz="4" w:space="0" w:color="auto"/>
              <w:left w:val="single" w:sz="4" w:space="0" w:color="auto"/>
              <w:bottom w:val="single" w:sz="4" w:space="0" w:color="auto"/>
              <w:right w:val="single" w:sz="4" w:space="0" w:color="auto"/>
            </w:tcBorders>
            <w:hideMark/>
          </w:tcPr>
          <w:p w14:paraId="1B6C5F3E" w14:textId="0D3C6E02"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Accuracy and performance of the test (cross</w:t>
            </w:r>
            <w:r w:rsidR="00A46D2B">
              <w:rPr>
                <w:rFonts w:ascii="Arial Narrow" w:hAnsi="Arial Narrow"/>
                <w:sz w:val="20"/>
              </w:rPr>
              <w:noBreakHyphen/>
            </w:r>
            <w:r w:rsidRPr="00EF2E8A">
              <w:rPr>
                <w:rFonts w:ascii="Arial Narrow" w:hAnsi="Arial Narrow"/>
                <w:sz w:val="20"/>
              </w:rPr>
              <w:t>sectional accuracy)</w:t>
            </w:r>
          </w:p>
        </w:tc>
        <w:tc>
          <w:tcPr>
            <w:tcW w:w="2348" w:type="pct"/>
            <w:tcBorders>
              <w:top w:val="single" w:sz="4" w:space="0" w:color="auto"/>
              <w:left w:val="single" w:sz="4" w:space="0" w:color="auto"/>
              <w:bottom w:val="single" w:sz="4" w:space="0" w:color="auto"/>
              <w:right w:val="single" w:sz="4" w:space="0" w:color="auto"/>
            </w:tcBorders>
            <w:hideMark/>
          </w:tcPr>
          <w:p w14:paraId="278EA065" w14:textId="77777777" w:rsidR="00730859" w:rsidRPr="00EF2E8A" w:rsidRDefault="00730859" w:rsidP="00591C83">
            <w:pPr>
              <w:keepNext/>
              <w:spacing w:before="0" w:after="0"/>
              <w:jc w:val="left"/>
              <w:rPr>
                <w:rFonts w:ascii="Arial Narrow" w:hAnsi="Arial Narrow"/>
                <w:sz w:val="20"/>
                <w:szCs w:val="20"/>
              </w:rPr>
            </w:pPr>
            <w:r w:rsidRPr="00EF2E8A">
              <w:rPr>
                <w:rFonts w:ascii="Arial Narrow" w:hAnsi="Arial Narrow"/>
                <w:sz w:val="20"/>
                <w:szCs w:val="20"/>
              </w:rPr>
              <w:t>James et al, (2024) Retrospective analysis of pathology samples from MIRV Phase II trial (SORAYA) used to establish concordance in use of the clinical utility standard in different settings</w:t>
            </w:r>
          </w:p>
          <w:p w14:paraId="25AC187C" w14:textId="77777777" w:rsidR="00730859" w:rsidRPr="00EF2E8A" w:rsidRDefault="00730859" w:rsidP="00591C83">
            <w:pPr>
              <w:keepNext/>
              <w:spacing w:before="0" w:after="0"/>
              <w:jc w:val="left"/>
              <w:rPr>
                <w:rFonts w:ascii="Arial Narrow" w:hAnsi="Arial Narrow"/>
                <w:sz w:val="20"/>
                <w:szCs w:val="20"/>
              </w:rPr>
            </w:pPr>
          </w:p>
          <w:p w14:paraId="56342610" w14:textId="68E27E64" w:rsidR="00730859" w:rsidRPr="00EF2E8A" w:rsidRDefault="00730859" w:rsidP="00591C83">
            <w:pPr>
              <w:keepNext/>
              <w:spacing w:before="0" w:after="0"/>
              <w:jc w:val="left"/>
              <w:rPr>
                <w:rFonts w:ascii="Arial Narrow" w:hAnsi="Arial Narrow"/>
                <w:sz w:val="20"/>
                <w:szCs w:val="20"/>
              </w:rPr>
            </w:pPr>
            <w:r w:rsidRPr="00EF2E8A">
              <w:rPr>
                <w:rFonts w:ascii="Arial Narrow" w:hAnsi="Arial Narrow"/>
                <w:sz w:val="20"/>
                <w:szCs w:val="20"/>
              </w:rPr>
              <w:t>Martin et al (2017) sub</w:t>
            </w:r>
            <w:r w:rsidR="00A46D2B">
              <w:rPr>
                <w:rFonts w:ascii="Arial Narrow" w:hAnsi="Arial Narrow"/>
                <w:sz w:val="20"/>
                <w:szCs w:val="20"/>
              </w:rPr>
              <w:noBreakHyphen/>
            </w:r>
            <w:r w:rsidRPr="00EF2E8A">
              <w:rPr>
                <w:rFonts w:ascii="Arial Narrow" w:hAnsi="Arial Narrow"/>
                <w:sz w:val="20"/>
                <w:szCs w:val="20"/>
              </w:rPr>
              <w:t>study to the MIRV Phase I trial; testing of archived tissue vs fresh pre</w:t>
            </w:r>
            <w:r w:rsidR="00A46D2B">
              <w:rPr>
                <w:rFonts w:ascii="Arial Narrow" w:hAnsi="Arial Narrow"/>
                <w:sz w:val="20"/>
                <w:szCs w:val="20"/>
              </w:rPr>
              <w:noBreakHyphen/>
            </w:r>
            <w:r w:rsidRPr="00EF2E8A">
              <w:rPr>
                <w:rFonts w:ascii="Arial Narrow" w:hAnsi="Arial Narrow"/>
                <w:sz w:val="20"/>
                <w:szCs w:val="20"/>
              </w:rPr>
              <w:t>treatment biopsy vs fresh post</w:t>
            </w:r>
            <w:r w:rsidR="00A46D2B">
              <w:rPr>
                <w:rFonts w:ascii="Arial Narrow" w:hAnsi="Arial Narrow"/>
                <w:sz w:val="20"/>
                <w:szCs w:val="20"/>
              </w:rPr>
              <w:noBreakHyphen/>
            </w:r>
            <w:r w:rsidRPr="00EF2E8A">
              <w:rPr>
                <w:rFonts w:ascii="Arial Narrow" w:hAnsi="Arial Narrow"/>
                <w:sz w:val="20"/>
                <w:szCs w:val="20"/>
              </w:rPr>
              <w:t>treatment biopsy</w:t>
            </w:r>
          </w:p>
          <w:p w14:paraId="29A50590" w14:textId="77777777" w:rsidR="00730859" w:rsidRPr="00EF2E8A" w:rsidRDefault="00730859" w:rsidP="00591C83">
            <w:pPr>
              <w:keepNext/>
              <w:spacing w:before="0" w:after="0"/>
              <w:jc w:val="left"/>
              <w:rPr>
                <w:rFonts w:ascii="Arial Narrow" w:hAnsi="Arial Narrow"/>
                <w:sz w:val="20"/>
                <w:szCs w:val="20"/>
              </w:rPr>
            </w:pPr>
          </w:p>
          <w:p w14:paraId="3AD31F4F"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szCs w:val="20"/>
              </w:rPr>
              <w:t>FDA (2022) evaluation report for Ventana FOLR1 assay; reports results of James et al, (2024); includes results of separate biomarker prevalence study (N=953)</w:t>
            </w:r>
          </w:p>
        </w:tc>
        <w:tc>
          <w:tcPr>
            <w:tcW w:w="1369" w:type="pct"/>
            <w:tcBorders>
              <w:top w:val="single" w:sz="4" w:space="0" w:color="auto"/>
              <w:left w:val="single" w:sz="4" w:space="0" w:color="auto"/>
              <w:bottom w:val="single" w:sz="4" w:space="0" w:color="auto"/>
              <w:right w:val="single" w:sz="4" w:space="0" w:color="auto"/>
            </w:tcBorders>
            <w:hideMark/>
          </w:tcPr>
          <w:p w14:paraId="5064E3CD" w14:textId="20DA0239" w:rsidR="00730859" w:rsidRPr="00EF2E8A" w:rsidRDefault="00730859" w:rsidP="00591C83">
            <w:pPr>
              <w:keepNext/>
              <w:spacing w:before="0" w:after="0"/>
              <w:jc w:val="left"/>
              <w:rPr>
                <w:rFonts w:ascii="Arial Narrow" w:hAnsi="Arial Narrow"/>
                <w:sz w:val="20"/>
                <w:szCs w:val="20"/>
              </w:rPr>
            </w:pPr>
            <w:r w:rsidRPr="00EF2E8A">
              <w:rPr>
                <w:rFonts w:ascii="Segoe UI Symbol" w:hAnsi="Segoe UI Symbol" w:cs="Segoe UI Symbol"/>
                <w:sz w:val="20"/>
                <w:szCs w:val="20"/>
              </w:rPr>
              <w:t>☒</w:t>
            </w:r>
            <w:r w:rsidRPr="00EF2E8A">
              <w:rPr>
                <w:rFonts w:ascii="Arial Narrow" w:hAnsi="Arial Narrow"/>
                <w:sz w:val="20"/>
                <w:szCs w:val="20"/>
              </w:rPr>
              <w:tab/>
              <w:t>k=3</w:t>
            </w:r>
            <w:r w:rsidRPr="00EF2E8A">
              <w:rPr>
                <w:rFonts w:ascii="Arial Narrow" w:hAnsi="Arial Narrow"/>
                <w:sz w:val="20"/>
                <w:szCs w:val="20"/>
              </w:rPr>
              <w:tab/>
            </w:r>
          </w:p>
          <w:p w14:paraId="498421F6" w14:textId="77777777" w:rsidR="00730859" w:rsidRPr="00EF2E8A" w:rsidRDefault="00730859" w:rsidP="00591C83">
            <w:pPr>
              <w:keepNext/>
              <w:spacing w:before="0" w:after="0"/>
              <w:jc w:val="left"/>
              <w:rPr>
                <w:rFonts w:ascii="Arial Narrow" w:hAnsi="Arial Narrow"/>
                <w:sz w:val="20"/>
                <w:szCs w:val="20"/>
              </w:rPr>
            </w:pPr>
            <w:r w:rsidRPr="00EF2E8A">
              <w:rPr>
                <w:rFonts w:ascii="Arial Narrow" w:hAnsi="Arial Narrow"/>
                <w:sz w:val="20"/>
                <w:szCs w:val="20"/>
              </w:rPr>
              <w:t>n=100+24+28+438</w:t>
            </w:r>
          </w:p>
          <w:p w14:paraId="7CF5DF9F" w14:textId="77777777" w:rsidR="007931CB" w:rsidRPr="00EF2E8A" w:rsidRDefault="007931CB" w:rsidP="00591C83">
            <w:pPr>
              <w:keepNext/>
              <w:spacing w:before="0" w:after="0"/>
              <w:jc w:val="left"/>
              <w:rPr>
                <w:rFonts w:ascii="Arial Narrow" w:hAnsi="Arial Narrow"/>
                <w:sz w:val="20"/>
                <w:szCs w:val="20"/>
              </w:rPr>
            </w:pPr>
            <w:r w:rsidRPr="00EF2E8A">
              <w:rPr>
                <w:rFonts w:ascii="Arial Narrow" w:hAnsi="Arial Narrow"/>
                <w:sz w:val="20"/>
                <w:szCs w:val="20"/>
              </w:rPr>
              <w:t>(based on multiple test performance analyses)</w:t>
            </w:r>
          </w:p>
          <w:p w14:paraId="170AFD07" w14:textId="77777777" w:rsidR="00730859" w:rsidRPr="00EF2E8A" w:rsidRDefault="00730859" w:rsidP="00591C83">
            <w:pPr>
              <w:keepNext/>
              <w:spacing w:before="0" w:after="0"/>
              <w:jc w:val="left"/>
              <w:rPr>
                <w:rFonts w:ascii="Arial Narrow" w:hAnsi="Arial Narrow"/>
                <w:sz w:val="20"/>
                <w:szCs w:val="20"/>
              </w:rPr>
            </w:pPr>
          </w:p>
          <w:p w14:paraId="1B99A127" w14:textId="77777777" w:rsidR="00730859" w:rsidRPr="00EF2E8A" w:rsidRDefault="00730859" w:rsidP="00591C83">
            <w:pPr>
              <w:keepNext/>
              <w:spacing w:before="0" w:after="0"/>
              <w:jc w:val="left"/>
              <w:rPr>
                <w:rFonts w:ascii="Arial Narrow" w:hAnsi="Arial Narrow"/>
                <w:sz w:val="20"/>
                <w:szCs w:val="20"/>
              </w:rPr>
            </w:pPr>
          </w:p>
          <w:p w14:paraId="6FC82411" w14:textId="77777777" w:rsidR="00730859" w:rsidRPr="00EF2E8A" w:rsidRDefault="00730859" w:rsidP="00591C83">
            <w:pPr>
              <w:keepNext/>
              <w:spacing w:before="0" w:after="0"/>
              <w:jc w:val="left"/>
              <w:rPr>
                <w:rFonts w:ascii="Arial Narrow" w:hAnsi="Arial Narrow"/>
                <w:sz w:val="20"/>
                <w:szCs w:val="20"/>
              </w:rPr>
            </w:pPr>
            <w:r w:rsidRPr="00EF2E8A">
              <w:rPr>
                <w:rFonts w:ascii="Arial Narrow" w:hAnsi="Arial Narrow"/>
                <w:sz w:val="20"/>
                <w:szCs w:val="20"/>
              </w:rPr>
              <w:t>n=27</w:t>
            </w:r>
          </w:p>
          <w:p w14:paraId="6C1C8447" w14:textId="77777777" w:rsidR="00730859" w:rsidRPr="00EF2E8A" w:rsidRDefault="00730859" w:rsidP="00591C83">
            <w:pPr>
              <w:keepNext/>
              <w:spacing w:before="0" w:after="0"/>
              <w:jc w:val="left"/>
              <w:rPr>
                <w:rFonts w:ascii="Arial Narrow" w:hAnsi="Arial Narrow"/>
                <w:sz w:val="20"/>
                <w:szCs w:val="20"/>
              </w:rPr>
            </w:pPr>
          </w:p>
          <w:p w14:paraId="1D0B8B69" w14:textId="77777777" w:rsidR="00730859" w:rsidRPr="00EF2E8A" w:rsidRDefault="00730859" w:rsidP="00591C83">
            <w:pPr>
              <w:keepNext/>
              <w:spacing w:before="0" w:after="0"/>
              <w:jc w:val="left"/>
              <w:rPr>
                <w:rFonts w:ascii="Arial Narrow" w:hAnsi="Arial Narrow"/>
                <w:sz w:val="20"/>
                <w:szCs w:val="20"/>
              </w:rPr>
            </w:pPr>
          </w:p>
          <w:p w14:paraId="5EEFF91C" w14:textId="77777777" w:rsidR="00730859" w:rsidRPr="00EF2E8A" w:rsidRDefault="00730859" w:rsidP="00591C83">
            <w:pPr>
              <w:keepNext/>
              <w:spacing w:before="0" w:after="0"/>
              <w:jc w:val="left"/>
              <w:rPr>
                <w:rFonts w:ascii="Arial Narrow" w:hAnsi="Arial Narrow"/>
                <w:sz w:val="20"/>
                <w:szCs w:val="20"/>
              </w:rPr>
            </w:pPr>
          </w:p>
          <w:p w14:paraId="37348954" w14:textId="77777777" w:rsidR="00730859" w:rsidRPr="00EF2E8A" w:rsidRDefault="00730859" w:rsidP="00591C83">
            <w:pPr>
              <w:keepNext/>
              <w:spacing w:before="0" w:after="0"/>
              <w:jc w:val="left"/>
              <w:rPr>
                <w:rFonts w:ascii="Arial Narrow" w:hAnsi="Arial Narrow"/>
                <w:sz w:val="20"/>
                <w:szCs w:val="20"/>
              </w:rPr>
            </w:pPr>
          </w:p>
          <w:p w14:paraId="75853367"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szCs w:val="20"/>
              </w:rPr>
              <w:t>n=953</w:t>
            </w:r>
          </w:p>
        </w:tc>
      </w:tr>
      <w:tr w:rsidR="00730859" w:rsidRPr="00EF2E8A" w14:paraId="72D3EE4E" w14:textId="77777777">
        <w:tc>
          <w:tcPr>
            <w:tcW w:w="1283" w:type="pct"/>
            <w:tcBorders>
              <w:top w:val="single" w:sz="4" w:space="0" w:color="auto"/>
              <w:left w:val="single" w:sz="4" w:space="0" w:color="auto"/>
              <w:bottom w:val="single" w:sz="4" w:space="0" w:color="auto"/>
              <w:right w:val="single" w:sz="4" w:space="0" w:color="auto"/>
            </w:tcBorders>
            <w:hideMark/>
          </w:tcPr>
          <w:p w14:paraId="568DDF2A"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Prognostic evidence (longitudinal accuracy)</w:t>
            </w:r>
          </w:p>
        </w:tc>
        <w:tc>
          <w:tcPr>
            <w:tcW w:w="2348" w:type="pct"/>
            <w:tcBorders>
              <w:top w:val="single" w:sz="4" w:space="0" w:color="auto"/>
              <w:left w:val="single" w:sz="4" w:space="0" w:color="auto"/>
              <w:bottom w:val="single" w:sz="4" w:space="0" w:color="auto"/>
              <w:right w:val="single" w:sz="4" w:space="0" w:color="auto"/>
            </w:tcBorders>
            <w:hideMark/>
          </w:tcPr>
          <w:p w14:paraId="1BB7391C" w14:textId="0A3BD5F5"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Four non</w:t>
            </w:r>
            <w:r w:rsidR="00A46D2B">
              <w:rPr>
                <w:rFonts w:ascii="Arial Narrow" w:hAnsi="Arial Narrow"/>
                <w:sz w:val="20"/>
              </w:rPr>
              <w:noBreakHyphen/>
            </w:r>
            <w:r w:rsidRPr="00EF2E8A">
              <w:rPr>
                <w:rFonts w:ascii="Arial Narrow" w:hAnsi="Arial Narrow"/>
                <w:sz w:val="20"/>
              </w:rPr>
              <w:t>comparative observational studies</w:t>
            </w:r>
          </w:p>
          <w:p w14:paraId="5F169B65"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Lawson et al (2024)</w:t>
            </w:r>
          </w:p>
          <w:p w14:paraId="015462B0" w14:textId="77777777" w:rsidR="00730859" w:rsidRPr="00EF2E8A" w:rsidRDefault="00730859" w:rsidP="00591C83">
            <w:pPr>
              <w:keepNext/>
              <w:spacing w:before="0" w:after="0"/>
              <w:jc w:val="left"/>
              <w:rPr>
                <w:rFonts w:ascii="Arial Narrow" w:hAnsi="Arial Narrow"/>
                <w:sz w:val="20"/>
              </w:rPr>
            </w:pPr>
            <w:proofErr w:type="spellStart"/>
            <w:r w:rsidRPr="00EF2E8A">
              <w:rPr>
                <w:rFonts w:ascii="Arial Narrow" w:hAnsi="Arial Narrow"/>
                <w:sz w:val="20"/>
              </w:rPr>
              <w:t>Köbel</w:t>
            </w:r>
            <w:proofErr w:type="spellEnd"/>
            <w:r w:rsidRPr="00EF2E8A">
              <w:rPr>
                <w:rFonts w:ascii="Arial Narrow" w:hAnsi="Arial Narrow"/>
                <w:sz w:val="20"/>
              </w:rPr>
              <w:t xml:space="preserve"> et al (2014)</w:t>
            </w:r>
          </w:p>
          <w:p w14:paraId="1D5AAA1E"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Crane et al (2012)</w:t>
            </w:r>
          </w:p>
          <w:p w14:paraId="3A3D12DF"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Kalli et al (2008)</w:t>
            </w:r>
          </w:p>
        </w:tc>
        <w:tc>
          <w:tcPr>
            <w:tcW w:w="1369" w:type="pct"/>
            <w:tcBorders>
              <w:top w:val="single" w:sz="4" w:space="0" w:color="auto"/>
              <w:left w:val="single" w:sz="4" w:space="0" w:color="auto"/>
              <w:bottom w:val="single" w:sz="4" w:space="0" w:color="auto"/>
              <w:right w:val="single" w:sz="4" w:space="0" w:color="auto"/>
            </w:tcBorders>
            <w:hideMark/>
          </w:tcPr>
          <w:p w14:paraId="5409CF69" w14:textId="526FD43B" w:rsidR="00730859" w:rsidRPr="00EF2E8A" w:rsidRDefault="00730859" w:rsidP="00591C83">
            <w:pPr>
              <w:keepNext/>
              <w:spacing w:before="0" w:after="0"/>
              <w:jc w:val="left"/>
              <w:rPr>
                <w:rFonts w:ascii="Arial Narrow" w:hAnsi="Arial Narrow"/>
                <w:sz w:val="20"/>
              </w:rPr>
            </w:pPr>
            <w:r w:rsidRPr="00EF2E8A">
              <w:rPr>
                <w:rFonts w:ascii="Segoe UI Symbol" w:hAnsi="Segoe UI Symbol" w:cs="Segoe UI Symbol"/>
                <w:sz w:val="20"/>
              </w:rPr>
              <w:t>☒</w:t>
            </w:r>
            <w:r w:rsidRPr="00EF2E8A">
              <w:rPr>
                <w:rFonts w:ascii="Arial Narrow" w:hAnsi="Arial Narrow"/>
                <w:sz w:val="20"/>
              </w:rPr>
              <w:tab/>
              <w:t>k=4</w:t>
            </w:r>
            <w:r w:rsidRPr="00EF2E8A">
              <w:rPr>
                <w:rFonts w:ascii="Arial Narrow" w:hAnsi="Arial Narrow"/>
                <w:sz w:val="20"/>
              </w:rPr>
              <w:tab/>
            </w:r>
          </w:p>
          <w:p w14:paraId="1766E1F0"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br/>
              <w:t>n=251</w:t>
            </w:r>
          </w:p>
          <w:p w14:paraId="60F67227"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n=2801</w:t>
            </w:r>
          </w:p>
          <w:p w14:paraId="69862452"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n=361</w:t>
            </w:r>
          </w:p>
          <w:p w14:paraId="5A2C5C0B"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n=213</w:t>
            </w:r>
          </w:p>
        </w:tc>
      </w:tr>
      <w:tr w:rsidR="00730859" w:rsidRPr="00EF2E8A" w14:paraId="61FD1F79" w14:textId="77777777">
        <w:tc>
          <w:tcPr>
            <w:tcW w:w="1283" w:type="pct"/>
            <w:tcBorders>
              <w:top w:val="single" w:sz="4" w:space="0" w:color="auto"/>
              <w:left w:val="single" w:sz="4" w:space="0" w:color="auto"/>
              <w:bottom w:val="single" w:sz="4" w:space="0" w:color="auto"/>
              <w:right w:val="single" w:sz="4" w:space="0" w:color="auto"/>
            </w:tcBorders>
            <w:hideMark/>
          </w:tcPr>
          <w:p w14:paraId="476A1E25"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 xml:space="preserve">Change in patient management </w:t>
            </w:r>
          </w:p>
        </w:tc>
        <w:tc>
          <w:tcPr>
            <w:tcW w:w="2348" w:type="pct"/>
            <w:tcBorders>
              <w:top w:val="single" w:sz="4" w:space="0" w:color="auto"/>
              <w:left w:val="single" w:sz="4" w:space="0" w:color="auto"/>
              <w:bottom w:val="single" w:sz="4" w:space="0" w:color="auto"/>
              <w:right w:val="single" w:sz="4" w:space="0" w:color="auto"/>
            </w:tcBorders>
            <w:hideMark/>
          </w:tcPr>
          <w:p w14:paraId="4D135C5D"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No evidence presented</w:t>
            </w:r>
          </w:p>
        </w:tc>
        <w:tc>
          <w:tcPr>
            <w:tcW w:w="1369" w:type="pct"/>
            <w:tcBorders>
              <w:top w:val="single" w:sz="4" w:space="0" w:color="auto"/>
              <w:left w:val="single" w:sz="4" w:space="0" w:color="auto"/>
              <w:bottom w:val="single" w:sz="4" w:space="0" w:color="auto"/>
              <w:right w:val="single" w:sz="4" w:space="0" w:color="auto"/>
            </w:tcBorders>
            <w:hideMark/>
          </w:tcPr>
          <w:p w14:paraId="7ACB3D57" w14:textId="0856CDF3" w:rsidR="00730859" w:rsidRPr="00EF2E8A" w:rsidRDefault="00730859" w:rsidP="00591C83">
            <w:pPr>
              <w:keepNext/>
              <w:spacing w:before="0" w:after="0"/>
              <w:jc w:val="left"/>
              <w:rPr>
                <w:rFonts w:ascii="Arial Narrow" w:hAnsi="Arial Narrow"/>
                <w:sz w:val="20"/>
              </w:rPr>
            </w:pPr>
            <w:r w:rsidRPr="00EF2E8A">
              <w:rPr>
                <w:rFonts w:ascii="Segoe UI Symbol" w:hAnsi="Segoe UI Symbol" w:cs="Segoe UI Symbol"/>
                <w:sz w:val="20"/>
              </w:rPr>
              <w:t>☐</w:t>
            </w:r>
            <w:r w:rsidRPr="00EF2E8A">
              <w:rPr>
                <w:rFonts w:ascii="Arial Narrow" w:hAnsi="Arial Narrow"/>
                <w:sz w:val="20"/>
              </w:rPr>
              <w:tab/>
              <w:t>k=0</w:t>
            </w:r>
            <w:r w:rsidRPr="00EF2E8A">
              <w:rPr>
                <w:rFonts w:ascii="Arial Narrow" w:hAnsi="Arial Narrow"/>
                <w:sz w:val="20"/>
              </w:rPr>
              <w:tab/>
              <w:t>n=0</w:t>
            </w:r>
          </w:p>
        </w:tc>
      </w:tr>
      <w:tr w:rsidR="00730859" w:rsidRPr="00EF2E8A" w14:paraId="7E0F55B1" w14:textId="77777777">
        <w:tc>
          <w:tcPr>
            <w:tcW w:w="1283" w:type="pct"/>
            <w:tcBorders>
              <w:top w:val="single" w:sz="4" w:space="0" w:color="auto"/>
              <w:left w:val="single" w:sz="4" w:space="0" w:color="auto"/>
              <w:bottom w:val="nil"/>
              <w:right w:val="single" w:sz="4" w:space="0" w:color="auto"/>
            </w:tcBorders>
          </w:tcPr>
          <w:p w14:paraId="46AD6250"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 xml:space="preserve">Health outcomes (clinical utility) </w:t>
            </w:r>
          </w:p>
        </w:tc>
        <w:tc>
          <w:tcPr>
            <w:tcW w:w="2348" w:type="pct"/>
            <w:tcBorders>
              <w:top w:val="single" w:sz="4" w:space="0" w:color="auto"/>
              <w:left w:val="single" w:sz="4" w:space="0" w:color="auto"/>
              <w:bottom w:val="nil"/>
              <w:right w:val="single" w:sz="4" w:space="0" w:color="auto"/>
            </w:tcBorders>
          </w:tcPr>
          <w:p w14:paraId="04A16C7C"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No evidence presented</w:t>
            </w:r>
          </w:p>
        </w:tc>
        <w:tc>
          <w:tcPr>
            <w:tcW w:w="1369" w:type="pct"/>
            <w:tcBorders>
              <w:top w:val="single" w:sz="4" w:space="0" w:color="auto"/>
              <w:left w:val="single" w:sz="4" w:space="0" w:color="auto"/>
              <w:bottom w:val="nil"/>
              <w:right w:val="single" w:sz="4" w:space="0" w:color="auto"/>
            </w:tcBorders>
          </w:tcPr>
          <w:p w14:paraId="3FCB8738" w14:textId="1652A515" w:rsidR="00730859" w:rsidRPr="00EF2E8A" w:rsidRDefault="00730859" w:rsidP="00591C83">
            <w:pPr>
              <w:keepNext/>
              <w:spacing w:before="0" w:after="0"/>
              <w:jc w:val="left"/>
              <w:rPr>
                <w:rFonts w:ascii="Arial Narrow" w:hAnsi="Arial Narrow"/>
                <w:sz w:val="20"/>
              </w:rPr>
            </w:pPr>
            <w:r w:rsidRPr="00EF2E8A">
              <w:rPr>
                <w:rFonts w:ascii="Segoe UI Symbol" w:hAnsi="Segoe UI Symbol" w:cs="Segoe UI Symbol"/>
                <w:sz w:val="20"/>
              </w:rPr>
              <w:t>☐</w:t>
            </w:r>
            <w:r w:rsidRPr="00EF2E8A">
              <w:rPr>
                <w:rFonts w:ascii="Arial Narrow" w:hAnsi="Arial Narrow"/>
                <w:sz w:val="20"/>
              </w:rPr>
              <w:tab/>
              <w:t>k=0</w:t>
            </w:r>
            <w:r w:rsidRPr="00EF2E8A">
              <w:rPr>
                <w:rFonts w:ascii="Arial Narrow" w:hAnsi="Arial Narrow"/>
                <w:sz w:val="20"/>
              </w:rPr>
              <w:tab/>
              <w:t>n=0</w:t>
            </w:r>
          </w:p>
        </w:tc>
      </w:tr>
      <w:tr w:rsidR="00730859" w:rsidRPr="00EF2E8A" w14:paraId="46E6C053" w14:textId="77777777">
        <w:tc>
          <w:tcPr>
            <w:tcW w:w="1283" w:type="pct"/>
            <w:tcBorders>
              <w:top w:val="nil"/>
              <w:left w:val="single" w:sz="4" w:space="0" w:color="auto"/>
              <w:bottom w:val="nil"/>
              <w:right w:val="single" w:sz="4" w:space="0" w:color="auto"/>
            </w:tcBorders>
          </w:tcPr>
          <w:p w14:paraId="2D576C26"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 xml:space="preserve">Predictive effect (treatment effect variation) </w:t>
            </w:r>
          </w:p>
        </w:tc>
        <w:tc>
          <w:tcPr>
            <w:tcW w:w="2348" w:type="pct"/>
            <w:tcBorders>
              <w:top w:val="nil"/>
              <w:left w:val="single" w:sz="4" w:space="0" w:color="auto"/>
              <w:bottom w:val="nil"/>
              <w:right w:val="single" w:sz="4" w:space="0" w:color="auto"/>
            </w:tcBorders>
          </w:tcPr>
          <w:p w14:paraId="0DDCC998" w14:textId="4EFE98FF" w:rsidR="00730859" w:rsidRPr="00EF2E8A" w:rsidRDefault="00730859" w:rsidP="00591C83">
            <w:pPr>
              <w:keepNext/>
              <w:spacing w:before="0" w:after="60"/>
              <w:jc w:val="left"/>
              <w:rPr>
                <w:rFonts w:ascii="Arial Narrow" w:hAnsi="Arial Narrow"/>
                <w:sz w:val="20"/>
              </w:rPr>
            </w:pPr>
            <w:r w:rsidRPr="00EF2E8A">
              <w:rPr>
                <w:rFonts w:ascii="Arial Narrow" w:hAnsi="Arial Narrow"/>
                <w:sz w:val="20"/>
              </w:rPr>
              <w:t>Comparison of outcomes in the whole trial population (stratified according to FRα expression) vs FRα</w:t>
            </w:r>
            <w:r w:rsidR="00A46D2B">
              <w:rPr>
                <w:rFonts w:ascii="Arial Narrow" w:hAnsi="Arial Narrow"/>
                <w:sz w:val="20"/>
              </w:rPr>
              <w:noBreakHyphen/>
            </w:r>
            <w:r w:rsidRPr="00EF2E8A">
              <w:rPr>
                <w:rFonts w:ascii="Arial Narrow" w:hAnsi="Arial Narrow"/>
                <w:sz w:val="20"/>
              </w:rPr>
              <w:t>high subgroup, both groups receive either MIRV or ICC.</w:t>
            </w:r>
          </w:p>
          <w:p w14:paraId="6A2E9340" w14:textId="7A64DCEE" w:rsidR="00730859" w:rsidRPr="00EF2E8A" w:rsidRDefault="00730859" w:rsidP="00591C83">
            <w:pPr>
              <w:keepNext/>
              <w:spacing w:before="0" w:after="60"/>
              <w:jc w:val="left"/>
              <w:rPr>
                <w:rFonts w:ascii="Arial Narrow" w:hAnsi="Arial Narrow"/>
                <w:sz w:val="20"/>
              </w:rPr>
            </w:pPr>
            <w:r w:rsidRPr="00EF2E8A">
              <w:rPr>
                <w:rFonts w:ascii="Arial Narrow" w:hAnsi="Arial Narrow"/>
                <w:sz w:val="20"/>
              </w:rPr>
              <w:t>Exploratory analysis of FRα</w:t>
            </w:r>
            <w:r w:rsidR="00A46D2B">
              <w:rPr>
                <w:rFonts w:ascii="Arial Narrow" w:hAnsi="Arial Narrow"/>
                <w:sz w:val="20"/>
              </w:rPr>
              <w:noBreakHyphen/>
            </w:r>
            <w:r w:rsidRPr="00EF2E8A">
              <w:rPr>
                <w:rFonts w:ascii="Arial Narrow" w:hAnsi="Arial Narrow"/>
                <w:sz w:val="20"/>
              </w:rPr>
              <w:t>high vs FRα</w:t>
            </w:r>
            <w:r w:rsidR="00A46D2B">
              <w:rPr>
                <w:rFonts w:ascii="Arial Narrow" w:hAnsi="Arial Narrow"/>
                <w:sz w:val="20"/>
              </w:rPr>
              <w:noBreakHyphen/>
            </w:r>
            <w:r w:rsidRPr="00EF2E8A">
              <w:rPr>
                <w:rFonts w:ascii="Arial Narrow" w:hAnsi="Arial Narrow"/>
                <w:sz w:val="20"/>
              </w:rPr>
              <w:t>medium (latter is effectively test negative) according to previously used test scoring criteria.</w:t>
            </w:r>
          </w:p>
          <w:p w14:paraId="17D3DF96" w14:textId="46B8A75B"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Post hoc analysis of re</w:t>
            </w:r>
            <w:r w:rsidR="00A46D2B">
              <w:rPr>
                <w:rFonts w:ascii="Arial Narrow" w:hAnsi="Arial Narrow"/>
                <w:sz w:val="20"/>
              </w:rPr>
              <w:noBreakHyphen/>
            </w:r>
            <w:r w:rsidRPr="00EF2E8A">
              <w:rPr>
                <w:rFonts w:ascii="Arial Narrow" w:hAnsi="Arial Narrow"/>
                <w:sz w:val="20"/>
              </w:rPr>
              <w:t>scored patients in FRα</w:t>
            </w:r>
            <w:r w:rsidR="00A46D2B">
              <w:rPr>
                <w:rFonts w:ascii="Arial Narrow" w:hAnsi="Arial Narrow"/>
                <w:sz w:val="20"/>
              </w:rPr>
              <w:noBreakHyphen/>
            </w:r>
            <w:r w:rsidRPr="00EF2E8A">
              <w:rPr>
                <w:rFonts w:ascii="Arial Narrow" w:hAnsi="Arial Narrow"/>
                <w:sz w:val="20"/>
              </w:rPr>
              <w:t>low, medium and high groups according to test scoring criteria proposed for the submission.</w:t>
            </w:r>
          </w:p>
        </w:tc>
        <w:tc>
          <w:tcPr>
            <w:tcW w:w="1369" w:type="pct"/>
            <w:tcBorders>
              <w:top w:val="nil"/>
              <w:left w:val="single" w:sz="4" w:space="0" w:color="auto"/>
              <w:bottom w:val="nil"/>
              <w:right w:val="single" w:sz="4" w:space="0" w:color="auto"/>
            </w:tcBorders>
          </w:tcPr>
          <w:p w14:paraId="36352F18" w14:textId="30356C7D" w:rsidR="00730859" w:rsidRPr="00EF2E8A" w:rsidRDefault="00730859" w:rsidP="00591C83">
            <w:pPr>
              <w:keepNext/>
              <w:spacing w:before="0" w:after="60"/>
              <w:jc w:val="left"/>
              <w:rPr>
                <w:rFonts w:ascii="Arial Narrow" w:hAnsi="Arial Narrow"/>
                <w:sz w:val="20"/>
              </w:rPr>
            </w:pPr>
            <w:r w:rsidRPr="00EF2E8A">
              <w:rPr>
                <w:rFonts w:ascii="Segoe UI Symbol" w:hAnsi="Segoe UI Symbol" w:cs="Segoe UI Symbol"/>
                <w:sz w:val="20"/>
              </w:rPr>
              <w:t>☒</w:t>
            </w:r>
            <w:r w:rsidRPr="00EF2E8A">
              <w:rPr>
                <w:rFonts w:ascii="Arial Narrow" w:hAnsi="Arial Narrow"/>
                <w:sz w:val="20"/>
              </w:rPr>
              <w:tab/>
              <w:t>k=2</w:t>
            </w:r>
            <w:r w:rsidRPr="00EF2E8A">
              <w:rPr>
                <w:rFonts w:ascii="Arial Narrow" w:hAnsi="Arial Narrow"/>
                <w:sz w:val="20"/>
              </w:rPr>
              <w:tab/>
              <w:t>n=366</w:t>
            </w:r>
          </w:p>
          <w:p w14:paraId="315C8F00"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n=148 FRα medium</w:t>
            </w:r>
            <w:r w:rsidRPr="00EF2E8A">
              <w:rPr>
                <w:rFonts w:ascii="Arial Narrow" w:hAnsi="Arial Narrow"/>
                <w:sz w:val="20"/>
              </w:rPr>
              <w:br/>
              <w:t>n=218 FRα high</w:t>
            </w:r>
            <w:r w:rsidRPr="00EF2E8A">
              <w:rPr>
                <w:rFonts w:ascii="Arial Narrow" w:hAnsi="Arial Narrow"/>
                <w:sz w:val="20"/>
              </w:rPr>
              <w:br/>
              <w:t>(based on 10X scoring)</w:t>
            </w:r>
          </w:p>
        </w:tc>
      </w:tr>
      <w:tr w:rsidR="00730859" w:rsidRPr="00EF2E8A" w14:paraId="3A9F8CAE" w14:textId="77777777">
        <w:tc>
          <w:tcPr>
            <w:tcW w:w="1283" w:type="pct"/>
            <w:tcBorders>
              <w:top w:val="nil"/>
              <w:left w:val="single" w:sz="4" w:space="0" w:color="auto"/>
              <w:bottom w:val="nil"/>
              <w:right w:val="single" w:sz="4" w:space="0" w:color="auto"/>
            </w:tcBorders>
          </w:tcPr>
          <w:p w14:paraId="1D6D1B61"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Treatment effect (enriched)</w:t>
            </w:r>
          </w:p>
        </w:tc>
        <w:tc>
          <w:tcPr>
            <w:tcW w:w="2348" w:type="pct"/>
            <w:tcBorders>
              <w:top w:val="nil"/>
              <w:left w:val="single" w:sz="4" w:space="0" w:color="auto"/>
              <w:bottom w:val="nil"/>
              <w:right w:val="single" w:sz="4" w:space="0" w:color="auto"/>
            </w:tcBorders>
          </w:tcPr>
          <w:p w14:paraId="7DC008F0" w14:textId="0A75607A"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Single RCT of MIRV vs ICC in patients that are FRα</w:t>
            </w:r>
            <w:r w:rsidR="00A46D2B">
              <w:rPr>
                <w:rFonts w:ascii="Arial Narrow" w:hAnsi="Arial Narrow"/>
                <w:sz w:val="20"/>
              </w:rPr>
              <w:noBreakHyphen/>
            </w:r>
            <w:r w:rsidRPr="00EF2E8A">
              <w:rPr>
                <w:rFonts w:ascii="Arial Narrow" w:hAnsi="Arial Narrow"/>
                <w:sz w:val="20"/>
              </w:rPr>
              <w:t>high (test positive) in both arms</w:t>
            </w:r>
          </w:p>
        </w:tc>
        <w:tc>
          <w:tcPr>
            <w:tcW w:w="1369" w:type="pct"/>
            <w:tcBorders>
              <w:top w:val="nil"/>
              <w:left w:val="single" w:sz="4" w:space="0" w:color="auto"/>
              <w:bottom w:val="nil"/>
              <w:right w:val="single" w:sz="4" w:space="0" w:color="auto"/>
            </w:tcBorders>
          </w:tcPr>
          <w:p w14:paraId="4B23E1F0" w14:textId="07452960" w:rsidR="00730859" w:rsidRPr="00EF2E8A" w:rsidRDefault="00730859" w:rsidP="00591C83">
            <w:pPr>
              <w:keepNext/>
              <w:spacing w:before="0" w:after="0"/>
              <w:jc w:val="left"/>
              <w:rPr>
                <w:rFonts w:ascii="Arial Narrow" w:hAnsi="Arial Narrow"/>
                <w:sz w:val="20"/>
              </w:rPr>
            </w:pPr>
            <w:r w:rsidRPr="00EF2E8A">
              <w:rPr>
                <w:rFonts w:ascii="Segoe UI Symbol" w:hAnsi="Segoe UI Symbol" w:cs="Segoe UI Symbol"/>
                <w:sz w:val="20"/>
              </w:rPr>
              <w:t>☒</w:t>
            </w:r>
            <w:r w:rsidRPr="00EF2E8A">
              <w:rPr>
                <w:rFonts w:ascii="Arial Narrow" w:hAnsi="Arial Narrow"/>
                <w:sz w:val="20"/>
              </w:rPr>
              <w:tab/>
              <w:t>k=1</w:t>
            </w:r>
            <w:r w:rsidRPr="00EF2E8A">
              <w:rPr>
                <w:rFonts w:ascii="Arial Narrow" w:hAnsi="Arial Narrow"/>
                <w:sz w:val="20"/>
              </w:rPr>
              <w:tab/>
              <w:t>n=453</w:t>
            </w:r>
          </w:p>
        </w:tc>
      </w:tr>
      <w:tr w:rsidR="00730859" w:rsidRPr="00EF2E8A" w14:paraId="07F0F82D" w14:textId="77777777">
        <w:tc>
          <w:tcPr>
            <w:tcW w:w="1283" w:type="pct"/>
            <w:tcBorders>
              <w:top w:val="nil"/>
              <w:left w:val="single" w:sz="4" w:space="0" w:color="auto"/>
              <w:bottom w:val="single" w:sz="4" w:space="0" w:color="auto"/>
              <w:right w:val="single" w:sz="4" w:space="0" w:color="auto"/>
            </w:tcBorders>
          </w:tcPr>
          <w:p w14:paraId="15E4B68C"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Other</w:t>
            </w:r>
          </w:p>
        </w:tc>
        <w:tc>
          <w:tcPr>
            <w:tcW w:w="2348" w:type="pct"/>
            <w:tcBorders>
              <w:top w:val="nil"/>
              <w:left w:val="single" w:sz="4" w:space="0" w:color="auto"/>
              <w:bottom w:val="single" w:sz="4" w:space="0" w:color="auto"/>
              <w:right w:val="single" w:sz="4" w:space="0" w:color="auto"/>
            </w:tcBorders>
          </w:tcPr>
          <w:p w14:paraId="023BC958" w14:textId="77777777" w:rsidR="00730859" w:rsidRPr="00EF2E8A" w:rsidRDefault="00730859" w:rsidP="00591C83">
            <w:pPr>
              <w:keepNext/>
              <w:spacing w:before="0" w:after="0"/>
              <w:jc w:val="left"/>
              <w:rPr>
                <w:rFonts w:ascii="Arial Narrow" w:hAnsi="Arial Narrow"/>
                <w:sz w:val="20"/>
              </w:rPr>
            </w:pPr>
            <w:r w:rsidRPr="00EF2E8A">
              <w:rPr>
                <w:rFonts w:ascii="Arial Narrow" w:hAnsi="Arial Narrow"/>
                <w:sz w:val="20"/>
              </w:rPr>
              <w:t>Single RCT of bevacizumab + ICC versus ICC as indirect evidence for the bevacizumab + ICC comparator</w:t>
            </w:r>
          </w:p>
        </w:tc>
        <w:tc>
          <w:tcPr>
            <w:tcW w:w="1369" w:type="pct"/>
            <w:tcBorders>
              <w:top w:val="nil"/>
              <w:left w:val="single" w:sz="4" w:space="0" w:color="auto"/>
              <w:bottom w:val="single" w:sz="4" w:space="0" w:color="auto"/>
              <w:right w:val="single" w:sz="4" w:space="0" w:color="auto"/>
            </w:tcBorders>
          </w:tcPr>
          <w:p w14:paraId="4AA7D616" w14:textId="4AE156C4" w:rsidR="00730859" w:rsidRPr="00EF2E8A" w:rsidRDefault="00730859" w:rsidP="00591C83">
            <w:pPr>
              <w:keepNext/>
              <w:spacing w:before="0" w:after="0"/>
              <w:jc w:val="left"/>
              <w:rPr>
                <w:rFonts w:ascii="Arial Narrow" w:hAnsi="Arial Narrow"/>
                <w:sz w:val="20"/>
              </w:rPr>
            </w:pPr>
            <w:r w:rsidRPr="00EF2E8A">
              <w:rPr>
                <w:rFonts w:ascii="Segoe UI Symbol" w:hAnsi="Segoe UI Symbol" w:cs="Segoe UI Symbol"/>
                <w:sz w:val="20"/>
              </w:rPr>
              <w:t>☒</w:t>
            </w:r>
            <w:r w:rsidRPr="00EF2E8A">
              <w:rPr>
                <w:rFonts w:ascii="Arial Narrow" w:hAnsi="Arial Narrow"/>
                <w:sz w:val="20"/>
              </w:rPr>
              <w:tab/>
              <w:t>k=1</w:t>
            </w:r>
            <w:r w:rsidRPr="00EF2E8A">
              <w:rPr>
                <w:rFonts w:ascii="Arial Narrow" w:hAnsi="Arial Narrow"/>
                <w:sz w:val="20"/>
              </w:rPr>
              <w:tab/>
            </w:r>
          </w:p>
          <w:p w14:paraId="23CCEEC6" w14:textId="50B7E64A" w:rsidR="00730859" w:rsidRPr="00EF2E8A" w:rsidRDefault="00B65B3F" w:rsidP="00591C83">
            <w:pPr>
              <w:keepNext/>
              <w:spacing w:before="0" w:after="0"/>
              <w:jc w:val="left"/>
              <w:rPr>
                <w:rFonts w:ascii="Arial Narrow" w:hAnsi="Arial Narrow"/>
                <w:sz w:val="20"/>
              </w:rPr>
            </w:pPr>
            <w:r>
              <w:rPr>
                <w:rFonts w:ascii="Arial Narrow" w:hAnsi="Arial Narrow"/>
                <w:sz w:val="20"/>
              </w:rPr>
              <w:t xml:space="preserve"> </w:t>
            </w:r>
            <w:r w:rsidR="00730859" w:rsidRPr="00EF2E8A">
              <w:rPr>
                <w:rFonts w:ascii="Arial Narrow" w:hAnsi="Arial Narrow"/>
                <w:sz w:val="20"/>
              </w:rPr>
              <w:t xml:space="preserve">             n=361</w:t>
            </w:r>
          </w:p>
        </w:tc>
      </w:tr>
    </w:tbl>
    <w:p w14:paraId="426D8C72" w14:textId="348FE83C" w:rsidR="00730859" w:rsidRPr="00EF2E8A" w:rsidRDefault="00730859"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 xml:space="preserve">Source: </w:t>
      </w:r>
      <w:r w:rsidR="00630CAD" w:rsidRPr="00EF2E8A">
        <w:rPr>
          <w:rFonts w:ascii="Arial Narrow" w:eastAsia="Times New Roman" w:hAnsi="Arial Narrow" w:cs="Arial"/>
          <w:snapToGrid w:val="0"/>
          <w:sz w:val="18"/>
          <w:szCs w:val="20"/>
        </w:rPr>
        <w:t>C</w:t>
      </w:r>
      <w:r w:rsidRPr="00EF2E8A">
        <w:rPr>
          <w:rFonts w:ascii="Arial Narrow" w:eastAsia="Times New Roman" w:hAnsi="Arial Narrow" w:cs="Arial"/>
          <w:snapToGrid w:val="0"/>
          <w:sz w:val="18"/>
          <w:szCs w:val="20"/>
        </w:rPr>
        <w:t>ompiled during the evaluation</w:t>
      </w:r>
      <w:r w:rsidR="00630CAD" w:rsidRPr="00EF2E8A">
        <w:rPr>
          <w:rFonts w:ascii="Arial Narrow" w:eastAsia="Times New Roman" w:hAnsi="Arial Narrow" w:cs="Arial"/>
          <w:snapToGrid w:val="0"/>
          <w:sz w:val="18"/>
          <w:szCs w:val="20"/>
        </w:rPr>
        <w:t xml:space="preserve"> based on information presented in Section 2 of the submission</w:t>
      </w:r>
    </w:p>
    <w:p w14:paraId="7FB1D0CB" w14:textId="0FCD0724" w:rsidR="00730859" w:rsidRPr="00EF2E8A" w:rsidRDefault="00730859"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ICC: investigator’s choice of chemotherapy; FDA= Food and Drug Administration; FRα: folate receptor alpha; k: number of studies, MIRV: mirvetuximab soravtansine; n: number</w:t>
      </w:r>
      <w:r w:rsidR="00630CAD" w:rsidRPr="00EF2E8A">
        <w:rPr>
          <w:rFonts w:ascii="Arial Narrow" w:eastAsia="Times New Roman" w:hAnsi="Arial Narrow" w:cs="Arial"/>
          <w:snapToGrid w:val="0"/>
          <w:sz w:val="18"/>
          <w:szCs w:val="20"/>
        </w:rPr>
        <w:t xml:space="preserve"> </w:t>
      </w:r>
      <w:r w:rsidRPr="00EF2E8A">
        <w:rPr>
          <w:rFonts w:ascii="Arial Narrow" w:eastAsia="Times New Roman" w:hAnsi="Arial Narrow" w:cs="Arial"/>
          <w:snapToGrid w:val="0"/>
          <w:sz w:val="18"/>
          <w:szCs w:val="20"/>
        </w:rPr>
        <w:t>of patients; RCT= randomised control trial.</w:t>
      </w:r>
    </w:p>
    <w:p w14:paraId="2ACC2F81" w14:textId="5451DFDA" w:rsidR="005B407D" w:rsidRPr="00EF2E8A" w:rsidRDefault="005B407D" w:rsidP="00591C83">
      <w:pPr>
        <w:pStyle w:val="ListParagraph"/>
      </w:pPr>
      <w:r w:rsidRPr="00EF2E8A">
        <w:t>Trials presented to inform comparisons for the relevant comparators and biomarker populations are summarised in</w:t>
      </w:r>
      <w:r w:rsidR="004D4A3E">
        <w:t xml:space="preserve"> </w:t>
      </w:r>
      <w:r w:rsidR="004D4A3E">
        <w:fldChar w:fldCharType="begin" w:fldLock="1"/>
      </w:r>
      <w:r w:rsidR="004D4A3E">
        <w:instrText xml:space="preserve"> REF _Ref205278433 \h </w:instrText>
      </w:r>
      <w:r w:rsidR="004D4A3E">
        <w:fldChar w:fldCharType="separate"/>
      </w:r>
      <w:r w:rsidR="00CC5CAD">
        <w:t xml:space="preserve">Table </w:t>
      </w:r>
      <w:r w:rsidR="00CC5CAD">
        <w:rPr>
          <w:noProof/>
        </w:rPr>
        <w:t>3</w:t>
      </w:r>
      <w:r w:rsidR="004D4A3E">
        <w:fldChar w:fldCharType="end"/>
      </w:r>
      <w:r w:rsidRPr="00EF2E8A">
        <w:t>.</w:t>
      </w:r>
    </w:p>
    <w:p w14:paraId="5CF3731F" w14:textId="05B9F532" w:rsidR="00247E05" w:rsidRDefault="00F82346" w:rsidP="00591C83">
      <w:pPr>
        <w:pStyle w:val="Caption"/>
      </w:pPr>
      <w:bookmarkStart w:id="26" w:name="_Ref205278433"/>
      <w:bookmarkStart w:id="27" w:name="_Ref205197669"/>
      <w:r>
        <w:t xml:space="preserve">Table </w:t>
      </w:r>
      <w:r w:rsidR="00CC5CAD">
        <w:fldChar w:fldCharType="begin" w:fldLock="1"/>
      </w:r>
      <w:r w:rsidR="00CC5CAD">
        <w:instrText xml:space="preserve"> SEQ Table \* ARABIC </w:instrText>
      </w:r>
      <w:r w:rsidR="00CC5CAD">
        <w:fldChar w:fldCharType="separate"/>
      </w:r>
      <w:r w:rsidR="00CC5CAD">
        <w:rPr>
          <w:noProof/>
        </w:rPr>
        <w:t>3</w:t>
      </w:r>
      <w:r w:rsidR="00CC5CAD">
        <w:rPr>
          <w:noProof/>
        </w:rPr>
        <w:fldChar w:fldCharType="end"/>
      </w:r>
      <w:bookmarkEnd w:id="26"/>
      <w:r w:rsidR="00247E05">
        <w:t xml:space="preserve">: </w:t>
      </w:r>
      <w:r w:rsidR="00247E05" w:rsidRPr="00B530A5">
        <w:t>Data availability to inform comparisons</w:t>
      </w:r>
      <w:bookmarkEnd w:id="2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3: Data availability to inform comparisons"/>
      </w:tblPr>
      <w:tblGrid>
        <w:gridCol w:w="2193"/>
        <w:gridCol w:w="3134"/>
        <w:gridCol w:w="3689"/>
      </w:tblGrid>
      <w:tr w:rsidR="005B407D" w:rsidRPr="00EF2E8A" w14:paraId="68D87D6B" w14:textId="77777777">
        <w:tc>
          <w:tcPr>
            <w:tcW w:w="1216" w:type="pct"/>
            <w:tcBorders>
              <w:top w:val="single" w:sz="4" w:space="0" w:color="000000"/>
              <w:left w:val="single" w:sz="4" w:space="0" w:color="000000"/>
              <w:bottom w:val="single" w:sz="4" w:space="0" w:color="000000"/>
              <w:right w:val="single" w:sz="4" w:space="0" w:color="000000"/>
            </w:tcBorders>
          </w:tcPr>
          <w:p w14:paraId="178AD277" w14:textId="77777777" w:rsidR="005B407D" w:rsidRPr="00EF2E8A" w:rsidRDefault="005B407D" w:rsidP="00591C83">
            <w:pPr>
              <w:keepNext/>
              <w:keepLines/>
              <w:spacing w:before="0" w:after="0"/>
              <w:jc w:val="left"/>
              <w:rPr>
                <w:rFonts w:ascii="Arial Narrow" w:hAnsi="Arial Narrow"/>
                <w:sz w:val="20"/>
              </w:rPr>
            </w:pPr>
          </w:p>
        </w:tc>
        <w:tc>
          <w:tcPr>
            <w:tcW w:w="1738" w:type="pct"/>
            <w:tcBorders>
              <w:top w:val="single" w:sz="4" w:space="0" w:color="000000"/>
              <w:left w:val="single" w:sz="4" w:space="0" w:color="000000"/>
              <w:bottom w:val="single" w:sz="4" w:space="0" w:color="000000"/>
              <w:right w:val="single" w:sz="4" w:space="0" w:color="000000"/>
            </w:tcBorders>
            <w:hideMark/>
          </w:tcPr>
          <w:p w14:paraId="43B8CD9C" w14:textId="77777777" w:rsidR="005B407D" w:rsidRPr="00EF2E8A" w:rsidRDefault="005B407D" w:rsidP="00591C83">
            <w:pPr>
              <w:keepNext/>
              <w:keepLines/>
              <w:spacing w:before="0" w:after="0"/>
              <w:jc w:val="left"/>
              <w:rPr>
                <w:rFonts w:ascii="Arial Narrow" w:hAnsi="Arial Narrow"/>
                <w:sz w:val="20"/>
              </w:rPr>
            </w:pPr>
            <w:r w:rsidRPr="00EF2E8A">
              <w:rPr>
                <w:rFonts w:ascii="Arial Narrow" w:hAnsi="Arial Narrow"/>
                <w:b/>
                <w:sz w:val="20"/>
              </w:rPr>
              <w:t>MIRV</w:t>
            </w:r>
          </w:p>
        </w:tc>
        <w:tc>
          <w:tcPr>
            <w:tcW w:w="2046" w:type="pct"/>
            <w:tcBorders>
              <w:top w:val="single" w:sz="4" w:space="0" w:color="000000"/>
              <w:left w:val="single" w:sz="4" w:space="0" w:color="000000"/>
              <w:bottom w:val="single" w:sz="4" w:space="0" w:color="000000"/>
              <w:right w:val="single" w:sz="4" w:space="0" w:color="000000"/>
            </w:tcBorders>
            <w:hideMark/>
          </w:tcPr>
          <w:p w14:paraId="23B4C439" w14:textId="77777777" w:rsidR="005B407D" w:rsidRPr="00EF2E8A" w:rsidRDefault="005B407D" w:rsidP="00591C83">
            <w:pPr>
              <w:keepNext/>
              <w:keepLines/>
              <w:spacing w:before="0" w:after="0"/>
              <w:jc w:val="left"/>
              <w:rPr>
                <w:rFonts w:ascii="Arial Narrow" w:hAnsi="Arial Narrow"/>
                <w:sz w:val="20"/>
              </w:rPr>
            </w:pPr>
            <w:r w:rsidRPr="00EF2E8A">
              <w:rPr>
                <w:rFonts w:ascii="Arial Narrow" w:hAnsi="Arial Narrow"/>
                <w:b/>
                <w:sz w:val="20"/>
              </w:rPr>
              <w:t xml:space="preserve">ICC; bevacizumab + </w:t>
            </w:r>
            <w:proofErr w:type="spellStart"/>
            <w:r w:rsidRPr="00EF2E8A">
              <w:rPr>
                <w:rFonts w:ascii="Arial Narrow" w:hAnsi="Arial Narrow"/>
                <w:b/>
                <w:sz w:val="20"/>
              </w:rPr>
              <w:t>ICC</w:t>
            </w:r>
            <w:r w:rsidRPr="00EF2E8A">
              <w:rPr>
                <w:rFonts w:ascii="Arial Narrow" w:hAnsi="Arial Narrow"/>
                <w:b/>
                <w:sz w:val="20"/>
                <w:vertAlign w:val="superscript"/>
              </w:rPr>
              <w:t>a</w:t>
            </w:r>
            <w:proofErr w:type="spellEnd"/>
          </w:p>
        </w:tc>
      </w:tr>
      <w:tr w:rsidR="005B407D" w:rsidRPr="00EF2E8A" w14:paraId="7698A16A" w14:textId="77777777">
        <w:tc>
          <w:tcPr>
            <w:tcW w:w="1216" w:type="pct"/>
            <w:tcBorders>
              <w:top w:val="single" w:sz="4" w:space="0" w:color="000000"/>
              <w:left w:val="single" w:sz="4" w:space="0" w:color="000000"/>
              <w:bottom w:val="single" w:sz="4" w:space="0" w:color="000000"/>
              <w:right w:val="single" w:sz="4" w:space="0" w:color="000000"/>
            </w:tcBorders>
            <w:hideMark/>
          </w:tcPr>
          <w:p w14:paraId="54507359" w14:textId="77777777" w:rsidR="005B407D" w:rsidRPr="00EF2E8A" w:rsidRDefault="005B407D" w:rsidP="00591C83">
            <w:pPr>
              <w:keepNext/>
              <w:keepLines/>
              <w:spacing w:before="0" w:after="0"/>
              <w:jc w:val="left"/>
              <w:rPr>
                <w:rFonts w:ascii="Arial Narrow" w:hAnsi="Arial Narrow"/>
                <w:sz w:val="20"/>
              </w:rPr>
            </w:pPr>
            <w:r w:rsidRPr="00EF2E8A">
              <w:rPr>
                <w:rFonts w:ascii="Arial Narrow" w:hAnsi="Arial Narrow"/>
                <w:sz w:val="20"/>
              </w:rPr>
              <w:t>Biomarker test positive</w:t>
            </w:r>
          </w:p>
        </w:tc>
        <w:tc>
          <w:tcPr>
            <w:tcW w:w="1738" w:type="pct"/>
            <w:tcBorders>
              <w:top w:val="single" w:sz="4" w:space="0" w:color="000000"/>
              <w:left w:val="single" w:sz="4" w:space="0" w:color="000000"/>
              <w:bottom w:val="single" w:sz="4" w:space="0" w:color="000000"/>
              <w:right w:val="single" w:sz="4" w:space="0" w:color="000000"/>
            </w:tcBorders>
            <w:hideMark/>
          </w:tcPr>
          <w:p w14:paraId="2D65F261" w14:textId="77777777" w:rsidR="005B407D" w:rsidRPr="00EF2E8A" w:rsidRDefault="005B407D" w:rsidP="00591C83">
            <w:pPr>
              <w:keepNext/>
              <w:keepLines/>
              <w:spacing w:before="0" w:after="0"/>
              <w:jc w:val="left"/>
              <w:rPr>
                <w:rFonts w:ascii="Arial Narrow" w:hAnsi="Arial Narrow"/>
                <w:sz w:val="20"/>
              </w:rPr>
            </w:pPr>
            <w:r w:rsidRPr="00EF2E8A">
              <w:rPr>
                <w:rFonts w:ascii="Arial Narrow" w:hAnsi="Arial Narrow"/>
                <w:sz w:val="20"/>
              </w:rPr>
              <w:t>MIRASOL</w:t>
            </w:r>
          </w:p>
        </w:tc>
        <w:tc>
          <w:tcPr>
            <w:tcW w:w="2046" w:type="pct"/>
            <w:tcBorders>
              <w:top w:val="single" w:sz="4" w:space="0" w:color="000000"/>
              <w:left w:val="single" w:sz="4" w:space="0" w:color="000000"/>
              <w:bottom w:val="single" w:sz="4" w:space="0" w:color="000000"/>
              <w:right w:val="single" w:sz="4" w:space="0" w:color="000000"/>
            </w:tcBorders>
            <w:hideMark/>
          </w:tcPr>
          <w:p w14:paraId="3B102CEF" w14:textId="77777777" w:rsidR="005B407D" w:rsidRPr="00EF2E8A" w:rsidRDefault="005B407D" w:rsidP="00591C83">
            <w:pPr>
              <w:keepNext/>
              <w:keepLines/>
              <w:spacing w:before="0" w:after="0"/>
              <w:jc w:val="left"/>
              <w:rPr>
                <w:rFonts w:ascii="Arial Narrow" w:hAnsi="Arial Narrow"/>
                <w:sz w:val="20"/>
              </w:rPr>
            </w:pPr>
            <w:r w:rsidRPr="00EF2E8A">
              <w:rPr>
                <w:rFonts w:ascii="Arial Narrow" w:hAnsi="Arial Narrow"/>
                <w:sz w:val="20"/>
              </w:rPr>
              <w:t>MIRASOL; AURELIA</w:t>
            </w:r>
          </w:p>
        </w:tc>
      </w:tr>
      <w:tr w:rsidR="005B407D" w:rsidRPr="00EF2E8A" w14:paraId="2847E1A9" w14:textId="77777777">
        <w:tc>
          <w:tcPr>
            <w:tcW w:w="1216" w:type="pct"/>
            <w:tcBorders>
              <w:top w:val="single" w:sz="4" w:space="0" w:color="000000"/>
              <w:left w:val="single" w:sz="4" w:space="0" w:color="000000"/>
              <w:bottom w:val="single" w:sz="4" w:space="0" w:color="000000"/>
              <w:right w:val="single" w:sz="4" w:space="0" w:color="000000"/>
            </w:tcBorders>
            <w:hideMark/>
          </w:tcPr>
          <w:p w14:paraId="5875627B" w14:textId="77777777" w:rsidR="005B407D" w:rsidRPr="00EF2E8A" w:rsidRDefault="005B407D" w:rsidP="00591C83">
            <w:pPr>
              <w:keepNext/>
              <w:keepLines/>
              <w:spacing w:before="0" w:after="0"/>
              <w:jc w:val="left"/>
              <w:rPr>
                <w:rFonts w:ascii="Arial Narrow" w:hAnsi="Arial Narrow"/>
                <w:sz w:val="20"/>
              </w:rPr>
            </w:pPr>
            <w:r w:rsidRPr="00EF2E8A">
              <w:rPr>
                <w:rFonts w:ascii="Arial Narrow" w:hAnsi="Arial Narrow"/>
                <w:sz w:val="20"/>
              </w:rPr>
              <w:t>Biomarker test negative</w:t>
            </w:r>
            <w:r w:rsidRPr="00EF2E8A">
              <w:rPr>
                <w:rFonts w:ascii="Arial Narrow" w:hAnsi="Arial Narrow"/>
                <w:b/>
                <w:sz w:val="20"/>
              </w:rPr>
              <w:t xml:space="preserve"> </w:t>
            </w:r>
          </w:p>
        </w:tc>
        <w:tc>
          <w:tcPr>
            <w:tcW w:w="1738" w:type="pct"/>
            <w:tcBorders>
              <w:top w:val="single" w:sz="4" w:space="0" w:color="000000"/>
              <w:left w:val="single" w:sz="4" w:space="0" w:color="000000"/>
              <w:bottom w:val="single" w:sz="4" w:space="0" w:color="000000"/>
              <w:right w:val="single" w:sz="4" w:space="0" w:color="000000"/>
            </w:tcBorders>
            <w:hideMark/>
          </w:tcPr>
          <w:p w14:paraId="2A4FF601" w14:textId="6600C088" w:rsidR="005B407D" w:rsidRPr="00EF2E8A" w:rsidRDefault="005B407D" w:rsidP="00591C83">
            <w:pPr>
              <w:keepNext/>
              <w:keepLines/>
              <w:spacing w:before="0" w:after="0"/>
              <w:jc w:val="left"/>
              <w:rPr>
                <w:rFonts w:ascii="Arial Narrow" w:hAnsi="Arial Narrow"/>
                <w:sz w:val="20"/>
              </w:rPr>
            </w:pPr>
            <w:r w:rsidRPr="00EF2E8A">
              <w:rPr>
                <w:rFonts w:ascii="Arial Narrow" w:hAnsi="Arial Narrow"/>
                <w:sz w:val="20"/>
              </w:rPr>
              <w:t>Partially applicable: FORWARD</w:t>
            </w:r>
            <w:r w:rsidR="00A46D2B">
              <w:rPr>
                <w:rFonts w:ascii="Arial Narrow" w:hAnsi="Arial Narrow"/>
                <w:sz w:val="20"/>
              </w:rPr>
              <w:noBreakHyphen/>
            </w:r>
            <w:r w:rsidRPr="00EF2E8A">
              <w:rPr>
                <w:rFonts w:ascii="Arial Narrow" w:hAnsi="Arial Narrow"/>
                <w:sz w:val="20"/>
              </w:rPr>
              <w:t xml:space="preserve">I </w:t>
            </w:r>
            <w:r w:rsidRPr="00EF2E8A">
              <w:rPr>
                <w:rFonts w:ascii="Arial Narrow" w:hAnsi="Arial Narrow"/>
                <w:sz w:val="20"/>
              </w:rPr>
              <w:br/>
              <w:t>FRα</w:t>
            </w:r>
            <w:r w:rsidR="00A46D2B">
              <w:rPr>
                <w:rFonts w:ascii="Arial Narrow" w:hAnsi="Arial Narrow"/>
                <w:sz w:val="20"/>
              </w:rPr>
              <w:noBreakHyphen/>
            </w:r>
            <w:r w:rsidRPr="00EF2E8A">
              <w:rPr>
                <w:rFonts w:ascii="Arial Narrow" w:hAnsi="Arial Narrow"/>
                <w:sz w:val="20"/>
              </w:rPr>
              <w:t xml:space="preserve">medium subgroup </w:t>
            </w:r>
          </w:p>
        </w:tc>
        <w:tc>
          <w:tcPr>
            <w:tcW w:w="2046" w:type="pct"/>
            <w:tcBorders>
              <w:top w:val="single" w:sz="4" w:space="0" w:color="000000"/>
              <w:left w:val="single" w:sz="4" w:space="0" w:color="000000"/>
              <w:bottom w:val="single" w:sz="4" w:space="0" w:color="000000"/>
              <w:right w:val="single" w:sz="4" w:space="0" w:color="000000"/>
            </w:tcBorders>
            <w:hideMark/>
          </w:tcPr>
          <w:p w14:paraId="589D5EBA" w14:textId="6EC4DF1C" w:rsidR="005B407D" w:rsidRPr="00EF2E8A" w:rsidRDefault="005B407D" w:rsidP="00591C83">
            <w:pPr>
              <w:keepNext/>
              <w:keepLines/>
              <w:spacing w:before="0" w:after="0"/>
              <w:jc w:val="left"/>
              <w:rPr>
                <w:rFonts w:ascii="Arial Narrow" w:hAnsi="Arial Narrow"/>
                <w:sz w:val="20"/>
              </w:rPr>
            </w:pPr>
            <w:r w:rsidRPr="00EF2E8A">
              <w:rPr>
                <w:rFonts w:ascii="Arial Narrow" w:hAnsi="Arial Narrow"/>
                <w:sz w:val="20"/>
              </w:rPr>
              <w:t>Partially applicable: FORWARD</w:t>
            </w:r>
            <w:r w:rsidR="00A46D2B">
              <w:rPr>
                <w:rFonts w:ascii="Arial Narrow" w:hAnsi="Arial Narrow"/>
                <w:sz w:val="20"/>
              </w:rPr>
              <w:noBreakHyphen/>
            </w:r>
            <w:r w:rsidRPr="00EF2E8A">
              <w:rPr>
                <w:rFonts w:ascii="Arial Narrow" w:hAnsi="Arial Narrow"/>
                <w:sz w:val="20"/>
              </w:rPr>
              <w:t>I FRα</w:t>
            </w:r>
            <w:r w:rsidR="00A46D2B">
              <w:rPr>
                <w:rFonts w:ascii="Arial Narrow" w:hAnsi="Arial Narrow"/>
                <w:sz w:val="20"/>
              </w:rPr>
              <w:noBreakHyphen/>
            </w:r>
            <w:r w:rsidRPr="00EF2E8A">
              <w:rPr>
                <w:rFonts w:ascii="Arial Narrow" w:hAnsi="Arial Narrow"/>
                <w:sz w:val="20"/>
              </w:rPr>
              <w:t xml:space="preserve">medium subgroup </w:t>
            </w:r>
          </w:p>
        </w:tc>
      </w:tr>
    </w:tbl>
    <w:p w14:paraId="68A8CCEF" w14:textId="64EB0295" w:rsidR="005B407D" w:rsidRPr="00EF2E8A" w:rsidRDefault="005B407D"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Source: Compiled during the evaluation</w:t>
      </w:r>
      <w:r w:rsidR="00AD5D7F" w:rsidRPr="00EF2E8A">
        <w:rPr>
          <w:rFonts w:ascii="Arial Narrow" w:eastAsia="Times New Roman" w:hAnsi="Arial Narrow" w:cs="Arial"/>
          <w:snapToGrid w:val="0"/>
          <w:sz w:val="18"/>
          <w:szCs w:val="20"/>
        </w:rPr>
        <w:t xml:space="preserve"> based on information presented in Section 2 of the submission</w:t>
      </w:r>
    </w:p>
    <w:p w14:paraId="2ECAE409" w14:textId="0B84BB7D" w:rsidR="005B407D" w:rsidRPr="00EF2E8A" w:rsidRDefault="005B407D"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ICC= investigator’s choice of chemotherapy; FRα= folate receptor alpha; MIRV= mirvetuximab soravtansine.</w:t>
      </w:r>
    </w:p>
    <w:p w14:paraId="389B06BC" w14:textId="77777777" w:rsidR="005B407D" w:rsidRPr="00EF2E8A" w:rsidRDefault="005B407D" w:rsidP="00591C83">
      <w:pPr>
        <w:spacing w:before="0" w:after="0"/>
        <w:contextualSpacing/>
        <w:rPr>
          <w:rFonts w:ascii="Arial Narrow" w:eastAsia="Times New Roman" w:hAnsi="Arial Narrow" w:cs="Arial"/>
          <w:snapToGrid w:val="0"/>
          <w:sz w:val="18"/>
          <w:szCs w:val="20"/>
        </w:rPr>
      </w:pPr>
      <w:proofErr w:type="spellStart"/>
      <w:proofErr w:type="gramStart"/>
      <w:r w:rsidRPr="00A8503D">
        <w:rPr>
          <w:rFonts w:ascii="Arial Narrow" w:eastAsia="Times New Roman" w:hAnsi="Arial Narrow" w:cs="Arial"/>
          <w:snapToGrid w:val="0"/>
          <w:sz w:val="18"/>
          <w:szCs w:val="20"/>
          <w:vertAlign w:val="superscript"/>
        </w:rPr>
        <w:t>a</w:t>
      </w:r>
      <w:proofErr w:type="spellEnd"/>
      <w:r w:rsidRPr="00EF2E8A">
        <w:rPr>
          <w:rFonts w:ascii="Arial Narrow" w:eastAsia="Times New Roman" w:hAnsi="Arial Narrow" w:cs="Arial"/>
          <w:snapToGrid w:val="0"/>
          <w:sz w:val="18"/>
          <w:szCs w:val="20"/>
        </w:rPr>
        <w:t xml:space="preserve"> the</w:t>
      </w:r>
      <w:proofErr w:type="gramEnd"/>
      <w:r w:rsidRPr="00EF2E8A">
        <w:rPr>
          <w:rFonts w:ascii="Arial Narrow" w:eastAsia="Times New Roman" w:hAnsi="Arial Narrow" w:cs="Arial"/>
          <w:snapToGrid w:val="0"/>
          <w:sz w:val="18"/>
          <w:szCs w:val="20"/>
        </w:rPr>
        <w:t xml:space="preserve"> comparator bevacizumab + ICC is only studied in the AURELIA trial.</w:t>
      </w:r>
    </w:p>
    <w:p w14:paraId="021A2530" w14:textId="06D92D17" w:rsidR="00AB1CF6" w:rsidRPr="007B37F9" w:rsidRDefault="00AB1CF6" w:rsidP="00591C83">
      <w:pPr>
        <w:pStyle w:val="ListParagraph"/>
      </w:pPr>
      <w:bookmarkStart w:id="28" w:name="_Ref198633446"/>
      <w:bookmarkStart w:id="29" w:name="_Ref204778249"/>
      <w:r w:rsidRPr="007B37F9">
        <w:t>The submission presented direct evidence of MIRV versus ICC in the target patient population of FRα</w:t>
      </w:r>
      <w:r w:rsidR="00A46D2B">
        <w:noBreakHyphen/>
      </w:r>
      <w:r w:rsidRPr="007B37F9">
        <w:t xml:space="preserve">high expression (biomarker positive) EOC patients who have been diagnosed as platinum resistant, </w:t>
      </w:r>
      <w:r w:rsidR="008116E1" w:rsidRPr="007B37F9">
        <w:t>i.e.</w:t>
      </w:r>
      <w:r w:rsidR="009655E2" w:rsidRPr="007B37F9">
        <w:t xml:space="preserve"> </w:t>
      </w:r>
      <w:r w:rsidRPr="007B37F9">
        <w:t>the key MIRASOL trial. The</w:t>
      </w:r>
      <w:r w:rsidR="00505AA3" w:rsidRPr="007B37F9">
        <w:t xml:space="preserve"> ESCs and the</w:t>
      </w:r>
      <w:r w:rsidR="00301227" w:rsidRPr="007B37F9">
        <w:t xml:space="preserve"> </w:t>
      </w:r>
      <w:r w:rsidR="00301227" w:rsidRPr="007B37F9">
        <w:lastRenderedPageBreak/>
        <w:t>evaluation considered that the</w:t>
      </w:r>
      <w:r w:rsidRPr="007B37F9">
        <w:t xml:space="preserve"> MIRASOL trial was at high risk of bias due to the open label design, the choice of progression free survival (PFS) primary endpoint based on investigator assessment, and evidence of informative censoring leading to drop</w:t>
      </w:r>
      <w:r w:rsidR="00A46D2B">
        <w:noBreakHyphen/>
      </w:r>
      <w:r w:rsidRPr="007B37F9">
        <w:t>outs at treatment allocation and prior to disease progression.</w:t>
      </w:r>
      <w:bookmarkEnd w:id="28"/>
      <w:r w:rsidRPr="007B37F9">
        <w:t xml:space="preserve"> </w:t>
      </w:r>
      <w:bookmarkEnd w:id="29"/>
    </w:p>
    <w:p w14:paraId="32549DA0" w14:textId="6EE2D08D" w:rsidR="00AB1CF6" w:rsidRPr="00EF2E8A" w:rsidRDefault="00AB1CF6" w:rsidP="00591C83">
      <w:pPr>
        <w:pStyle w:val="ListParagraph"/>
        <w:rPr>
          <w:i/>
          <w:iCs/>
        </w:rPr>
      </w:pPr>
      <w:r w:rsidRPr="00EF2E8A">
        <w:t>The MIRASOL trial was supported by the FORWARD</w:t>
      </w:r>
      <w:r w:rsidR="00A46D2B">
        <w:noBreakHyphen/>
      </w:r>
      <w:r w:rsidRPr="00EF2E8A">
        <w:t>I trial which compared MIRV versus ICC in a broader population of FRα</w:t>
      </w:r>
      <w:r w:rsidR="00A46D2B">
        <w:noBreakHyphen/>
      </w:r>
      <w:r w:rsidRPr="00EF2E8A">
        <w:t>medium and FRα</w:t>
      </w:r>
      <w:r w:rsidR="00A46D2B">
        <w:noBreakHyphen/>
      </w:r>
      <w:r w:rsidRPr="00EF2E8A">
        <w:t>high expression patients. The FORWARD</w:t>
      </w:r>
      <w:r w:rsidR="00A46D2B">
        <w:noBreakHyphen/>
      </w:r>
      <w:r w:rsidRPr="00EF2E8A">
        <w:t>I trial was at low risk of bias for the pre</w:t>
      </w:r>
      <w:r w:rsidR="00A46D2B">
        <w:noBreakHyphen/>
      </w:r>
      <w:r w:rsidRPr="00EF2E8A">
        <w:t>specified analyses</w:t>
      </w:r>
      <w:r w:rsidR="00BC1189" w:rsidRPr="00EF2E8A">
        <w:t xml:space="preserve"> noting the primary outcome employed assessment by BICR</w:t>
      </w:r>
      <w:r w:rsidRPr="00EF2E8A">
        <w:t>.</w:t>
      </w:r>
    </w:p>
    <w:p w14:paraId="362774EF" w14:textId="366589F1" w:rsidR="00AB1CF6" w:rsidRPr="00EF2E8A" w:rsidRDefault="00AB1CF6" w:rsidP="00591C83">
      <w:pPr>
        <w:pStyle w:val="ListParagraph"/>
        <w:rPr>
          <w:i/>
          <w:iCs/>
        </w:rPr>
      </w:pPr>
      <w:r w:rsidRPr="00EF2E8A">
        <w:t>Whereas the MIRASOL trial employed PS2+ staining and a ≥75% FRα expression cutoff for test positivity, FORWARD</w:t>
      </w:r>
      <w:r w:rsidR="00A46D2B">
        <w:noBreakHyphen/>
      </w:r>
      <w:r w:rsidRPr="00EF2E8A">
        <w:t xml:space="preserve">I employed a previously used definition of FRα biomarker positivity (≥50% – 75% for medium; ≥75% expression for high) and a different scoring method (staining visible at 10X magnification). </w:t>
      </w:r>
    </w:p>
    <w:p w14:paraId="283F6E9B" w14:textId="5DBFB625" w:rsidR="00AB1CF6" w:rsidRPr="00EF2E8A" w:rsidRDefault="00AB1CF6" w:rsidP="00591C83">
      <w:pPr>
        <w:pStyle w:val="ListParagraph"/>
      </w:pPr>
      <w:r w:rsidRPr="00EF2E8A">
        <w:t>The submission presented a post</w:t>
      </w:r>
      <w:r w:rsidR="00A46D2B">
        <w:noBreakHyphen/>
      </w:r>
      <w:r w:rsidRPr="00EF2E8A">
        <w:t>hoc analysis of the FORWARD</w:t>
      </w:r>
      <w:r w:rsidR="00A46D2B">
        <w:noBreakHyphen/>
      </w:r>
      <w:r w:rsidRPr="00EF2E8A">
        <w:t>I patients based on re</w:t>
      </w:r>
      <w:r w:rsidR="00A46D2B">
        <w:noBreakHyphen/>
      </w:r>
      <w:r w:rsidRPr="00EF2E8A">
        <w:t>scoring of tissue samples according to the test criteria used for MIRASOL. The</w:t>
      </w:r>
      <w:r w:rsidR="00EA29F1" w:rsidRPr="00EF2E8A">
        <w:t xml:space="preserve"> </w:t>
      </w:r>
      <w:r w:rsidRPr="00EF2E8A">
        <w:t>results for the patients re</w:t>
      </w:r>
      <w:r w:rsidR="00A46D2B">
        <w:noBreakHyphen/>
      </w:r>
      <w:r w:rsidRPr="00EF2E8A">
        <w:t>scored as FRα</w:t>
      </w:r>
      <w:r w:rsidR="00A46D2B">
        <w:noBreakHyphen/>
      </w:r>
      <w:r w:rsidRPr="00EF2E8A">
        <w:t>medium and FRα</w:t>
      </w:r>
      <w:r w:rsidR="00A46D2B">
        <w:noBreakHyphen/>
      </w:r>
      <w:r w:rsidRPr="00EF2E8A">
        <w:t xml:space="preserve">low expression </w:t>
      </w:r>
      <w:r w:rsidRPr="00EF2E8A" w:rsidDel="00EA29F1">
        <w:t xml:space="preserve">were considered </w:t>
      </w:r>
      <w:r w:rsidRPr="00EF2E8A">
        <w:t xml:space="preserve">representative of biomarker negative patients for the purpose of demonstrating the </w:t>
      </w:r>
      <w:r w:rsidR="008116E1" w:rsidRPr="00EF2E8A">
        <w:t>co</w:t>
      </w:r>
      <w:r w:rsidR="00A46D2B">
        <w:noBreakHyphen/>
      </w:r>
      <w:r w:rsidR="008116E1" w:rsidRPr="00EF2E8A">
        <w:t>dependency</w:t>
      </w:r>
      <w:r w:rsidRPr="00EF2E8A">
        <w:t xml:space="preserve"> between the proposed biomarker and treatment. The </w:t>
      </w:r>
      <w:r w:rsidR="00EA29F1" w:rsidRPr="00EF2E8A">
        <w:t xml:space="preserve">evaluation considered the </w:t>
      </w:r>
      <w:r w:rsidRPr="00EF2E8A">
        <w:t>results of the FORWARD</w:t>
      </w:r>
      <w:r w:rsidR="00A46D2B">
        <w:noBreakHyphen/>
      </w:r>
      <w:r w:rsidRPr="00EF2E8A">
        <w:t>I post hoc analysis were at high risk of bias</w:t>
      </w:r>
      <w:r w:rsidR="002C3BF2" w:rsidRPr="00EF2E8A">
        <w:t xml:space="preserve">, however the ESCs considered that </w:t>
      </w:r>
      <w:r w:rsidR="00FF7E64" w:rsidRPr="00EF2E8A">
        <w:t>the difference in outcomes between FRα</w:t>
      </w:r>
      <w:r w:rsidR="00A46D2B">
        <w:noBreakHyphen/>
      </w:r>
      <w:r w:rsidR="00FF7E64" w:rsidRPr="00EF2E8A">
        <w:t>medium and FRα</w:t>
      </w:r>
      <w:r w:rsidR="00A46D2B">
        <w:noBreakHyphen/>
      </w:r>
      <w:r w:rsidR="00FF7E64" w:rsidRPr="00EF2E8A">
        <w:t>high expression patients</w:t>
      </w:r>
      <w:r w:rsidR="00871B70" w:rsidRPr="00EF2E8A">
        <w:t xml:space="preserve"> </w:t>
      </w:r>
      <w:r w:rsidR="002A111B" w:rsidRPr="00EF2E8A">
        <w:t xml:space="preserve">still </w:t>
      </w:r>
      <w:r w:rsidR="008915C6" w:rsidRPr="00EF2E8A">
        <w:t xml:space="preserve">provides support </w:t>
      </w:r>
      <w:r w:rsidR="005C7546" w:rsidRPr="00EF2E8A">
        <w:t>for</w:t>
      </w:r>
      <w:r w:rsidR="008915C6" w:rsidRPr="00EF2E8A">
        <w:t xml:space="preserve"> the </w:t>
      </w:r>
      <w:r w:rsidR="004029A1" w:rsidRPr="00EF2E8A">
        <w:t>FRα expression threshold and claim of codependence</w:t>
      </w:r>
      <w:r w:rsidRPr="00EF2E8A">
        <w:t>.</w:t>
      </w:r>
    </w:p>
    <w:p w14:paraId="255466D5" w14:textId="210E15BE" w:rsidR="00AB1CF6" w:rsidRPr="00EF2E8A" w:rsidRDefault="00AB1CF6" w:rsidP="00591C83">
      <w:pPr>
        <w:pStyle w:val="ListParagraph"/>
      </w:pPr>
      <w:r w:rsidRPr="00EF2E8A">
        <w:t xml:space="preserve">An indirect comparison of MIRASOL with a third trial (AURELIA) provided indirect evidence of MIRV versus </w:t>
      </w:r>
      <w:r w:rsidR="00F71695" w:rsidRPr="00EF2E8A">
        <w:t>BEVA</w:t>
      </w:r>
      <w:r w:rsidRPr="00EF2E8A">
        <w:t xml:space="preserve"> +</w:t>
      </w:r>
      <w:r w:rsidR="00940BF4" w:rsidRPr="00EF2E8A">
        <w:t xml:space="preserve"> </w:t>
      </w:r>
      <w:r w:rsidRPr="00EF2E8A">
        <w:t>ICC based on the common comparator of ICC</w:t>
      </w:r>
      <w:r w:rsidR="00370FFB" w:rsidRPr="00EF2E8A">
        <w:t xml:space="preserve"> (noting the non</w:t>
      </w:r>
      <w:r w:rsidR="00A46D2B">
        <w:noBreakHyphen/>
      </w:r>
      <w:r w:rsidR="00370FFB" w:rsidRPr="00EF2E8A">
        <w:t>platinum agents were the same as in MIRASOL)</w:t>
      </w:r>
      <w:r w:rsidRPr="00EF2E8A">
        <w:t xml:space="preserve"> in </w:t>
      </w:r>
      <w:r w:rsidR="00104264" w:rsidRPr="00EF2E8A">
        <w:t xml:space="preserve">a </w:t>
      </w:r>
      <w:r w:rsidRPr="00EF2E8A">
        <w:t xml:space="preserve">biomarker agnostic population. </w:t>
      </w:r>
      <w:r w:rsidR="00CC3EBF" w:rsidRPr="00EF2E8A">
        <w:t xml:space="preserve">The evaluation considered </w:t>
      </w:r>
      <w:r w:rsidR="00A55359" w:rsidRPr="00EF2E8A">
        <w:t>that t</w:t>
      </w:r>
      <w:r w:rsidRPr="00EF2E8A">
        <w:t>his trial was at a high risk of bias due to the open label design, the choice of PFS primary endpoint based on investigator assessment and rules permitting cross</w:t>
      </w:r>
      <w:r w:rsidR="00A46D2B">
        <w:noBreakHyphen/>
      </w:r>
      <w:r w:rsidRPr="00EF2E8A">
        <w:t xml:space="preserve">over in the ICC arm to single agent </w:t>
      </w:r>
      <w:r w:rsidR="00F71695" w:rsidRPr="00EF2E8A">
        <w:t>BEVA</w:t>
      </w:r>
      <w:r w:rsidRPr="00EF2E8A">
        <w:t xml:space="preserve"> after disease progression (69/182 [35%] ICC patients). </w:t>
      </w:r>
    </w:p>
    <w:p w14:paraId="04A4BAE4" w14:textId="403733BF" w:rsidR="00CE7A3F" w:rsidRPr="00EF2E8A" w:rsidRDefault="00C6499E" w:rsidP="00591C83">
      <w:pPr>
        <w:pStyle w:val="OutlineHeading2"/>
        <w:rPr>
          <w:rFonts w:ascii="Calibri" w:hAnsi="Calibri" w:cs="Calibri"/>
          <w:i w:val="0"/>
        </w:rPr>
      </w:pPr>
      <w:r w:rsidRPr="00EF2E8A">
        <w:rPr>
          <w:rFonts w:ascii="Calibri" w:hAnsi="Calibri" w:cs="Calibri"/>
          <w:i w:val="0"/>
        </w:rPr>
        <w:t>Clinical trials on the safety/effectiveness of drug</w:t>
      </w:r>
    </w:p>
    <w:p w14:paraId="1E411026" w14:textId="076FE112" w:rsidR="00AB1CF6" w:rsidRPr="00EF2E8A" w:rsidRDefault="00AB1CF6" w:rsidP="00591C83">
      <w:pPr>
        <w:pStyle w:val="ListParagraph"/>
        <w:rPr>
          <w:color w:val="auto"/>
        </w:rPr>
      </w:pPr>
      <w:r w:rsidRPr="00EF2E8A">
        <w:rPr>
          <w:color w:val="auto"/>
        </w:rPr>
        <w:t>The submission was based on two key head</w:t>
      </w:r>
      <w:r w:rsidR="00A46D2B">
        <w:rPr>
          <w:color w:val="auto"/>
        </w:rPr>
        <w:noBreakHyphen/>
      </w:r>
      <w:r w:rsidRPr="00EF2E8A">
        <w:rPr>
          <w:color w:val="auto"/>
        </w:rPr>
        <w:t>to</w:t>
      </w:r>
      <w:r w:rsidR="00A46D2B">
        <w:rPr>
          <w:color w:val="auto"/>
        </w:rPr>
        <w:noBreakHyphen/>
      </w:r>
      <w:r w:rsidRPr="00EF2E8A">
        <w:rPr>
          <w:color w:val="auto"/>
        </w:rPr>
        <w:t>head trials comparing MIRV to ICC, MIRASOL (n=453)</w:t>
      </w:r>
      <w:r w:rsidR="0015243A" w:rsidRPr="00EF2E8A">
        <w:rPr>
          <w:rStyle w:val="FootnoteReference"/>
          <w:color w:val="auto"/>
        </w:rPr>
        <w:footnoteReference w:id="3"/>
      </w:r>
      <w:r w:rsidRPr="00EF2E8A">
        <w:rPr>
          <w:color w:val="auto"/>
        </w:rPr>
        <w:t xml:space="preserve"> and FORWARD</w:t>
      </w:r>
      <w:r w:rsidR="00A46D2B">
        <w:rPr>
          <w:color w:val="auto"/>
        </w:rPr>
        <w:noBreakHyphen/>
      </w:r>
      <w:r w:rsidRPr="00EF2E8A">
        <w:rPr>
          <w:color w:val="auto"/>
        </w:rPr>
        <w:t>I (n=366)</w:t>
      </w:r>
      <w:r w:rsidR="005236DF" w:rsidRPr="00EF2E8A">
        <w:rPr>
          <w:rStyle w:val="FootnoteReference"/>
          <w:color w:val="auto"/>
        </w:rPr>
        <w:footnoteReference w:id="4"/>
      </w:r>
      <w:r w:rsidRPr="00EF2E8A">
        <w:rPr>
          <w:color w:val="auto"/>
        </w:rPr>
        <w:t>. The MIRASOL trial represented direct evidence for the treatment benefit of MIRV versus ICC in FRα</w:t>
      </w:r>
      <w:r w:rsidR="00A46D2B">
        <w:rPr>
          <w:color w:val="auto"/>
        </w:rPr>
        <w:noBreakHyphen/>
      </w:r>
      <w:r w:rsidRPr="00EF2E8A">
        <w:rPr>
          <w:color w:val="auto"/>
        </w:rPr>
        <w:t>high expression patients. The FORWARD</w:t>
      </w:r>
      <w:r w:rsidR="00A46D2B">
        <w:rPr>
          <w:color w:val="auto"/>
        </w:rPr>
        <w:noBreakHyphen/>
      </w:r>
      <w:r w:rsidRPr="00EF2E8A">
        <w:rPr>
          <w:color w:val="auto"/>
        </w:rPr>
        <w:t xml:space="preserve">I trial demonstrated the treatment benefit of MIRV versus ICC in </w:t>
      </w:r>
      <w:r w:rsidR="00591C83">
        <w:rPr>
          <w:color w:val="auto"/>
        </w:rPr>
        <w:br/>
      </w:r>
      <w:r w:rsidRPr="00EF2E8A">
        <w:rPr>
          <w:color w:val="auto"/>
        </w:rPr>
        <w:t>FRα</w:t>
      </w:r>
      <w:r w:rsidR="00A46D2B">
        <w:rPr>
          <w:color w:val="auto"/>
        </w:rPr>
        <w:noBreakHyphen/>
      </w:r>
      <w:r w:rsidRPr="00EF2E8A">
        <w:rPr>
          <w:color w:val="auto"/>
        </w:rPr>
        <w:t>high and FRα</w:t>
      </w:r>
      <w:r w:rsidR="00A46D2B">
        <w:rPr>
          <w:color w:val="auto"/>
        </w:rPr>
        <w:noBreakHyphen/>
      </w:r>
      <w:r w:rsidRPr="00EF2E8A">
        <w:rPr>
          <w:color w:val="auto"/>
        </w:rPr>
        <w:t>medium expression patients (i.e., high expression as test positive and medium expression as proxy for test negative).</w:t>
      </w:r>
      <w:r w:rsidR="009F3D62" w:rsidRPr="00EF2E8A">
        <w:rPr>
          <w:color w:val="auto"/>
        </w:rPr>
        <w:t xml:space="preserve"> The AURELIA trial provided evidence for the indirect comparison o</w:t>
      </w:r>
      <w:r w:rsidR="009844FD" w:rsidRPr="00EF2E8A">
        <w:rPr>
          <w:color w:val="auto"/>
        </w:rPr>
        <w:t>f MIRV and BEVA + ICC.</w:t>
      </w:r>
    </w:p>
    <w:p w14:paraId="762CBF0D" w14:textId="420DB576" w:rsidR="00AB1CF6" w:rsidRPr="00EF2E8A" w:rsidRDefault="00AB1CF6" w:rsidP="00591C83">
      <w:pPr>
        <w:pStyle w:val="ListParagraph"/>
      </w:pPr>
      <w:r w:rsidRPr="00EF2E8A">
        <w:lastRenderedPageBreak/>
        <w:t xml:space="preserve">Details of the trials presented in the submission are provided in </w:t>
      </w:r>
      <w:r w:rsidR="00247E05">
        <w:fldChar w:fldCharType="begin" w:fldLock="1"/>
      </w:r>
      <w:r w:rsidR="00247E05">
        <w:instrText xml:space="preserve"> REF _Ref205197705 \h </w:instrText>
      </w:r>
      <w:r w:rsidR="00247E05">
        <w:fldChar w:fldCharType="separate"/>
      </w:r>
      <w:r w:rsidR="00CC5CAD">
        <w:t xml:space="preserve">Table </w:t>
      </w:r>
      <w:r w:rsidR="00CC5CAD">
        <w:rPr>
          <w:noProof/>
        </w:rPr>
        <w:t>4</w:t>
      </w:r>
      <w:r w:rsidR="00247E05">
        <w:fldChar w:fldCharType="end"/>
      </w:r>
      <w:r w:rsidR="00247E05">
        <w:t xml:space="preserve"> </w:t>
      </w:r>
      <w:r w:rsidRPr="00EF2E8A">
        <w:t>(not including supplementary publications unless they were key to the evaluation).</w:t>
      </w:r>
      <w:r w:rsidR="00B65B3F">
        <w:t xml:space="preserve"> </w:t>
      </w:r>
    </w:p>
    <w:p w14:paraId="4C689579" w14:textId="09F74D16" w:rsidR="00247E05" w:rsidRDefault="00247E05" w:rsidP="00591C83">
      <w:pPr>
        <w:pStyle w:val="Caption"/>
      </w:pPr>
      <w:bookmarkStart w:id="30" w:name="_Ref205197705"/>
      <w:r>
        <w:t xml:space="preserve">Table </w:t>
      </w:r>
      <w:r w:rsidR="00CC5CAD">
        <w:fldChar w:fldCharType="begin" w:fldLock="1"/>
      </w:r>
      <w:r w:rsidR="00CC5CAD">
        <w:instrText xml:space="preserve"> SEQ Table \* ARABIC </w:instrText>
      </w:r>
      <w:r w:rsidR="00CC5CAD">
        <w:fldChar w:fldCharType="separate"/>
      </w:r>
      <w:r w:rsidR="00CC5CAD">
        <w:rPr>
          <w:noProof/>
        </w:rPr>
        <w:t>4</w:t>
      </w:r>
      <w:r w:rsidR="00CC5CAD">
        <w:rPr>
          <w:noProof/>
        </w:rPr>
        <w:fldChar w:fldCharType="end"/>
      </w:r>
      <w:bookmarkEnd w:id="30"/>
      <w:r>
        <w:t xml:space="preserve">: </w:t>
      </w:r>
      <w:r w:rsidRPr="004352ED">
        <w:t>Listing of all direct randomised trials</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Listing of all direct randomised trials"/>
      </w:tblPr>
      <w:tblGrid>
        <w:gridCol w:w="1271"/>
        <w:gridCol w:w="5811"/>
        <w:gridCol w:w="2021"/>
      </w:tblGrid>
      <w:tr w:rsidR="00AB1CF6" w:rsidRPr="00EF2E8A" w14:paraId="3228A679" w14:textId="77777777">
        <w:tc>
          <w:tcPr>
            <w:tcW w:w="698" w:type="pct"/>
            <w:vAlign w:val="bottom"/>
          </w:tcPr>
          <w:p w14:paraId="2CF05529" w14:textId="77777777" w:rsidR="00AB1CF6" w:rsidRPr="00EF2E8A" w:rsidRDefault="00AB1CF6" w:rsidP="00591C83">
            <w:pPr>
              <w:spacing w:before="0" w:after="0"/>
              <w:jc w:val="left"/>
              <w:rPr>
                <w:rFonts w:ascii="Arial Narrow" w:hAnsi="Arial Narrow"/>
                <w:b/>
                <w:sz w:val="20"/>
              </w:rPr>
            </w:pPr>
            <w:r w:rsidRPr="00EF2E8A">
              <w:rPr>
                <w:rFonts w:ascii="Arial Narrow" w:hAnsi="Arial Narrow"/>
                <w:b/>
                <w:sz w:val="20"/>
              </w:rPr>
              <w:t>Trial ID</w:t>
            </w:r>
          </w:p>
        </w:tc>
        <w:tc>
          <w:tcPr>
            <w:tcW w:w="3192" w:type="pct"/>
            <w:vAlign w:val="bottom"/>
          </w:tcPr>
          <w:p w14:paraId="1AFFC7C2" w14:textId="77777777" w:rsidR="00AB1CF6" w:rsidRPr="00EF2E8A" w:rsidRDefault="00AB1CF6" w:rsidP="00591C83">
            <w:pPr>
              <w:spacing w:before="0" w:after="0"/>
              <w:jc w:val="left"/>
              <w:rPr>
                <w:rFonts w:ascii="Arial Narrow" w:hAnsi="Arial Narrow"/>
                <w:b/>
                <w:sz w:val="20"/>
              </w:rPr>
            </w:pPr>
            <w:r w:rsidRPr="00EF2E8A">
              <w:rPr>
                <w:rFonts w:ascii="Arial Narrow" w:hAnsi="Arial Narrow"/>
                <w:b/>
                <w:sz w:val="20"/>
              </w:rPr>
              <w:t>Protocol title/ Publication title</w:t>
            </w:r>
          </w:p>
        </w:tc>
        <w:tc>
          <w:tcPr>
            <w:tcW w:w="1110" w:type="pct"/>
            <w:vAlign w:val="bottom"/>
          </w:tcPr>
          <w:p w14:paraId="619F2A5A" w14:textId="77777777" w:rsidR="00AB1CF6" w:rsidRPr="00EF2E8A" w:rsidRDefault="00AB1CF6" w:rsidP="00591C83">
            <w:pPr>
              <w:spacing w:before="0" w:after="0"/>
              <w:jc w:val="left"/>
              <w:rPr>
                <w:rFonts w:ascii="Arial Narrow" w:hAnsi="Arial Narrow"/>
                <w:b/>
                <w:sz w:val="20"/>
              </w:rPr>
            </w:pPr>
            <w:r w:rsidRPr="00EF2E8A">
              <w:rPr>
                <w:rFonts w:ascii="Arial Narrow" w:hAnsi="Arial Narrow"/>
                <w:b/>
                <w:sz w:val="20"/>
              </w:rPr>
              <w:t>Publication citation</w:t>
            </w:r>
          </w:p>
        </w:tc>
      </w:tr>
      <w:tr w:rsidR="00AB1CF6" w:rsidRPr="00EF2E8A" w14:paraId="4AB1651A" w14:textId="77777777">
        <w:tc>
          <w:tcPr>
            <w:tcW w:w="5000" w:type="pct"/>
            <w:gridSpan w:val="3"/>
            <w:shd w:val="clear" w:color="auto" w:fill="F2F2F2" w:themeFill="background1" w:themeFillShade="F2"/>
          </w:tcPr>
          <w:p w14:paraId="5C873963" w14:textId="0AB4FFFD" w:rsidR="00AB1CF6" w:rsidRPr="00EF2E8A" w:rsidRDefault="00AB1CF6" w:rsidP="00591C83">
            <w:pPr>
              <w:spacing w:before="0" w:after="0"/>
              <w:jc w:val="left"/>
              <w:rPr>
                <w:rFonts w:ascii="Arial Narrow" w:hAnsi="Arial Narrow"/>
                <w:b/>
                <w:bCs/>
                <w:sz w:val="20"/>
              </w:rPr>
            </w:pPr>
            <w:r w:rsidRPr="00EF2E8A">
              <w:rPr>
                <w:rFonts w:ascii="Arial Narrow" w:hAnsi="Arial Narrow"/>
                <w:b/>
                <w:bCs/>
                <w:sz w:val="20"/>
              </w:rPr>
              <w:t>Direct randomised trials: MIRV vs non</w:t>
            </w:r>
            <w:r w:rsidR="00A46D2B">
              <w:rPr>
                <w:rFonts w:ascii="Arial Narrow" w:hAnsi="Arial Narrow"/>
                <w:b/>
                <w:bCs/>
                <w:sz w:val="20"/>
              </w:rPr>
              <w:noBreakHyphen/>
            </w:r>
            <w:r w:rsidRPr="00EF2E8A">
              <w:rPr>
                <w:rFonts w:ascii="Arial Narrow" w:hAnsi="Arial Narrow"/>
                <w:b/>
                <w:bCs/>
                <w:sz w:val="20"/>
              </w:rPr>
              <w:t>platinum chemotherapy</w:t>
            </w:r>
          </w:p>
        </w:tc>
      </w:tr>
      <w:tr w:rsidR="00AB1CF6" w:rsidRPr="00EF2E8A" w14:paraId="0C6640FC" w14:textId="77777777">
        <w:tc>
          <w:tcPr>
            <w:tcW w:w="698" w:type="pct"/>
            <w:tcBorders>
              <w:bottom w:val="nil"/>
            </w:tcBorders>
          </w:tcPr>
          <w:p w14:paraId="128083FE"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MIRASOL</w:t>
            </w:r>
          </w:p>
          <w:p w14:paraId="6754702D" w14:textId="4709C035" w:rsidR="00AB1CF6" w:rsidRPr="00EF2E8A" w:rsidRDefault="00AB1CF6" w:rsidP="00591C83">
            <w:pPr>
              <w:spacing w:before="0" w:after="0"/>
              <w:jc w:val="left"/>
              <w:rPr>
                <w:rFonts w:ascii="Arial Narrow" w:hAnsi="Arial Narrow"/>
                <w:sz w:val="20"/>
              </w:rPr>
            </w:pPr>
            <w:r w:rsidRPr="00EF2E8A">
              <w:rPr>
                <w:rFonts w:ascii="Arial Narrow" w:hAnsi="Arial Narrow"/>
                <w:sz w:val="20"/>
              </w:rPr>
              <w:t>IMGN853</w:t>
            </w:r>
            <w:r w:rsidR="00A46D2B">
              <w:rPr>
                <w:rFonts w:ascii="Arial Narrow" w:hAnsi="Arial Narrow"/>
                <w:sz w:val="20"/>
              </w:rPr>
              <w:noBreakHyphen/>
            </w:r>
            <w:r w:rsidRPr="00EF2E8A">
              <w:rPr>
                <w:rFonts w:ascii="Arial Narrow" w:hAnsi="Arial Narrow"/>
                <w:sz w:val="20"/>
              </w:rPr>
              <w:t>0416</w:t>
            </w:r>
          </w:p>
          <w:p w14:paraId="2D606470"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(NCT04296890)</w:t>
            </w:r>
          </w:p>
        </w:tc>
        <w:tc>
          <w:tcPr>
            <w:tcW w:w="3192" w:type="pct"/>
            <w:tcBorders>
              <w:bottom w:val="single" w:sz="4" w:space="0" w:color="auto"/>
            </w:tcBorders>
          </w:tcPr>
          <w:p w14:paraId="65F9DA5A" w14:textId="2D0D9C6F" w:rsidR="00AB1CF6" w:rsidRPr="00EF2E8A" w:rsidRDefault="00AB1CF6" w:rsidP="00591C83">
            <w:pPr>
              <w:spacing w:before="0" w:after="0"/>
              <w:jc w:val="left"/>
              <w:rPr>
                <w:rFonts w:ascii="Arial Narrow" w:hAnsi="Arial Narrow"/>
                <w:sz w:val="20"/>
              </w:rPr>
            </w:pPr>
            <w:r w:rsidRPr="00EF2E8A">
              <w:rPr>
                <w:rFonts w:ascii="Arial Narrow" w:hAnsi="Arial Narrow"/>
                <w:sz w:val="20"/>
              </w:rPr>
              <w:t>Mirasol: A Randomized, Open</w:t>
            </w:r>
            <w:r w:rsidR="00A46D2B">
              <w:rPr>
                <w:rFonts w:ascii="Arial Narrow" w:hAnsi="Arial Narrow"/>
                <w:sz w:val="20"/>
              </w:rPr>
              <w:noBreakHyphen/>
            </w:r>
            <w:r w:rsidRPr="00EF2E8A">
              <w:rPr>
                <w:rFonts w:ascii="Arial Narrow" w:hAnsi="Arial Narrow"/>
                <w:sz w:val="20"/>
              </w:rPr>
              <w:t>Label, Phase 3 Study Of Mirvetuximab Soravtansine Vs. Investigator’s Choice Of Chemotherapy In Platinum</w:t>
            </w:r>
            <w:r w:rsidR="00A46D2B">
              <w:rPr>
                <w:rFonts w:ascii="Arial Narrow" w:hAnsi="Arial Narrow"/>
                <w:sz w:val="20"/>
              </w:rPr>
              <w:noBreakHyphen/>
            </w:r>
            <w:r w:rsidRPr="00EF2E8A">
              <w:rPr>
                <w:rFonts w:ascii="Arial Narrow" w:hAnsi="Arial Narrow"/>
                <w:sz w:val="20"/>
              </w:rPr>
              <w:t xml:space="preserve">Resistant Advanced High Grade Epithelial Ovarian, Primary Peritoneal, Or Fallopian Tube Cancers With High Folate Receptor Alpha Expression. </w:t>
            </w:r>
          </w:p>
        </w:tc>
        <w:tc>
          <w:tcPr>
            <w:tcW w:w="1110" w:type="pct"/>
            <w:tcBorders>
              <w:bottom w:val="single" w:sz="4" w:space="0" w:color="auto"/>
            </w:tcBorders>
          </w:tcPr>
          <w:p w14:paraId="3D3A9B58"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CSR, primary analysis, dated 11 September 2023</w:t>
            </w:r>
            <w:r w:rsidRPr="00EF2E8A">
              <w:rPr>
                <w:rFonts w:ascii="Arial Narrow" w:hAnsi="Arial Narrow"/>
                <w:sz w:val="20"/>
              </w:rPr>
              <w:br/>
              <w:t>(6 March 2023 data cutoff)</w:t>
            </w:r>
          </w:p>
        </w:tc>
      </w:tr>
      <w:tr w:rsidR="00AB1CF6" w:rsidRPr="00EF2E8A" w14:paraId="1B329181" w14:textId="77777777">
        <w:tc>
          <w:tcPr>
            <w:tcW w:w="698" w:type="pct"/>
            <w:tcBorders>
              <w:top w:val="nil"/>
              <w:bottom w:val="nil"/>
            </w:tcBorders>
          </w:tcPr>
          <w:p w14:paraId="49D7B7FF" w14:textId="77777777" w:rsidR="00AB1CF6" w:rsidRPr="00EF2E8A" w:rsidRDefault="00AB1CF6" w:rsidP="00591C83">
            <w:pPr>
              <w:spacing w:before="0" w:after="0"/>
              <w:jc w:val="left"/>
              <w:rPr>
                <w:rFonts w:ascii="Arial Narrow" w:hAnsi="Arial Narrow"/>
                <w:sz w:val="20"/>
              </w:rPr>
            </w:pPr>
          </w:p>
        </w:tc>
        <w:tc>
          <w:tcPr>
            <w:tcW w:w="3192" w:type="pct"/>
            <w:tcBorders>
              <w:top w:val="single" w:sz="4" w:space="0" w:color="auto"/>
              <w:bottom w:val="single" w:sz="4" w:space="0" w:color="auto"/>
            </w:tcBorders>
          </w:tcPr>
          <w:p w14:paraId="73BA912B" w14:textId="58F68A6E" w:rsidR="00AB1CF6" w:rsidRPr="00EF2E8A" w:rsidRDefault="00AB1CF6" w:rsidP="00591C83">
            <w:pPr>
              <w:spacing w:before="0" w:after="0"/>
              <w:jc w:val="left"/>
              <w:rPr>
                <w:rFonts w:ascii="Arial Narrow" w:hAnsi="Arial Narrow"/>
                <w:sz w:val="20"/>
              </w:rPr>
            </w:pPr>
            <w:r w:rsidRPr="00EF2E8A">
              <w:rPr>
                <w:rFonts w:ascii="Arial Narrow" w:hAnsi="Arial Narrow"/>
                <w:sz w:val="20"/>
              </w:rPr>
              <w:t>MIRASOL: a randomized, open</w:t>
            </w:r>
            <w:r w:rsidR="00A46D2B">
              <w:rPr>
                <w:rFonts w:ascii="Arial Narrow" w:hAnsi="Arial Narrow"/>
                <w:sz w:val="20"/>
              </w:rPr>
              <w:noBreakHyphen/>
            </w:r>
            <w:r w:rsidRPr="00EF2E8A">
              <w:rPr>
                <w:rFonts w:ascii="Arial Narrow" w:hAnsi="Arial Narrow"/>
                <w:sz w:val="20"/>
              </w:rPr>
              <w:t>label, phase 3 study of mirvetuximab soravtansine vs. Investigator’s choice of chemotherapy in platinum</w:t>
            </w:r>
            <w:r w:rsidR="00A46D2B">
              <w:rPr>
                <w:rFonts w:ascii="Arial Narrow" w:hAnsi="Arial Narrow"/>
                <w:sz w:val="20"/>
              </w:rPr>
              <w:noBreakHyphen/>
            </w:r>
            <w:r w:rsidRPr="00EF2E8A">
              <w:rPr>
                <w:rFonts w:ascii="Arial Narrow" w:hAnsi="Arial Narrow"/>
                <w:sz w:val="20"/>
              </w:rPr>
              <w:t>resistant advanced high grade epithelial ovarian, primary peritoneal, or fallopian tube cancers with high folate receptor alpha expression.</w:t>
            </w:r>
          </w:p>
        </w:tc>
        <w:tc>
          <w:tcPr>
            <w:tcW w:w="1110" w:type="pct"/>
          </w:tcPr>
          <w:p w14:paraId="57600F2A"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 xml:space="preserve">CSR, final analysis, dated 27 November 2024 </w:t>
            </w:r>
            <w:r w:rsidRPr="00EF2E8A">
              <w:rPr>
                <w:rFonts w:ascii="Arial Narrow" w:hAnsi="Arial Narrow"/>
                <w:sz w:val="20"/>
              </w:rPr>
              <w:br/>
              <w:t>(26 September 2024 data cutoff)</w:t>
            </w:r>
          </w:p>
        </w:tc>
      </w:tr>
      <w:tr w:rsidR="00AB1CF6" w:rsidRPr="00EF2E8A" w14:paraId="502D6182" w14:textId="77777777">
        <w:tc>
          <w:tcPr>
            <w:tcW w:w="698" w:type="pct"/>
            <w:tcBorders>
              <w:top w:val="nil"/>
              <w:bottom w:val="nil"/>
            </w:tcBorders>
          </w:tcPr>
          <w:p w14:paraId="7E04D422" w14:textId="77777777" w:rsidR="00AB1CF6" w:rsidRPr="00EF2E8A" w:rsidRDefault="00AB1CF6" w:rsidP="00591C83">
            <w:pPr>
              <w:spacing w:before="0" w:after="0"/>
              <w:jc w:val="left"/>
              <w:rPr>
                <w:rFonts w:ascii="Arial Narrow" w:hAnsi="Arial Narrow"/>
                <w:sz w:val="20"/>
              </w:rPr>
            </w:pPr>
          </w:p>
        </w:tc>
        <w:tc>
          <w:tcPr>
            <w:tcW w:w="3192" w:type="pct"/>
            <w:tcBorders>
              <w:top w:val="single" w:sz="4" w:space="0" w:color="auto"/>
              <w:bottom w:val="nil"/>
            </w:tcBorders>
          </w:tcPr>
          <w:p w14:paraId="1A4B0721" w14:textId="77777777" w:rsidR="00AB1CF6" w:rsidRPr="00EF2E8A" w:rsidRDefault="00AB1CF6" w:rsidP="00591C83">
            <w:pPr>
              <w:spacing w:before="0" w:after="0"/>
              <w:jc w:val="left"/>
              <w:rPr>
                <w:rFonts w:ascii="Arial Narrow" w:hAnsi="Arial Narrow"/>
                <w:sz w:val="20"/>
              </w:rPr>
            </w:pPr>
            <w:r w:rsidRPr="00EF2E8A">
              <w:rPr>
                <w:rFonts w:ascii="Arial Narrow" w:hAnsi="Arial Narrow"/>
                <w:b/>
                <w:bCs/>
                <w:sz w:val="20"/>
              </w:rPr>
              <w:t>Primary publication:</w:t>
            </w:r>
          </w:p>
        </w:tc>
        <w:tc>
          <w:tcPr>
            <w:tcW w:w="1110" w:type="pct"/>
            <w:tcBorders>
              <w:top w:val="single" w:sz="4" w:space="0" w:color="auto"/>
              <w:bottom w:val="nil"/>
            </w:tcBorders>
          </w:tcPr>
          <w:p w14:paraId="4B5D2A52" w14:textId="77777777" w:rsidR="00AB1CF6" w:rsidRPr="00EF2E8A" w:rsidRDefault="00AB1CF6" w:rsidP="00591C83">
            <w:pPr>
              <w:spacing w:before="0" w:after="0"/>
              <w:jc w:val="left"/>
              <w:rPr>
                <w:rFonts w:ascii="Arial Narrow" w:hAnsi="Arial Narrow"/>
                <w:sz w:val="20"/>
              </w:rPr>
            </w:pPr>
          </w:p>
        </w:tc>
      </w:tr>
      <w:tr w:rsidR="00AB1CF6" w:rsidRPr="00EF2E8A" w14:paraId="3107BB22" w14:textId="77777777">
        <w:tc>
          <w:tcPr>
            <w:tcW w:w="698" w:type="pct"/>
            <w:tcBorders>
              <w:top w:val="nil"/>
              <w:bottom w:val="single" w:sz="4" w:space="0" w:color="auto"/>
            </w:tcBorders>
          </w:tcPr>
          <w:p w14:paraId="78028A45" w14:textId="77777777" w:rsidR="00AB1CF6" w:rsidRPr="00EF2E8A" w:rsidRDefault="00AB1CF6" w:rsidP="00591C83">
            <w:pPr>
              <w:spacing w:before="0" w:after="0"/>
              <w:jc w:val="left"/>
              <w:rPr>
                <w:rFonts w:ascii="Arial Narrow" w:hAnsi="Arial Narrow"/>
                <w:sz w:val="20"/>
              </w:rPr>
            </w:pPr>
          </w:p>
        </w:tc>
        <w:tc>
          <w:tcPr>
            <w:tcW w:w="3192" w:type="pct"/>
            <w:tcBorders>
              <w:top w:val="nil"/>
              <w:bottom w:val="single" w:sz="4" w:space="0" w:color="auto"/>
            </w:tcBorders>
          </w:tcPr>
          <w:p w14:paraId="147F754D"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 xml:space="preserve">Moore KN, </w:t>
            </w:r>
            <w:proofErr w:type="spellStart"/>
            <w:r w:rsidRPr="00EF2E8A">
              <w:rPr>
                <w:rFonts w:ascii="Arial Narrow" w:hAnsi="Arial Narrow"/>
                <w:sz w:val="20"/>
              </w:rPr>
              <w:t>Angelergues</w:t>
            </w:r>
            <w:proofErr w:type="spellEnd"/>
            <w:r w:rsidRPr="00EF2E8A">
              <w:rPr>
                <w:rFonts w:ascii="Arial Narrow" w:hAnsi="Arial Narrow"/>
                <w:sz w:val="20"/>
              </w:rPr>
              <w:t xml:space="preserve"> A, Konecny GE, García Y, Banerjee S, Lorusso D, Lee JY, Moroney JW, Colombo N, Roszak A, Tromp J. </w:t>
            </w:r>
          </w:p>
          <w:p w14:paraId="78C3C4BD" w14:textId="06B7885C" w:rsidR="00AB1CF6" w:rsidRPr="00EF2E8A" w:rsidRDefault="00AB1CF6" w:rsidP="00591C83">
            <w:pPr>
              <w:spacing w:before="0" w:after="0"/>
              <w:jc w:val="left"/>
              <w:rPr>
                <w:rFonts w:ascii="Arial Narrow" w:hAnsi="Arial Narrow"/>
                <w:sz w:val="20"/>
              </w:rPr>
            </w:pPr>
            <w:r w:rsidRPr="00EF2E8A">
              <w:rPr>
                <w:rFonts w:ascii="Arial Narrow" w:hAnsi="Arial Narrow"/>
                <w:sz w:val="20"/>
              </w:rPr>
              <w:t>Mirvetuximab soravtansine in FRα</w:t>
            </w:r>
            <w:r w:rsidR="00A46D2B">
              <w:rPr>
                <w:rFonts w:ascii="Arial Narrow" w:hAnsi="Arial Narrow"/>
                <w:sz w:val="20"/>
              </w:rPr>
              <w:noBreakHyphen/>
            </w:r>
            <w:r w:rsidRPr="00EF2E8A">
              <w:rPr>
                <w:rFonts w:ascii="Arial Narrow" w:hAnsi="Arial Narrow"/>
                <w:sz w:val="20"/>
              </w:rPr>
              <w:t>positive, platinum</w:t>
            </w:r>
            <w:r w:rsidR="00A46D2B">
              <w:rPr>
                <w:rFonts w:ascii="Arial Narrow" w:hAnsi="Arial Narrow"/>
                <w:sz w:val="20"/>
              </w:rPr>
              <w:noBreakHyphen/>
            </w:r>
            <w:r w:rsidRPr="00EF2E8A">
              <w:rPr>
                <w:rFonts w:ascii="Arial Narrow" w:hAnsi="Arial Narrow"/>
                <w:sz w:val="20"/>
              </w:rPr>
              <w:t xml:space="preserve">resistant ovarian cancer. </w:t>
            </w:r>
          </w:p>
        </w:tc>
        <w:tc>
          <w:tcPr>
            <w:tcW w:w="1110" w:type="pct"/>
            <w:tcBorders>
              <w:top w:val="nil"/>
              <w:bottom w:val="single" w:sz="4" w:space="0" w:color="auto"/>
            </w:tcBorders>
          </w:tcPr>
          <w:p w14:paraId="095F8897" w14:textId="1F1CE436" w:rsidR="00AB1CF6" w:rsidRPr="00EF2E8A" w:rsidRDefault="00AB1CF6" w:rsidP="00591C83">
            <w:pPr>
              <w:spacing w:before="0" w:after="0"/>
              <w:jc w:val="left"/>
              <w:rPr>
                <w:rFonts w:ascii="Arial Narrow" w:hAnsi="Arial Narrow"/>
                <w:sz w:val="20"/>
              </w:rPr>
            </w:pPr>
            <w:r w:rsidRPr="00EF2E8A">
              <w:rPr>
                <w:rFonts w:ascii="Arial Narrow" w:hAnsi="Arial Narrow"/>
                <w:sz w:val="20"/>
              </w:rPr>
              <w:t>New England Journal of Medicine. 2023 Dec 7;389(23):2162</w:t>
            </w:r>
            <w:r w:rsidR="00A46D2B">
              <w:rPr>
                <w:rFonts w:ascii="Arial Narrow" w:hAnsi="Arial Narrow"/>
                <w:sz w:val="20"/>
              </w:rPr>
              <w:noBreakHyphen/>
            </w:r>
            <w:r w:rsidRPr="00EF2E8A">
              <w:rPr>
                <w:rFonts w:ascii="Arial Narrow" w:hAnsi="Arial Narrow"/>
                <w:sz w:val="20"/>
              </w:rPr>
              <w:t>74.</w:t>
            </w:r>
          </w:p>
        </w:tc>
      </w:tr>
      <w:tr w:rsidR="00AB1CF6" w:rsidRPr="00EF2E8A" w14:paraId="21767A14" w14:textId="77777777">
        <w:tc>
          <w:tcPr>
            <w:tcW w:w="698" w:type="pct"/>
            <w:tcBorders>
              <w:top w:val="single" w:sz="4" w:space="0" w:color="auto"/>
              <w:bottom w:val="single" w:sz="4" w:space="0" w:color="auto"/>
            </w:tcBorders>
          </w:tcPr>
          <w:p w14:paraId="10A2DCA0" w14:textId="6A4C7924" w:rsidR="00AB1CF6" w:rsidRPr="00EF2E8A" w:rsidRDefault="00AB1CF6" w:rsidP="00591C83">
            <w:pPr>
              <w:spacing w:before="0" w:after="0"/>
              <w:jc w:val="left"/>
              <w:rPr>
                <w:rFonts w:ascii="Arial Narrow" w:hAnsi="Arial Narrow"/>
                <w:sz w:val="20"/>
              </w:rPr>
            </w:pPr>
            <w:r w:rsidRPr="00EF2E8A">
              <w:rPr>
                <w:rFonts w:ascii="Arial Narrow" w:hAnsi="Arial Narrow"/>
                <w:sz w:val="20"/>
              </w:rPr>
              <w:t>FORWARD</w:t>
            </w:r>
            <w:r w:rsidR="00A46D2B">
              <w:rPr>
                <w:rFonts w:ascii="Arial Narrow" w:hAnsi="Arial Narrow"/>
                <w:sz w:val="20"/>
              </w:rPr>
              <w:noBreakHyphen/>
            </w:r>
            <w:r w:rsidRPr="00EF2E8A">
              <w:rPr>
                <w:rFonts w:ascii="Arial Narrow" w:hAnsi="Arial Narrow"/>
                <w:sz w:val="20"/>
              </w:rPr>
              <w:t>I</w:t>
            </w:r>
          </w:p>
          <w:p w14:paraId="52F68E5C" w14:textId="5BC8A8FC" w:rsidR="00AB1CF6" w:rsidRPr="00EF2E8A" w:rsidRDefault="00AB1CF6" w:rsidP="00591C83">
            <w:pPr>
              <w:spacing w:before="0" w:after="0"/>
              <w:jc w:val="left"/>
              <w:rPr>
                <w:rFonts w:ascii="Arial Narrow" w:hAnsi="Arial Narrow"/>
                <w:sz w:val="20"/>
              </w:rPr>
            </w:pPr>
            <w:r w:rsidRPr="00EF2E8A">
              <w:rPr>
                <w:rFonts w:ascii="Arial Narrow" w:hAnsi="Arial Narrow"/>
                <w:sz w:val="20"/>
              </w:rPr>
              <w:t>IMGN853</w:t>
            </w:r>
            <w:r w:rsidR="00A46D2B">
              <w:rPr>
                <w:rFonts w:ascii="Arial Narrow" w:hAnsi="Arial Narrow"/>
                <w:sz w:val="20"/>
              </w:rPr>
              <w:noBreakHyphen/>
            </w:r>
            <w:r w:rsidRPr="00EF2E8A">
              <w:rPr>
                <w:rFonts w:ascii="Arial Narrow" w:hAnsi="Arial Narrow"/>
                <w:sz w:val="20"/>
              </w:rPr>
              <w:t>0403</w:t>
            </w:r>
          </w:p>
          <w:p w14:paraId="57C04E04"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(NCT02631876)</w:t>
            </w:r>
          </w:p>
        </w:tc>
        <w:tc>
          <w:tcPr>
            <w:tcW w:w="3192" w:type="pct"/>
            <w:tcBorders>
              <w:bottom w:val="single" w:sz="4" w:space="0" w:color="auto"/>
            </w:tcBorders>
          </w:tcPr>
          <w:p w14:paraId="077DCD31" w14:textId="0B998750" w:rsidR="00AB1CF6" w:rsidRPr="00EF2E8A" w:rsidRDefault="00AB1CF6" w:rsidP="00591C83">
            <w:pPr>
              <w:spacing w:before="0" w:after="0"/>
              <w:jc w:val="left"/>
              <w:rPr>
                <w:rFonts w:ascii="Arial Narrow" w:hAnsi="Arial Narrow"/>
                <w:sz w:val="20"/>
              </w:rPr>
            </w:pPr>
            <w:r w:rsidRPr="00EF2E8A">
              <w:rPr>
                <w:rFonts w:ascii="Arial Narrow" w:hAnsi="Arial Narrow"/>
                <w:sz w:val="20"/>
              </w:rPr>
              <w:t>FORWARD</w:t>
            </w:r>
            <w:r w:rsidR="00A46D2B">
              <w:rPr>
                <w:rFonts w:ascii="Arial Narrow" w:hAnsi="Arial Narrow"/>
                <w:sz w:val="20"/>
              </w:rPr>
              <w:noBreakHyphen/>
            </w:r>
            <w:r w:rsidRPr="00EF2E8A">
              <w:rPr>
                <w:rFonts w:ascii="Arial Narrow" w:hAnsi="Arial Narrow"/>
                <w:sz w:val="20"/>
              </w:rPr>
              <w:t>I: A Randomized, Open</w:t>
            </w:r>
            <w:r w:rsidR="00A46D2B">
              <w:rPr>
                <w:rFonts w:ascii="Arial Narrow" w:hAnsi="Arial Narrow"/>
                <w:sz w:val="20"/>
              </w:rPr>
              <w:noBreakHyphen/>
            </w:r>
            <w:r w:rsidRPr="00EF2E8A">
              <w:rPr>
                <w:rFonts w:ascii="Arial Narrow" w:hAnsi="Arial Narrow"/>
                <w:sz w:val="20"/>
              </w:rPr>
              <w:t>label Phase 3 Study to Evaluate the Safety and Efficacy of Mirvetuximab Soravtansine (IMGN853) Versus Investigator’s Choice of Chemotherapy in Women with Folate Receptor α−positive Advanced Epithelial Ovarian Cancer, Primary Peritoneal Cancer or Fallopian Tube Cancer.</w:t>
            </w:r>
          </w:p>
        </w:tc>
        <w:tc>
          <w:tcPr>
            <w:tcW w:w="1110" w:type="pct"/>
            <w:tcBorders>
              <w:bottom w:val="single" w:sz="4" w:space="0" w:color="auto"/>
            </w:tcBorders>
          </w:tcPr>
          <w:p w14:paraId="00358D32"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CSR (data cutoff 19 February 2019)</w:t>
            </w:r>
          </w:p>
        </w:tc>
      </w:tr>
      <w:tr w:rsidR="00AB1CF6" w:rsidRPr="00EF2E8A" w14:paraId="27A6139C" w14:textId="77777777">
        <w:tc>
          <w:tcPr>
            <w:tcW w:w="698" w:type="pct"/>
            <w:tcBorders>
              <w:top w:val="single" w:sz="4" w:space="0" w:color="auto"/>
              <w:bottom w:val="nil"/>
            </w:tcBorders>
          </w:tcPr>
          <w:p w14:paraId="59360C9C" w14:textId="77777777" w:rsidR="00AB1CF6" w:rsidRPr="00EF2E8A" w:rsidRDefault="00AB1CF6" w:rsidP="00591C83">
            <w:pPr>
              <w:spacing w:before="0" w:after="0"/>
              <w:jc w:val="left"/>
              <w:rPr>
                <w:rFonts w:ascii="Arial Narrow" w:hAnsi="Arial Narrow"/>
                <w:sz w:val="20"/>
              </w:rPr>
            </w:pPr>
          </w:p>
        </w:tc>
        <w:tc>
          <w:tcPr>
            <w:tcW w:w="3192" w:type="pct"/>
            <w:tcBorders>
              <w:top w:val="nil"/>
              <w:bottom w:val="nil"/>
            </w:tcBorders>
          </w:tcPr>
          <w:p w14:paraId="098E9F82" w14:textId="77777777" w:rsidR="00AB1CF6" w:rsidRPr="00EF2E8A" w:rsidRDefault="00AB1CF6" w:rsidP="00591C83">
            <w:pPr>
              <w:spacing w:before="0" w:after="0"/>
              <w:jc w:val="left"/>
              <w:rPr>
                <w:rFonts w:ascii="Arial Narrow" w:hAnsi="Arial Narrow"/>
                <w:sz w:val="20"/>
              </w:rPr>
            </w:pPr>
            <w:r w:rsidRPr="00EF2E8A">
              <w:rPr>
                <w:rFonts w:ascii="Arial Narrow" w:hAnsi="Arial Narrow"/>
                <w:b/>
                <w:bCs/>
                <w:sz w:val="20"/>
              </w:rPr>
              <w:t>Primary publication:</w:t>
            </w:r>
          </w:p>
        </w:tc>
        <w:tc>
          <w:tcPr>
            <w:tcW w:w="1110" w:type="pct"/>
            <w:tcBorders>
              <w:bottom w:val="nil"/>
            </w:tcBorders>
          </w:tcPr>
          <w:p w14:paraId="3F89E1BE" w14:textId="77777777" w:rsidR="00AB1CF6" w:rsidRPr="00EF2E8A" w:rsidRDefault="00AB1CF6" w:rsidP="00591C83">
            <w:pPr>
              <w:spacing w:before="0" w:after="0"/>
              <w:jc w:val="left"/>
              <w:rPr>
                <w:rFonts w:ascii="Arial Narrow" w:hAnsi="Arial Narrow"/>
                <w:sz w:val="20"/>
              </w:rPr>
            </w:pPr>
          </w:p>
        </w:tc>
      </w:tr>
      <w:tr w:rsidR="00AB1CF6" w:rsidRPr="00EF2E8A" w14:paraId="0EEE0201" w14:textId="77777777">
        <w:tc>
          <w:tcPr>
            <w:tcW w:w="698" w:type="pct"/>
            <w:tcBorders>
              <w:top w:val="nil"/>
              <w:bottom w:val="nil"/>
            </w:tcBorders>
          </w:tcPr>
          <w:p w14:paraId="294B1C7E" w14:textId="77777777" w:rsidR="00AB1CF6" w:rsidRPr="00EF2E8A" w:rsidRDefault="00AB1CF6" w:rsidP="00591C83">
            <w:pPr>
              <w:spacing w:before="0" w:after="0"/>
              <w:jc w:val="left"/>
              <w:rPr>
                <w:rFonts w:ascii="Arial Narrow" w:hAnsi="Arial Narrow"/>
                <w:sz w:val="20"/>
              </w:rPr>
            </w:pPr>
          </w:p>
        </w:tc>
        <w:tc>
          <w:tcPr>
            <w:tcW w:w="3192" w:type="pct"/>
            <w:tcBorders>
              <w:top w:val="nil"/>
              <w:bottom w:val="single" w:sz="4" w:space="0" w:color="auto"/>
            </w:tcBorders>
          </w:tcPr>
          <w:p w14:paraId="4190D8ED" w14:textId="77777777" w:rsidR="00AB1CF6" w:rsidRPr="00EF2E8A" w:rsidRDefault="00AB1CF6" w:rsidP="00591C83">
            <w:pPr>
              <w:spacing w:before="0" w:after="0"/>
              <w:jc w:val="left"/>
              <w:rPr>
                <w:rFonts w:ascii="Arial Narrow" w:hAnsi="Arial Narrow"/>
                <w:sz w:val="20"/>
                <w:szCs w:val="20"/>
              </w:rPr>
            </w:pPr>
            <w:r w:rsidRPr="00EF2E8A">
              <w:rPr>
                <w:rFonts w:ascii="Arial Narrow" w:hAnsi="Arial Narrow"/>
                <w:sz w:val="20"/>
                <w:szCs w:val="20"/>
              </w:rPr>
              <w:t xml:space="preserve">Moore KN, Oza AM, Colombo N, et al. </w:t>
            </w:r>
          </w:p>
          <w:p w14:paraId="6CDEDD0D" w14:textId="483F6DFF" w:rsidR="00AB1CF6" w:rsidRPr="00EF2E8A" w:rsidRDefault="00AB1CF6" w:rsidP="00591C83">
            <w:pPr>
              <w:spacing w:before="0" w:after="0"/>
              <w:jc w:val="left"/>
              <w:rPr>
                <w:rFonts w:ascii="Arial Narrow" w:hAnsi="Arial Narrow"/>
                <w:sz w:val="20"/>
              </w:rPr>
            </w:pPr>
            <w:r w:rsidRPr="00EF2E8A">
              <w:rPr>
                <w:rFonts w:ascii="Arial Narrow" w:hAnsi="Arial Narrow"/>
                <w:sz w:val="20"/>
              </w:rPr>
              <w:t>Phase III, randomized trial of mirvetuximab soravtansine versus chemotherapy in patients with platinum</w:t>
            </w:r>
            <w:r w:rsidR="00A46D2B">
              <w:rPr>
                <w:rFonts w:ascii="Arial Narrow" w:hAnsi="Arial Narrow"/>
                <w:sz w:val="20"/>
              </w:rPr>
              <w:noBreakHyphen/>
            </w:r>
            <w:r w:rsidRPr="00EF2E8A">
              <w:rPr>
                <w:rFonts w:ascii="Arial Narrow" w:hAnsi="Arial Narrow"/>
                <w:sz w:val="20"/>
              </w:rPr>
              <w:t>resistant ovarian cancer: Primary analysis of FORWARD</w:t>
            </w:r>
            <w:r w:rsidR="00A46D2B">
              <w:rPr>
                <w:rFonts w:ascii="Arial Narrow" w:hAnsi="Arial Narrow"/>
                <w:sz w:val="20"/>
              </w:rPr>
              <w:noBreakHyphen/>
            </w:r>
            <w:r w:rsidRPr="00EF2E8A">
              <w:rPr>
                <w:rFonts w:ascii="Arial Narrow" w:hAnsi="Arial Narrow"/>
                <w:sz w:val="20"/>
              </w:rPr>
              <w:t>I.</w:t>
            </w:r>
          </w:p>
        </w:tc>
        <w:tc>
          <w:tcPr>
            <w:tcW w:w="1110" w:type="pct"/>
            <w:tcBorders>
              <w:top w:val="nil"/>
              <w:bottom w:val="single" w:sz="4" w:space="0" w:color="auto"/>
            </w:tcBorders>
          </w:tcPr>
          <w:p w14:paraId="3CD33D93" w14:textId="70F58321" w:rsidR="00AB1CF6" w:rsidRPr="00EF2E8A" w:rsidRDefault="00AB1CF6" w:rsidP="00591C83">
            <w:pPr>
              <w:spacing w:before="0" w:after="0"/>
              <w:jc w:val="left"/>
              <w:rPr>
                <w:rFonts w:ascii="Arial Narrow" w:hAnsi="Arial Narrow"/>
                <w:sz w:val="20"/>
              </w:rPr>
            </w:pPr>
            <w:r w:rsidRPr="00EF2E8A">
              <w:rPr>
                <w:rFonts w:ascii="Arial Narrow" w:hAnsi="Arial Narrow"/>
                <w:sz w:val="20"/>
              </w:rPr>
              <w:t>Annals of Oncology. 2021;32(6):757</w:t>
            </w:r>
            <w:r w:rsidR="00A46D2B">
              <w:rPr>
                <w:rFonts w:ascii="Arial Narrow" w:hAnsi="Arial Narrow"/>
                <w:sz w:val="20"/>
              </w:rPr>
              <w:noBreakHyphen/>
            </w:r>
            <w:r w:rsidRPr="00EF2E8A">
              <w:rPr>
                <w:rFonts w:ascii="Arial Narrow" w:hAnsi="Arial Narrow"/>
                <w:sz w:val="20"/>
              </w:rPr>
              <w:t>765.</w:t>
            </w:r>
          </w:p>
        </w:tc>
      </w:tr>
      <w:tr w:rsidR="00AB1CF6" w:rsidRPr="00EF2E8A" w14:paraId="746D12B9" w14:textId="77777777">
        <w:tc>
          <w:tcPr>
            <w:tcW w:w="698" w:type="pct"/>
            <w:tcBorders>
              <w:top w:val="nil"/>
              <w:bottom w:val="nil"/>
            </w:tcBorders>
          </w:tcPr>
          <w:p w14:paraId="5BCF8C6B" w14:textId="77777777" w:rsidR="00AB1CF6" w:rsidRPr="00EF2E8A" w:rsidRDefault="00AB1CF6" w:rsidP="00591C83">
            <w:pPr>
              <w:spacing w:before="0" w:after="0"/>
              <w:jc w:val="left"/>
              <w:rPr>
                <w:rFonts w:ascii="Arial Narrow" w:hAnsi="Arial Narrow"/>
                <w:sz w:val="20"/>
              </w:rPr>
            </w:pPr>
          </w:p>
        </w:tc>
        <w:tc>
          <w:tcPr>
            <w:tcW w:w="3192" w:type="pct"/>
            <w:tcBorders>
              <w:top w:val="single" w:sz="4" w:space="0" w:color="auto"/>
              <w:bottom w:val="nil"/>
            </w:tcBorders>
          </w:tcPr>
          <w:p w14:paraId="444ADD95"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b/>
                <w:bCs/>
                <w:sz w:val="20"/>
              </w:rPr>
              <w:t>Supplementary Publications:</w:t>
            </w:r>
          </w:p>
        </w:tc>
        <w:tc>
          <w:tcPr>
            <w:tcW w:w="1110" w:type="pct"/>
            <w:tcBorders>
              <w:top w:val="single" w:sz="4" w:space="0" w:color="auto"/>
              <w:bottom w:val="nil"/>
            </w:tcBorders>
          </w:tcPr>
          <w:p w14:paraId="07236883" w14:textId="77777777" w:rsidR="00AB1CF6" w:rsidRPr="00EF2E8A" w:rsidRDefault="00AB1CF6" w:rsidP="00591C83">
            <w:pPr>
              <w:keepNext/>
              <w:spacing w:before="0" w:after="0"/>
              <w:jc w:val="left"/>
              <w:rPr>
                <w:rFonts w:ascii="Arial Narrow" w:hAnsi="Arial Narrow"/>
                <w:sz w:val="20"/>
              </w:rPr>
            </w:pPr>
          </w:p>
        </w:tc>
      </w:tr>
      <w:tr w:rsidR="00AB1CF6" w:rsidRPr="00EF2E8A" w14:paraId="532648A7" w14:textId="77777777">
        <w:tc>
          <w:tcPr>
            <w:tcW w:w="698" w:type="pct"/>
            <w:tcBorders>
              <w:top w:val="nil"/>
              <w:bottom w:val="nil"/>
            </w:tcBorders>
          </w:tcPr>
          <w:p w14:paraId="177438B3" w14:textId="77777777" w:rsidR="00AB1CF6" w:rsidRPr="00EF2E8A" w:rsidRDefault="00AB1CF6" w:rsidP="00591C83">
            <w:pPr>
              <w:spacing w:before="0" w:after="0"/>
              <w:jc w:val="left"/>
              <w:rPr>
                <w:rFonts w:ascii="Arial Narrow" w:hAnsi="Arial Narrow"/>
                <w:sz w:val="20"/>
              </w:rPr>
            </w:pPr>
          </w:p>
        </w:tc>
        <w:tc>
          <w:tcPr>
            <w:tcW w:w="3192" w:type="pct"/>
            <w:tcBorders>
              <w:top w:val="nil"/>
              <w:bottom w:val="single" w:sz="4" w:space="0" w:color="auto"/>
            </w:tcBorders>
          </w:tcPr>
          <w:p w14:paraId="60AFD74F"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 xml:space="preserve">Moore K, Oza A, Colombo N, et al. </w:t>
            </w:r>
          </w:p>
          <w:p w14:paraId="54E3D8F3" w14:textId="10A9B631" w:rsidR="00AB1CF6" w:rsidRPr="00EF2E8A" w:rsidRDefault="00AB1CF6" w:rsidP="00591C83">
            <w:pPr>
              <w:spacing w:before="0" w:after="0"/>
              <w:jc w:val="left"/>
              <w:rPr>
                <w:rFonts w:ascii="Arial Narrow" w:hAnsi="Arial Narrow"/>
                <w:sz w:val="20"/>
              </w:rPr>
            </w:pPr>
            <w:r w:rsidRPr="00EF2E8A">
              <w:rPr>
                <w:rFonts w:ascii="Arial Narrow" w:hAnsi="Arial Narrow"/>
                <w:sz w:val="20"/>
              </w:rPr>
              <w:t>FORWARD</w:t>
            </w:r>
            <w:r w:rsidR="00A46D2B">
              <w:rPr>
                <w:rFonts w:ascii="Arial Narrow" w:hAnsi="Arial Narrow"/>
                <w:sz w:val="20"/>
              </w:rPr>
              <w:noBreakHyphen/>
            </w:r>
            <w:r w:rsidRPr="00EF2E8A">
              <w:rPr>
                <w:rFonts w:ascii="Arial Narrow" w:hAnsi="Arial Narrow"/>
                <w:sz w:val="20"/>
              </w:rPr>
              <w:t>I (GOG 3011): A phase III study of mirvetuximab soravtansine, a folate receptor alpha (</w:t>
            </w:r>
            <w:proofErr w:type="spellStart"/>
            <w:r w:rsidRPr="00EF2E8A">
              <w:rPr>
                <w:rFonts w:ascii="Arial Narrow" w:hAnsi="Arial Narrow"/>
                <w:sz w:val="20"/>
              </w:rPr>
              <w:t>FRa</w:t>
            </w:r>
            <w:proofErr w:type="spellEnd"/>
            <w:r w:rsidRPr="00EF2E8A">
              <w:rPr>
                <w:rFonts w:ascii="Arial Narrow" w:hAnsi="Arial Narrow"/>
                <w:sz w:val="20"/>
              </w:rPr>
              <w:t>)</w:t>
            </w:r>
            <w:r w:rsidR="00A46D2B">
              <w:rPr>
                <w:rFonts w:ascii="Arial Narrow" w:hAnsi="Arial Narrow"/>
                <w:sz w:val="20"/>
              </w:rPr>
              <w:noBreakHyphen/>
            </w:r>
            <w:r w:rsidRPr="00EF2E8A">
              <w:rPr>
                <w:rFonts w:ascii="Arial Narrow" w:hAnsi="Arial Narrow"/>
                <w:sz w:val="20"/>
              </w:rPr>
              <w:t>targeting antibody</w:t>
            </w:r>
            <w:r w:rsidR="00A46D2B">
              <w:rPr>
                <w:rFonts w:ascii="Arial Narrow" w:hAnsi="Arial Narrow"/>
                <w:sz w:val="20"/>
              </w:rPr>
              <w:noBreakHyphen/>
            </w:r>
            <w:r w:rsidRPr="00EF2E8A">
              <w:rPr>
                <w:rFonts w:ascii="Arial Narrow" w:hAnsi="Arial Narrow"/>
                <w:sz w:val="20"/>
              </w:rPr>
              <w:t>drug conjugate (ADC), versus chemotherapy in patients (pts) with platinum</w:t>
            </w:r>
            <w:r w:rsidR="00A46D2B">
              <w:rPr>
                <w:rFonts w:ascii="Arial Narrow" w:hAnsi="Arial Narrow"/>
                <w:sz w:val="20"/>
              </w:rPr>
              <w:noBreakHyphen/>
            </w:r>
            <w:r w:rsidRPr="00EF2E8A">
              <w:rPr>
                <w:rFonts w:ascii="Arial Narrow" w:hAnsi="Arial Narrow"/>
                <w:sz w:val="20"/>
              </w:rPr>
              <w:t xml:space="preserve">resistant ovarian cancer (PROC). [Conference Abstract] </w:t>
            </w:r>
          </w:p>
        </w:tc>
        <w:tc>
          <w:tcPr>
            <w:tcW w:w="1110" w:type="pct"/>
            <w:tcBorders>
              <w:top w:val="nil"/>
            </w:tcBorders>
          </w:tcPr>
          <w:p w14:paraId="4406C7A8"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Annals of Oncology. 2019;30:v403.</w:t>
            </w:r>
          </w:p>
        </w:tc>
      </w:tr>
      <w:tr w:rsidR="00AB1CF6" w:rsidRPr="00EF2E8A" w14:paraId="5DE89769" w14:textId="77777777">
        <w:tc>
          <w:tcPr>
            <w:tcW w:w="5000" w:type="pct"/>
            <w:gridSpan w:val="3"/>
            <w:shd w:val="clear" w:color="auto" w:fill="F2F2F2" w:themeFill="background1" w:themeFillShade="F2"/>
          </w:tcPr>
          <w:p w14:paraId="7EBE1996" w14:textId="15857BA2" w:rsidR="00AB1CF6" w:rsidRPr="00EF2E8A" w:rsidRDefault="00AB1CF6" w:rsidP="00591C83">
            <w:pPr>
              <w:spacing w:before="0" w:after="0"/>
              <w:jc w:val="left"/>
              <w:rPr>
                <w:rFonts w:ascii="Arial Narrow" w:hAnsi="Arial Narrow"/>
                <w:b/>
                <w:bCs/>
                <w:sz w:val="20"/>
              </w:rPr>
            </w:pPr>
            <w:r w:rsidRPr="00EF2E8A">
              <w:rPr>
                <w:rFonts w:ascii="Arial Narrow" w:hAnsi="Arial Narrow"/>
                <w:b/>
                <w:bCs/>
                <w:sz w:val="20"/>
              </w:rPr>
              <w:t>Supplementary randomised trial: Non</w:t>
            </w:r>
            <w:r w:rsidR="00A46D2B">
              <w:rPr>
                <w:rFonts w:ascii="Arial Narrow" w:hAnsi="Arial Narrow"/>
                <w:b/>
                <w:bCs/>
                <w:sz w:val="20"/>
              </w:rPr>
              <w:noBreakHyphen/>
            </w:r>
            <w:r w:rsidRPr="00EF2E8A">
              <w:rPr>
                <w:rFonts w:ascii="Arial Narrow" w:hAnsi="Arial Narrow"/>
                <w:b/>
                <w:bCs/>
                <w:sz w:val="20"/>
              </w:rPr>
              <w:t>platinum chemotherapy with or without bevacizumab</w:t>
            </w:r>
          </w:p>
        </w:tc>
      </w:tr>
      <w:tr w:rsidR="00AB1CF6" w:rsidRPr="00EF2E8A" w14:paraId="0D91846F" w14:textId="77777777">
        <w:tc>
          <w:tcPr>
            <w:tcW w:w="698" w:type="pct"/>
            <w:tcBorders>
              <w:top w:val="nil"/>
              <w:bottom w:val="nil"/>
            </w:tcBorders>
          </w:tcPr>
          <w:p w14:paraId="3F05842A"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AURELIA</w:t>
            </w:r>
          </w:p>
        </w:tc>
        <w:tc>
          <w:tcPr>
            <w:tcW w:w="3192" w:type="pct"/>
            <w:tcBorders>
              <w:top w:val="single" w:sz="4" w:space="0" w:color="auto"/>
              <w:bottom w:val="nil"/>
            </w:tcBorders>
          </w:tcPr>
          <w:p w14:paraId="51AC241C" w14:textId="77777777" w:rsidR="00AB1CF6" w:rsidRPr="00EF2E8A" w:rsidRDefault="00AB1CF6" w:rsidP="00591C83">
            <w:pPr>
              <w:spacing w:before="0" w:after="0"/>
              <w:jc w:val="left"/>
              <w:rPr>
                <w:rFonts w:ascii="Arial Narrow" w:hAnsi="Arial Narrow"/>
                <w:sz w:val="20"/>
              </w:rPr>
            </w:pPr>
            <w:r w:rsidRPr="00EF2E8A">
              <w:rPr>
                <w:rFonts w:ascii="Arial Narrow" w:hAnsi="Arial Narrow"/>
                <w:b/>
                <w:bCs/>
                <w:sz w:val="20"/>
              </w:rPr>
              <w:t>Primary publication:</w:t>
            </w:r>
          </w:p>
        </w:tc>
        <w:tc>
          <w:tcPr>
            <w:tcW w:w="1110" w:type="pct"/>
            <w:tcBorders>
              <w:bottom w:val="nil"/>
            </w:tcBorders>
          </w:tcPr>
          <w:p w14:paraId="53F232BE" w14:textId="77777777" w:rsidR="00AB1CF6" w:rsidRPr="00EF2E8A" w:rsidRDefault="00AB1CF6" w:rsidP="00591C83">
            <w:pPr>
              <w:spacing w:before="0" w:after="0"/>
              <w:jc w:val="left"/>
              <w:rPr>
                <w:rFonts w:ascii="Arial Narrow" w:hAnsi="Arial Narrow"/>
                <w:sz w:val="20"/>
              </w:rPr>
            </w:pPr>
          </w:p>
        </w:tc>
      </w:tr>
      <w:tr w:rsidR="00AB1CF6" w:rsidRPr="00EF2E8A" w14:paraId="504D3F27" w14:textId="77777777">
        <w:tc>
          <w:tcPr>
            <w:tcW w:w="698" w:type="pct"/>
            <w:tcBorders>
              <w:top w:val="nil"/>
              <w:bottom w:val="single" w:sz="4" w:space="0" w:color="auto"/>
            </w:tcBorders>
          </w:tcPr>
          <w:p w14:paraId="22924EE6" w14:textId="77777777" w:rsidR="00AB1CF6" w:rsidRPr="00EF2E8A" w:rsidRDefault="00AB1CF6" w:rsidP="00591C83">
            <w:pPr>
              <w:spacing w:before="0" w:after="0"/>
              <w:jc w:val="left"/>
              <w:rPr>
                <w:rFonts w:ascii="Arial Narrow" w:hAnsi="Arial Narrow"/>
                <w:sz w:val="20"/>
              </w:rPr>
            </w:pPr>
            <w:r w:rsidRPr="00EF2E8A">
              <w:rPr>
                <w:rFonts w:ascii="Arial Narrow" w:hAnsi="Arial Narrow"/>
                <w:sz w:val="20"/>
              </w:rPr>
              <w:t>(NCT00976911)</w:t>
            </w:r>
          </w:p>
        </w:tc>
        <w:tc>
          <w:tcPr>
            <w:tcW w:w="3192" w:type="pct"/>
            <w:tcBorders>
              <w:top w:val="nil"/>
              <w:bottom w:val="single" w:sz="4" w:space="0" w:color="auto"/>
            </w:tcBorders>
          </w:tcPr>
          <w:p w14:paraId="61E98659" w14:textId="2AFEB02A" w:rsidR="00AB1CF6" w:rsidRPr="00EF2E8A" w:rsidRDefault="00AB1CF6" w:rsidP="00591C83">
            <w:pPr>
              <w:spacing w:before="0" w:after="0"/>
              <w:jc w:val="left"/>
              <w:rPr>
                <w:rFonts w:ascii="Arial Narrow" w:hAnsi="Arial Narrow"/>
                <w:sz w:val="20"/>
                <w:szCs w:val="20"/>
              </w:rPr>
            </w:pPr>
            <w:proofErr w:type="spellStart"/>
            <w:r w:rsidRPr="00EF2E8A">
              <w:rPr>
                <w:rFonts w:ascii="Arial Narrow" w:hAnsi="Arial Narrow"/>
                <w:sz w:val="20"/>
                <w:szCs w:val="20"/>
              </w:rPr>
              <w:t>Pujade</w:t>
            </w:r>
            <w:proofErr w:type="spellEnd"/>
            <w:r w:rsidR="00A46D2B">
              <w:rPr>
                <w:rFonts w:ascii="Arial Narrow" w:hAnsi="Arial Narrow"/>
                <w:sz w:val="20"/>
                <w:szCs w:val="20"/>
              </w:rPr>
              <w:noBreakHyphen/>
            </w:r>
            <w:r w:rsidRPr="00EF2E8A">
              <w:rPr>
                <w:rFonts w:ascii="Arial Narrow" w:hAnsi="Arial Narrow"/>
                <w:sz w:val="20"/>
                <w:szCs w:val="20"/>
              </w:rPr>
              <w:t xml:space="preserve">Lauraine E, Hilpert F, Weber B, Reuss A, Poveda A, Kristensen G, Sorio R, </w:t>
            </w:r>
            <w:proofErr w:type="spellStart"/>
            <w:r w:rsidRPr="00EF2E8A">
              <w:rPr>
                <w:rFonts w:ascii="Arial Narrow" w:hAnsi="Arial Narrow"/>
                <w:sz w:val="20"/>
                <w:szCs w:val="20"/>
              </w:rPr>
              <w:t>Vergote</w:t>
            </w:r>
            <w:proofErr w:type="spellEnd"/>
            <w:r w:rsidRPr="00EF2E8A">
              <w:rPr>
                <w:rFonts w:ascii="Arial Narrow" w:hAnsi="Arial Narrow"/>
                <w:sz w:val="20"/>
                <w:szCs w:val="20"/>
              </w:rPr>
              <w:t xml:space="preserve"> I, Witteveen P, </w:t>
            </w:r>
            <w:proofErr w:type="spellStart"/>
            <w:r w:rsidRPr="00EF2E8A">
              <w:rPr>
                <w:rFonts w:ascii="Arial Narrow" w:hAnsi="Arial Narrow"/>
                <w:sz w:val="20"/>
                <w:szCs w:val="20"/>
              </w:rPr>
              <w:t>Bamias</w:t>
            </w:r>
            <w:proofErr w:type="spellEnd"/>
            <w:r w:rsidRPr="00EF2E8A">
              <w:rPr>
                <w:rFonts w:ascii="Arial Narrow" w:hAnsi="Arial Narrow"/>
                <w:sz w:val="20"/>
                <w:szCs w:val="20"/>
              </w:rPr>
              <w:t xml:space="preserve"> A, Pereira D. </w:t>
            </w:r>
          </w:p>
          <w:p w14:paraId="56D3F865" w14:textId="134E64ED" w:rsidR="00AB1CF6" w:rsidRPr="00EF2E8A" w:rsidRDefault="00AB1CF6" w:rsidP="00591C83">
            <w:pPr>
              <w:spacing w:before="0" w:after="0"/>
              <w:jc w:val="left"/>
              <w:rPr>
                <w:rFonts w:ascii="Arial Narrow" w:hAnsi="Arial Narrow"/>
                <w:sz w:val="20"/>
              </w:rPr>
            </w:pPr>
            <w:r w:rsidRPr="00EF2E8A">
              <w:rPr>
                <w:rFonts w:ascii="Arial Narrow" w:hAnsi="Arial Narrow"/>
                <w:sz w:val="20"/>
              </w:rPr>
              <w:t>Bevacizumab combined with chemotherapy for platinum</w:t>
            </w:r>
            <w:r w:rsidR="00A46D2B">
              <w:rPr>
                <w:rFonts w:ascii="Arial Narrow" w:hAnsi="Arial Narrow"/>
                <w:sz w:val="20"/>
              </w:rPr>
              <w:noBreakHyphen/>
            </w:r>
            <w:r w:rsidRPr="00EF2E8A">
              <w:rPr>
                <w:rFonts w:ascii="Arial Narrow" w:hAnsi="Arial Narrow"/>
                <w:sz w:val="20"/>
              </w:rPr>
              <w:t>resistant recurrent ovarian cancer: the AURELIA open</w:t>
            </w:r>
            <w:r w:rsidR="00A46D2B">
              <w:rPr>
                <w:rFonts w:ascii="Arial Narrow" w:hAnsi="Arial Narrow"/>
                <w:sz w:val="20"/>
              </w:rPr>
              <w:noBreakHyphen/>
            </w:r>
            <w:r w:rsidRPr="00EF2E8A">
              <w:rPr>
                <w:rFonts w:ascii="Arial Narrow" w:hAnsi="Arial Narrow"/>
                <w:sz w:val="20"/>
              </w:rPr>
              <w:t xml:space="preserve">label randomized phase III trial. </w:t>
            </w:r>
          </w:p>
        </w:tc>
        <w:tc>
          <w:tcPr>
            <w:tcW w:w="1110" w:type="pct"/>
            <w:tcBorders>
              <w:top w:val="nil"/>
              <w:bottom w:val="single" w:sz="4" w:space="0" w:color="auto"/>
            </w:tcBorders>
          </w:tcPr>
          <w:p w14:paraId="1CED2265" w14:textId="488D53F0" w:rsidR="00AB1CF6" w:rsidRPr="00EF2E8A" w:rsidRDefault="00AB1CF6" w:rsidP="00591C83">
            <w:pPr>
              <w:spacing w:before="0" w:after="0"/>
              <w:jc w:val="left"/>
              <w:rPr>
                <w:rFonts w:ascii="Arial Narrow" w:hAnsi="Arial Narrow"/>
                <w:sz w:val="20"/>
              </w:rPr>
            </w:pPr>
            <w:r w:rsidRPr="00EF2E8A">
              <w:rPr>
                <w:rFonts w:ascii="Arial Narrow" w:hAnsi="Arial Narrow"/>
                <w:sz w:val="20"/>
              </w:rPr>
              <w:t>Journal of clinical oncology. 2014 May 1;32(13):1302</w:t>
            </w:r>
            <w:r w:rsidR="00A46D2B">
              <w:rPr>
                <w:rFonts w:ascii="Arial Narrow" w:hAnsi="Arial Narrow"/>
                <w:sz w:val="20"/>
              </w:rPr>
              <w:noBreakHyphen/>
            </w:r>
            <w:r w:rsidRPr="00EF2E8A">
              <w:rPr>
                <w:rFonts w:ascii="Arial Narrow" w:hAnsi="Arial Narrow"/>
                <w:sz w:val="20"/>
              </w:rPr>
              <w:t>8.</w:t>
            </w:r>
          </w:p>
        </w:tc>
      </w:tr>
    </w:tbl>
    <w:p w14:paraId="3E7C996E" w14:textId="7277D3F5" w:rsidR="00AB1CF6" w:rsidRPr="00EF2E8A" w:rsidRDefault="00AB1CF6"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Source: Table 2.2 1 Trials (and Associated Reports) Presented in this Submission, pp24</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26 of the submission; Attachment 2.1 Literature Search – ELAHERE.</w:t>
      </w:r>
    </w:p>
    <w:p w14:paraId="4D16D7C5" w14:textId="77777777" w:rsidR="00AB1CF6" w:rsidRPr="00EF2E8A" w:rsidRDefault="00AB1CF6"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CSR= Clinical Study Report.</w:t>
      </w:r>
    </w:p>
    <w:p w14:paraId="785AA602" w14:textId="1F697D2E" w:rsidR="00AB1CF6" w:rsidRPr="00EF2E8A" w:rsidRDefault="00AB1CF6" w:rsidP="00591C83">
      <w:pPr>
        <w:pStyle w:val="ListParagraph"/>
      </w:pPr>
      <w:r w:rsidRPr="00EF2E8A">
        <w:t xml:space="preserve">The key features of the included evidence trials are summarised in </w:t>
      </w:r>
      <w:r w:rsidR="00247E05">
        <w:fldChar w:fldCharType="begin" w:fldLock="1"/>
      </w:r>
      <w:r w:rsidR="00247E05">
        <w:instrText xml:space="preserve"> REF _Ref205197734 \h </w:instrText>
      </w:r>
      <w:r w:rsidR="00247E05">
        <w:fldChar w:fldCharType="separate"/>
      </w:r>
      <w:r w:rsidR="00CC5CAD">
        <w:t xml:space="preserve">Table </w:t>
      </w:r>
      <w:r w:rsidR="00CC5CAD">
        <w:rPr>
          <w:noProof/>
        </w:rPr>
        <w:t>5</w:t>
      </w:r>
      <w:r w:rsidR="00247E05">
        <w:fldChar w:fldCharType="end"/>
      </w:r>
      <w:r w:rsidR="00053B9B" w:rsidRPr="00EF2E8A">
        <w:t xml:space="preserve"> </w:t>
      </w:r>
      <w:r w:rsidRPr="00EF2E8A">
        <w:t>for the direct evidence (MIRASOL; FORWARD</w:t>
      </w:r>
      <w:r w:rsidR="00A46D2B">
        <w:noBreakHyphen/>
      </w:r>
      <w:r w:rsidRPr="00EF2E8A">
        <w:t>I) and the trials used in the indirect comparison (MIRASOL; AURELIA) based on the ICC common comparator.</w:t>
      </w:r>
    </w:p>
    <w:p w14:paraId="79D5DC6F" w14:textId="48818000" w:rsidR="00247E05" w:rsidRDefault="00247E05" w:rsidP="00591C83">
      <w:pPr>
        <w:pStyle w:val="Caption"/>
      </w:pPr>
      <w:bookmarkStart w:id="31" w:name="_Ref205197734"/>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5</w:t>
      </w:r>
      <w:r w:rsidR="00CC5CAD">
        <w:rPr>
          <w:noProof/>
        </w:rPr>
        <w:fldChar w:fldCharType="end"/>
      </w:r>
      <w:bookmarkEnd w:id="31"/>
      <w:r>
        <w:t xml:space="preserve">: </w:t>
      </w:r>
      <w:r w:rsidRPr="00CD173C">
        <w:t>Key features of the included evidence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evidence"/>
      </w:tblPr>
      <w:tblGrid>
        <w:gridCol w:w="1696"/>
        <w:gridCol w:w="568"/>
        <w:gridCol w:w="1275"/>
        <w:gridCol w:w="3119"/>
        <w:gridCol w:w="1041"/>
        <w:gridCol w:w="1321"/>
      </w:tblGrid>
      <w:tr w:rsidR="00AB1CF6" w:rsidRPr="00EF2E8A" w14:paraId="6987C4EE" w14:textId="77777777">
        <w:tc>
          <w:tcPr>
            <w:tcW w:w="940" w:type="pct"/>
            <w:tcBorders>
              <w:top w:val="single" w:sz="4" w:space="0" w:color="auto"/>
              <w:left w:val="single" w:sz="4" w:space="0" w:color="auto"/>
              <w:bottom w:val="single" w:sz="4" w:space="0" w:color="auto"/>
              <w:right w:val="single" w:sz="4" w:space="0" w:color="auto"/>
            </w:tcBorders>
            <w:hideMark/>
          </w:tcPr>
          <w:p w14:paraId="30CA2076" w14:textId="77777777" w:rsidR="00AB1CF6" w:rsidRPr="00EF2E8A" w:rsidRDefault="00AB1CF6" w:rsidP="00591C83">
            <w:pPr>
              <w:keepNext/>
              <w:spacing w:before="0" w:after="0"/>
              <w:rPr>
                <w:rFonts w:ascii="Arial Narrow" w:hAnsi="Arial Narrow"/>
                <w:b/>
                <w:sz w:val="20"/>
              </w:rPr>
            </w:pPr>
            <w:r w:rsidRPr="00EF2E8A">
              <w:rPr>
                <w:rFonts w:ascii="Arial Narrow" w:hAnsi="Arial Narrow"/>
                <w:b/>
                <w:sz w:val="20"/>
              </w:rPr>
              <w:t>Trial</w:t>
            </w:r>
          </w:p>
        </w:tc>
        <w:tc>
          <w:tcPr>
            <w:tcW w:w="315" w:type="pct"/>
            <w:tcBorders>
              <w:top w:val="single" w:sz="4" w:space="0" w:color="auto"/>
              <w:left w:val="single" w:sz="4" w:space="0" w:color="auto"/>
              <w:bottom w:val="single" w:sz="4" w:space="0" w:color="auto"/>
              <w:right w:val="single" w:sz="4" w:space="0" w:color="auto"/>
            </w:tcBorders>
            <w:hideMark/>
          </w:tcPr>
          <w:p w14:paraId="554C0CE8" w14:textId="77777777" w:rsidR="00AB1CF6" w:rsidRPr="00EF2E8A" w:rsidRDefault="00AB1CF6" w:rsidP="00591C83">
            <w:pPr>
              <w:keepNext/>
              <w:spacing w:before="0" w:after="0"/>
              <w:rPr>
                <w:rFonts w:ascii="Arial Narrow" w:hAnsi="Arial Narrow"/>
                <w:b/>
                <w:sz w:val="20"/>
              </w:rPr>
            </w:pPr>
            <w:r w:rsidRPr="00EF2E8A">
              <w:rPr>
                <w:rFonts w:ascii="Arial Narrow" w:hAnsi="Arial Narrow"/>
                <w:b/>
                <w:sz w:val="20"/>
              </w:rPr>
              <w:t>N</w:t>
            </w:r>
          </w:p>
        </w:tc>
        <w:tc>
          <w:tcPr>
            <w:tcW w:w="707" w:type="pct"/>
            <w:tcBorders>
              <w:top w:val="single" w:sz="4" w:space="0" w:color="auto"/>
              <w:left w:val="single" w:sz="4" w:space="0" w:color="auto"/>
              <w:bottom w:val="single" w:sz="4" w:space="0" w:color="auto"/>
              <w:right w:val="single" w:sz="4" w:space="0" w:color="auto"/>
            </w:tcBorders>
            <w:hideMark/>
          </w:tcPr>
          <w:p w14:paraId="61980967" w14:textId="77777777" w:rsidR="00AB1CF6" w:rsidRPr="00EF2E8A" w:rsidRDefault="00AB1CF6" w:rsidP="00591C83">
            <w:pPr>
              <w:keepNext/>
              <w:spacing w:before="0" w:after="0"/>
              <w:rPr>
                <w:rFonts w:ascii="Arial Narrow" w:hAnsi="Arial Narrow"/>
                <w:b/>
                <w:sz w:val="20"/>
              </w:rPr>
            </w:pPr>
            <w:r w:rsidRPr="00EF2E8A">
              <w:rPr>
                <w:rFonts w:ascii="Arial Narrow" w:hAnsi="Arial Narrow"/>
                <w:b/>
                <w:sz w:val="20"/>
              </w:rPr>
              <w:t>Study design</w:t>
            </w:r>
          </w:p>
          <w:p w14:paraId="20ADAE8E" w14:textId="77777777" w:rsidR="00AB1CF6" w:rsidRPr="00EF2E8A" w:rsidRDefault="00AB1CF6" w:rsidP="00591C83">
            <w:pPr>
              <w:keepNext/>
              <w:spacing w:before="0" w:after="0"/>
              <w:rPr>
                <w:rFonts w:ascii="Arial Narrow" w:hAnsi="Arial Narrow"/>
                <w:b/>
                <w:sz w:val="20"/>
              </w:rPr>
            </w:pPr>
          </w:p>
          <w:p w14:paraId="420E33E9" w14:textId="77777777" w:rsidR="00AB1CF6" w:rsidRPr="00EF2E8A" w:rsidRDefault="00AB1CF6" w:rsidP="00591C83">
            <w:pPr>
              <w:keepNext/>
              <w:spacing w:before="0" w:after="0"/>
              <w:rPr>
                <w:rFonts w:ascii="Arial Narrow" w:hAnsi="Arial Narrow"/>
                <w:b/>
                <w:sz w:val="20"/>
              </w:rPr>
            </w:pPr>
            <w:r w:rsidRPr="00EF2E8A">
              <w:rPr>
                <w:rFonts w:ascii="Arial Narrow" w:hAnsi="Arial Narrow"/>
                <w:b/>
                <w:sz w:val="20"/>
              </w:rPr>
              <w:t>Risk of bias</w:t>
            </w:r>
          </w:p>
        </w:tc>
        <w:tc>
          <w:tcPr>
            <w:tcW w:w="1729" w:type="pct"/>
            <w:tcBorders>
              <w:top w:val="single" w:sz="4" w:space="0" w:color="auto"/>
              <w:left w:val="single" w:sz="4" w:space="0" w:color="auto"/>
              <w:bottom w:val="single" w:sz="4" w:space="0" w:color="auto"/>
              <w:right w:val="single" w:sz="4" w:space="0" w:color="auto"/>
            </w:tcBorders>
            <w:hideMark/>
          </w:tcPr>
          <w:p w14:paraId="35EA3F92" w14:textId="77777777" w:rsidR="00AB1CF6" w:rsidRPr="00EF2E8A" w:rsidRDefault="00AB1CF6" w:rsidP="00591C83">
            <w:pPr>
              <w:keepNext/>
              <w:spacing w:before="0" w:after="0"/>
              <w:rPr>
                <w:rFonts w:ascii="Arial Narrow" w:hAnsi="Arial Narrow"/>
                <w:b/>
                <w:sz w:val="20"/>
              </w:rPr>
            </w:pPr>
            <w:r w:rsidRPr="00EF2E8A">
              <w:rPr>
                <w:rFonts w:ascii="Arial Narrow" w:hAnsi="Arial Narrow"/>
                <w:b/>
                <w:sz w:val="20"/>
              </w:rPr>
              <w:t>Patient population</w:t>
            </w:r>
          </w:p>
        </w:tc>
        <w:tc>
          <w:tcPr>
            <w:tcW w:w="577" w:type="pct"/>
            <w:tcBorders>
              <w:top w:val="single" w:sz="4" w:space="0" w:color="auto"/>
              <w:left w:val="single" w:sz="4" w:space="0" w:color="auto"/>
              <w:bottom w:val="single" w:sz="4" w:space="0" w:color="auto"/>
              <w:right w:val="single" w:sz="4" w:space="0" w:color="auto"/>
            </w:tcBorders>
            <w:hideMark/>
          </w:tcPr>
          <w:p w14:paraId="76959A47" w14:textId="77777777" w:rsidR="00AB1CF6" w:rsidRPr="00EF2E8A" w:rsidRDefault="00AB1CF6" w:rsidP="00591C83">
            <w:pPr>
              <w:keepNext/>
              <w:spacing w:before="0" w:after="0"/>
              <w:rPr>
                <w:rFonts w:ascii="Arial Narrow" w:hAnsi="Arial Narrow"/>
                <w:b/>
                <w:sz w:val="20"/>
              </w:rPr>
            </w:pPr>
            <w:r w:rsidRPr="00EF2E8A">
              <w:rPr>
                <w:rFonts w:ascii="Arial Narrow" w:hAnsi="Arial Narrow"/>
                <w:b/>
                <w:sz w:val="20"/>
              </w:rPr>
              <w:t>Outcome(s)</w:t>
            </w:r>
          </w:p>
        </w:tc>
        <w:tc>
          <w:tcPr>
            <w:tcW w:w="732" w:type="pct"/>
            <w:tcBorders>
              <w:top w:val="single" w:sz="4" w:space="0" w:color="auto"/>
              <w:left w:val="single" w:sz="4" w:space="0" w:color="auto"/>
              <w:bottom w:val="single" w:sz="4" w:space="0" w:color="auto"/>
              <w:right w:val="single" w:sz="4" w:space="0" w:color="auto"/>
            </w:tcBorders>
            <w:hideMark/>
          </w:tcPr>
          <w:p w14:paraId="644C989E" w14:textId="77777777" w:rsidR="00AB1CF6" w:rsidRPr="00EF2E8A" w:rsidRDefault="00AB1CF6" w:rsidP="00591C83">
            <w:pPr>
              <w:keepNext/>
              <w:spacing w:before="0" w:after="0"/>
              <w:rPr>
                <w:rFonts w:ascii="Arial Narrow" w:hAnsi="Arial Narrow"/>
                <w:b/>
                <w:sz w:val="20"/>
              </w:rPr>
            </w:pPr>
            <w:r w:rsidRPr="00EF2E8A">
              <w:rPr>
                <w:rFonts w:ascii="Arial Narrow" w:hAnsi="Arial Narrow"/>
                <w:b/>
                <w:sz w:val="20"/>
              </w:rPr>
              <w:t>Use in modelled evaluation</w:t>
            </w:r>
          </w:p>
        </w:tc>
      </w:tr>
      <w:tr w:rsidR="00AB1CF6" w:rsidRPr="00EF2E8A" w14:paraId="06042C76" w14:textId="77777777">
        <w:tc>
          <w:tcPr>
            <w:tcW w:w="5000" w:type="pct"/>
            <w:gridSpan w:val="6"/>
            <w:tcBorders>
              <w:top w:val="single" w:sz="4" w:space="0" w:color="auto"/>
              <w:left w:val="single" w:sz="4" w:space="0" w:color="auto"/>
              <w:bottom w:val="single" w:sz="4" w:space="0" w:color="auto"/>
              <w:right w:val="single" w:sz="4" w:space="0" w:color="auto"/>
            </w:tcBorders>
            <w:hideMark/>
          </w:tcPr>
          <w:p w14:paraId="189ACF02" w14:textId="77777777" w:rsidR="00AB1CF6" w:rsidRPr="00EF2E8A" w:rsidRDefault="00AB1CF6" w:rsidP="00591C83">
            <w:pPr>
              <w:keepNext/>
              <w:spacing w:before="0" w:after="0"/>
              <w:jc w:val="left"/>
              <w:rPr>
                <w:rFonts w:ascii="Arial Narrow" w:hAnsi="Arial Narrow"/>
                <w:b/>
                <w:bCs/>
                <w:sz w:val="20"/>
              </w:rPr>
            </w:pPr>
            <w:r w:rsidRPr="00EF2E8A">
              <w:rPr>
                <w:rFonts w:ascii="Arial Narrow" w:hAnsi="Arial Narrow"/>
                <w:b/>
                <w:bCs/>
                <w:sz w:val="20"/>
              </w:rPr>
              <w:t>MIRV vs ICC</w:t>
            </w:r>
          </w:p>
        </w:tc>
      </w:tr>
      <w:tr w:rsidR="00AB1CF6" w:rsidRPr="00EF2E8A" w14:paraId="78563064" w14:textId="77777777">
        <w:tc>
          <w:tcPr>
            <w:tcW w:w="940" w:type="pct"/>
            <w:tcBorders>
              <w:top w:val="single" w:sz="4" w:space="0" w:color="auto"/>
              <w:left w:val="single" w:sz="4" w:space="0" w:color="auto"/>
              <w:bottom w:val="single" w:sz="4" w:space="0" w:color="auto"/>
              <w:right w:val="single" w:sz="4" w:space="0" w:color="auto"/>
            </w:tcBorders>
            <w:hideMark/>
          </w:tcPr>
          <w:p w14:paraId="692A6F33"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MIRASOL</w:t>
            </w:r>
          </w:p>
          <w:p w14:paraId="1BF8EA8B"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Moore et al, (2023)</w:t>
            </w:r>
          </w:p>
          <w:p w14:paraId="374AA95E"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(NCT04296890)</w:t>
            </w:r>
          </w:p>
        </w:tc>
        <w:tc>
          <w:tcPr>
            <w:tcW w:w="315" w:type="pct"/>
            <w:tcBorders>
              <w:top w:val="single" w:sz="4" w:space="0" w:color="auto"/>
              <w:left w:val="single" w:sz="4" w:space="0" w:color="auto"/>
              <w:bottom w:val="single" w:sz="4" w:space="0" w:color="auto"/>
              <w:right w:val="single" w:sz="4" w:space="0" w:color="auto"/>
            </w:tcBorders>
          </w:tcPr>
          <w:p w14:paraId="465050F1"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453</w:t>
            </w:r>
          </w:p>
        </w:tc>
        <w:tc>
          <w:tcPr>
            <w:tcW w:w="707" w:type="pct"/>
            <w:tcBorders>
              <w:top w:val="single" w:sz="4" w:space="0" w:color="auto"/>
              <w:left w:val="single" w:sz="4" w:space="0" w:color="auto"/>
              <w:bottom w:val="single" w:sz="4" w:space="0" w:color="auto"/>
              <w:right w:val="single" w:sz="4" w:space="0" w:color="auto"/>
            </w:tcBorders>
            <w:hideMark/>
          </w:tcPr>
          <w:p w14:paraId="123E0692"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R, OL, MC</w:t>
            </w:r>
          </w:p>
          <w:p w14:paraId="708EBA6B"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High</w:t>
            </w:r>
          </w:p>
        </w:tc>
        <w:tc>
          <w:tcPr>
            <w:tcW w:w="1729" w:type="pct"/>
            <w:tcBorders>
              <w:top w:val="single" w:sz="4" w:space="0" w:color="auto"/>
              <w:left w:val="single" w:sz="4" w:space="0" w:color="auto"/>
              <w:bottom w:val="single" w:sz="4" w:space="0" w:color="auto"/>
              <w:right w:val="single" w:sz="4" w:space="0" w:color="auto"/>
            </w:tcBorders>
            <w:hideMark/>
          </w:tcPr>
          <w:p w14:paraId="2E92A198" w14:textId="1BB37A3E" w:rsidR="00AB1CF6" w:rsidRPr="00EF2E8A" w:rsidRDefault="00AB1CF6" w:rsidP="00591C83">
            <w:pPr>
              <w:keepNext/>
              <w:spacing w:before="0" w:after="0"/>
              <w:jc w:val="left"/>
              <w:rPr>
                <w:rFonts w:ascii="Arial Narrow" w:hAnsi="Arial Narrow"/>
                <w:sz w:val="20"/>
                <w:highlight w:val="lightGray"/>
              </w:rPr>
            </w:pPr>
            <w:r w:rsidRPr="00EF2E8A">
              <w:rPr>
                <w:rFonts w:ascii="Arial Narrow" w:hAnsi="Arial Narrow"/>
                <w:sz w:val="20"/>
              </w:rPr>
              <w:t>Women with PROC who had previously received 1</w:t>
            </w:r>
            <w:r w:rsidR="00A46D2B">
              <w:rPr>
                <w:rFonts w:ascii="Arial Narrow" w:hAnsi="Arial Narrow"/>
                <w:sz w:val="20"/>
              </w:rPr>
              <w:noBreakHyphen/>
            </w:r>
            <w:r w:rsidRPr="00EF2E8A">
              <w:rPr>
                <w:rFonts w:ascii="Arial Narrow" w:hAnsi="Arial Narrow"/>
                <w:sz w:val="20"/>
              </w:rPr>
              <w:t>3 lines of systemic therapy, and who were positive for FRα</w:t>
            </w:r>
            <w:r w:rsidR="00A46D2B">
              <w:rPr>
                <w:rFonts w:ascii="Arial Narrow" w:hAnsi="Arial Narrow"/>
                <w:sz w:val="20"/>
              </w:rPr>
              <w:noBreakHyphen/>
            </w:r>
            <w:r w:rsidRPr="00EF2E8A">
              <w:rPr>
                <w:rFonts w:ascii="Arial Narrow" w:hAnsi="Arial Narrow"/>
                <w:sz w:val="20"/>
              </w:rPr>
              <w:t>high expression (≥75%; PS2+ scoring)</w:t>
            </w:r>
          </w:p>
        </w:tc>
        <w:tc>
          <w:tcPr>
            <w:tcW w:w="577" w:type="pct"/>
            <w:tcBorders>
              <w:top w:val="single" w:sz="4" w:space="0" w:color="auto"/>
              <w:left w:val="single" w:sz="4" w:space="0" w:color="auto"/>
              <w:bottom w:val="single" w:sz="4" w:space="0" w:color="auto"/>
              <w:right w:val="single" w:sz="4" w:space="0" w:color="auto"/>
            </w:tcBorders>
            <w:hideMark/>
          </w:tcPr>
          <w:p w14:paraId="4A4E0E79"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PFS (INV); OS</w:t>
            </w:r>
          </w:p>
        </w:tc>
        <w:tc>
          <w:tcPr>
            <w:tcW w:w="732" w:type="pct"/>
            <w:tcBorders>
              <w:top w:val="single" w:sz="4" w:space="0" w:color="auto"/>
              <w:left w:val="single" w:sz="4" w:space="0" w:color="auto"/>
              <w:bottom w:val="single" w:sz="4" w:space="0" w:color="auto"/>
              <w:right w:val="single" w:sz="4" w:space="0" w:color="auto"/>
            </w:tcBorders>
            <w:hideMark/>
          </w:tcPr>
          <w:p w14:paraId="2F8E1206"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PFS, OS</w:t>
            </w:r>
          </w:p>
        </w:tc>
      </w:tr>
      <w:tr w:rsidR="00AB1CF6" w:rsidRPr="00EF2E8A" w14:paraId="213F5F1B" w14:textId="77777777">
        <w:tc>
          <w:tcPr>
            <w:tcW w:w="940" w:type="pct"/>
            <w:tcBorders>
              <w:top w:val="single" w:sz="4" w:space="0" w:color="auto"/>
              <w:left w:val="single" w:sz="4" w:space="0" w:color="auto"/>
              <w:bottom w:val="single" w:sz="4" w:space="0" w:color="auto"/>
              <w:right w:val="single" w:sz="4" w:space="0" w:color="auto"/>
            </w:tcBorders>
            <w:hideMark/>
          </w:tcPr>
          <w:p w14:paraId="1D8B5FB8" w14:textId="7C5EE5CF"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FORWARD</w:t>
            </w:r>
            <w:r w:rsidR="00A46D2B">
              <w:rPr>
                <w:rFonts w:ascii="Arial Narrow" w:hAnsi="Arial Narrow"/>
                <w:sz w:val="20"/>
              </w:rPr>
              <w:noBreakHyphen/>
            </w:r>
            <w:r w:rsidRPr="00EF2E8A">
              <w:rPr>
                <w:rFonts w:ascii="Arial Narrow" w:hAnsi="Arial Narrow"/>
                <w:sz w:val="20"/>
              </w:rPr>
              <w:t>I</w:t>
            </w:r>
          </w:p>
          <w:p w14:paraId="06E3E532"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Moore et al, (2021)</w:t>
            </w:r>
          </w:p>
          <w:p w14:paraId="6FDC7059"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(NCT02631876)</w:t>
            </w:r>
          </w:p>
        </w:tc>
        <w:tc>
          <w:tcPr>
            <w:tcW w:w="315" w:type="pct"/>
            <w:tcBorders>
              <w:top w:val="single" w:sz="4" w:space="0" w:color="auto"/>
              <w:left w:val="single" w:sz="4" w:space="0" w:color="auto"/>
              <w:bottom w:val="single" w:sz="4" w:space="0" w:color="auto"/>
              <w:right w:val="single" w:sz="4" w:space="0" w:color="auto"/>
            </w:tcBorders>
          </w:tcPr>
          <w:p w14:paraId="76CF0795"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366</w:t>
            </w:r>
          </w:p>
        </w:tc>
        <w:tc>
          <w:tcPr>
            <w:tcW w:w="707" w:type="pct"/>
            <w:tcBorders>
              <w:top w:val="single" w:sz="4" w:space="0" w:color="auto"/>
              <w:left w:val="single" w:sz="4" w:space="0" w:color="auto"/>
              <w:bottom w:val="single" w:sz="4" w:space="0" w:color="auto"/>
              <w:right w:val="single" w:sz="4" w:space="0" w:color="auto"/>
            </w:tcBorders>
            <w:hideMark/>
          </w:tcPr>
          <w:p w14:paraId="7F62C5B4"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R (2:1), OL, MC</w:t>
            </w:r>
          </w:p>
          <w:p w14:paraId="0B477DDC" w14:textId="77777777" w:rsidR="00AB1CF6" w:rsidRPr="00EF2E8A" w:rsidRDefault="00AB1CF6" w:rsidP="00591C83">
            <w:pPr>
              <w:keepNext/>
              <w:spacing w:before="0" w:after="0"/>
              <w:jc w:val="left"/>
              <w:rPr>
                <w:rFonts w:ascii="Arial Narrow" w:hAnsi="Arial Narrow"/>
                <w:sz w:val="20"/>
              </w:rPr>
            </w:pPr>
          </w:p>
          <w:p w14:paraId="50B410F3" w14:textId="101DC531"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Low (for pre</w:t>
            </w:r>
            <w:r w:rsidR="00A46D2B">
              <w:rPr>
                <w:rFonts w:ascii="Arial Narrow" w:hAnsi="Arial Narrow"/>
                <w:sz w:val="20"/>
              </w:rPr>
              <w:noBreakHyphen/>
            </w:r>
            <w:r w:rsidRPr="00EF2E8A">
              <w:rPr>
                <w:rFonts w:ascii="Arial Narrow" w:hAnsi="Arial Narrow"/>
                <w:sz w:val="20"/>
              </w:rPr>
              <w:t>specified analysis)</w:t>
            </w:r>
          </w:p>
          <w:p w14:paraId="26FB24AD" w14:textId="77777777" w:rsidR="00AB1CF6" w:rsidRPr="00EF2E8A" w:rsidRDefault="00AB1CF6" w:rsidP="00591C83">
            <w:pPr>
              <w:keepNext/>
              <w:spacing w:before="0" w:after="0"/>
              <w:jc w:val="left"/>
              <w:rPr>
                <w:rFonts w:ascii="Arial Narrow" w:hAnsi="Arial Narrow"/>
                <w:sz w:val="20"/>
              </w:rPr>
            </w:pPr>
          </w:p>
          <w:p w14:paraId="0BBAD7FE" w14:textId="066511E5"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High (for post</w:t>
            </w:r>
            <w:r w:rsidR="00A46D2B">
              <w:rPr>
                <w:rFonts w:ascii="Arial Narrow" w:hAnsi="Arial Narrow"/>
                <w:sz w:val="20"/>
              </w:rPr>
              <w:noBreakHyphen/>
            </w:r>
            <w:r w:rsidRPr="00EF2E8A">
              <w:rPr>
                <w:rFonts w:ascii="Arial Narrow" w:hAnsi="Arial Narrow"/>
                <w:sz w:val="20"/>
              </w:rPr>
              <w:t>hoc analysis)</w:t>
            </w:r>
          </w:p>
        </w:tc>
        <w:tc>
          <w:tcPr>
            <w:tcW w:w="1729" w:type="pct"/>
            <w:tcBorders>
              <w:top w:val="single" w:sz="4" w:space="0" w:color="auto"/>
              <w:left w:val="single" w:sz="4" w:space="0" w:color="auto"/>
              <w:bottom w:val="single" w:sz="4" w:space="0" w:color="auto"/>
              <w:right w:val="single" w:sz="4" w:space="0" w:color="auto"/>
            </w:tcBorders>
            <w:hideMark/>
          </w:tcPr>
          <w:p w14:paraId="19FCE845" w14:textId="77777777" w:rsidR="00AB1CF6" w:rsidRPr="00EF2E8A" w:rsidRDefault="00AB1CF6" w:rsidP="00591C83">
            <w:pPr>
              <w:keepNext/>
              <w:spacing w:before="0" w:after="0"/>
              <w:jc w:val="left"/>
              <w:rPr>
                <w:rFonts w:ascii="Arial Narrow" w:hAnsi="Arial Narrow"/>
                <w:sz w:val="20"/>
                <w:highlight w:val="lightGray"/>
              </w:rPr>
            </w:pPr>
            <w:r w:rsidRPr="00EF2E8A">
              <w:rPr>
                <w:rFonts w:ascii="Arial Narrow" w:hAnsi="Arial Narrow"/>
                <w:sz w:val="20"/>
              </w:rPr>
              <w:t>Women with PROC; with no more than 3 prior systemic treatment regimens whose tumours had medium (≥50% to &gt;75%) or high (≥75%) FRα expression levels (10X magnification scoring)</w:t>
            </w:r>
          </w:p>
        </w:tc>
        <w:tc>
          <w:tcPr>
            <w:tcW w:w="577" w:type="pct"/>
            <w:tcBorders>
              <w:top w:val="single" w:sz="4" w:space="0" w:color="auto"/>
              <w:left w:val="single" w:sz="4" w:space="0" w:color="auto"/>
              <w:bottom w:val="single" w:sz="4" w:space="0" w:color="auto"/>
              <w:right w:val="single" w:sz="4" w:space="0" w:color="auto"/>
            </w:tcBorders>
            <w:hideMark/>
          </w:tcPr>
          <w:p w14:paraId="16674D00"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PFS (BICR); OS</w:t>
            </w:r>
          </w:p>
        </w:tc>
        <w:tc>
          <w:tcPr>
            <w:tcW w:w="732" w:type="pct"/>
            <w:tcBorders>
              <w:top w:val="single" w:sz="4" w:space="0" w:color="auto"/>
              <w:left w:val="single" w:sz="4" w:space="0" w:color="auto"/>
              <w:bottom w:val="single" w:sz="4" w:space="0" w:color="auto"/>
              <w:right w:val="single" w:sz="4" w:space="0" w:color="auto"/>
            </w:tcBorders>
            <w:hideMark/>
          </w:tcPr>
          <w:p w14:paraId="1401B9BE"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Not used</w:t>
            </w:r>
          </w:p>
        </w:tc>
      </w:tr>
      <w:tr w:rsidR="00AB1CF6" w:rsidRPr="00EF2E8A" w14:paraId="31465DE0" w14:textId="77777777">
        <w:tc>
          <w:tcPr>
            <w:tcW w:w="5000" w:type="pct"/>
            <w:gridSpan w:val="6"/>
            <w:tcBorders>
              <w:top w:val="single" w:sz="4" w:space="0" w:color="auto"/>
              <w:left w:val="single" w:sz="4" w:space="0" w:color="auto"/>
              <w:bottom w:val="single" w:sz="4" w:space="0" w:color="auto"/>
              <w:right w:val="single" w:sz="4" w:space="0" w:color="auto"/>
            </w:tcBorders>
            <w:hideMark/>
          </w:tcPr>
          <w:p w14:paraId="17304150" w14:textId="77777777" w:rsidR="00AB1CF6" w:rsidRPr="00EF2E8A" w:rsidRDefault="00AB1CF6" w:rsidP="00591C83">
            <w:pPr>
              <w:keepNext/>
              <w:spacing w:before="0" w:after="0"/>
              <w:jc w:val="left"/>
              <w:rPr>
                <w:rFonts w:ascii="Arial Narrow" w:hAnsi="Arial Narrow"/>
                <w:b/>
                <w:bCs/>
                <w:sz w:val="20"/>
              </w:rPr>
            </w:pPr>
            <w:r w:rsidRPr="00EF2E8A">
              <w:rPr>
                <w:rFonts w:ascii="Arial Narrow" w:hAnsi="Arial Narrow"/>
                <w:b/>
                <w:bCs/>
                <w:sz w:val="20"/>
              </w:rPr>
              <w:t>BEVA+ICC vs ICC</w:t>
            </w:r>
          </w:p>
        </w:tc>
      </w:tr>
      <w:tr w:rsidR="00AB1CF6" w:rsidRPr="00EF2E8A" w14:paraId="048E2B22" w14:textId="77777777">
        <w:tc>
          <w:tcPr>
            <w:tcW w:w="940" w:type="pct"/>
            <w:tcBorders>
              <w:top w:val="single" w:sz="4" w:space="0" w:color="auto"/>
              <w:left w:val="single" w:sz="4" w:space="0" w:color="auto"/>
              <w:bottom w:val="single" w:sz="4" w:space="0" w:color="auto"/>
              <w:right w:val="single" w:sz="4" w:space="0" w:color="auto"/>
            </w:tcBorders>
          </w:tcPr>
          <w:p w14:paraId="738C1C9C"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AURELIA</w:t>
            </w:r>
          </w:p>
          <w:p w14:paraId="61327C63" w14:textId="459AF73C" w:rsidR="00AB1CF6" w:rsidRPr="00EF2E8A" w:rsidRDefault="00AB1CF6" w:rsidP="00591C83">
            <w:pPr>
              <w:keepNext/>
              <w:spacing w:before="0" w:after="0"/>
              <w:jc w:val="left"/>
              <w:rPr>
                <w:rFonts w:ascii="Arial Narrow" w:hAnsi="Arial Narrow"/>
                <w:sz w:val="20"/>
                <w:szCs w:val="20"/>
              </w:rPr>
            </w:pPr>
            <w:proofErr w:type="spellStart"/>
            <w:r w:rsidRPr="00EF2E8A">
              <w:rPr>
                <w:rFonts w:ascii="Arial Narrow" w:hAnsi="Arial Narrow"/>
                <w:sz w:val="20"/>
                <w:szCs w:val="20"/>
              </w:rPr>
              <w:t>Pujade</w:t>
            </w:r>
            <w:proofErr w:type="spellEnd"/>
            <w:r w:rsidR="00A46D2B">
              <w:rPr>
                <w:rFonts w:ascii="Arial Narrow" w:hAnsi="Arial Narrow"/>
                <w:sz w:val="20"/>
                <w:szCs w:val="20"/>
              </w:rPr>
              <w:noBreakHyphen/>
            </w:r>
            <w:r w:rsidRPr="00EF2E8A">
              <w:rPr>
                <w:rFonts w:ascii="Arial Narrow" w:hAnsi="Arial Narrow"/>
                <w:sz w:val="20"/>
                <w:szCs w:val="20"/>
              </w:rPr>
              <w:t>Lauraine et al, (2014)</w:t>
            </w:r>
          </w:p>
          <w:p w14:paraId="68DADB92"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(NCT00976911)</w:t>
            </w:r>
          </w:p>
        </w:tc>
        <w:tc>
          <w:tcPr>
            <w:tcW w:w="315" w:type="pct"/>
            <w:tcBorders>
              <w:top w:val="single" w:sz="4" w:space="0" w:color="auto"/>
              <w:left w:val="single" w:sz="4" w:space="0" w:color="auto"/>
              <w:bottom w:val="single" w:sz="4" w:space="0" w:color="auto"/>
              <w:right w:val="single" w:sz="4" w:space="0" w:color="auto"/>
            </w:tcBorders>
          </w:tcPr>
          <w:p w14:paraId="2F2668AD"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361</w:t>
            </w:r>
          </w:p>
        </w:tc>
        <w:tc>
          <w:tcPr>
            <w:tcW w:w="707" w:type="pct"/>
            <w:tcBorders>
              <w:top w:val="single" w:sz="4" w:space="0" w:color="auto"/>
              <w:left w:val="single" w:sz="4" w:space="0" w:color="auto"/>
              <w:bottom w:val="single" w:sz="4" w:space="0" w:color="auto"/>
              <w:right w:val="single" w:sz="4" w:space="0" w:color="auto"/>
            </w:tcBorders>
          </w:tcPr>
          <w:p w14:paraId="6F8A7941"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R, OL, MC</w:t>
            </w:r>
          </w:p>
          <w:p w14:paraId="2E5AAC99" w14:textId="77777777" w:rsidR="00AB1CF6" w:rsidRPr="00EF2E8A" w:rsidRDefault="00AB1CF6" w:rsidP="00591C83">
            <w:pPr>
              <w:keepNext/>
              <w:spacing w:before="0" w:after="0"/>
              <w:jc w:val="left"/>
              <w:rPr>
                <w:rFonts w:ascii="Arial Narrow" w:hAnsi="Arial Narrow"/>
                <w:sz w:val="20"/>
              </w:rPr>
            </w:pPr>
          </w:p>
          <w:p w14:paraId="679C3854"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High</w:t>
            </w:r>
          </w:p>
        </w:tc>
        <w:tc>
          <w:tcPr>
            <w:tcW w:w="1729" w:type="pct"/>
            <w:tcBorders>
              <w:top w:val="single" w:sz="4" w:space="0" w:color="auto"/>
              <w:left w:val="single" w:sz="4" w:space="0" w:color="auto"/>
              <w:bottom w:val="single" w:sz="4" w:space="0" w:color="auto"/>
              <w:right w:val="single" w:sz="4" w:space="0" w:color="auto"/>
            </w:tcBorders>
          </w:tcPr>
          <w:p w14:paraId="6F29EB0B" w14:textId="09B4757E"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Women with EOC who had progressed within 6 months of completing 4 or more cycles of platinum</w:t>
            </w:r>
            <w:r w:rsidR="00A46D2B">
              <w:rPr>
                <w:rFonts w:ascii="Arial Narrow" w:hAnsi="Arial Narrow"/>
                <w:sz w:val="20"/>
              </w:rPr>
              <w:noBreakHyphen/>
            </w:r>
            <w:r w:rsidRPr="00EF2E8A">
              <w:rPr>
                <w:rFonts w:ascii="Arial Narrow" w:hAnsi="Arial Narrow"/>
                <w:sz w:val="20"/>
              </w:rPr>
              <w:t>based therapy (biomarker agnostic population)</w:t>
            </w:r>
          </w:p>
        </w:tc>
        <w:tc>
          <w:tcPr>
            <w:tcW w:w="577" w:type="pct"/>
            <w:tcBorders>
              <w:top w:val="single" w:sz="4" w:space="0" w:color="auto"/>
              <w:left w:val="single" w:sz="4" w:space="0" w:color="auto"/>
              <w:bottom w:val="single" w:sz="4" w:space="0" w:color="auto"/>
              <w:right w:val="single" w:sz="4" w:space="0" w:color="auto"/>
            </w:tcBorders>
          </w:tcPr>
          <w:p w14:paraId="362B00DA"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PFS (INV); OS</w:t>
            </w:r>
          </w:p>
        </w:tc>
        <w:tc>
          <w:tcPr>
            <w:tcW w:w="732" w:type="pct"/>
            <w:tcBorders>
              <w:top w:val="single" w:sz="4" w:space="0" w:color="auto"/>
              <w:left w:val="single" w:sz="4" w:space="0" w:color="auto"/>
              <w:bottom w:val="single" w:sz="4" w:space="0" w:color="auto"/>
              <w:right w:val="single" w:sz="4" w:space="0" w:color="auto"/>
            </w:tcBorders>
          </w:tcPr>
          <w:p w14:paraId="2ACC8EC7" w14:textId="77777777" w:rsidR="00AB1CF6" w:rsidRPr="00EF2E8A" w:rsidRDefault="00AB1CF6" w:rsidP="00591C83">
            <w:pPr>
              <w:keepNext/>
              <w:spacing w:before="0" w:after="0"/>
              <w:jc w:val="left"/>
              <w:rPr>
                <w:rFonts w:ascii="Arial Narrow" w:hAnsi="Arial Narrow"/>
                <w:sz w:val="20"/>
              </w:rPr>
            </w:pPr>
            <w:r w:rsidRPr="00EF2E8A">
              <w:rPr>
                <w:rFonts w:ascii="Arial Narrow" w:hAnsi="Arial Narrow"/>
                <w:sz w:val="20"/>
              </w:rPr>
              <w:t>Not used</w:t>
            </w:r>
          </w:p>
        </w:tc>
      </w:tr>
    </w:tbl>
    <w:p w14:paraId="5D196BBA" w14:textId="77777777" w:rsidR="00AB1CF6" w:rsidRPr="00EF2E8A" w:rsidRDefault="00AB1CF6"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 xml:space="preserve">Source: complied during the evaluation from source trial publications. </w:t>
      </w:r>
    </w:p>
    <w:p w14:paraId="3620E804" w14:textId="246B74A6" w:rsidR="00AB1CF6" w:rsidRPr="00EF2E8A" w:rsidRDefault="00AB1CF6" w:rsidP="00591C83">
      <w:pPr>
        <w:spacing w:before="0" w:after="0"/>
        <w:contextualSpacing/>
        <w:rPr>
          <w:rFonts w:ascii="Arial Narrow" w:eastAsia="Times New Roman" w:hAnsi="Arial Narrow" w:cs="Arial"/>
          <w:i/>
          <w:snapToGrid w:val="0"/>
          <w:sz w:val="18"/>
          <w:szCs w:val="20"/>
        </w:rPr>
      </w:pPr>
      <w:r w:rsidRPr="00EF2E8A">
        <w:rPr>
          <w:rFonts w:ascii="Arial Narrow" w:eastAsia="Times New Roman" w:hAnsi="Arial Narrow" w:cs="Arial"/>
          <w:snapToGrid w:val="0"/>
          <w:sz w:val="18"/>
          <w:szCs w:val="20"/>
        </w:rPr>
        <w:t>BEVA= bevacizumab; BICR=blinded independent central review; DB=double blind; EOC=epithelial ovarian cancer; FRα=folate receptor alpha; ICC=investigator's choice of chemotherapy;</w:t>
      </w:r>
      <w:r w:rsidR="00A462B6" w:rsidRPr="00EF2E8A">
        <w:rPr>
          <w:rFonts w:ascii="Arial Narrow" w:eastAsia="Times New Roman" w:hAnsi="Arial Narrow" w:cs="Arial"/>
          <w:snapToGrid w:val="0"/>
          <w:sz w:val="18"/>
          <w:szCs w:val="20"/>
        </w:rPr>
        <w:t xml:space="preserve"> </w:t>
      </w:r>
      <w:r w:rsidRPr="00EF2E8A">
        <w:rPr>
          <w:rFonts w:ascii="Arial Narrow" w:eastAsia="Times New Roman" w:hAnsi="Arial Narrow" w:cs="Arial"/>
          <w:snapToGrid w:val="0"/>
          <w:sz w:val="18"/>
          <w:szCs w:val="20"/>
        </w:rPr>
        <w:t>INV=by investigator assessment; MC=multi</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centre; MIRV=mirvetuximab soravtansine: OL=open label; OS=overall survival; PFS=progression</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free survival; PROC=platinum</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resistant ovarian cancer; R=randomised.</w:t>
      </w:r>
      <w:r w:rsidRPr="00EF2E8A">
        <w:rPr>
          <w:rFonts w:ascii="Arial Narrow" w:eastAsia="Times New Roman" w:hAnsi="Arial Narrow" w:cs="Arial"/>
          <w:i/>
          <w:snapToGrid w:val="0"/>
          <w:sz w:val="18"/>
          <w:szCs w:val="20"/>
        </w:rPr>
        <w:t xml:space="preserve"> </w:t>
      </w:r>
    </w:p>
    <w:p w14:paraId="1115D9C6" w14:textId="77777777" w:rsidR="00C6499E" w:rsidRPr="00EF2E8A" w:rsidRDefault="00C6499E" w:rsidP="00591C83">
      <w:pPr>
        <w:pStyle w:val="OutlineHeading2"/>
        <w:rPr>
          <w:rFonts w:ascii="Calibri" w:hAnsi="Calibri" w:cs="Calibri"/>
        </w:rPr>
      </w:pPr>
      <w:r w:rsidRPr="00EF2E8A">
        <w:rPr>
          <w:rFonts w:ascii="Calibri" w:hAnsi="Calibri" w:cs="Calibri"/>
        </w:rPr>
        <w:t>Comparative effectiveness</w:t>
      </w:r>
    </w:p>
    <w:p w14:paraId="3710D365" w14:textId="77777777" w:rsidR="00AB1CF6" w:rsidRPr="00EF2E8A" w:rsidRDefault="00AB1CF6" w:rsidP="00591C83">
      <w:pPr>
        <w:keepNext/>
        <w:rPr>
          <w:b/>
          <w:bCs/>
          <w:sz w:val="22"/>
          <w:szCs w:val="20"/>
        </w:rPr>
      </w:pPr>
      <w:r w:rsidRPr="00EF2E8A">
        <w:rPr>
          <w:b/>
          <w:bCs/>
          <w:sz w:val="22"/>
          <w:szCs w:val="20"/>
        </w:rPr>
        <w:t>MIRASOL</w:t>
      </w:r>
    </w:p>
    <w:p w14:paraId="3C85BAD6" w14:textId="09AD0B65" w:rsidR="00AB1CF6" w:rsidRPr="00EF2E8A" w:rsidRDefault="00AB1CF6" w:rsidP="00591C83">
      <w:pPr>
        <w:pStyle w:val="ListParagraph"/>
      </w:pPr>
      <w:r w:rsidRPr="00EF2E8A">
        <w:t>The results from the MIRASOL trial for PFS by local investigator are summarised in</w:t>
      </w:r>
      <w:r w:rsidR="00E25816">
        <w:t xml:space="preserve"> </w:t>
      </w:r>
      <w:r w:rsidR="00E25816">
        <w:fldChar w:fldCharType="begin" w:fldLock="1"/>
      </w:r>
      <w:r w:rsidR="00E25816">
        <w:instrText xml:space="preserve"> REF _Ref205199402 \h </w:instrText>
      </w:r>
      <w:r w:rsidR="00E25816">
        <w:fldChar w:fldCharType="separate"/>
      </w:r>
      <w:r w:rsidR="00CC5CAD">
        <w:t xml:space="preserve">Table </w:t>
      </w:r>
      <w:r w:rsidR="00CC5CAD">
        <w:rPr>
          <w:noProof/>
        </w:rPr>
        <w:t>6</w:t>
      </w:r>
      <w:r w:rsidR="00E25816">
        <w:fldChar w:fldCharType="end"/>
      </w:r>
      <w:r w:rsidR="00E25816">
        <w:t xml:space="preserve"> </w:t>
      </w:r>
      <w:r w:rsidRPr="00EF2E8A">
        <w:t>and the Kaplan</w:t>
      </w:r>
      <w:r w:rsidR="00A46D2B">
        <w:noBreakHyphen/>
      </w:r>
      <w:r w:rsidRPr="00EF2E8A">
        <w:t xml:space="preserve">Meier plot for the September 2024 cutoff in </w:t>
      </w:r>
      <w:r w:rsidR="00FF6709">
        <w:fldChar w:fldCharType="begin" w:fldLock="1"/>
      </w:r>
      <w:r w:rsidR="00FF6709">
        <w:instrText xml:space="preserve"> REF _Ref205197803 \h </w:instrText>
      </w:r>
      <w:r w:rsidR="00FF6709">
        <w:fldChar w:fldCharType="separate"/>
      </w:r>
      <w:r w:rsidR="00CC5CAD">
        <w:t xml:space="preserve">Figure </w:t>
      </w:r>
      <w:r w:rsidR="00CC5CAD">
        <w:rPr>
          <w:noProof/>
        </w:rPr>
        <w:t>2</w:t>
      </w:r>
      <w:r w:rsidR="00FF6709">
        <w:fldChar w:fldCharType="end"/>
      </w:r>
      <w:r w:rsidRPr="00EF2E8A">
        <w:t>.</w:t>
      </w:r>
      <w:r w:rsidR="00743A3F" w:rsidRPr="00EF2E8A">
        <w:t xml:space="preserve"> </w:t>
      </w:r>
    </w:p>
    <w:p w14:paraId="6669FF81" w14:textId="1BEAC2A9" w:rsidR="00FF6709" w:rsidRDefault="00FF6709" w:rsidP="00591C83">
      <w:pPr>
        <w:pStyle w:val="Caption"/>
      </w:pPr>
      <w:bookmarkStart w:id="32" w:name="_Ref205199402"/>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6</w:t>
      </w:r>
      <w:r w:rsidR="00CC5CAD">
        <w:rPr>
          <w:noProof/>
        </w:rPr>
        <w:fldChar w:fldCharType="end"/>
      </w:r>
      <w:bookmarkEnd w:id="32"/>
      <w:r>
        <w:t xml:space="preserve">: </w:t>
      </w:r>
      <w:r w:rsidRPr="0077383C">
        <w:t>Results of primary endpoint (ITT): PFS by local investigator</w:t>
      </w:r>
    </w:p>
    <w:tbl>
      <w:tblPr>
        <w:tblStyle w:val="ACE"/>
        <w:tblW w:w="4988" w:type="pct"/>
        <w:tblLayout w:type="fixed"/>
        <w:tblCellMar>
          <w:left w:w="28" w:type="dxa"/>
          <w:right w:w="28" w:type="dxa"/>
        </w:tblCellMar>
        <w:tblLook w:val="04A0" w:firstRow="1" w:lastRow="0" w:firstColumn="1" w:lastColumn="0" w:noHBand="0" w:noVBand="1"/>
        <w:tblCaption w:val="Table 6: Results of primary endpoint (ITT): PFS by local investigator"/>
      </w:tblPr>
      <w:tblGrid>
        <w:gridCol w:w="966"/>
        <w:gridCol w:w="1146"/>
        <w:gridCol w:w="1123"/>
        <w:gridCol w:w="1171"/>
        <w:gridCol w:w="1229"/>
        <w:gridCol w:w="1065"/>
        <w:gridCol w:w="1147"/>
        <w:gridCol w:w="1147"/>
      </w:tblGrid>
      <w:tr w:rsidR="00545BE1" w:rsidRPr="00EF2E8A" w14:paraId="126453AF" w14:textId="77777777" w:rsidTr="00545BE1">
        <w:trPr>
          <w:cnfStyle w:val="100000000000" w:firstRow="1" w:lastRow="0" w:firstColumn="0" w:lastColumn="0" w:oddVBand="0" w:evenVBand="0" w:oddHBand="0" w:evenHBand="0" w:firstRowFirstColumn="0" w:firstRowLastColumn="0" w:lastRowFirstColumn="0" w:lastRowLastColumn="0"/>
          <w:tblHeader/>
        </w:trPr>
        <w:tc>
          <w:tcPr>
            <w:tcW w:w="966" w:type="dxa"/>
            <w:tcBorders>
              <w:top w:val="single" w:sz="4" w:space="0" w:color="auto"/>
              <w:bottom w:val="single" w:sz="4" w:space="0" w:color="auto"/>
              <w:right w:val="single" w:sz="4" w:space="0" w:color="auto"/>
            </w:tcBorders>
            <w:shd w:val="clear" w:color="auto" w:fill="auto"/>
          </w:tcPr>
          <w:p w14:paraId="1CF10469" w14:textId="77777777" w:rsidR="007F39AA" w:rsidRPr="00EF2E8A" w:rsidRDefault="007F39AA" w:rsidP="00591C83">
            <w:pPr>
              <w:keepNext/>
              <w:keepLines/>
              <w:spacing w:before="0"/>
              <w:jc w:val="left"/>
              <w:rPr>
                <w:rFonts w:ascii="Arial Narrow" w:hAnsi="Arial Narrow" w:cs="Calibri"/>
                <w:sz w:val="20"/>
                <w:lang w:val="en-AU"/>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0CA8E3" w14:textId="27CE60DD" w:rsidR="007F39AA" w:rsidRPr="00EF2E8A" w:rsidRDefault="007F39AA" w:rsidP="00591C83">
            <w:pPr>
              <w:keepNext/>
              <w:keepLines/>
              <w:spacing w:before="0"/>
              <w:jc w:val="left"/>
              <w:rPr>
                <w:rFonts w:ascii="Arial Narrow" w:hAnsi="Arial Narrow" w:cs="Calibri"/>
                <w:kern w:val="24"/>
                <w:sz w:val="20"/>
                <w:lang w:val="en-AU"/>
              </w:rPr>
            </w:pPr>
            <w:r w:rsidRPr="00EF2E8A">
              <w:rPr>
                <w:rFonts w:ascii="Arial Narrow" w:hAnsi="Arial Narrow" w:cs="Calibri"/>
                <w:bCs/>
                <w:sz w:val="20"/>
                <w:lang w:val="en-AU"/>
              </w:rPr>
              <w:t>MIRV (N=227)</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DDEEB" w14:textId="7DC13CAA" w:rsidR="007F39AA" w:rsidRPr="00EF2E8A" w:rsidRDefault="007F39AA"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ICC (N=226)</w:t>
            </w:r>
          </w:p>
        </w:tc>
        <w:tc>
          <w:tcPr>
            <w:tcW w:w="3359" w:type="dxa"/>
            <w:gridSpan w:val="3"/>
            <w:tcBorders>
              <w:top w:val="single" w:sz="4" w:space="0" w:color="auto"/>
              <w:left w:val="single" w:sz="4" w:space="0" w:color="auto"/>
              <w:bottom w:val="single" w:sz="4" w:space="0" w:color="auto"/>
            </w:tcBorders>
            <w:shd w:val="clear" w:color="auto" w:fill="auto"/>
          </w:tcPr>
          <w:p w14:paraId="6C8DAE4B" w14:textId="3DBD76D7" w:rsidR="007F39AA" w:rsidRPr="00EF2E8A" w:rsidRDefault="007F39AA" w:rsidP="00591C83">
            <w:pPr>
              <w:keepNext/>
              <w:keepLines/>
              <w:spacing w:before="0"/>
              <w:jc w:val="left"/>
              <w:rPr>
                <w:rFonts w:ascii="Arial Narrow" w:hAnsi="Arial Narrow" w:cs="Calibri"/>
                <w:sz w:val="20"/>
                <w:szCs w:val="20"/>
                <w:lang w:val="en-AU"/>
              </w:rPr>
            </w:pPr>
          </w:p>
        </w:tc>
      </w:tr>
      <w:tr w:rsidR="00545BE1" w:rsidRPr="00EF2E8A" w14:paraId="6FEF59D5" w14:textId="77777777" w:rsidTr="00545BE1">
        <w:trPr>
          <w:cnfStyle w:val="100000000000" w:firstRow="1" w:lastRow="0" w:firstColumn="0" w:lastColumn="0" w:oddVBand="0" w:evenVBand="0" w:oddHBand="0" w:evenHBand="0" w:firstRowFirstColumn="0" w:firstRowLastColumn="0" w:lastRowFirstColumn="0" w:lastRowLastColumn="0"/>
          <w:tblHeader/>
        </w:trPr>
        <w:tc>
          <w:tcPr>
            <w:tcW w:w="966" w:type="dxa"/>
            <w:tcBorders>
              <w:top w:val="single" w:sz="4" w:space="0" w:color="auto"/>
              <w:bottom w:val="single" w:sz="4" w:space="0" w:color="auto"/>
              <w:right w:val="single" w:sz="4" w:space="0" w:color="auto"/>
            </w:tcBorders>
            <w:shd w:val="clear" w:color="auto" w:fill="auto"/>
          </w:tcPr>
          <w:p w14:paraId="1F8F8814" w14:textId="77777777" w:rsidR="00265AEF" w:rsidRPr="00EF2E8A" w:rsidRDefault="00265AEF"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Outcome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064326B" w14:textId="11353BA5" w:rsidR="00265AEF" w:rsidRPr="00EF2E8A" w:rsidRDefault="00265AEF" w:rsidP="00591C83">
            <w:pPr>
              <w:keepNext/>
              <w:keepLines/>
              <w:spacing w:before="0"/>
              <w:jc w:val="left"/>
              <w:rPr>
                <w:rFonts w:ascii="Arial Narrow" w:hAnsi="Arial Narrow" w:cs="Calibri"/>
                <w:kern w:val="24"/>
                <w:sz w:val="20"/>
                <w:lang w:val="en-AU"/>
              </w:rPr>
            </w:pPr>
            <w:r w:rsidRPr="00EF2E8A">
              <w:rPr>
                <w:rFonts w:ascii="Arial Narrow" w:hAnsi="Arial Narrow" w:cs="Calibri"/>
                <w:kern w:val="24"/>
                <w:sz w:val="20"/>
                <w:lang w:val="en-AU"/>
              </w:rPr>
              <w:t>n with event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7EEF13D3" w14:textId="04024BBE" w:rsidR="00265AEF" w:rsidRPr="00EF2E8A" w:rsidRDefault="00265AEF" w:rsidP="00591C83">
            <w:pPr>
              <w:keepNext/>
              <w:keepLines/>
              <w:spacing w:before="0"/>
              <w:jc w:val="left"/>
              <w:rPr>
                <w:rFonts w:ascii="Arial Narrow" w:eastAsia="Times New Roman" w:hAnsi="Arial Narrow"/>
                <w:sz w:val="20"/>
                <w:lang w:val="en-AU"/>
              </w:rPr>
            </w:pPr>
            <w:r w:rsidRPr="00EF2E8A">
              <w:rPr>
                <w:rFonts w:ascii="Arial Narrow" w:eastAsia="Times New Roman" w:hAnsi="Arial Narrow" w:cs="Calibri"/>
                <w:kern w:val="24"/>
                <w:sz w:val="20"/>
                <w:lang w:val="en-AU"/>
              </w:rPr>
              <w:t>Median time to PFS</w:t>
            </w:r>
            <w:r w:rsidR="004C506F" w:rsidRPr="00EF2E8A">
              <w:rPr>
                <w:rFonts w:ascii="Arial Narrow" w:eastAsia="Times New Roman" w:hAnsi="Arial Narrow" w:cs="Calibri"/>
                <w:kern w:val="24"/>
                <w:sz w:val="20"/>
                <w:lang w:val="en-AU"/>
              </w:rPr>
              <w:t xml:space="preserve"> event</w:t>
            </w:r>
            <w:r w:rsidRPr="00EF2E8A">
              <w:rPr>
                <w:rFonts w:ascii="Arial Narrow" w:eastAsia="Times New Roman" w:hAnsi="Arial Narrow" w:cs="Calibri"/>
                <w:kern w:val="24"/>
                <w:sz w:val="20"/>
                <w:lang w:val="en-AU"/>
              </w:rPr>
              <w:t xml:space="preserve"> (mo)</w:t>
            </w:r>
          </w:p>
          <w:p w14:paraId="080D11C5" w14:textId="77777777" w:rsidR="0020072B" w:rsidRDefault="00265AEF" w:rsidP="00591C83">
            <w:pPr>
              <w:keepNext/>
              <w:keepLines/>
              <w:spacing w:before="0"/>
              <w:jc w:val="left"/>
              <w:rPr>
                <w:rFonts w:ascii="Arial Narrow" w:eastAsia="Times New Roman" w:hAnsi="Arial Narrow" w:cs="Calibri"/>
                <w:b w:val="0"/>
                <w:kern w:val="24"/>
                <w:sz w:val="20"/>
                <w:lang w:val="en-AU"/>
              </w:rPr>
            </w:pPr>
            <w:r w:rsidRPr="00EF2E8A">
              <w:rPr>
                <w:rFonts w:ascii="Arial Narrow" w:eastAsia="Times New Roman" w:hAnsi="Arial Narrow" w:cs="Calibri"/>
                <w:kern w:val="24"/>
                <w:sz w:val="20"/>
                <w:lang w:val="en-AU"/>
              </w:rPr>
              <w:t>(95%</w:t>
            </w:r>
          </w:p>
          <w:p w14:paraId="34D88781" w14:textId="67A6E0DB" w:rsidR="00265AEF" w:rsidRPr="00EF2E8A" w:rsidRDefault="00265AEF" w:rsidP="00591C83">
            <w:pPr>
              <w:keepNext/>
              <w:keepLines/>
              <w:spacing w:before="0"/>
              <w:jc w:val="left"/>
              <w:rPr>
                <w:rFonts w:ascii="Arial Narrow" w:eastAsia="Times New Roman" w:hAnsi="Arial Narrow" w:cs="Calibri"/>
                <w:kern w:val="24"/>
                <w:sz w:val="20"/>
                <w:lang w:val="en-AU"/>
              </w:rPr>
            </w:pPr>
            <w:r w:rsidRPr="00EF2E8A">
              <w:rPr>
                <w:rFonts w:ascii="Arial Narrow" w:eastAsia="Times New Roman" w:hAnsi="Arial Narrow" w:cs="Calibri"/>
                <w:kern w:val="24"/>
                <w:sz w:val="20"/>
                <w:lang w:val="en-AU"/>
              </w:rPr>
              <w:t xml:space="preserve"> CI)</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1D33175" w14:textId="423DD91F" w:rsidR="00265AEF" w:rsidRPr="00EF2E8A" w:rsidRDefault="00265AEF" w:rsidP="00591C83">
            <w:pPr>
              <w:keepNext/>
              <w:keepLines/>
              <w:spacing w:before="0"/>
              <w:jc w:val="left"/>
              <w:rPr>
                <w:rFonts w:ascii="Arial Narrow" w:hAnsi="Arial Narrow" w:cs="Calibri"/>
                <w:kern w:val="24"/>
                <w:sz w:val="20"/>
                <w:lang w:val="en-AU"/>
              </w:rPr>
            </w:pPr>
            <w:r w:rsidRPr="00EF2E8A">
              <w:rPr>
                <w:rFonts w:ascii="Arial Narrow" w:hAnsi="Arial Narrow" w:cs="Calibri"/>
                <w:kern w:val="24"/>
                <w:sz w:val="20"/>
                <w:lang w:val="en-AU"/>
              </w:rPr>
              <w:t>n with event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E1D4E4A" w14:textId="28EE3818" w:rsidR="00265AEF" w:rsidRPr="00EF2E8A" w:rsidRDefault="00265AEF" w:rsidP="00591C83">
            <w:pPr>
              <w:keepNext/>
              <w:keepLines/>
              <w:spacing w:before="0"/>
              <w:jc w:val="left"/>
              <w:rPr>
                <w:rFonts w:ascii="Arial Narrow" w:hAnsi="Arial Narrow" w:cs="Calibri"/>
                <w:kern w:val="24"/>
                <w:sz w:val="20"/>
                <w:lang w:val="en-AU"/>
              </w:rPr>
            </w:pPr>
            <w:r w:rsidRPr="00EF2E8A">
              <w:rPr>
                <w:rFonts w:ascii="Arial Narrow" w:hAnsi="Arial Narrow" w:cs="Calibri"/>
                <w:kern w:val="24"/>
                <w:sz w:val="20"/>
                <w:lang w:val="en-AU"/>
              </w:rPr>
              <w:t>Median time to PFS</w:t>
            </w:r>
            <w:r w:rsidR="004C506F" w:rsidRPr="00EF2E8A">
              <w:rPr>
                <w:rFonts w:ascii="Arial Narrow" w:hAnsi="Arial Narrow" w:cs="Calibri"/>
                <w:kern w:val="24"/>
                <w:sz w:val="20"/>
                <w:lang w:val="en-AU"/>
              </w:rPr>
              <w:t xml:space="preserve"> event</w:t>
            </w:r>
            <w:r w:rsidRPr="00EF2E8A">
              <w:rPr>
                <w:rFonts w:ascii="Arial Narrow" w:hAnsi="Arial Narrow" w:cs="Calibri"/>
                <w:kern w:val="24"/>
                <w:sz w:val="20"/>
                <w:lang w:val="en-AU"/>
              </w:rPr>
              <w:t xml:space="preserve"> (mo)</w:t>
            </w:r>
          </w:p>
          <w:p w14:paraId="55513F3A" w14:textId="77777777" w:rsidR="00265AEF" w:rsidRPr="00EF2E8A" w:rsidRDefault="00265AEF" w:rsidP="00591C83">
            <w:pPr>
              <w:keepNext/>
              <w:keepLines/>
              <w:spacing w:before="0"/>
              <w:jc w:val="left"/>
              <w:rPr>
                <w:rFonts w:ascii="Arial Narrow" w:hAnsi="Arial Narrow" w:cs="Calibri"/>
                <w:kern w:val="24"/>
                <w:sz w:val="20"/>
                <w:lang w:val="en-AU"/>
              </w:rPr>
            </w:pPr>
            <w:r w:rsidRPr="00EF2E8A">
              <w:rPr>
                <w:rFonts w:ascii="Arial Narrow" w:hAnsi="Arial Narrow" w:cs="Calibri"/>
                <w:kern w:val="24"/>
                <w:sz w:val="20"/>
                <w:lang w:val="en-AU"/>
              </w:rPr>
              <w:t>(95% CI)</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8F385D0" w14:textId="5F21CAD9" w:rsidR="00265AEF" w:rsidRPr="00EF2E8A" w:rsidRDefault="00265AEF"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Difference in median</w:t>
            </w:r>
            <w:r w:rsidR="007070A2" w:rsidRPr="00EF2E8A">
              <w:rPr>
                <w:rFonts w:ascii="Arial Narrow" w:hAnsi="Arial Narrow" w:cs="Calibri"/>
                <w:sz w:val="20"/>
                <w:lang w:val="en-AU"/>
              </w:rPr>
              <w:t xml:space="preserve"> PFS</w:t>
            </w:r>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21614C10" w14:textId="24276D59" w:rsidR="00265AEF" w:rsidRPr="00EF2E8A" w:rsidRDefault="00265AEF"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P</w:t>
            </w:r>
            <w:r w:rsidR="00A46D2B">
              <w:rPr>
                <w:rFonts w:ascii="Arial Narrow" w:hAnsi="Arial Narrow" w:cs="Calibri"/>
                <w:sz w:val="20"/>
                <w:lang w:val="en-AU"/>
              </w:rPr>
              <w:noBreakHyphen/>
            </w:r>
            <w:r w:rsidRPr="00EF2E8A">
              <w:rPr>
                <w:rFonts w:ascii="Arial Narrow" w:hAnsi="Arial Narrow" w:cs="Calibri"/>
                <w:sz w:val="20"/>
                <w:lang w:val="en-AU"/>
              </w:rPr>
              <w:t>value (log rank test)</w:t>
            </w:r>
          </w:p>
        </w:tc>
        <w:tc>
          <w:tcPr>
            <w:tcW w:w="1147" w:type="dxa"/>
            <w:tcBorders>
              <w:top w:val="single" w:sz="4" w:space="0" w:color="auto"/>
              <w:left w:val="single" w:sz="4" w:space="0" w:color="auto"/>
              <w:bottom w:val="single" w:sz="4" w:space="0" w:color="auto"/>
            </w:tcBorders>
            <w:shd w:val="clear" w:color="auto" w:fill="auto"/>
          </w:tcPr>
          <w:p w14:paraId="2CAFD0F0" w14:textId="77777777" w:rsidR="00265AEF" w:rsidRPr="00EF2E8A" w:rsidRDefault="00265AEF"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HR (95% CI)</w:t>
            </w:r>
          </w:p>
        </w:tc>
      </w:tr>
      <w:tr w:rsidR="00265AEF" w:rsidRPr="00EF2E8A" w14:paraId="203B3105" w14:textId="77777777" w:rsidTr="00545BE1">
        <w:tc>
          <w:tcPr>
            <w:tcW w:w="8994" w:type="dxa"/>
            <w:gridSpan w:val="8"/>
            <w:tcBorders>
              <w:top w:val="single" w:sz="4" w:space="0" w:color="auto"/>
              <w:bottom w:val="single" w:sz="4" w:space="0" w:color="auto"/>
            </w:tcBorders>
          </w:tcPr>
          <w:p w14:paraId="4C5627A1" w14:textId="25500F40" w:rsidR="00265AEF" w:rsidRPr="00EF2E8A" w:rsidRDefault="00265AEF" w:rsidP="00591C83">
            <w:pPr>
              <w:keepNext/>
              <w:keepLines/>
              <w:autoSpaceDE w:val="0"/>
              <w:autoSpaceDN w:val="0"/>
              <w:adjustRightInd w:val="0"/>
              <w:spacing w:before="0"/>
              <w:jc w:val="left"/>
              <w:rPr>
                <w:rFonts w:ascii="Arial Narrow" w:hAnsi="Arial Narrow" w:cs="Calibri"/>
                <w:b/>
                <w:bCs/>
                <w:color w:val="000000"/>
                <w:sz w:val="20"/>
                <w:lang w:val="en-AU"/>
              </w:rPr>
            </w:pPr>
            <w:r w:rsidRPr="00EF2E8A">
              <w:rPr>
                <w:rFonts w:ascii="Arial Narrow" w:hAnsi="Arial Narrow" w:cs="Calibri"/>
                <w:b/>
                <w:bCs/>
                <w:color w:val="000000"/>
                <w:sz w:val="20"/>
                <w:lang w:val="en-AU"/>
              </w:rPr>
              <w:t>MIRASOL March 2023 data cutoff (median follow</w:t>
            </w:r>
            <w:r w:rsidR="00A46D2B">
              <w:rPr>
                <w:rFonts w:ascii="Arial Narrow" w:hAnsi="Arial Narrow" w:cs="Calibri"/>
                <w:b/>
                <w:bCs/>
                <w:color w:val="000000"/>
                <w:sz w:val="20"/>
                <w:lang w:val="en-AU"/>
              </w:rPr>
              <w:noBreakHyphen/>
            </w:r>
            <w:r w:rsidRPr="00EF2E8A">
              <w:rPr>
                <w:rFonts w:ascii="Arial Narrow" w:hAnsi="Arial Narrow" w:cs="Calibri"/>
                <w:b/>
                <w:bCs/>
                <w:color w:val="000000"/>
                <w:sz w:val="20"/>
                <w:lang w:val="en-AU"/>
              </w:rPr>
              <w:t>up 11.20 mo [95% CI 9.99, 13.70])</w:t>
            </w:r>
          </w:p>
        </w:tc>
      </w:tr>
      <w:tr w:rsidR="00545BE1" w:rsidRPr="00EF2E8A" w14:paraId="28C79678" w14:textId="77777777" w:rsidTr="00545BE1">
        <w:tc>
          <w:tcPr>
            <w:tcW w:w="966" w:type="dxa"/>
            <w:tcBorders>
              <w:bottom w:val="nil"/>
            </w:tcBorders>
            <w:hideMark/>
          </w:tcPr>
          <w:p w14:paraId="19D44504" w14:textId="64F7021F" w:rsidR="00265AEF" w:rsidRPr="00EF2E8A" w:rsidRDefault="00265AEF" w:rsidP="00591C83">
            <w:pPr>
              <w:keepNext/>
              <w:keepLines/>
              <w:spacing w:before="0"/>
              <w:rPr>
                <w:rFonts w:ascii="Arial Narrow" w:hAnsi="Arial Narrow" w:cs="Calibri"/>
                <w:sz w:val="20"/>
                <w:lang w:val="en-AU"/>
              </w:rPr>
            </w:pPr>
            <w:r w:rsidRPr="00EF2E8A">
              <w:rPr>
                <w:rFonts w:ascii="Arial Narrow" w:hAnsi="Arial Narrow" w:cs="Calibri"/>
                <w:sz w:val="20"/>
                <w:lang w:val="en-AU"/>
              </w:rPr>
              <w:t>PFS</w:t>
            </w:r>
          </w:p>
        </w:tc>
        <w:tc>
          <w:tcPr>
            <w:tcW w:w="1146" w:type="dxa"/>
            <w:tcBorders>
              <w:bottom w:val="nil"/>
            </w:tcBorders>
            <w:hideMark/>
          </w:tcPr>
          <w:p w14:paraId="7F6866C4" w14:textId="59BF4C3B"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176 (77.5%)</w:t>
            </w:r>
          </w:p>
        </w:tc>
        <w:tc>
          <w:tcPr>
            <w:tcW w:w="1123" w:type="dxa"/>
            <w:tcBorders>
              <w:bottom w:val="nil"/>
            </w:tcBorders>
            <w:hideMark/>
          </w:tcPr>
          <w:p w14:paraId="633B75DF"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5.62</w:t>
            </w:r>
          </w:p>
          <w:p w14:paraId="7B25D1D6"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(4.34, 5.95)</w:t>
            </w:r>
          </w:p>
        </w:tc>
        <w:tc>
          <w:tcPr>
            <w:tcW w:w="1171" w:type="dxa"/>
            <w:tcBorders>
              <w:bottom w:val="nil"/>
            </w:tcBorders>
            <w:hideMark/>
          </w:tcPr>
          <w:p w14:paraId="74EFF92C" w14:textId="2353406F"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166</w:t>
            </w:r>
          </w:p>
          <w:p w14:paraId="353705B2"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(73.5%)</w:t>
            </w:r>
          </w:p>
        </w:tc>
        <w:tc>
          <w:tcPr>
            <w:tcW w:w="1229" w:type="dxa"/>
            <w:tcBorders>
              <w:bottom w:val="nil"/>
            </w:tcBorders>
            <w:hideMark/>
          </w:tcPr>
          <w:p w14:paraId="1AE2491F"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3.98</w:t>
            </w:r>
            <w:r w:rsidRPr="00EF2E8A">
              <w:rPr>
                <w:rFonts w:ascii="Arial Narrow" w:hAnsi="Arial Narrow" w:cs="Calibri"/>
                <w:sz w:val="20"/>
                <w:vertAlign w:val="superscript"/>
                <w:lang w:val="en-AU"/>
              </w:rPr>
              <w:t>b</w:t>
            </w:r>
          </w:p>
          <w:p w14:paraId="761BDA5D"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(2.86, 4.47)</w:t>
            </w:r>
          </w:p>
        </w:tc>
        <w:tc>
          <w:tcPr>
            <w:tcW w:w="1065" w:type="dxa"/>
            <w:tcBorders>
              <w:bottom w:val="nil"/>
            </w:tcBorders>
            <w:hideMark/>
          </w:tcPr>
          <w:p w14:paraId="25951327"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1.64</w:t>
            </w:r>
          </w:p>
        </w:tc>
        <w:tc>
          <w:tcPr>
            <w:tcW w:w="1147" w:type="dxa"/>
            <w:tcBorders>
              <w:bottom w:val="nil"/>
            </w:tcBorders>
            <w:hideMark/>
          </w:tcPr>
          <w:p w14:paraId="630C9243" w14:textId="77777777" w:rsidR="00265AEF" w:rsidRPr="00EF2E8A" w:rsidRDefault="00265AEF" w:rsidP="00591C83">
            <w:pPr>
              <w:keepNext/>
              <w:keepLines/>
              <w:spacing w:before="0"/>
              <w:jc w:val="center"/>
              <w:rPr>
                <w:rFonts w:ascii="Arial Narrow" w:hAnsi="Arial Narrow" w:cs="Calibri"/>
                <w:b/>
                <w:bCs/>
                <w:sz w:val="20"/>
                <w:lang w:val="en-AU"/>
              </w:rPr>
            </w:pPr>
            <w:r w:rsidRPr="00EF2E8A">
              <w:rPr>
                <w:rFonts w:ascii="Arial Narrow" w:hAnsi="Arial Narrow" w:cs="Calibri"/>
                <w:b/>
                <w:bCs/>
                <w:sz w:val="20"/>
                <w:lang w:val="en-AU"/>
              </w:rPr>
              <w:t>&lt;0.0001</w:t>
            </w:r>
          </w:p>
        </w:tc>
        <w:tc>
          <w:tcPr>
            <w:tcW w:w="1147" w:type="dxa"/>
            <w:tcBorders>
              <w:bottom w:val="nil"/>
            </w:tcBorders>
            <w:hideMark/>
          </w:tcPr>
          <w:p w14:paraId="7453FF09" w14:textId="77777777" w:rsidR="00265AEF" w:rsidRPr="00EF2E8A" w:rsidRDefault="00265AEF" w:rsidP="00591C83">
            <w:pPr>
              <w:keepNext/>
              <w:keepLines/>
              <w:spacing w:before="0"/>
              <w:jc w:val="center"/>
              <w:rPr>
                <w:rFonts w:ascii="Arial Narrow" w:hAnsi="Arial Narrow" w:cs="Calibri"/>
                <w:b/>
                <w:bCs/>
                <w:sz w:val="20"/>
                <w:lang w:val="en-AU"/>
              </w:rPr>
            </w:pPr>
            <w:r w:rsidRPr="00EF2E8A">
              <w:rPr>
                <w:rFonts w:ascii="Arial Narrow" w:hAnsi="Arial Narrow" w:cs="Calibri"/>
                <w:b/>
                <w:bCs/>
                <w:sz w:val="20"/>
                <w:lang w:val="en-AU"/>
              </w:rPr>
              <w:t>0.65</w:t>
            </w:r>
          </w:p>
          <w:p w14:paraId="556BEF49" w14:textId="77777777" w:rsidR="00265AEF" w:rsidRPr="00EF2E8A" w:rsidRDefault="00265AEF" w:rsidP="00591C83">
            <w:pPr>
              <w:keepNext/>
              <w:keepLines/>
              <w:spacing w:before="0"/>
              <w:jc w:val="center"/>
              <w:rPr>
                <w:rFonts w:ascii="Arial Narrow" w:hAnsi="Arial Narrow" w:cs="Calibri"/>
                <w:b/>
                <w:bCs/>
                <w:sz w:val="20"/>
                <w:lang w:val="en-AU"/>
              </w:rPr>
            </w:pPr>
            <w:r w:rsidRPr="00EF2E8A">
              <w:rPr>
                <w:rFonts w:ascii="Arial Narrow" w:hAnsi="Arial Narrow" w:cs="Calibri"/>
                <w:b/>
                <w:bCs/>
                <w:sz w:val="20"/>
                <w:lang w:val="en-AU"/>
              </w:rPr>
              <w:t>(0.521, 0.808)</w:t>
            </w:r>
          </w:p>
        </w:tc>
      </w:tr>
      <w:tr w:rsidR="00545BE1" w:rsidRPr="00EF2E8A" w14:paraId="7FB48B0B" w14:textId="77777777" w:rsidTr="00545BE1">
        <w:tc>
          <w:tcPr>
            <w:tcW w:w="966" w:type="dxa"/>
            <w:tcBorders>
              <w:top w:val="nil"/>
              <w:bottom w:val="nil"/>
            </w:tcBorders>
          </w:tcPr>
          <w:p w14:paraId="0BE42FFF" w14:textId="77777777" w:rsidR="00265AEF" w:rsidRPr="00EF2E8A" w:rsidRDefault="00265AEF" w:rsidP="00591C83">
            <w:pPr>
              <w:keepNext/>
              <w:keepLines/>
              <w:spacing w:before="0"/>
              <w:rPr>
                <w:rFonts w:ascii="Arial Narrow" w:hAnsi="Arial Narrow" w:cs="Calibri"/>
                <w:sz w:val="20"/>
                <w:lang w:val="en-AU"/>
              </w:rPr>
            </w:pPr>
            <w:r w:rsidRPr="00EF2E8A">
              <w:rPr>
                <w:rFonts w:ascii="Arial Narrow" w:hAnsi="Arial Narrow" w:cs="Calibri"/>
                <w:sz w:val="20"/>
                <w:lang w:val="en-AU"/>
              </w:rPr>
              <w:t xml:space="preserve">   </w:t>
            </w:r>
            <w:proofErr w:type="spellStart"/>
            <w:r w:rsidRPr="00EF2E8A">
              <w:rPr>
                <w:rFonts w:ascii="Arial Narrow" w:hAnsi="Arial Narrow" w:cs="Calibri"/>
                <w:sz w:val="20"/>
                <w:lang w:val="en-AU"/>
              </w:rPr>
              <w:t>PD</w:t>
            </w:r>
            <w:r w:rsidRPr="00EF2E8A">
              <w:rPr>
                <w:rFonts w:ascii="Arial Narrow" w:hAnsi="Arial Narrow" w:cs="Calibri"/>
                <w:sz w:val="20"/>
                <w:vertAlign w:val="superscript"/>
                <w:lang w:val="en-AU"/>
              </w:rPr>
              <w:t>a</w:t>
            </w:r>
            <w:proofErr w:type="spellEnd"/>
          </w:p>
        </w:tc>
        <w:tc>
          <w:tcPr>
            <w:tcW w:w="1146" w:type="dxa"/>
            <w:tcBorders>
              <w:top w:val="nil"/>
              <w:bottom w:val="nil"/>
            </w:tcBorders>
          </w:tcPr>
          <w:p w14:paraId="4C11F82B"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 xml:space="preserve">163 (71.8%) </w:t>
            </w:r>
          </w:p>
        </w:tc>
        <w:tc>
          <w:tcPr>
            <w:tcW w:w="1123" w:type="dxa"/>
            <w:tcBorders>
              <w:top w:val="nil"/>
              <w:bottom w:val="nil"/>
            </w:tcBorders>
          </w:tcPr>
          <w:p w14:paraId="686A5BBE" w14:textId="06A2A652"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71" w:type="dxa"/>
            <w:tcBorders>
              <w:top w:val="nil"/>
              <w:bottom w:val="nil"/>
            </w:tcBorders>
          </w:tcPr>
          <w:p w14:paraId="534E64DC"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150 (66.4%)</w:t>
            </w:r>
          </w:p>
        </w:tc>
        <w:tc>
          <w:tcPr>
            <w:tcW w:w="1229" w:type="dxa"/>
            <w:tcBorders>
              <w:top w:val="nil"/>
              <w:bottom w:val="nil"/>
            </w:tcBorders>
          </w:tcPr>
          <w:p w14:paraId="018027CA" w14:textId="5253F293"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65" w:type="dxa"/>
            <w:tcBorders>
              <w:top w:val="nil"/>
              <w:bottom w:val="nil"/>
            </w:tcBorders>
          </w:tcPr>
          <w:p w14:paraId="2C831805" w14:textId="36963FF1"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top w:val="nil"/>
              <w:bottom w:val="nil"/>
            </w:tcBorders>
          </w:tcPr>
          <w:p w14:paraId="3C3D5507" w14:textId="3EA9128A"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top w:val="nil"/>
              <w:bottom w:val="nil"/>
            </w:tcBorders>
          </w:tcPr>
          <w:p w14:paraId="17F3D163" w14:textId="5059FEAE"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r w:rsidR="00545BE1" w:rsidRPr="00EF2E8A" w14:paraId="14569584" w14:textId="77777777" w:rsidTr="00545BE1">
        <w:tc>
          <w:tcPr>
            <w:tcW w:w="966" w:type="dxa"/>
            <w:tcBorders>
              <w:top w:val="nil"/>
              <w:bottom w:val="single" w:sz="4" w:space="0" w:color="auto"/>
            </w:tcBorders>
          </w:tcPr>
          <w:p w14:paraId="4C471B28" w14:textId="77777777" w:rsidR="00265AEF" w:rsidRPr="00EF2E8A" w:rsidRDefault="00265AEF" w:rsidP="00591C83">
            <w:pPr>
              <w:keepNext/>
              <w:keepLines/>
              <w:spacing w:before="0"/>
              <w:rPr>
                <w:rFonts w:ascii="Arial Narrow" w:hAnsi="Arial Narrow" w:cs="Calibri"/>
                <w:sz w:val="20"/>
                <w:lang w:val="en-AU"/>
              </w:rPr>
            </w:pPr>
            <w:r w:rsidRPr="00EF2E8A">
              <w:rPr>
                <w:rFonts w:ascii="Arial Narrow" w:hAnsi="Arial Narrow" w:cs="Calibri"/>
                <w:sz w:val="20"/>
                <w:lang w:val="en-AU"/>
              </w:rPr>
              <w:t xml:space="preserve">   Deaths</w:t>
            </w:r>
          </w:p>
        </w:tc>
        <w:tc>
          <w:tcPr>
            <w:tcW w:w="1146" w:type="dxa"/>
            <w:tcBorders>
              <w:top w:val="nil"/>
              <w:bottom w:val="single" w:sz="4" w:space="0" w:color="auto"/>
            </w:tcBorders>
          </w:tcPr>
          <w:p w14:paraId="5EE9B89A"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 xml:space="preserve">13 (5.7%) </w:t>
            </w:r>
          </w:p>
        </w:tc>
        <w:tc>
          <w:tcPr>
            <w:tcW w:w="1123" w:type="dxa"/>
            <w:tcBorders>
              <w:top w:val="nil"/>
              <w:bottom w:val="single" w:sz="4" w:space="0" w:color="auto"/>
            </w:tcBorders>
          </w:tcPr>
          <w:p w14:paraId="475BDB70" w14:textId="64A12BC6"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71" w:type="dxa"/>
            <w:tcBorders>
              <w:top w:val="nil"/>
              <w:bottom w:val="single" w:sz="4" w:space="0" w:color="auto"/>
            </w:tcBorders>
          </w:tcPr>
          <w:p w14:paraId="29FE3C51"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16 (7.1%)</w:t>
            </w:r>
          </w:p>
        </w:tc>
        <w:tc>
          <w:tcPr>
            <w:tcW w:w="1229" w:type="dxa"/>
            <w:tcBorders>
              <w:top w:val="nil"/>
              <w:bottom w:val="single" w:sz="4" w:space="0" w:color="auto"/>
            </w:tcBorders>
          </w:tcPr>
          <w:p w14:paraId="195CC718" w14:textId="5E631916"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65" w:type="dxa"/>
            <w:tcBorders>
              <w:top w:val="nil"/>
              <w:bottom w:val="single" w:sz="4" w:space="0" w:color="auto"/>
            </w:tcBorders>
          </w:tcPr>
          <w:p w14:paraId="174EAB21" w14:textId="7E765530"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top w:val="nil"/>
              <w:bottom w:val="single" w:sz="4" w:space="0" w:color="auto"/>
            </w:tcBorders>
          </w:tcPr>
          <w:p w14:paraId="4007C86F" w14:textId="17442054"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top w:val="nil"/>
              <w:bottom w:val="single" w:sz="4" w:space="0" w:color="auto"/>
            </w:tcBorders>
          </w:tcPr>
          <w:p w14:paraId="05A1340D" w14:textId="6A446FCA"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r w:rsidR="00545BE1" w:rsidRPr="00EF2E8A" w14:paraId="1684CA5F" w14:textId="77777777" w:rsidTr="00545BE1">
        <w:tc>
          <w:tcPr>
            <w:tcW w:w="966" w:type="dxa"/>
            <w:tcBorders>
              <w:bottom w:val="single" w:sz="4" w:space="0" w:color="auto"/>
            </w:tcBorders>
          </w:tcPr>
          <w:p w14:paraId="58B2A4AB" w14:textId="77777777" w:rsidR="00265AEF" w:rsidRPr="00EF2E8A" w:rsidRDefault="00265AEF" w:rsidP="00591C83">
            <w:pPr>
              <w:keepNext/>
              <w:keepLines/>
              <w:spacing w:before="0"/>
              <w:rPr>
                <w:rFonts w:ascii="Arial Narrow" w:hAnsi="Arial Narrow" w:cs="Calibri"/>
                <w:sz w:val="20"/>
                <w:lang w:val="en-AU"/>
              </w:rPr>
            </w:pPr>
            <w:r w:rsidRPr="00EF2E8A">
              <w:rPr>
                <w:rFonts w:ascii="Arial Narrow" w:hAnsi="Arial Narrow" w:cs="Calibri"/>
                <w:sz w:val="20"/>
                <w:lang w:val="en-AU"/>
              </w:rPr>
              <w:t>Censored</w:t>
            </w:r>
          </w:p>
        </w:tc>
        <w:tc>
          <w:tcPr>
            <w:tcW w:w="1146" w:type="dxa"/>
            <w:tcBorders>
              <w:bottom w:val="single" w:sz="4" w:space="0" w:color="auto"/>
            </w:tcBorders>
          </w:tcPr>
          <w:p w14:paraId="58642B68"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51 (22.5%)</w:t>
            </w:r>
          </w:p>
        </w:tc>
        <w:tc>
          <w:tcPr>
            <w:tcW w:w="1123" w:type="dxa"/>
            <w:tcBorders>
              <w:bottom w:val="single" w:sz="4" w:space="0" w:color="auto"/>
            </w:tcBorders>
          </w:tcPr>
          <w:p w14:paraId="15E21538" w14:textId="56C86E78"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71" w:type="dxa"/>
            <w:tcBorders>
              <w:bottom w:val="single" w:sz="4" w:space="0" w:color="auto"/>
            </w:tcBorders>
          </w:tcPr>
          <w:p w14:paraId="1D54B00E"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60 (26.5%)</w:t>
            </w:r>
          </w:p>
        </w:tc>
        <w:tc>
          <w:tcPr>
            <w:tcW w:w="1229" w:type="dxa"/>
            <w:tcBorders>
              <w:bottom w:val="single" w:sz="4" w:space="0" w:color="auto"/>
            </w:tcBorders>
          </w:tcPr>
          <w:p w14:paraId="54F2D117" w14:textId="64859552"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65" w:type="dxa"/>
            <w:tcBorders>
              <w:bottom w:val="single" w:sz="4" w:space="0" w:color="auto"/>
            </w:tcBorders>
          </w:tcPr>
          <w:p w14:paraId="024C4E8E" w14:textId="28F6F6E0"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bottom w:val="single" w:sz="4" w:space="0" w:color="auto"/>
            </w:tcBorders>
          </w:tcPr>
          <w:p w14:paraId="446E3FFA" w14:textId="469894A9"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bottom w:val="single" w:sz="4" w:space="0" w:color="auto"/>
            </w:tcBorders>
          </w:tcPr>
          <w:p w14:paraId="549941F9" w14:textId="639DB2FD"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r w:rsidR="00265AEF" w:rsidRPr="00EF2E8A" w14:paraId="62331910" w14:textId="77777777" w:rsidTr="00545BE1">
        <w:tc>
          <w:tcPr>
            <w:tcW w:w="8994" w:type="dxa"/>
            <w:gridSpan w:val="8"/>
            <w:tcBorders>
              <w:bottom w:val="single" w:sz="4" w:space="0" w:color="auto"/>
            </w:tcBorders>
          </w:tcPr>
          <w:p w14:paraId="7F545AFA" w14:textId="43AFF3DE" w:rsidR="00265AEF" w:rsidRPr="00EF2E8A" w:rsidRDefault="00265AEF" w:rsidP="00591C83">
            <w:pPr>
              <w:keepNext/>
              <w:keepLines/>
              <w:autoSpaceDE w:val="0"/>
              <w:autoSpaceDN w:val="0"/>
              <w:adjustRightInd w:val="0"/>
              <w:spacing w:before="0"/>
              <w:jc w:val="left"/>
              <w:rPr>
                <w:rFonts w:ascii="Arial Narrow" w:hAnsi="Arial Narrow" w:cs="Calibri"/>
                <w:b/>
                <w:bCs/>
                <w:sz w:val="20"/>
                <w:lang w:val="en-AU"/>
              </w:rPr>
            </w:pPr>
            <w:r w:rsidRPr="00EF2E8A">
              <w:rPr>
                <w:rFonts w:ascii="Arial Narrow" w:hAnsi="Arial Narrow" w:cs="Calibri"/>
                <w:b/>
                <w:bCs/>
                <w:sz w:val="20"/>
                <w:lang w:val="en-AU"/>
              </w:rPr>
              <w:t>MIRASOL September 2024 data cutoff (median follow</w:t>
            </w:r>
            <w:r w:rsidR="00A46D2B">
              <w:rPr>
                <w:rFonts w:ascii="Arial Narrow" w:hAnsi="Arial Narrow" w:cs="Calibri"/>
                <w:b/>
                <w:bCs/>
                <w:sz w:val="20"/>
                <w:lang w:val="en-AU"/>
              </w:rPr>
              <w:noBreakHyphen/>
            </w:r>
            <w:r w:rsidRPr="00EF2E8A">
              <w:rPr>
                <w:rFonts w:ascii="Arial Narrow" w:hAnsi="Arial Narrow" w:cs="Calibri"/>
                <w:b/>
                <w:bCs/>
                <w:sz w:val="20"/>
                <w:lang w:val="en-AU"/>
              </w:rPr>
              <w:t xml:space="preserve">up 28.35 mo [95% CI 24.97, </w:t>
            </w:r>
            <w:r w:rsidR="00A46D2B">
              <w:rPr>
                <w:rFonts w:ascii="Arial Narrow" w:hAnsi="Arial Narrow" w:cs="Calibri"/>
                <w:b/>
                <w:bCs/>
                <w:sz w:val="20"/>
                <w:lang w:val="en-AU"/>
              </w:rPr>
              <w:noBreakHyphen/>
            </w:r>
            <w:r w:rsidR="00A46D2B">
              <w:rPr>
                <w:rFonts w:ascii="Arial Narrow" w:hAnsi="Arial Narrow" w:cs="Calibri"/>
                <w:b/>
                <w:bCs/>
                <w:sz w:val="20"/>
                <w:lang w:val="en-AU"/>
              </w:rPr>
              <w:noBreakHyphen/>
            </w:r>
            <w:r w:rsidRPr="00EF2E8A">
              <w:rPr>
                <w:rFonts w:ascii="Arial Narrow" w:hAnsi="Arial Narrow" w:cs="Calibri"/>
                <w:b/>
                <w:bCs/>
                <w:sz w:val="20"/>
                <w:lang w:val="en-AU"/>
              </w:rPr>
              <w:t>])</w:t>
            </w:r>
          </w:p>
        </w:tc>
      </w:tr>
      <w:tr w:rsidR="00545BE1" w:rsidRPr="00EF2E8A" w14:paraId="3FED88FD" w14:textId="77777777" w:rsidTr="00545BE1">
        <w:tc>
          <w:tcPr>
            <w:tcW w:w="966" w:type="dxa"/>
            <w:tcBorders>
              <w:top w:val="single" w:sz="4" w:space="0" w:color="auto"/>
              <w:left w:val="single" w:sz="4" w:space="0" w:color="auto"/>
              <w:bottom w:val="nil"/>
              <w:right w:val="single" w:sz="4" w:space="0" w:color="auto"/>
            </w:tcBorders>
            <w:shd w:val="clear" w:color="auto" w:fill="auto"/>
            <w:vAlign w:val="center"/>
          </w:tcPr>
          <w:p w14:paraId="5D55588C" w14:textId="77777777" w:rsidR="00265AEF" w:rsidRPr="00EF2E8A" w:rsidRDefault="00265AEF" w:rsidP="00591C83">
            <w:pPr>
              <w:keepNext/>
              <w:keepLines/>
              <w:spacing w:before="0"/>
              <w:rPr>
                <w:rFonts w:ascii="Arial Narrow" w:hAnsi="Arial Narrow" w:cs="Calibri"/>
                <w:sz w:val="20"/>
                <w:lang w:val="en-AU"/>
              </w:rPr>
            </w:pPr>
            <w:r w:rsidRPr="00EF2E8A">
              <w:rPr>
                <w:rFonts w:ascii="Arial Narrow" w:hAnsi="Arial Narrow" w:cs="Calibri"/>
                <w:kern w:val="24"/>
                <w:sz w:val="20"/>
                <w:lang w:val="en-AU"/>
              </w:rPr>
              <w:t>PFS</w:t>
            </w:r>
          </w:p>
        </w:tc>
        <w:tc>
          <w:tcPr>
            <w:tcW w:w="1146" w:type="dxa"/>
            <w:tcBorders>
              <w:top w:val="single" w:sz="4" w:space="0" w:color="auto"/>
              <w:left w:val="single" w:sz="4" w:space="0" w:color="auto"/>
              <w:bottom w:val="nil"/>
              <w:right w:val="single" w:sz="4" w:space="0" w:color="auto"/>
            </w:tcBorders>
            <w:shd w:val="clear" w:color="auto" w:fill="auto"/>
            <w:vAlign w:val="center"/>
          </w:tcPr>
          <w:p w14:paraId="2E32D59E" w14:textId="1ADC68B3"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204 (89.9%)</w:t>
            </w:r>
          </w:p>
        </w:tc>
        <w:tc>
          <w:tcPr>
            <w:tcW w:w="1123" w:type="dxa"/>
            <w:tcBorders>
              <w:top w:val="single" w:sz="4" w:space="0" w:color="auto"/>
              <w:left w:val="single" w:sz="4" w:space="0" w:color="auto"/>
              <w:bottom w:val="nil"/>
              <w:right w:val="single" w:sz="4" w:space="0" w:color="auto"/>
            </w:tcBorders>
            <w:shd w:val="clear" w:color="auto" w:fill="auto"/>
            <w:vAlign w:val="center"/>
          </w:tcPr>
          <w:p w14:paraId="6F39D14F" w14:textId="77777777" w:rsidR="00265AEF" w:rsidRPr="00EF2E8A" w:rsidRDefault="00265AEF" w:rsidP="00591C83">
            <w:pPr>
              <w:keepNext/>
              <w:keepLines/>
              <w:spacing w:before="0"/>
              <w:jc w:val="center"/>
              <w:rPr>
                <w:rFonts w:ascii="Arial Narrow" w:eastAsia="Times New Roman" w:hAnsi="Arial Narrow"/>
                <w:sz w:val="20"/>
                <w:lang w:val="en-AU"/>
              </w:rPr>
            </w:pPr>
            <w:r w:rsidRPr="00EF2E8A">
              <w:rPr>
                <w:rFonts w:ascii="Arial Narrow" w:hAnsi="Arial Narrow" w:cs="Calibri"/>
                <w:kern w:val="24"/>
                <w:sz w:val="20"/>
                <w:lang w:val="en-AU"/>
              </w:rPr>
              <w:t>5.59</w:t>
            </w:r>
          </w:p>
          <w:p w14:paraId="181FA569"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(4.34, 5.88)</w:t>
            </w:r>
          </w:p>
        </w:tc>
        <w:tc>
          <w:tcPr>
            <w:tcW w:w="1171" w:type="dxa"/>
            <w:tcBorders>
              <w:top w:val="single" w:sz="4" w:space="0" w:color="auto"/>
              <w:left w:val="single" w:sz="4" w:space="0" w:color="auto"/>
              <w:bottom w:val="nil"/>
              <w:right w:val="single" w:sz="4" w:space="0" w:color="auto"/>
            </w:tcBorders>
            <w:shd w:val="clear" w:color="auto" w:fill="auto"/>
            <w:vAlign w:val="center"/>
          </w:tcPr>
          <w:p w14:paraId="14CD8EBF" w14:textId="29CA114E"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174</w:t>
            </w:r>
            <w:r w:rsidR="002707A1" w:rsidRPr="00EF2E8A">
              <w:rPr>
                <w:rFonts w:ascii="Arial Narrow" w:hAnsi="Arial Narrow" w:cs="Calibri"/>
                <w:kern w:val="24"/>
                <w:sz w:val="20"/>
                <w:lang w:val="en-AU"/>
              </w:rPr>
              <w:t xml:space="preserve"> </w:t>
            </w:r>
            <w:r w:rsidRPr="00EF2E8A">
              <w:rPr>
                <w:rFonts w:ascii="Arial Narrow" w:hAnsi="Arial Narrow" w:cs="Calibri"/>
                <w:kern w:val="24"/>
                <w:sz w:val="20"/>
                <w:lang w:val="en-AU"/>
              </w:rPr>
              <w:t>(77.0%)</w:t>
            </w:r>
          </w:p>
        </w:tc>
        <w:tc>
          <w:tcPr>
            <w:tcW w:w="1229" w:type="dxa"/>
            <w:tcBorders>
              <w:top w:val="single" w:sz="4" w:space="0" w:color="auto"/>
              <w:left w:val="single" w:sz="4" w:space="0" w:color="auto"/>
              <w:bottom w:val="nil"/>
              <w:right w:val="single" w:sz="4" w:space="0" w:color="auto"/>
            </w:tcBorders>
            <w:shd w:val="clear" w:color="auto" w:fill="auto"/>
            <w:vAlign w:val="center"/>
          </w:tcPr>
          <w:p w14:paraId="2CEA0496"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3.98</w:t>
            </w:r>
            <w:r w:rsidRPr="00EF2E8A">
              <w:rPr>
                <w:rFonts w:ascii="Arial Narrow" w:hAnsi="Arial Narrow" w:cs="Calibri"/>
                <w:kern w:val="24"/>
                <w:sz w:val="20"/>
                <w:vertAlign w:val="superscript"/>
                <w:lang w:val="en-AU"/>
              </w:rPr>
              <w:t>b</w:t>
            </w:r>
            <w:r w:rsidRPr="00EF2E8A">
              <w:rPr>
                <w:rFonts w:ascii="Arial Narrow" w:hAnsi="Arial Narrow" w:cs="Calibri"/>
                <w:kern w:val="24"/>
                <w:sz w:val="20"/>
                <w:lang w:val="en-AU"/>
              </w:rPr>
              <w:t xml:space="preserve"> </w:t>
            </w:r>
            <w:r w:rsidRPr="00EF2E8A">
              <w:rPr>
                <w:rFonts w:ascii="Arial Narrow" w:hAnsi="Arial Narrow" w:cs="Calibri"/>
                <w:kern w:val="24"/>
                <w:sz w:val="20"/>
                <w:lang w:val="en-AU"/>
              </w:rPr>
              <w:br/>
              <w:t>(2.86, 4.47)</w:t>
            </w:r>
          </w:p>
        </w:tc>
        <w:tc>
          <w:tcPr>
            <w:tcW w:w="1065" w:type="dxa"/>
            <w:tcBorders>
              <w:top w:val="single" w:sz="4" w:space="0" w:color="auto"/>
              <w:left w:val="single" w:sz="4" w:space="0" w:color="auto"/>
              <w:bottom w:val="nil"/>
              <w:right w:val="single" w:sz="4" w:space="0" w:color="auto"/>
            </w:tcBorders>
            <w:shd w:val="clear" w:color="auto" w:fill="auto"/>
            <w:vAlign w:val="center"/>
          </w:tcPr>
          <w:p w14:paraId="28BEC81C"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1.61</w:t>
            </w:r>
          </w:p>
        </w:tc>
        <w:tc>
          <w:tcPr>
            <w:tcW w:w="1147" w:type="dxa"/>
            <w:tcBorders>
              <w:top w:val="single" w:sz="4" w:space="0" w:color="auto"/>
              <w:left w:val="single" w:sz="4" w:space="0" w:color="auto"/>
              <w:bottom w:val="nil"/>
              <w:right w:val="single" w:sz="4" w:space="0" w:color="auto"/>
            </w:tcBorders>
            <w:shd w:val="clear" w:color="auto" w:fill="auto"/>
            <w:vAlign w:val="center"/>
          </w:tcPr>
          <w:p w14:paraId="3A0F96F0" w14:textId="77777777" w:rsidR="00265AEF" w:rsidRPr="00EF2E8A" w:rsidRDefault="00265AEF" w:rsidP="00591C83">
            <w:pPr>
              <w:keepNext/>
              <w:keepLines/>
              <w:spacing w:before="0"/>
              <w:jc w:val="center"/>
              <w:rPr>
                <w:rFonts w:ascii="Arial Narrow" w:hAnsi="Arial Narrow" w:cs="Calibri"/>
                <w:b/>
                <w:bCs/>
                <w:sz w:val="20"/>
                <w:lang w:val="en-AU"/>
              </w:rPr>
            </w:pPr>
            <w:r w:rsidRPr="00EF2E8A">
              <w:rPr>
                <w:rFonts w:ascii="Arial Narrow" w:hAnsi="Arial Narrow" w:cs="Calibri"/>
                <w:b/>
                <w:bCs/>
                <w:kern w:val="24"/>
                <w:sz w:val="20"/>
                <w:lang w:val="en-AU"/>
              </w:rPr>
              <w:t>&lt;0.0001</w:t>
            </w:r>
          </w:p>
        </w:tc>
        <w:tc>
          <w:tcPr>
            <w:tcW w:w="1147" w:type="dxa"/>
            <w:tcBorders>
              <w:top w:val="single" w:sz="4" w:space="0" w:color="auto"/>
              <w:left w:val="single" w:sz="4" w:space="0" w:color="auto"/>
              <w:bottom w:val="nil"/>
              <w:right w:val="single" w:sz="4" w:space="0" w:color="auto"/>
            </w:tcBorders>
            <w:shd w:val="clear" w:color="auto" w:fill="auto"/>
            <w:vAlign w:val="center"/>
          </w:tcPr>
          <w:p w14:paraId="031E5AF2" w14:textId="77777777" w:rsidR="00265AEF" w:rsidRPr="00EF2E8A" w:rsidRDefault="00265AEF" w:rsidP="00591C83">
            <w:pPr>
              <w:keepNext/>
              <w:keepLines/>
              <w:spacing w:before="0"/>
              <w:jc w:val="center"/>
              <w:rPr>
                <w:rFonts w:ascii="Arial Narrow" w:eastAsia="Times New Roman" w:hAnsi="Arial Narrow"/>
                <w:b/>
                <w:bCs/>
                <w:sz w:val="20"/>
                <w:lang w:val="en-AU"/>
              </w:rPr>
            </w:pPr>
            <w:r w:rsidRPr="00EF2E8A">
              <w:rPr>
                <w:rFonts w:ascii="Arial Narrow" w:hAnsi="Arial Narrow" w:cs="Calibri"/>
                <w:b/>
                <w:bCs/>
                <w:kern w:val="24"/>
                <w:sz w:val="20"/>
                <w:lang w:val="en-AU"/>
              </w:rPr>
              <w:t>0.63</w:t>
            </w:r>
          </w:p>
          <w:p w14:paraId="3E939CA7" w14:textId="77777777" w:rsidR="00265AEF" w:rsidRPr="00EF2E8A" w:rsidRDefault="00265AEF" w:rsidP="00591C83">
            <w:pPr>
              <w:keepNext/>
              <w:keepLines/>
              <w:spacing w:before="0"/>
              <w:jc w:val="center"/>
              <w:rPr>
                <w:rFonts w:ascii="Arial Narrow" w:hAnsi="Arial Narrow" w:cs="Calibri"/>
                <w:b/>
                <w:bCs/>
                <w:sz w:val="20"/>
                <w:lang w:val="en-AU"/>
              </w:rPr>
            </w:pPr>
            <w:r w:rsidRPr="00EF2E8A">
              <w:rPr>
                <w:rFonts w:ascii="Arial Narrow" w:hAnsi="Arial Narrow" w:cs="Calibri"/>
                <w:b/>
                <w:bCs/>
                <w:kern w:val="24"/>
                <w:sz w:val="20"/>
                <w:lang w:val="en-AU"/>
              </w:rPr>
              <w:t>(0.513, 0.785)</w:t>
            </w:r>
          </w:p>
        </w:tc>
      </w:tr>
      <w:tr w:rsidR="00545BE1" w:rsidRPr="00EF2E8A" w14:paraId="6FAC29BD" w14:textId="77777777" w:rsidTr="00545BE1">
        <w:tc>
          <w:tcPr>
            <w:tcW w:w="966" w:type="dxa"/>
            <w:tcBorders>
              <w:top w:val="nil"/>
              <w:bottom w:val="nil"/>
            </w:tcBorders>
          </w:tcPr>
          <w:p w14:paraId="16AD25FC" w14:textId="77777777" w:rsidR="00265AEF" w:rsidRPr="00EF2E8A" w:rsidRDefault="00265AEF" w:rsidP="00591C83">
            <w:pPr>
              <w:keepNext/>
              <w:keepLines/>
              <w:spacing w:before="0"/>
              <w:rPr>
                <w:rFonts w:ascii="Arial Narrow" w:hAnsi="Arial Narrow" w:cs="Calibri"/>
                <w:sz w:val="20"/>
                <w:lang w:val="en-AU"/>
              </w:rPr>
            </w:pPr>
            <w:r w:rsidRPr="00EF2E8A">
              <w:rPr>
                <w:rFonts w:ascii="Arial Narrow" w:hAnsi="Arial Narrow" w:cs="Calibri"/>
                <w:sz w:val="20"/>
                <w:lang w:val="en-AU"/>
              </w:rPr>
              <w:t xml:space="preserve">   </w:t>
            </w:r>
            <w:proofErr w:type="spellStart"/>
            <w:r w:rsidRPr="00EF2E8A">
              <w:rPr>
                <w:rFonts w:ascii="Arial Narrow" w:hAnsi="Arial Narrow" w:cs="Calibri"/>
                <w:sz w:val="20"/>
                <w:lang w:val="en-AU"/>
              </w:rPr>
              <w:t>PD</w:t>
            </w:r>
            <w:r w:rsidRPr="00EF2E8A">
              <w:rPr>
                <w:rFonts w:ascii="Arial Narrow" w:hAnsi="Arial Narrow" w:cs="Calibri"/>
                <w:sz w:val="20"/>
                <w:vertAlign w:val="superscript"/>
                <w:lang w:val="en-AU"/>
              </w:rPr>
              <w:t>a</w:t>
            </w:r>
            <w:proofErr w:type="spellEnd"/>
          </w:p>
        </w:tc>
        <w:tc>
          <w:tcPr>
            <w:tcW w:w="1146" w:type="dxa"/>
            <w:tcBorders>
              <w:top w:val="nil"/>
              <w:bottom w:val="nil"/>
            </w:tcBorders>
          </w:tcPr>
          <w:p w14:paraId="0B96E062"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 xml:space="preserve">190 (83.7%) </w:t>
            </w:r>
          </w:p>
        </w:tc>
        <w:tc>
          <w:tcPr>
            <w:tcW w:w="1123" w:type="dxa"/>
            <w:tcBorders>
              <w:top w:val="nil"/>
              <w:bottom w:val="nil"/>
            </w:tcBorders>
          </w:tcPr>
          <w:p w14:paraId="362ACD0B" w14:textId="396BE649"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71" w:type="dxa"/>
            <w:tcBorders>
              <w:top w:val="nil"/>
              <w:bottom w:val="nil"/>
            </w:tcBorders>
          </w:tcPr>
          <w:p w14:paraId="2308F6BD"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158 (69.9%)</w:t>
            </w:r>
          </w:p>
        </w:tc>
        <w:tc>
          <w:tcPr>
            <w:tcW w:w="1229" w:type="dxa"/>
            <w:tcBorders>
              <w:top w:val="nil"/>
              <w:bottom w:val="nil"/>
            </w:tcBorders>
          </w:tcPr>
          <w:p w14:paraId="29EE7F09" w14:textId="26052DFD"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65" w:type="dxa"/>
            <w:tcBorders>
              <w:top w:val="nil"/>
              <w:bottom w:val="nil"/>
            </w:tcBorders>
          </w:tcPr>
          <w:p w14:paraId="3D8C55F6" w14:textId="554A1F8D"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top w:val="nil"/>
              <w:bottom w:val="nil"/>
            </w:tcBorders>
          </w:tcPr>
          <w:p w14:paraId="4BCA821A" w14:textId="7681E1C3"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top w:val="nil"/>
              <w:bottom w:val="nil"/>
            </w:tcBorders>
          </w:tcPr>
          <w:p w14:paraId="32EE0114" w14:textId="3DB5E855"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r w:rsidR="00545BE1" w:rsidRPr="00EF2E8A" w14:paraId="0E22AA6B" w14:textId="77777777" w:rsidTr="00545BE1">
        <w:tc>
          <w:tcPr>
            <w:tcW w:w="966" w:type="dxa"/>
            <w:tcBorders>
              <w:top w:val="nil"/>
              <w:bottom w:val="single" w:sz="4" w:space="0" w:color="auto"/>
            </w:tcBorders>
          </w:tcPr>
          <w:p w14:paraId="3ACA30D2" w14:textId="77777777" w:rsidR="00265AEF" w:rsidRPr="00EF2E8A" w:rsidRDefault="00265AEF" w:rsidP="00591C83">
            <w:pPr>
              <w:keepNext/>
              <w:keepLines/>
              <w:spacing w:before="0"/>
              <w:rPr>
                <w:rFonts w:ascii="Arial Narrow" w:hAnsi="Arial Narrow" w:cs="Calibri"/>
                <w:sz w:val="20"/>
                <w:lang w:val="en-AU"/>
              </w:rPr>
            </w:pPr>
            <w:r w:rsidRPr="00EF2E8A">
              <w:rPr>
                <w:rFonts w:ascii="Arial Narrow" w:hAnsi="Arial Narrow" w:cs="Calibri"/>
                <w:sz w:val="20"/>
                <w:lang w:val="en-AU"/>
              </w:rPr>
              <w:t xml:space="preserve">   Deaths</w:t>
            </w:r>
          </w:p>
        </w:tc>
        <w:tc>
          <w:tcPr>
            <w:tcW w:w="1146" w:type="dxa"/>
            <w:tcBorders>
              <w:top w:val="nil"/>
              <w:bottom w:val="single" w:sz="4" w:space="0" w:color="auto"/>
            </w:tcBorders>
          </w:tcPr>
          <w:p w14:paraId="79BFB72F"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 xml:space="preserve">14 (6.2%) </w:t>
            </w:r>
          </w:p>
        </w:tc>
        <w:tc>
          <w:tcPr>
            <w:tcW w:w="1123" w:type="dxa"/>
            <w:tcBorders>
              <w:top w:val="nil"/>
              <w:bottom w:val="single" w:sz="4" w:space="0" w:color="auto"/>
            </w:tcBorders>
          </w:tcPr>
          <w:p w14:paraId="4AE3908B" w14:textId="54209601"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71" w:type="dxa"/>
            <w:tcBorders>
              <w:top w:val="nil"/>
              <w:bottom w:val="single" w:sz="4" w:space="0" w:color="auto"/>
            </w:tcBorders>
          </w:tcPr>
          <w:p w14:paraId="172CF1C0"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16 (7.1%)</w:t>
            </w:r>
          </w:p>
        </w:tc>
        <w:tc>
          <w:tcPr>
            <w:tcW w:w="1229" w:type="dxa"/>
            <w:tcBorders>
              <w:top w:val="nil"/>
              <w:bottom w:val="single" w:sz="4" w:space="0" w:color="auto"/>
            </w:tcBorders>
          </w:tcPr>
          <w:p w14:paraId="324310A4" w14:textId="6BF1F9A7"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65" w:type="dxa"/>
            <w:tcBorders>
              <w:top w:val="nil"/>
              <w:bottom w:val="single" w:sz="4" w:space="0" w:color="auto"/>
            </w:tcBorders>
          </w:tcPr>
          <w:p w14:paraId="51E23EC4" w14:textId="669428AB"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top w:val="nil"/>
              <w:bottom w:val="single" w:sz="4" w:space="0" w:color="auto"/>
            </w:tcBorders>
          </w:tcPr>
          <w:p w14:paraId="6F8EC136" w14:textId="7E0D373B"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top w:val="nil"/>
              <w:bottom w:val="single" w:sz="4" w:space="0" w:color="auto"/>
            </w:tcBorders>
          </w:tcPr>
          <w:p w14:paraId="529736EB" w14:textId="0177416B"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r w:rsidR="00545BE1" w:rsidRPr="00EF2E8A" w14:paraId="2BF4D39E" w14:textId="77777777" w:rsidTr="00545BE1">
        <w:tc>
          <w:tcPr>
            <w:tcW w:w="966" w:type="dxa"/>
            <w:tcBorders>
              <w:bottom w:val="single" w:sz="4" w:space="0" w:color="auto"/>
            </w:tcBorders>
          </w:tcPr>
          <w:p w14:paraId="62F08490" w14:textId="77777777" w:rsidR="00265AEF" w:rsidRPr="00EF2E8A" w:rsidRDefault="00265AEF" w:rsidP="00591C83">
            <w:pPr>
              <w:keepNext/>
              <w:keepLines/>
              <w:spacing w:before="0"/>
              <w:rPr>
                <w:rFonts w:ascii="Arial Narrow" w:hAnsi="Arial Narrow" w:cs="Calibri"/>
                <w:sz w:val="20"/>
                <w:lang w:val="en-AU"/>
              </w:rPr>
            </w:pPr>
            <w:r w:rsidRPr="00EF2E8A">
              <w:rPr>
                <w:rFonts w:ascii="Arial Narrow" w:hAnsi="Arial Narrow" w:cs="Calibri"/>
                <w:sz w:val="20"/>
                <w:lang w:val="en-AU"/>
              </w:rPr>
              <w:t>Censored</w:t>
            </w:r>
          </w:p>
        </w:tc>
        <w:tc>
          <w:tcPr>
            <w:tcW w:w="1146" w:type="dxa"/>
            <w:tcBorders>
              <w:bottom w:val="single" w:sz="4" w:space="0" w:color="auto"/>
            </w:tcBorders>
          </w:tcPr>
          <w:p w14:paraId="401A8345"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 xml:space="preserve">23 (10.1%) </w:t>
            </w:r>
          </w:p>
        </w:tc>
        <w:tc>
          <w:tcPr>
            <w:tcW w:w="1123" w:type="dxa"/>
            <w:tcBorders>
              <w:bottom w:val="single" w:sz="4" w:space="0" w:color="auto"/>
            </w:tcBorders>
          </w:tcPr>
          <w:p w14:paraId="542ACAAD" w14:textId="226F27B2"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71" w:type="dxa"/>
            <w:tcBorders>
              <w:bottom w:val="single" w:sz="4" w:space="0" w:color="auto"/>
            </w:tcBorders>
          </w:tcPr>
          <w:p w14:paraId="08AE3C2C" w14:textId="77777777" w:rsidR="00265AEF" w:rsidRPr="00EF2E8A" w:rsidRDefault="00265AEF"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52 (23.0%)</w:t>
            </w:r>
          </w:p>
        </w:tc>
        <w:tc>
          <w:tcPr>
            <w:tcW w:w="1229" w:type="dxa"/>
            <w:tcBorders>
              <w:bottom w:val="single" w:sz="4" w:space="0" w:color="auto"/>
            </w:tcBorders>
          </w:tcPr>
          <w:p w14:paraId="1F4717FD" w14:textId="2378B7DC"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65" w:type="dxa"/>
            <w:tcBorders>
              <w:bottom w:val="single" w:sz="4" w:space="0" w:color="auto"/>
            </w:tcBorders>
          </w:tcPr>
          <w:p w14:paraId="056FFAA3" w14:textId="587AB07F"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bottom w:val="single" w:sz="4" w:space="0" w:color="auto"/>
            </w:tcBorders>
          </w:tcPr>
          <w:p w14:paraId="33EEFBC2" w14:textId="61AA1DEC"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7" w:type="dxa"/>
            <w:tcBorders>
              <w:bottom w:val="single" w:sz="4" w:space="0" w:color="auto"/>
            </w:tcBorders>
          </w:tcPr>
          <w:p w14:paraId="723D1252" w14:textId="4D8AC17F" w:rsidR="00265AEF"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bl>
    <w:p w14:paraId="6A6729BD" w14:textId="50A74403" w:rsidR="00265AEF" w:rsidRPr="00EF2E8A" w:rsidRDefault="00265AEF" w:rsidP="00591C83">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Table 2.5 1 Results of Primary Endpoint (ITT): PFS, p63 of the submission; Table 2.5 2 Results of Primary Endpoint (ITT): PFS (September 2024 data cut), p65 of the submission; Table 17, p104</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5 MIRASOL CSR March 2023; Table 17, p105</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6 MIRASOL CSR Sept 2024.</w:t>
      </w:r>
    </w:p>
    <w:p w14:paraId="12B93398" w14:textId="77EBF891" w:rsidR="00265AEF" w:rsidRPr="00EF2E8A" w:rsidRDefault="00265AEF" w:rsidP="00591C83">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CI= confidence interval; CSR: clinical study report; HR= hazard ratio; ICC= investigator’s choice of chemotherapy; ITT= intention to treat analysis; MIRV= mirvetuximab soravtansine; mo= months; PD= progressive disease; PFS=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free survival; RECIST= response evaluation criteria in solid </w:t>
      </w:r>
      <w:r w:rsidR="00E35670" w:rsidRPr="00EF2E8A">
        <w:rPr>
          <w:rFonts w:ascii="Arial Narrow" w:eastAsia="Times New Roman" w:hAnsi="Arial Narrow" w:cs="Arial"/>
          <w:snapToGrid w:val="0"/>
          <w:sz w:val="18"/>
          <w:lang w:eastAsia="en-AU"/>
        </w:rPr>
        <w:t>tumours</w:t>
      </w:r>
      <w:r w:rsidRPr="00EF2E8A">
        <w:rPr>
          <w:rFonts w:ascii="Arial Narrow" w:eastAsia="Times New Roman" w:hAnsi="Arial Narrow" w:cs="Arial"/>
          <w:snapToGrid w:val="0"/>
          <w:sz w:val="18"/>
          <w:lang w:eastAsia="en-AU"/>
        </w:rPr>
        <w:t>.</w:t>
      </w:r>
    </w:p>
    <w:p w14:paraId="65FD1254" w14:textId="3C907256" w:rsidR="00265AEF" w:rsidRPr="00EF2E8A" w:rsidRDefault="00265AEF" w:rsidP="00591C83">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vertAlign w:val="superscript"/>
          <w:lang w:eastAsia="en-AU"/>
        </w:rPr>
        <w:t>a</w:t>
      </w:r>
      <w:r w:rsidRPr="00EF2E8A">
        <w:rPr>
          <w:rFonts w:ascii="Arial Narrow" w:eastAsia="Times New Roman" w:hAnsi="Arial Narrow" w:cs="Arial"/>
          <w:snapToGrid w:val="0"/>
          <w:sz w:val="18"/>
          <w:lang w:eastAsia="en-AU"/>
        </w:rPr>
        <w:t xml:space="preserve"> Progressive disease was based on radiological progression assessed by RECIST (version 1.1) criteria. </w:t>
      </w:r>
    </w:p>
    <w:p w14:paraId="38B4FEA0" w14:textId="77777777" w:rsidR="00265AEF" w:rsidRPr="00EF2E8A" w:rsidRDefault="00265AEF" w:rsidP="00591C83">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vertAlign w:val="superscript"/>
          <w:lang w:eastAsia="en-AU"/>
        </w:rPr>
        <w:t>b</w:t>
      </w:r>
      <w:r w:rsidRPr="00EF2E8A">
        <w:rPr>
          <w:rFonts w:ascii="Arial Narrow" w:eastAsia="Times New Roman" w:hAnsi="Arial Narrow" w:cs="Arial"/>
          <w:snapToGrid w:val="0"/>
          <w:sz w:val="18"/>
          <w:lang w:eastAsia="en-AU"/>
        </w:rPr>
        <w:t xml:space="preserve"> The ICC arm median PFS and CI values for each data cutoff were verified against the CSRs. </w:t>
      </w:r>
    </w:p>
    <w:p w14:paraId="12991F5D" w14:textId="77777777"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Values in </w:t>
      </w:r>
      <w:r w:rsidRPr="00EF2E8A">
        <w:rPr>
          <w:rFonts w:ascii="Arial Narrow" w:eastAsia="Times New Roman" w:hAnsi="Arial Narrow" w:cs="Arial"/>
          <w:b/>
          <w:bCs/>
          <w:snapToGrid w:val="0"/>
          <w:sz w:val="18"/>
          <w:lang w:eastAsia="en-AU"/>
        </w:rPr>
        <w:t>bold</w:t>
      </w:r>
      <w:r w:rsidRPr="00EF2E8A">
        <w:rPr>
          <w:rFonts w:ascii="Arial Narrow" w:eastAsia="Times New Roman" w:hAnsi="Arial Narrow" w:cs="Arial"/>
          <w:snapToGrid w:val="0"/>
          <w:sz w:val="18"/>
          <w:lang w:eastAsia="en-AU"/>
        </w:rPr>
        <w:t xml:space="preserve"> were statistically significant. </w:t>
      </w:r>
    </w:p>
    <w:p w14:paraId="74270CBE" w14:textId="77777777" w:rsidR="003D42EE" w:rsidRPr="00EF2E8A" w:rsidRDefault="003D42EE" w:rsidP="00591C83">
      <w:pPr>
        <w:tabs>
          <w:tab w:val="left" w:pos="284"/>
        </w:tabs>
        <w:spacing w:before="0" w:after="0"/>
        <w:jc w:val="left"/>
        <w:rPr>
          <w:rFonts w:ascii="Arial Narrow" w:eastAsia="Times New Roman" w:hAnsi="Arial Narrow" w:cs="Arial"/>
          <w:snapToGrid w:val="0"/>
          <w:sz w:val="18"/>
          <w:lang w:eastAsia="en-AU"/>
        </w:rPr>
      </w:pPr>
    </w:p>
    <w:p w14:paraId="7FCDFAE2" w14:textId="39EFCD6C" w:rsidR="00D756E3" w:rsidRPr="00EF2E8A" w:rsidRDefault="00420B29" w:rsidP="00591C83">
      <w:pPr>
        <w:pStyle w:val="ListParagraph"/>
        <w:rPr>
          <w:snapToGrid w:val="0"/>
          <w:lang w:eastAsia="en-AU"/>
        </w:rPr>
      </w:pPr>
      <w:bookmarkStart w:id="33" w:name="_Ref196905073"/>
      <w:r w:rsidRPr="00EF2E8A">
        <w:rPr>
          <w:snapToGrid w:val="0"/>
          <w:lang w:eastAsia="en-AU"/>
        </w:rPr>
        <w:t>T</w:t>
      </w:r>
      <w:r w:rsidR="00D13F4E" w:rsidRPr="00EF2E8A">
        <w:rPr>
          <w:snapToGrid w:val="0"/>
          <w:lang w:eastAsia="en-AU"/>
        </w:rPr>
        <w:t xml:space="preserve">he median time to </w:t>
      </w:r>
      <w:r w:rsidR="006313D9" w:rsidRPr="00EF2E8A">
        <w:rPr>
          <w:snapToGrid w:val="0"/>
          <w:lang w:eastAsia="en-AU"/>
        </w:rPr>
        <w:t xml:space="preserve">a </w:t>
      </w:r>
      <w:r w:rsidR="00D13F4E" w:rsidRPr="00EF2E8A">
        <w:rPr>
          <w:snapToGrid w:val="0"/>
          <w:lang w:eastAsia="en-AU"/>
        </w:rPr>
        <w:t>P</w:t>
      </w:r>
      <w:r w:rsidR="0021598D" w:rsidRPr="00EF2E8A">
        <w:rPr>
          <w:snapToGrid w:val="0"/>
          <w:lang w:eastAsia="en-AU"/>
        </w:rPr>
        <w:t>FS</w:t>
      </w:r>
      <w:r w:rsidR="006313D9" w:rsidRPr="00EF2E8A">
        <w:rPr>
          <w:snapToGrid w:val="0"/>
          <w:lang w:eastAsia="en-AU"/>
        </w:rPr>
        <w:t xml:space="preserve"> event</w:t>
      </w:r>
      <w:r w:rsidR="0021598D" w:rsidRPr="00EF2E8A">
        <w:rPr>
          <w:snapToGrid w:val="0"/>
          <w:lang w:eastAsia="en-AU"/>
        </w:rPr>
        <w:t xml:space="preserve"> was longer in the </w:t>
      </w:r>
      <w:r w:rsidR="00D332BE" w:rsidRPr="00EF2E8A">
        <w:rPr>
          <w:snapToGrid w:val="0"/>
          <w:lang w:eastAsia="en-AU"/>
        </w:rPr>
        <w:t>MIRV arm (5.59 months</w:t>
      </w:r>
      <w:r w:rsidR="0094313F" w:rsidRPr="00EF2E8A">
        <w:rPr>
          <w:snapToGrid w:val="0"/>
          <w:lang w:eastAsia="en-AU"/>
        </w:rPr>
        <w:t>) compared to the ICC arm (</w:t>
      </w:r>
      <w:r w:rsidR="00E21EB4" w:rsidRPr="00EF2E8A">
        <w:rPr>
          <w:snapToGrid w:val="0"/>
          <w:lang w:eastAsia="en-AU"/>
        </w:rPr>
        <w:t xml:space="preserve">3.98 months). </w:t>
      </w:r>
      <w:r w:rsidR="002C0349" w:rsidRPr="00EF2E8A">
        <w:rPr>
          <w:snapToGrid w:val="0"/>
          <w:lang w:eastAsia="en-AU"/>
        </w:rPr>
        <w:t>The HR favoured MIRV</w:t>
      </w:r>
      <w:r w:rsidR="00366347" w:rsidRPr="00EF2E8A">
        <w:rPr>
          <w:snapToGrid w:val="0"/>
          <w:lang w:eastAsia="en-AU"/>
        </w:rPr>
        <w:t xml:space="preserve"> and was statistically significant (HR</w:t>
      </w:r>
      <w:r w:rsidR="00055747" w:rsidRPr="00EF2E8A">
        <w:rPr>
          <w:snapToGrid w:val="0"/>
          <w:lang w:eastAsia="en-AU"/>
        </w:rPr>
        <w:t xml:space="preserve"> </w:t>
      </w:r>
      <w:r w:rsidR="00366347" w:rsidRPr="00EF2E8A">
        <w:rPr>
          <w:snapToGrid w:val="0"/>
          <w:lang w:eastAsia="en-AU"/>
        </w:rPr>
        <w:t>0.63</w:t>
      </w:r>
      <w:r w:rsidR="00741F9C" w:rsidRPr="00EF2E8A">
        <w:rPr>
          <w:snapToGrid w:val="0"/>
          <w:lang w:eastAsia="en-AU"/>
        </w:rPr>
        <w:t xml:space="preserve">, </w:t>
      </w:r>
      <w:r w:rsidR="005B7D99" w:rsidRPr="00EF2E8A">
        <w:t xml:space="preserve">95% Confidence Interval [CI]: </w:t>
      </w:r>
      <w:r w:rsidR="00E275DF" w:rsidRPr="00EF2E8A">
        <w:rPr>
          <w:snapToGrid w:val="0"/>
          <w:lang w:eastAsia="en-AU"/>
        </w:rPr>
        <w:t>0.513, 0.785).</w:t>
      </w:r>
      <w:bookmarkEnd w:id="33"/>
      <w:r w:rsidR="00E275DF" w:rsidRPr="00EF2E8A">
        <w:rPr>
          <w:snapToGrid w:val="0"/>
          <w:lang w:eastAsia="en-AU"/>
        </w:rPr>
        <w:t xml:space="preserve"> </w:t>
      </w:r>
    </w:p>
    <w:p w14:paraId="6CE4515D" w14:textId="01985803" w:rsidR="00FF6709" w:rsidRDefault="00FF6709" w:rsidP="00D60DC5">
      <w:pPr>
        <w:pStyle w:val="Caption"/>
        <w:keepLines/>
        <w:jc w:val="both"/>
      </w:pPr>
      <w:bookmarkStart w:id="34" w:name="_Ref205197803"/>
      <w:r>
        <w:lastRenderedPageBreak/>
        <w:t xml:space="preserve">Figure </w:t>
      </w:r>
      <w:r w:rsidR="00CC5CAD">
        <w:fldChar w:fldCharType="begin" w:fldLock="1"/>
      </w:r>
      <w:r w:rsidR="00CC5CAD">
        <w:instrText xml:space="preserve"> SEQ Figure \* ARABIC </w:instrText>
      </w:r>
      <w:r w:rsidR="00CC5CAD">
        <w:fldChar w:fldCharType="separate"/>
      </w:r>
      <w:r w:rsidR="00CC5CAD">
        <w:rPr>
          <w:noProof/>
        </w:rPr>
        <w:t>2</w:t>
      </w:r>
      <w:r w:rsidR="00CC5CAD">
        <w:rPr>
          <w:noProof/>
        </w:rPr>
        <w:fldChar w:fldCharType="end"/>
      </w:r>
      <w:bookmarkEnd w:id="34"/>
      <w:r>
        <w:t xml:space="preserve">: </w:t>
      </w:r>
      <w:r w:rsidRPr="00D04516">
        <w:t>Kaplan</w:t>
      </w:r>
      <w:r w:rsidR="00A46D2B">
        <w:noBreakHyphen/>
      </w:r>
      <w:r w:rsidRPr="00D04516">
        <w:t>Meier Plot of PFS by Investigator – ITT Population (September 2024 cutoff)</w:t>
      </w:r>
    </w:p>
    <w:p w14:paraId="377F4406" w14:textId="77777777" w:rsidR="00265AEF" w:rsidRPr="00EF2E8A" w:rsidRDefault="00265AEF" w:rsidP="00D60DC5">
      <w:pPr>
        <w:keepNext/>
        <w:keepLines/>
        <w:spacing w:before="0" w:after="0"/>
        <w:contextualSpacing/>
        <w:rPr>
          <w:rFonts w:ascii="Calibri" w:eastAsiaTheme="minorEastAsia" w:hAnsi="Calibri"/>
          <w:sz w:val="16"/>
        </w:rPr>
      </w:pPr>
      <w:r w:rsidRPr="00EF2E8A">
        <w:rPr>
          <w:rFonts w:ascii="Calibri" w:eastAsiaTheme="minorEastAsia" w:hAnsi="Calibri"/>
          <w:noProof/>
          <w:sz w:val="16"/>
        </w:rPr>
        <w:drawing>
          <wp:inline distT="0" distB="0" distL="0" distR="0" wp14:anchorId="183C2236" wp14:editId="1814454B">
            <wp:extent cx="5454948" cy="3174700"/>
            <wp:effectExtent l="0" t="0" r="0" b="6985"/>
            <wp:docPr id="614282129" name="Picture 1" descr="Figure 2: Kaplan Meier Plot of PFS by Investigator – ITT Population (September 2024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82129" name="Picture 1" descr="Figure 2: Kaplan Meier Plot of PFS by Investigator – ITT Population (September 2024 cutoff)"/>
                    <pic:cNvPicPr/>
                  </pic:nvPicPr>
                  <pic:blipFill>
                    <a:blip r:embed="rId11"/>
                    <a:stretch>
                      <a:fillRect/>
                    </a:stretch>
                  </pic:blipFill>
                  <pic:spPr>
                    <a:xfrm>
                      <a:off x="0" y="0"/>
                      <a:ext cx="5530872" cy="3218887"/>
                    </a:xfrm>
                    <a:prstGeom prst="rect">
                      <a:avLst/>
                    </a:prstGeom>
                  </pic:spPr>
                </pic:pic>
              </a:graphicData>
            </a:graphic>
          </wp:inline>
        </w:drawing>
      </w:r>
    </w:p>
    <w:p w14:paraId="286174EB" w14:textId="63CD967F" w:rsidR="00265AEF" w:rsidRPr="00EF2E8A" w:rsidRDefault="00265AEF" w:rsidP="00D60DC5">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Figure 2.5 1 Kaplan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Meier Plot for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 by Investigator – ITT Population, p64 of the submission; Figure 2: Kaplan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Meier Plot for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Free Survival by Investigator – ITT Population, p107 MIRASOL CSR Sept 2024. </w:t>
      </w:r>
    </w:p>
    <w:p w14:paraId="3DCF33F0" w14:textId="4488AF9D" w:rsidR="00265AEF" w:rsidRPr="00EF2E8A" w:rsidRDefault="00265AEF" w:rsidP="00D60DC5">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CSR= clinical study report; IC chemo= investigator’s choice of chemotherapy; IMGN853: mirvetuximab soravtansine development code; ITT= intention to treat analysis; PFS=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w:t>
      </w:r>
    </w:p>
    <w:p w14:paraId="51084C7D" w14:textId="77777777"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p>
    <w:p w14:paraId="6B5E213F" w14:textId="1DA66922" w:rsidR="00265AEF" w:rsidRPr="00EF2E8A" w:rsidRDefault="00265AEF" w:rsidP="00591C83">
      <w:pPr>
        <w:pStyle w:val="ListParagraph"/>
      </w:pPr>
      <w:r w:rsidRPr="00EF2E8A">
        <w:t>PFS by blinded independent central review (BICR) was not a pre</w:t>
      </w:r>
      <w:r w:rsidR="00A46D2B">
        <w:noBreakHyphen/>
      </w:r>
      <w:r w:rsidRPr="00EF2E8A">
        <w:t xml:space="preserve">specified outcome for the trial but a conditional analysis to be undertaken only if the results for PFS by investigator were statistically significant. Results of the analysis for PFS by BICR are summarised in </w:t>
      </w:r>
      <w:r w:rsidR="006D7E09">
        <w:fldChar w:fldCharType="begin" w:fldLock="1"/>
      </w:r>
      <w:r w:rsidR="006D7E09">
        <w:instrText xml:space="preserve"> REF _Ref205197934 \h </w:instrText>
      </w:r>
      <w:r w:rsidR="006D7E09">
        <w:fldChar w:fldCharType="separate"/>
      </w:r>
      <w:r w:rsidR="00CC5CAD">
        <w:t xml:space="preserve">Table </w:t>
      </w:r>
      <w:r w:rsidR="00CC5CAD">
        <w:rPr>
          <w:noProof/>
        </w:rPr>
        <w:t>7</w:t>
      </w:r>
      <w:r w:rsidR="006D7E09">
        <w:fldChar w:fldCharType="end"/>
      </w:r>
      <w:r w:rsidR="009639A1" w:rsidRPr="00EF2E8A">
        <w:t xml:space="preserve"> </w:t>
      </w:r>
      <w:r w:rsidRPr="00EF2E8A">
        <w:t>and the Kaplan</w:t>
      </w:r>
      <w:r w:rsidR="00A46D2B">
        <w:noBreakHyphen/>
      </w:r>
      <w:r w:rsidRPr="00EF2E8A">
        <w:t xml:space="preserve">Meier plot for the September 2024 cutoff in </w:t>
      </w:r>
      <w:r w:rsidR="006D7E09">
        <w:fldChar w:fldCharType="begin" w:fldLock="1"/>
      </w:r>
      <w:r w:rsidR="006D7E09">
        <w:instrText xml:space="preserve"> REF _Ref205197918 \h </w:instrText>
      </w:r>
      <w:r w:rsidR="006D7E09">
        <w:fldChar w:fldCharType="separate"/>
      </w:r>
      <w:r w:rsidR="00CC5CAD">
        <w:t xml:space="preserve">Figure </w:t>
      </w:r>
      <w:r w:rsidR="00CC5CAD">
        <w:rPr>
          <w:noProof/>
        </w:rPr>
        <w:t>3</w:t>
      </w:r>
      <w:r w:rsidR="006D7E09">
        <w:fldChar w:fldCharType="end"/>
      </w:r>
      <w:r w:rsidRPr="00EF2E8A">
        <w:t>.</w:t>
      </w:r>
    </w:p>
    <w:p w14:paraId="1A03D43A" w14:textId="7B1AD968" w:rsidR="00406E31" w:rsidRDefault="00406E31" w:rsidP="00591C83">
      <w:pPr>
        <w:pStyle w:val="Caption"/>
      </w:pPr>
      <w:bookmarkStart w:id="35" w:name="_Ref205197934"/>
      <w:bookmarkStart w:id="36" w:name="_Ref205197870"/>
      <w:r>
        <w:t xml:space="preserve">Table </w:t>
      </w:r>
      <w:r w:rsidR="00CC5CAD">
        <w:fldChar w:fldCharType="begin" w:fldLock="1"/>
      </w:r>
      <w:r w:rsidR="00CC5CAD">
        <w:instrText xml:space="preserve"> SEQ Table \* ARABIC </w:instrText>
      </w:r>
      <w:r w:rsidR="00CC5CAD">
        <w:fldChar w:fldCharType="separate"/>
      </w:r>
      <w:r w:rsidR="00CC5CAD">
        <w:rPr>
          <w:noProof/>
        </w:rPr>
        <w:t>7</w:t>
      </w:r>
      <w:r w:rsidR="00CC5CAD">
        <w:rPr>
          <w:noProof/>
        </w:rPr>
        <w:fldChar w:fldCharType="end"/>
      </w:r>
      <w:bookmarkEnd w:id="35"/>
      <w:r>
        <w:t xml:space="preserve">: </w:t>
      </w:r>
      <w:r w:rsidRPr="00EC583E">
        <w:t>Results of PFS by BICR (ITT)</w:t>
      </w:r>
      <w:bookmarkEnd w:id="36"/>
    </w:p>
    <w:tbl>
      <w:tblPr>
        <w:tblStyle w:val="ACE"/>
        <w:tblW w:w="9016" w:type="dxa"/>
        <w:tblCellMar>
          <w:left w:w="28" w:type="dxa"/>
          <w:right w:w="28" w:type="dxa"/>
        </w:tblCellMar>
        <w:tblLook w:val="04A0" w:firstRow="1" w:lastRow="0" w:firstColumn="1" w:lastColumn="0" w:noHBand="0" w:noVBand="1"/>
        <w:tblCaption w:val="Table 7: Results of PFS by BICR (ITT)"/>
      </w:tblPr>
      <w:tblGrid>
        <w:gridCol w:w="977"/>
        <w:gridCol w:w="1096"/>
        <w:gridCol w:w="1350"/>
        <w:gridCol w:w="1005"/>
        <w:gridCol w:w="1207"/>
        <w:gridCol w:w="1013"/>
        <w:gridCol w:w="1146"/>
        <w:gridCol w:w="1222"/>
      </w:tblGrid>
      <w:tr w:rsidR="00265AEF" w:rsidRPr="00EF2E8A" w14:paraId="478AA004" w14:textId="77777777">
        <w:trPr>
          <w:cnfStyle w:val="100000000000" w:firstRow="1" w:lastRow="0" w:firstColumn="0" w:lastColumn="0" w:oddVBand="0" w:evenVBand="0" w:oddHBand="0" w:evenHBand="0" w:firstRowFirstColumn="0" w:firstRowLastColumn="0" w:lastRowFirstColumn="0" w:lastRowLastColumn="0"/>
          <w:tblHeader/>
        </w:trPr>
        <w:tc>
          <w:tcPr>
            <w:tcW w:w="977" w:type="dxa"/>
            <w:tcBorders>
              <w:top w:val="single" w:sz="4" w:space="0" w:color="auto"/>
              <w:bottom w:val="single" w:sz="4" w:space="0" w:color="auto"/>
              <w:right w:val="single" w:sz="4" w:space="0" w:color="auto"/>
            </w:tcBorders>
            <w:shd w:val="clear" w:color="auto" w:fill="auto"/>
          </w:tcPr>
          <w:p w14:paraId="002F2E06" w14:textId="77777777" w:rsidR="00265AEF" w:rsidRPr="00EF2E8A" w:rsidRDefault="00265AEF" w:rsidP="00591C83">
            <w:pPr>
              <w:spacing w:before="0"/>
              <w:jc w:val="left"/>
              <w:rPr>
                <w:rFonts w:ascii="Arial Narrow" w:hAnsi="Arial Narrow" w:cs="Calibri"/>
                <w:sz w:val="20"/>
                <w:lang w:val="en-AU"/>
              </w:rPr>
            </w:pPr>
          </w:p>
        </w:tc>
        <w:tc>
          <w:tcPr>
            <w:tcW w:w="2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05573A" w14:textId="77777777" w:rsidR="00265AEF" w:rsidRPr="00EF2E8A" w:rsidRDefault="00265AEF" w:rsidP="00591C83">
            <w:pPr>
              <w:spacing w:before="0"/>
              <w:jc w:val="left"/>
              <w:rPr>
                <w:rFonts w:ascii="Arial Narrow" w:hAnsi="Arial Narrow" w:cs="Calibri"/>
                <w:sz w:val="20"/>
                <w:lang w:val="en-AU"/>
              </w:rPr>
            </w:pPr>
            <w:r w:rsidRPr="00EF2E8A">
              <w:rPr>
                <w:rFonts w:ascii="Arial Narrow" w:hAnsi="Arial Narrow" w:cs="Calibri"/>
                <w:bCs/>
                <w:sz w:val="20"/>
                <w:lang w:val="en-AU"/>
              </w:rPr>
              <w:t>MIRV (N=227)</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004A5" w14:textId="77777777" w:rsidR="00265AEF" w:rsidRPr="00EF2E8A" w:rsidRDefault="00265AEF" w:rsidP="00591C83">
            <w:pPr>
              <w:spacing w:before="0"/>
              <w:jc w:val="left"/>
              <w:rPr>
                <w:rFonts w:ascii="Arial Narrow" w:hAnsi="Arial Narrow" w:cs="Calibri"/>
                <w:sz w:val="20"/>
                <w:lang w:val="en-AU"/>
              </w:rPr>
            </w:pPr>
            <w:r w:rsidRPr="00EF2E8A">
              <w:rPr>
                <w:rFonts w:ascii="Arial Narrow" w:hAnsi="Arial Narrow" w:cs="Calibri"/>
                <w:sz w:val="20"/>
                <w:lang w:val="en-AU"/>
              </w:rPr>
              <w:t>ICC (N=226)</w:t>
            </w: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52EEF51F" w14:textId="77777777" w:rsidR="00265AEF" w:rsidRPr="00EF2E8A" w:rsidRDefault="00265AEF" w:rsidP="00591C83">
            <w:pPr>
              <w:spacing w:before="0"/>
              <w:jc w:val="left"/>
              <w:rPr>
                <w:rFonts w:ascii="Arial Narrow" w:hAnsi="Arial Narrow" w:cs="Calibri"/>
                <w:sz w:val="20"/>
                <w:lang w:val="en-AU"/>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343E9588" w14:textId="77777777" w:rsidR="00265AEF" w:rsidRPr="00EF2E8A" w:rsidRDefault="00265AEF" w:rsidP="00591C83">
            <w:pPr>
              <w:spacing w:before="0"/>
              <w:jc w:val="left"/>
              <w:rPr>
                <w:rFonts w:ascii="Arial Narrow" w:hAnsi="Arial Narrow" w:cs="Calibri"/>
                <w:sz w:val="20"/>
                <w:lang w:val="en-AU"/>
              </w:rPr>
            </w:pPr>
          </w:p>
        </w:tc>
        <w:tc>
          <w:tcPr>
            <w:tcW w:w="1222" w:type="dxa"/>
            <w:tcBorders>
              <w:top w:val="single" w:sz="4" w:space="0" w:color="auto"/>
              <w:left w:val="single" w:sz="4" w:space="0" w:color="auto"/>
              <w:bottom w:val="single" w:sz="4" w:space="0" w:color="auto"/>
            </w:tcBorders>
            <w:shd w:val="clear" w:color="auto" w:fill="auto"/>
          </w:tcPr>
          <w:p w14:paraId="5FFB5221" w14:textId="77777777" w:rsidR="00265AEF" w:rsidRPr="00EF2E8A" w:rsidRDefault="00265AEF" w:rsidP="00591C83">
            <w:pPr>
              <w:spacing w:before="0"/>
              <w:jc w:val="left"/>
              <w:rPr>
                <w:rFonts w:ascii="Arial Narrow" w:hAnsi="Arial Narrow" w:cs="Calibri"/>
                <w:sz w:val="20"/>
                <w:lang w:val="en-AU"/>
              </w:rPr>
            </w:pPr>
          </w:p>
        </w:tc>
      </w:tr>
      <w:tr w:rsidR="00265AEF" w:rsidRPr="00EF2E8A" w14:paraId="7B4E51B5" w14:textId="77777777">
        <w:trPr>
          <w:cnfStyle w:val="100000000000" w:firstRow="1" w:lastRow="0" w:firstColumn="0" w:lastColumn="0" w:oddVBand="0" w:evenVBand="0" w:oddHBand="0" w:evenHBand="0" w:firstRowFirstColumn="0" w:firstRowLastColumn="0" w:lastRowFirstColumn="0" w:lastRowLastColumn="0"/>
          <w:tblHeader/>
        </w:trPr>
        <w:tc>
          <w:tcPr>
            <w:tcW w:w="977" w:type="dxa"/>
            <w:tcBorders>
              <w:top w:val="single" w:sz="4" w:space="0" w:color="auto"/>
              <w:bottom w:val="single" w:sz="4" w:space="0" w:color="auto"/>
              <w:right w:val="single" w:sz="4" w:space="0" w:color="auto"/>
            </w:tcBorders>
            <w:shd w:val="clear" w:color="auto" w:fill="auto"/>
          </w:tcPr>
          <w:p w14:paraId="2C29A61A" w14:textId="77777777" w:rsidR="00265AEF" w:rsidRPr="00EF2E8A" w:rsidRDefault="00265AEF" w:rsidP="00591C83">
            <w:pPr>
              <w:spacing w:before="0"/>
              <w:jc w:val="left"/>
              <w:rPr>
                <w:rFonts w:ascii="Arial Narrow" w:hAnsi="Arial Narrow" w:cs="Calibri"/>
                <w:sz w:val="20"/>
                <w:lang w:val="en-AU"/>
              </w:rPr>
            </w:pPr>
            <w:r w:rsidRPr="00EF2E8A">
              <w:rPr>
                <w:rFonts w:ascii="Arial Narrow" w:hAnsi="Arial Narrow" w:cs="Calibri"/>
                <w:sz w:val="20"/>
                <w:lang w:val="en-AU"/>
              </w:rPr>
              <w:t>Outcome</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54D5F575" w14:textId="2BDDEC26" w:rsidR="00265AEF" w:rsidRPr="00EF2E8A" w:rsidRDefault="00265AEF" w:rsidP="00591C83">
            <w:pPr>
              <w:spacing w:before="0"/>
              <w:jc w:val="left"/>
              <w:rPr>
                <w:rFonts w:ascii="Arial Narrow" w:hAnsi="Arial Narrow" w:cs="Calibri"/>
                <w:kern w:val="24"/>
                <w:sz w:val="20"/>
                <w:lang w:val="en-AU"/>
              </w:rPr>
            </w:pPr>
            <w:r w:rsidRPr="00EF2E8A">
              <w:rPr>
                <w:rFonts w:ascii="Arial Narrow" w:hAnsi="Arial Narrow" w:cs="Calibri"/>
                <w:kern w:val="24"/>
                <w:sz w:val="20"/>
                <w:lang w:val="en-AU"/>
              </w:rPr>
              <w:t>n with event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F366451" w14:textId="749C7609" w:rsidR="00265AEF" w:rsidRPr="00EF2E8A" w:rsidRDefault="00265AEF" w:rsidP="00591C83">
            <w:pPr>
              <w:spacing w:before="0"/>
              <w:jc w:val="left"/>
              <w:rPr>
                <w:rFonts w:ascii="Arial Narrow" w:eastAsia="Times New Roman" w:hAnsi="Arial Narrow"/>
                <w:sz w:val="20"/>
                <w:lang w:val="en-AU"/>
              </w:rPr>
            </w:pPr>
            <w:r w:rsidRPr="00EF2E8A">
              <w:rPr>
                <w:rFonts w:ascii="Arial Narrow" w:eastAsia="Times New Roman" w:hAnsi="Arial Narrow" w:cs="Calibri"/>
                <w:kern w:val="24"/>
                <w:sz w:val="20"/>
                <w:lang w:val="en-AU"/>
              </w:rPr>
              <w:t xml:space="preserve">Median time to PFS </w:t>
            </w:r>
            <w:r w:rsidR="00122BDD" w:rsidRPr="00EF2E8A">
              <w:rPr>
                <w:rFonts w:ascii="Arial Narrow" w:eastAsia="Times New Roman" w:hAnsi="Arial Narrow" w:cs="Calibri"/>
                <w:kern w:val="24"/>
                <w:sz w:val="20"/>
                <w:lang w:val="en-AU"/>
              </w:rPr>
              <w:t xml:space="preserve">event </w:t>
            </w:r>
            <w:r w:rsidRPr="00EF2E8A">
              <w:rPr>
                <w:rFonts w:ascii="Arial Narrow" w:eastAsia="Times New Roman" w:hAnsi="Arial Narrow" w:cs="Calibri"/>
                <w:kern w:val="24"/>
                <w:sz w:val="20"/>
                <w:lang w:val="en-AU"/>
              </w:rPr>
              <w:t>(mo)</w:t>
            </w:r>
          </w:p>
          <w:p w14:paraId="54B356F5" w14:textId="77777777" w:rsidR="00265AEF" w:rsidRPr="00EF2E8A" w:rsidRDefault="00265AEF" w:rsidP="00591C83">
            <w:pPr>
              <w:spacing w:before="0"/>
              <w:jc w:val="left"/>
              <w:rPr>
                <w:rFonts w:ascii="Arial Narrow" w:eastAsia="Times New Roman" w:hAnsi="Arial Narrow" w:cs="Calibri"/>
                <w:kern w:val="24"/>
                <w:sz w:val="20"/>
                <w:lang w:val="en-AU"/>
              </w:rPr>
            </w:pPr>
            <w:r w:rsidRPr="00EF2E8A">
              <w:rPr>
                <w:rFonts w:ascii="Arial Narrow" w:eastAsia="Times New Roman" w:hAnsi="Arial Narrow" w:cs="Calibri"/>
                <w:kern w:val="24"/>
                <w:sz w:val="20"/>
                <w:lang w:val="en-AU"/>
              </w:rPr>
              <w:t>(95% CI)</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F1BE58B" w14:textId="7BB9288C" w:rsidR="00265AEF" w:rsidRPr="00EF2E8A" w:rsidRDefault="00265AEF" w:rsidP="00591C83">
            <w:pPr>
              <w:spacing w:before="0"/>
              <w:jc w:val="left"/>
              <w:rPr>
                <w:rFonts w:ascii="Arial Narrow" w:hAnsi="Arial Narrow" w:cs="Calibri"/>
                <w:kern w:val="24"/>
                <w:sz w:val="20"/>
                <w:lang w:val="en-AU"/>
              </w:rPr>
            </w:pPr>
            <w:r w:rsidRPr="00EF2E8A">
              <w:rPr>
                <w:rFonts w:ascii="Arial Narrow" w:hAnsi="Arial Narrow" w:cs="Calibri"/>
                <w:kern w:val="24"/>
                <w:sz w:val="20"/>
                <w:lang w:val="en-AU"/>
              </w:rPr>
              <w:t>n with event (%)</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C41FEF4" w14:textId="58AADDC5" w:rsidR="00265AEF" w:rsidRPr="00EF2E8A" w:rsidRDefault="00265AEF" w:rsidP="00591C83">
            <w:pPr>
              <w:spacing w:before="0"/>
              <w:jc w:val="left"/>
              <w:rPr>
                <w:rFonts w:ascii="Arial Narrow" w:hAnsi="Arial Narrow" w:cs="Calibri"/>
                <w:kern w:val="24"/>
                <w:sz w:val="20"/>
                <w:lang w:val="en-AU"/>
              </w:rPr>
            </w:pPr>
            <w:r w:rsidRPr="00EF2E8A">
              <w:rPr>
                <w:rFonts w:ascii="Arial Narrow" w:hAnsi="Arial Narrow" w:cs="Calibri"/>
                <w:kern w:val="24"/>
                <w:sz w:val="20"/>
                <w:lang w:val="en-AU"/>
              </w:rPr>
              <w:t xml:space="preserve">Median time to PFS </w:t>
            </w:r>
            <w:r w:rsidR="00122BDD" w:rsidRPr="00EF2E8A">
              <w:rPr>
                <w:rFonts w:ascii="Arial Narrow" w:hAnsi="Arial Narrow" w:cs="Calibri"/>
                <w:kern w:val="24"/>
                <w:sz w:val="20"/>
                <w:lang w:val="en-AU"/>
              </w:rPr>
              <w:t xml:space="preserve">event </w:t>
            </w:r>
            <w:r w:rsidRPr="00EF2E8A">
              <w:rPr>
                <w:rFonts w:ascii="Arial Narrow" w:hAnsi="Arial Narrow" w:cs="Calibri"/>
                <w:kern w:val="24"/>
                <w:sz w:val="20"/>
                <w:lang w:val="en-AU"/>
              </w:rPr>
              <w:t>(mo)</w:t>
            </w:r>
          </w:p>
          <w:p w14:paraId="3ADEC16A" w14:textId="77777777" w:rsidR="00265AEF" w:rsidRPr="00EF2E8A" w:rsidRDefault="00265AEF" w:rsidP="00591C83">
            <w:pPr>
              <w:spacing w:before="0"/>
              <w:jc w:val="left"/>
              <w:rPr>
                <w:rFonts w:ascii="Arial Narrow" w:hAnsi="Arial Narrow" w:cs="Calibri"/>
                <w:kern w:val="24"/>
                <w:sz w:val="20"/>
                <w:lang w:val="en-AU"/>
              </w:rPr>
            </w:pPr>
            <w:r w:rsidRPr="00EF2E8A">
              <w:rPr>
                <w:rFonts w:ascii="Arial Narrow" w:hAnsi="Arial Narrow" w:cs="Calibri"/>
                <w:kern w:val="24"/>
                <w:sz w:val="20"/>
                <w:lang w:val="en-AU"/>
              </w:rPr>
              <w:t>(95% CI)</w:t>
            </w: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0EAED335" w14:textId="77777777" w:rsidR="00265AEF" w:rsidRPr="00EF2E8A" w:rsidRDefault="00265AEF" w:rsidP="00591C83">
            <w:pPr>
              <w:spacing w:before="0"/>
              <w:jc w:val="left"/>
              <w:rPr>
                <w:rFonts w:ascii="Arial Narrow" w:hAnsi="Arial Narrow" w:cs="Calibri"/>
                <w:sz w:val="20"/>
                <w:lang w:val="en-AU"/>
              </w:rPr>
            </w:pPr>
            <w:r w:rsidRPr="00EF2E8A">
              <w:rPr>
                <w:rFonts w:ascii="Arial Narrow" w:hAnsi="Arial Narrow" w:cs="Calibri"/>
                <w:sz w:val="20"/>
                <w:lang w:val="en-AU"/>
              </w:rPr>
              <w:t>Difference in median</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3E9479B" w14:textId="137EF250" w:rsidR="00265AEF" w:rsidRPr="00EF2E8A" w:rsidRDefault="00265AEF" w:rsidP="00591C83">
            <w:pPr>
              <w:spacing w:before="0"/>
              <w:jc w:val="left"/>
              <w:rPr>
                <w:rFonts w:ascii="Arial Narrow" w:hAnsi="Arial Narrow" w:cs="Calibri"/>
                <w:sz w:val="20"/>
                <w:lang w:val="en-AU"/>
              </w:rPr>
            </w:pPr>
            <w:r w:rsidRPr="00EF2E8A">
              <w:rPr>
                <w:rFonts w:ascii="Arial Narrow" w:hAnsi="Arial Narrow" w:cs="Calibri"/>
                <w:sz w:val="20"/>
                <w:lang w:val="en-AU"/>
              </w:rPr>
              <w:t>P</w:t>
            </w:r>
            <w:r w:rsidR="00A46D2B">
              <w:rPr>
                <w:rFonts w:ascii="Arial Narrow" w:hAnsi="Arial Narrow" w:cs="Calibri"/>
                <w:sz w:val="20"/>
                <w:lang w:val="en-AU"/>
              </w:rPr>
              <w:noBreakHyphen/>
            </w:r>
            <w:r w:rsidRPr="00EF2E8A">
              <w:rPr>
                <w:rFonts w:ascii="Arial Narrow" w:hAnsi="Arial Narrow" w:cs="Calibri"/>
                <w:sz w:val="20"/>
                <w:lang w:val="en-AU"/>
              </w:rPr>
              <w:t>value (log rank test)</w:t>
            </w:r>
          </w:p>
        </w:tc>
        <w:tc>
          <w:tcPr>
            <w:tcW w:w="1222" w:type="dxa"/>
            <w:tcBorders>
              <w:top w:val="single" w:sz="4" w:space="0" w:color="auto"/>
              <w:left w:val="single" w:sz="4" w:space="0" w:color="auto"/>
              <w:bottom w:val="single" w:sz="4" w:space="0" w:color="auto"/>
            </w:tcBorders>
            <w:shd w:val="clear" w:color="auto" w:fill="auto"/>
          </w:tcPr>
          <w:p w14:paraId="076CFDB9" w14:textId="77777777" w:rsidR="00265AEF" w:rsidRPr="00EF2E8A" w:rsidRDefault="00265AEF" w:rsidP="00591C83">
            <w:pPr>
              <w:spacing w:before="0"/>
              <w:jc w:val="left"/>
              <w:rPr>
                <w:rFonts w:ascii="Arial Narrow" w:hAnsi="Arial Narrow" w:cs="Calibri"/>
                <w:sz w:val="20"/>
                <w:lang w:val="en-AU"/>
              </w:rPr>
            </w:pPr>
            <w:r w:rsidRPr="00EF2E8A">
              <w:rPr>
                <w:rFonts w:ascii="Arial Narrow" w:hAnsi="Arial Narrow" w:cs="Calibri"/>
                <w:sz w:val="20"/>
                <w:lang w:val="en-AU"/>
              </w:rPr>
              <w:t>HR (95% CI)</w:t>
            </w:r>
          </w:p>
        </w:tc>
      </w:tr>
      <w:tr w:rsidR="00265AEF" w:rsidRPr="00EF2E8A" w14:paraId="7F951A24" w14:textId="77777777">
        <w:tc>
          <w:tcPr>
            <w:tcW w:w="9016" w:type="dxa"/>
            <w:gridSpan w:val="8"/>
            <w:tcBorders>
              <w:top w:val="single" w:sz="4" w:space="0" w:color="auto"/>
              <w:bottom w:val="single" w:sz="4" w:space="0" w:color="auto"/>
            </w:tcBorders>
          </w:tcPr>
          <w:p w14:paraId="06A1931B" w14:textId="355571DD" w:rsidR="00265AEF" w:rsidRPr="00EF2E8A" w:rsidRDefault="00265AEF" w:rsidP="00591C83">
            <w:pPr>
              <w:autoSpaceDE w:val="0"/>
              <w:autoSpaceDN w:val="0"/>
              <w:adjustRightInd w:val="0"/>
              <w:spacing w:before="0"/>
              <w:jc w:val="left"/>
              <w:rPr>
                <w:rFonts w:ascii="Arial Narrow" w:hAnsi="Arial Narrow" w:cs="Calibri"/>
                <w:b/>
                <w:sz w:val="20"/>
                <w:lang w:val="en-AU"/>
              </w:rPr>
            </w:pPr>
            <w:r w:rsidRPr="00EF2E8A">
              <w:rPr>
                <w:rFonts w:ascii="Arial Narrow" w:hAnsi="Arial Narrow" w:cs="Calibri"/>
                <w:b/>
                <w:sz w:val="20"/>
                <w:lang w:val="en-AU"/>
              </w:rPr>
              <w:t>MIRASOL March 2023 data cutoff (median follow</w:t>
            </w:r>
            <w:r w:rsidR="00A46D2B">
              <w:rPr>
                <w:rFonts w:ascii="Arial Narrow" w:hAnsi="Arial Narrow" w:cs="Calibri"/>
                <w:b/>
                <w:sz w:val="20"/>
                <w:lang w:val="en-AU"/>
              </w:rPr>
              <w:noBreakHyphen/>
            </w:r>
            <w:r w:rsidRPr="00EF2E8A">
              <w:rPr>
                <w:rFonts w:ascii="Arial Narrow" w:hAnsi="Arial Narrow" w:cs="Calibri"/>
                <w:b/>
                <w:sz w:val="20"/>
                <w:lang w:val="en-AU"/>
              </w:rPr>
              <w:t>up 7.33 mo [95% CI 6.97, 8.48])</w:t>
            </w:r>
          </w:p>
        </w:tc>
      </w:tr>
      <w:tr w:rsidR="00265AEF" w:rsidRPr="00EF2E8A" w14:paraId="050A5B10" w14:textId="77777777">
        <w:tc>
          <w:tcPr>
            <w:tcW w:w="977" w:type="dxa"/>
            <w:tcBorders>
              <w:bottom w:val="nil"/>
            </w:tcBorders>
            <w:hideMark/>
          </w:tcPr>
          <w:p w14:paraId="1618E525" w14:textId="77777777" w:rsidR="00265AEF" w:rsidRPr="00EF2E8A" w:rsidRDefault="00265AEF" w:rsidP="00591C83">
            <w:pPr>
              <w:spacing w:before="0"/>
              <w:rPr>
                <w:rFonts w:ascii="Arial Narrow" w:hAnsi="Arial Narrow" w:cs="Calibri"/>
                <w:sz w:val="20"/>
                <w:lang w:val="en-AU"/>
              </w:rPr>
            </w:pPr>
            <w:r w:rsidRPr="00EF2E8A">
              <w:rPr>
                <w:rFonts w:ascii="Arial Narrow" w:hAnsi="Arial Narrow" w:cs="Calibri"/>
                <w:sz w:val="20"/>
                <w:lang w:val="en-AU"/>
              </w:rPr>
              <w:t>PFS</w:t>
            </w:r>
          </w:p>
        </w:tc>
        <w:tc>
          <w:tcPr>
            <w:tcW w:w="1096" w:type="dxa"/>
            <w:tcBorders>
              <w:bottom w:val="nil"/>
            </w:tcBorders>
          </w:tcPr>
          <w:p w14:paraId="541B7EE7" w14:textId="09556C4A"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146 (64.3%)</w:t>
            </w:r>
          </w:p>
        </w:tc>
        <w:tc>
          <w:tcPr>
            <w:tcW w:w="1350" w:type="dxa"/>
            <w:tcBorders>
              <w:bottom w:val="nil"/>
            </w:tcBorders>
          </w:tcPr>
          <w:p w14:paraId="3DE0422E"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5.91 </w:t>
            </w:r>
          </w:p>
          <w:p w14:paraId="5F57A584"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(4.93, 6.97)</w:t>
            </w:r>
          </w:p>
        </w:tc>
        <w:tc>
          <w:tcPr>
            <w:tcW w:w="1005" w:type="dxa"/>
            <w:tcBorders>
              <w:bottom w:val="nil"/>
            </w:tcBorders>
          </w:tcPr>
          <w:p w14:paraId="4075ABBE" w14:textId="2D27F5E0"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123 (54.4%)</w:t>
            </w:r>
          </w:p>
        </w:tc>
        <w:tc>
          <w:tcPr>
            <w:tcW w:w="1207" w:type="dxa"/>
            <w:tcBorders>
              <w:bottom w:val="nil"/>
            </w:tcBorders>
          </w:tcPr>
          <w:p w14:paraId="7D4A7C59"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4.34</w:t>
            </w:r>
            <w:r w:rsidRPr="00EF2E8A">
              <w:rPr>
                <w:rFonts w:ascii="Arial Narrow" w:hAnsi="Arial Narrow" w:cs="Calibri"/>
                <w:sz w:val="20"/>
                <w:vertAlign w:val="superscript"/>
                <w:lang w:val="en-AU"/>
              </w:rPr>
              <w:t>a</w:t>
            </w:r>
            <w:r w:rsidRPr="00EF2E8A">
              <w:rPr>
                <w:rFonts w:ascii="Arial Narrow" w:hAnsi="Arial Narrow" w:cs="Calibri"/>
                <w:sz w:val="20"/>
                <w:lang w:val="en-AU"/>
              </w:rPr>
              <w:t xml:space="preserve"> </w:t>
            </w:r>
          </w:p>
          <w:p w14:paraId="2D916ADA"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(3.52, 4.99) </w:t>
            </w:r>
          </w:p>
        </w:tc>
        <w:tc>
          <w:tcPr>
            <w:tcW w:w="1013" w:type="dxa"/>
            <w:tcBorders>
              <w:bottom w:val="nil"/>
            </w:tcBorders>
          </w:tcPr>
          <w:p w14:paraId="3EBD053D"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1.57</w:t>
            </w:r>
          </w:p>
        </w:tc>
        <w:tc>
          <w:tcPr>
            <w:tcW w:w="1146" w:type="dxa"/>
            <w:tcBorders>
              <w:bottom w:val="nil"/>
            </w:tcBorders>
          </w:tcPr>
          <w:p w14:paraId="747EB90B" w14:textId="77777777" w:rsidR="00265AEF" w:rsidRPr="00EF2E8A" w:rsidRDefault="00265AEF" w:rsidP="00591C83">
            <w:pPr>
              <w:spacing w:before="0"/>
              <w:jc w:val="center"/>
              <w:rPr>
                <w:rFonts w:ascii="Arial Narrow" w:hAnsi="Arial Narrow" w:cs="Calibri"/>
                <w:b/>
                <w:bCs/>
                <w:sz w:val="20"/>
                <w:lang w:val="en-AU"/>
              </w:rPr>
            </w:pPr>
            <w:r w:rsidRPr="00EF2E8A">
              <w:rPr>
                <w:rFonts w:ascii="Arial Narrow" w:hAnsi="Arial Narrow" w:cs="Calibri"/>
                <w:b/>
                <w:bCs/>
                <w:sz w:val="20"/>
                <w:lang w:val="en-AU"/>
              </w:rPr>
              <w:t>0.0082</w:t>
            </w:r>
          </w:p>
        </w:tc>
        <w:tc>
          <w:tcPr>
            <w:tcW w:w="1222" w:type="dxa"/>
            <w:tcBorders>
              <w:bottom w:val="nil"/>
            </w:tcBorders>
          </w:tcPr>
          <w:p w14:paraId="3C8DCA91" w14:textId="77777777" w:rsidR="00265AEF" w:rsidRPr="00EF2E8A" w:rsidRDefault="00265AEF" w:rsidP="00591C83">
            <w:pPr>
              <w:spacing w:before="0"/>
              <w:jc w:val="center"/>
              <w:rPr>
                <w:rFonts w:ascii="Arial Narrow" w:hAnsi="Arial Narrow" w:cs="Calibri"/>
                <w:b/>
                <w:bCs/>
                <w:sz w:val="20"/>
                <w:lang w:val="en-AU"/>
              </w:rPr>
            </w:pPr>
            <w:r w:rsidRPr="00EF2E8A">
              <w:rPr>
                <w:rFonts w:ascii="Arial Narrow" w:hAnsi="Arial Narrow" w:cs="Calibri"/>
                <w:b/>
                <w:bCs/>
                <w:sz w:val="20"/>
                <w:lang w:val="en-AU"/>
              </w:rPr>
              <w:t xml:space="preserve">0.72 </w:t>
            </w:r>
          </w:p>
          <w:p w14:paraId="26A0E1FC" w14:textId="77777777" w:rsidR="00265AEF" w:rsidRPr="00EF2E8A" w:rsidRDefault="00265AEF" w:rsidP="00591C83">
            <w:pPr>
              <w:spacing w:before="0"/>
              <w:jc w:val="center"/>
              <w:rPr>
                <w:rFonts w:ascii="Arial Narrow" w:hAnsi="Arial Narrow" w:cs="Calibri"/>
                <w:b/>
                <w:bCs/>
                <w:sz w:val="20"/>
                <w:lang w:val="en-AU"/>
              </w:rPr>
            </w:pPr>
            <w:r w:rsidRPr="00EF2E8A">
              <w:rPr>
                <w:rFonts w:ascii="Arial Narrow" w:hAnsi="Arial Narrow" w:cs="Calibri"/>
                <w:b/>
                <w:bCs/>
                <w:sz w:val="20"/>
                <w:lang w:val="en-AU"/>
              </w:rPr>
              <w:t>(0.558, 0.920)</w:t>
            </w:r>
          </w:p>
        </w:tc>
      </w:tr>
      <w:tr w:rsidR="00265AEF" w:rsidRPr="00EF2E8A" w14:paraId="2F07549F" w14:textId="77777777">
        <w:tc>
          <w:tcPr>
            <w:tcW w:w="9016" w:type="dxa"/>
            <w:gridSpan w:val="8"/>
            <w:tcBorders>
              <w:bottom w:val="single" w:sz="4" w:space="0" w:color="auto"/>
            </w:tcBorders>
          </w:tcPr>
          <w:p w14:paraId="79543878" w14:textId="0DF57262" w:rsidR="00265AEF" w:rsidRPr="00EF2E8A" w:rsidRDefault="00265AEF" w:rsidP="00591C83">
            <w:pPr>
              <w:autoSpaceDE w:val="0"/>
              <w:autoSpaceDN w:val="0"/>
              <w:adjustRightInd w:val="0"/>
              <w:spacing w:before="0"/>
              <w:jc w:val="left"/>
              <w:rPr>
                <w:rFonts w:ascii="Arial Narrow" w:hAnsi="Arial Narrow" w:cs="Calibri"/>
                <w:b/>
                <w:sz w:val="20"/>
                <w:lang w:val="en-AU"/>
              </w:rPr>
            </w:pPr>
            <w:r w:rsidRPr="00EF2E8A">
              <w:rPr>
                <w:rFonts w:ascii="Arial Narrow" w:hAnsi="Arial Narrow" w:cs="Calibri"/>
                <w:b/>
                <w:sz w:val="20"/>
                <w:lang w:val="en-AU"/>
              </w:rPr>
              <w:t>MIRASOL September 2024 data cutoff (median follow</w:t>
            </w:r>
            <w:r w:rsidR="00A46D2B">
              <w:rPr>
                <w:rFonts w:ascii="Arial Narrow" w:hAnsi="Arial Narrow" w:cs="Calibri"/>
                <w:b/>
                <w:sz w:val="20"/>
                <w:lang w:val="en-AU"/>
              </w:rPr>
              <w:noBreakHyphen/>
            </w:r>
            <w:r w:rsidRPr="00EF2E8A">
              <w:rPr>
                <w:rFonts w:ascii="Arial Narrow" w:hAnsi="Arial Narrow" w:cs="Calibri"/>
                <w:b/>
                <w:sz w:val="20"/>
                <w:lang w:val="en-AU"/>
              </w:rPr>
              <w:t>up 8.67 mo [95% CI 7.20, 11.79])</w:t>
            </w:r>
          </w:p>
        </w:tc>
      </w:tr>
      <w:tr w:rsidR="00265AEF" w:rsidRPr="00EF2E8A" w14:paraId="4ACF7E58" w14:textId="77777777">
        <w:tc>
          <w:tcPr>
            <w:tcW w:w="977" w:type="dxa"/>
            <w:tcBorders>
              <w:top w:val="single" w:sz="4" w:space="0" w:color="auto"/>
              <w:left w:val="single" w:sz="4" w:space="0" w:color="auto"/>
              <w:bottom w:val="nil"/>
              <w:right w:val="single" w:sz="4" w:space="0" w:color="auto"/>
            </w:tcBorders>
            <w:shd w:val="clear" w:color="auto" w:fill="auto"/>
            <w:vAlign w:val="center"/>
          </w:tcPr>
          <w:p w14:paraId="47462982" w14:textId="77777777" w:rsidR="00265AEF" w:rsidRPr="00EF2E8A" w:rsidRDefault="00265AEF" w:rsidP="00591C83">
            <w:pPr>
              <w:spacing w:before="0"/>
              <w:rPr>
                <w:rFonts w:ascii="Arial Narrow" w:hAnsi="Arial Narrow" w:cs="Calibri"/>
                <w:sz w:val="20"/>
                <w:lang w:val="en-AU"/>
              </w:rPr>
            </w:pPr>
            <w:r w:rsidRPr="00EF2E8A">
              <w:rPr>
                <w:rFonts w:ascii="Arial Narrow" w:hAnsi="Arial Narrow" w:cs="Calibri"/>
                <w:kern w:val="24"/>
                <w:sz w:val="20"/>
                <w:lang w:val="en-AU"/>
              </w:rPr>
              <w:t>PFS</w:t>
            </w:r>
          </w:p>
        </w:tc>
        <w:tc>
          <w:tcPr>
            <w:tcW w:w="1096" w:type="dxa"/>
            <w:tcBorders>
              <w:top w:val="single" w:sz="4" w:space="0" w:color="auto"/>
              <w:left w:val="single" w:sz="4" w:space="0" w:color="auto"/>
              <w:bottom w:val="nil"/>
              <w:right w:val="single" w:sz="4" w:space="0" w:color="auto"/>
            </w:tcBorders>
            <w:shd w:val="clear" w:color="auto" w:fill="auto"/>
            <w:vAlign w:val="center"/>
          </w:tcPr>
          <w:p w14:paraId="69B34095" w14:textId="7110658B"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164 (72.2%)</w:t>
            </w:r>
          </w:p>
        </w:tc>
        <w:tc>
          <w:tcPr>
            <w:tcW w:w="1350" w:type="dxa"/>
            <w:tcBorders>
              <w:top w:val="single" w:sz="4" w:space="0" w:color="auto"/>
              <w:left w:val="single" w:sz="4" w:space="0" w:color="auto"/>
              <w:bottom w:val="nil"/>
              <w:right w:val="single" w:sz="4" w:space="0" w:color="auto"/>
            </w:tcBorders>
            <w:shd w:val="clear" w:color="auto" w:fill="auto"/>
            <w:vAlign w:val="center"/>
          </w:tcPr>
          <w:p w14:paraId="1CC18499"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5.82 </w:t>
            </w:r>
          </w:p>
          <w:p w14:paraId="4708ADB6"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(4.93, 6.97)</w:t>
            </w:r>
          </w:p>
        </w:tc>
        <w:tc>
          <w:tcPr>
            <w:tcW w:w="1005" w:type="dxa"/>
            <w:tcBorders>
              <w:top w:val="single" w:sz="4" w:space="0" w:color="auto"/>
              <w:left w:val="single" w:sz="4" w:space="0" w:color="auto"/>
              <w:bottom w:val="nil"/>
              <w:right w:val="single" w:sz="4" w:space="0" w:color="auto"/>
            </w:tcBorders>
            <w:shd w:val="clear" w:color="auto" w:fill="auto"/>
            <w:vAlign w:val="center"/>
          </w:tcPr>
          <w:p w14:paraId="32FCE793" w14:textId="1D14772A"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127 (56.2%)</w:t>
            </w:r>
          </w:p>
        </w:tc>
        <w:tc>
          <w:tcPr>
            <w:tcW w:w="1207" w:type="dxa"/>
            <w:tcBorders>
              <w:top w:val="single" w:sz="4" w:space="0" w:color="auto"/>
              <w:left w:val="single" w:sz="4" w:space="0" w:color="auto"/>
              <w:bottom w:val="nil"/>
              <w:right w:val="single" w:sz="4" w:space="0" w:color="auto"/>
            </w:tcBorders>
            <w:shd w:val="clear" w:color="auto" w:fill="auto"/>
            <w:vAlign w:val="center"/>
          </w:tcPr>
          <w:p w14:paraId="2B4CBEAE"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4.34</w:t>
            </w:r>
            <w:r w:rsidRPr="00EF2E8A">
              <w:rPr>
                <w:rFonts w:ascii="Arial Narrow" w:hAnsi="Arial Narrow" w:cs="Calibri"/>
                <w:sz w:val="20"/>
                <w:vertAlign w:val="superscript"/>
                <w:lang w:val="en-AU"/>
              </w:rPr>
              <w:t>a</w:t>
            </w:r>
            <w:r w:rsidRPr="00EF2E8A">
              <w:rPr>
                <w:rFonts w:ascii="Arial Narrow" w:hAnsi="Arial Narrow" w:cs="Calibri"/>
                <w:sz w:val="20"/>
                <w:lang w:val="en-AU"/>
              </w:rPr>
              <w:t xml:space="preserve"> </w:t>
            </w:r>
          </w:p>
          <w:p w14:paraId="3A3BEF9B"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(3.52, 4.99)</w:t>
            </w:r>
          </w:p>
        </w:tc>
        <w:tc>
          <w:tcPr>
            <w:tcW w:w="1013" w:type="dxa"/>
            <w:tcBorders>
              <w:top w:val="single" w:sz="4" w:space="0" w:color="auto"/>
              <w:left w:val="single" w:sz="4" w:space="0" w:color="auto"/>
              <w:bottom w:val="nil"/>
              <w:right w:val="single" w:sz="4" w:space="0" w:color="auto"/>
            </w:tcBorders>
            <w:shd w:val="clear" w:color="auto" w:fill="auto"/>
            <w:vAlign w:val="center"/>
          </w:tcPr>
          <w:p w14:paraId="2863D158"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1.48</w:t>
            </w:r>
          </w:p>
        </w:tc>
        <w:tc>
          <w:tcPr>
            <w:tcW w:w="1146" w:type="dxa"/>
            <w:tcBorders>
              <w:top w:val="single" w:sz="4" w:space="0" w:color="auto"/>
              <w:left w:val="single" w:sz="4" w:space="0" w:color="auto"/>
              <w:bottom w:val="nil"/>
              <w:right w:val="single" w:sz="4" w:space="0" w:color="auto"/>
            </w:tcBorders>
            <w:shd w:val="clear" w:color="auto" w:fill="auto"/>
            <w:vAlign w:val="center"/>
          </w:tcPr>
          <w:p w14:paraId="1862F41D" w14:textId="77777777" w:rsidR="00265AEF" w:rsidRPr="00EF2E8A" w:rsidRDefault="00265AEF" w:rsidP="00591C83">
            <w:pPr>
              <w:spacing w:before="0"/>
              <w:jc w:val="center"/>
              <w:rPr>
                <w:rFonts w:ascii="Arial Narrow" w:hAnsi="Arial Narrow" w:cs="Calibri"/>
                <w:b/>
                <w:bCs/>
                <w:sz w:val="20"/>
                <w:lang w:val="en-AU"/>
              </w:rPr>
            </w:pPr>
            <w:r w:rsidRPr="00EF2E8A">
              <w:rPr>
                <w:rFonts w:ascii="Arial Narrow" w:hAnsi="Arial Narrow" w:cs="Calibri"/>
                <w:b/>
                <w:bCs/>
                <w:sz w:val="20"/>
                <w:lang w:val="en-AU"/>
              </w:rPr>
              <w:t>0.0035</w:t>
            </w:r>
          </w:p>
        </w:tc>
        <w:tc>
          <w:tcPr>
            <w:tcW w:w="1222" w:type="dxa"/>
            <w:tcBorders>
              <w:top w:val="single" w:sz="4" w:space="0" w:color="auto"/>
              <w:left w:val="single" w:sz="4" w:space="0" w:color="auto"/>
              <w:bottom w:val="nil"/>
              <w:right w:val="single" w:sz="4" w:space="0" w:color="auto"/>
            </w:tcBorders>
            <w:shd w:val="clear" w:color="auto" w:fill="auto"/>
            <w:vAlign w:val="center"/>
          </w:tcPr>
          <w:p w14:paraId="273BB987" w14:textId="77777777" w:rsidR="00265AEF" w:rsidRPr="00EF2E8A" w:rsidRDefault="00265AEF" w:rsidP="00591C83">
            <w:pPr>
              <w:spacing w:before="0"/>
              <w:jc w:val="center"/>
              <w:rPr>
                <w:rFonts w:ascii="Arial Narrow" w:hAnsi="Arial Narrow" w:cs="Calibri"/>
                <w:b/>
                <w:bCs/>
                <w:sz w:val="20"/>
                <w:lang w:val="en-AU"/>
              </w:rPr>
            </w:pPr>
            <w:r w:rsidRPr="00EF2E8A">
              <w:rPr>
                <w:rFonts w:ascii="Arial Narrow" w:hAnsi="Arial Narrow" w:cs="Calibri"/>
                <w:b/>
                <w:bCs/>
                <w:sz w:val="20"/>
                <w:lang w:val="en-AU"/>
              </w:rPr>
              <w:t xml:space="preserve">0.70 </w:t>
            </w:r>
          </w:p>
          <w:p w14:paraId="39494457" w14:textId="77777777" w:rsidR="00265AEF" w:rsidRPr="00EF2E8A" w:rsidRDefault="00265AEF" w:rsidP="00591C83">
            <w:pPr>
              <w:spacing w:before="0"/>
              <w:jc w:val="center"/>
              <w:rPr>
                <w:rFonts w:ascii="Arial Narrow" w:hAnsi="Arial Narrow" w:cs="Calibri"/>
                <w:b/>
                <w:bCs/>
                <w:sz w:val="20"/>
                <w:lang w:val="en-AU"/>
              </w:rPr>
            </w:pPr>
            <w:r w:rsidRPr="00EF2E8A">
              <w:rPr>
                <w:rFonts w:ascii="Arial Narrow" w:hAnsi="Arial Narrow" w:cs="Calibri"/>
                <w:b/>
                <w:bCs/>
                <w:sz w:val="20"/>
                <w:lang w:val="en-AU"/>
              </w:rPr>
              <w:t>(0.547, 0.890)</w:t>
            </w:r>
          </w:p>
        </w:tc>
      </w:tr>
      <w:tr w:rsidR="00265AEF" w:rsidRPr="00EF2E8A" w14:paraId="042C6415" w14:textId="77777777">
        <w:tc>
          <w:tcPr>
            <w:tcW w:w="977" w:type="dxa"/>
            <w:tcBorders>
              <w:top w:val="nil"/>
              <w:bottom w:val="nil"/>
            </w:tcBorders>
          </w:tcPr>
          <w:p w14:paraId="152ECD6A" w14:textId="77777777" w:rsidR="00265AEF" w:rsidRPr="00EF2E8A" w:rsidRDefault="00265AEF" w:rsidP="00591C83">
            <w:pPr>
              <w:spacing w:before="0"/>
              <w:rPr>
                <w:rFonts w:ascii="Arial Narrow" w:hAnsi="Arial Narrow" w:cs="Calibri"/>
                <w:sz w:val="20"/>
                <w:lang w:val="en-AU"/>
              </w:rPr>
            </w:pPr>
            <w:r w:rsidRPr="00EF2E8A">
              <w:rPr>
                <w:rFonts w:ascii="Arial Narrow" w:hAnsi="Arial Narrow" w:cs="Calibri"/>
                <w:sz w:val="20"/>
                <w:lang w:val="en-AU"/>
              </w:rPr>
              <w:t xml:space="preserve">   </w:t>
            </w:r>
            <w:proofErr w:type="spellStart"/>
            <w:r w:rsidRPr="00EF2E8A">
              <w:rPr>
                <w:rFonts w:ascii="Arial Narrow" w:hAnsi="Arial Narrow" w:cs="Calibri"/>
                <w:sz w:val="20"/>
                <w:lang w:val="en-AU"/>
              </w:rPr>
              <w:t>PD</w:t>
            </w:r>
            <w:r w:rsidRPr="00EF2E8A">
              <w:rPr>
                <w:rFonts w:ascii="Arial Narrow" w:hAnsi="Arial Narrow" w:cs="Calibri"/>
                <w:sz w:val="20"/>
                <w:vertAlign w:val="superscript"/>
                <w:lang w:val="en-AU"/>
              </w:rPr>
              <w:t>a</w:t>
            </w:r>
            <w:proofErr w:type="spellEnd"/>
          </w:p>
        </w:tc>
        <w:tc>
          <w:tcPr>
            <w:tcW w:w="1096" w:type="dxa"/>
            <w:tcBorders>
              <w:top w:val="nil"/>
              <w:bottom w:val="nil"/>
            </w:tcBorders>
          </w:tcPr>
          <w:p w14:paraId="3F8B0E03"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143 (63.0%) </w:t>
            </w:r>
          </w:p>
        </w:tc>
        <w:tc>
          <w:tcPr>
            <w:tcW w:w="1350" w:type="dxa"/>
            <w:tcBorders>
              <w:top w:val="nil"/>
              <w:bottom w:val="nil"/>
            </w:tcBorders>
          </w:tcPr>
          <w:p w14:paraId="54A54CE6" w14:textId="7D9748BB"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05" w:type="dxa"/>
            <w:tcBorders>
              <w:top w:val="nil"/>
              <w:bottom w:val="nil"/>
            </w:tcBorders>
          </w:tcPr>
          <w:p w14:paraId="6483FC27"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101 (44.7%)</w:t>
            </w:r>
          </w:p>
        </w:tc>
        <w:tc>
          <w:tcPr>
            <w:tcW w:w="1207" w:type="dxa"/>
            <w:tcBorders>
              <w:top w:val="nil"/>
              <w:bottom w:val="nil"/>
            </w:tcBorders>
          </w:tcPr>
          <w:p w14:paraId="366D53E3" w14:textId="7A92D070"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13" w:type="dxa"/>
            <w:tcBorders>
              <w:top w:val="nil"/>
              <w:bottom w:val="nil"/>
            </w:tcBorders>
          </w:tcPr>
          <w:p w14:paraId="1B37FEA3" w14:textId="0FFC27C3"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6" w:type="dxa"/>
            <w:tcBorders>
              <w:top w:val="nil"/>
              <w:bottom w:val="nil"/>
            </w:tcBorders>
          </w:tcPr>
          <w:p w14:paraId="4E307E84" w14:textId="513823F2"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222" w:type="dxa"/>
            <w:tcBorders>
              <w:top w:val="nil"/>
              <w:bottom w:val="nil"/>
            </w:tcBorders>
          </w:tcPr>
          <w:p w14:paraId="35727CD9" w14:textId="7CA7C20A"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r w:rsidR="00265AEF" w:rsidRPr="00EF2E8A" w14:paraId="2FE76866" w14:textId="77777777">
        <w:tc>
          <w:tcPr>
            <w:tcW w:w="977" w:type="dxa"/>
            <w:tcBorders>
              <w:top w:val="nil"/>
              <w:bottom w:val="single" w:sz="4" w:space="0" w:color="auto"/>
            </w:tcBorders>
          </w:tcPr>
          <w:p w14:paraId="3608258A" w14:textId="77777777" w:rsidR="00265AEF" w:rsidRPr="00EF2E8A" w:rsidRDefault="00265AEF" w:rsidP="00591C83">
            <w:pPr>
              <w:spacing w:before="0"/>
              <w:rPr>
                <w:rFonts w:ascii="Arial Narrow" w:hAnsi="Arial Narrow" w:cs="Calibri"/>
                <w:sz w:val="20"/>
                <w:lang w:val="en-AU"/>
              </w:rPr>
            </w:pPr>
            <w:r w:rsidRPr="00EF2E8A">
              <w:rPr>
                <w:rFonts w:ascii="Arial Narrow" w:hAnsi="Arial Narrow" w:cs="Calibri"/>
                <w:sz w:val="20"/>
                <w:lang w:val="en-AU"/>
              </w:rPr>
              <w:t xml:space="preserve">   Deaths</w:t>
            </w:r>
          </w:p>
        </w:tc>
        <w:tc>
          <w:tcPr>
            <w:tcW w:w="1096" w:type="dxa"/>
            <w:tcBorders>
              <w:top w:val="nil"/>
              <w:bottom w:val="single" w:sz="4" w:space="0" w:color="auto"/>
            </w:tcBorders>
          </w:tcPr>
          <w:p w14:paraId="7194E38A"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21 (9.3%)</w:t>
            </w:r>
          </w:p>
        </w:tc>
        <w:tc>
          <w:tcPr>
            <w:tcW w:w="1350" w:type="dxa"/>
            <w:tcBorders>
              <w:top w:val="nil"/>
              <w:bottom w:val="single" w:sz="4" w:space="0" w:color="auto"/>
            </w:tcBorders>
          </w:tcPr>
          <w:p w14:paraId="77EA1F1D" w14:textId="14F187AB"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05" w:type="dxa"/>
            <w:tcBorders>
              <w:top w:val="nil"/>
              <w:bottom w:val="single" w:sz="4" w:space="0" w:color="auto"/>
            </w:tcBorders>
          </w:tcPr>
          <w:p w14:paraId="6BB890A5"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26 (11.5%)</w:t>
            </w:r>
          </w:p>
        </w:tc>
        <w:tc>
          <w:tcPr>
            <w:tcW w:w="1207" w:type="dxa"/>
            <w:tcBorders>
              <w:top w:val="nil"/>
              <w:bottom w:val="single" w:sz="4" w:space="0" w:color="auto"/>
            </w:tcBorders>
          </w:tcPr>
          <w:p w14:paraId="2292068D" w14:textId="685179CE"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13" w:type="dxa"/>
            <w:tcBorders>
              <w:top w:val="nil"/>
              <w:bottom w:val="single" w:sz="4" w:space="0" w:color="auto"/>
            </w:tcBorders>
          </w:tcPr>
          <w:p w14:paraId="57120565" w14:textId="7CD6C8CE"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6" w:type="dxa"/>
            <w:tcBorders>
              <w:top w:val="nil"/>
              <w:bottom w:val="single" w:sz="4" w:space="0" w:color="auto"/>
            </w:tcBorders>
          </w:tcPr>
          <w:p w14:paraId="6965DA0B" w14:textId="3AFAB3FF"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222" w:type="dxa"/>
            <w:tcBorders>
              <w:top w:val="nil"/>
              <w:bottom w:val="single" w:sz="4" w:space="0" w:color="auto"/>
            </w:tcBorders>
          </w:tcPr>
          <w:p w14:paraId="036AB67C" w14:textId="04C89201"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r w:rsidR="00265AEF" w:rsidRPr="00EF2E8A" w14:paraId="76439FA4" w14:textId="77777777">
        <w:tc>
          <w:tcPr>
            <w:tcW w:w="977" w:type="dxa"/>
            <w:tcBorders>
              <w:bottom w:val="single" w:sz="4" w:space="0" w:color="auto"/>
            </w:tcBorders>
          </w:tcPr>
          <w:p w14:paraId="5B9CD11E" w14:textId="77777777" w:rsidR="00265AEF" w:rsidRPr="00EF2E8A" w:rsidRDefault="00265AEF" w:rsidP="00591C83">
            <w:pPr>
              <w:spacing w:before="0"/>
              <w:rPr>
                <w:rFonts w:ascii="Arial Narrow" w:hAnsi="Arial Narrow" w:cs="Calibri"/>
                <w:sz w:val="20"/>
                <w:lang w:val="en-AU"/>
              </w:rPr>
            </w:pPr>
            <w:r w:rsidRPr="00EF2E8A">
              <w:rPr>
                <w:rFonts w:ascii="Arial Narrow" w:hAnsi="Arial Narrow" w:cs="Calibri"/>
                <w:sz w:val="20"/>
                <w:lang w:val="en-AU"/>
              </w:rPr>
              <w:t>Censored</w:t>
            </w:r>
          </w:p>
        </w:tc>
        <w:tc>
          <w:tcPr>
            <w:tcW w:w="1096" w:type="dxa"/>
            <w:tcBorders>
              <w:bottom w:val="single" w:sz="4" w:space="0" w:color="auto"/>
            </w:tcBorders>
          </w:tcPr>
          <w:p w14:paraId="2A0F515A"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63 (27.8%)</w:t>
            </w:r>
          </w:p>
        </w:tc>
        <w:tc>
          <w:tcPr>
            <w:tcW w:w="1350" w:type="dxa"/>
            <w:tcBorders>
              <w:bottom w:val="single" w:sz="4" w:space="0" w:color="auto"/>
            </w:tcBorders>
          </w:tcPr>
          <w:p w14:paraId="28B0C14A" w14:textId="63BB4F47"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05" w:type="dxa"/>
            <w:tcBorders>
              <w:bottom w:val="single" w:sz="4" w:space="0" w:color="auto"/>
            </w:tcBorders>
          </w:tcPr>
          <w:p w14:paraId="1FF3F453" w14:textId="77777777" w:rsidR="00265AEF" w:rsidRPr="00EF2E8A" w:rsidRDefault="00265AEF" w:rsidP="00591C83">
            <w:pPr>
              <w:spacing w:before="0"/>
              <w:jc w:val="center"/>
              <w:rPr>
                <w:rFonts w:ascii="Arial Narrow" w:hAnsi="Arial Narrow" w:cs="Calibri"/>
                <w:sz w:val="20"/>
                <w:lang w:val="en-AU"/>
              </w:rPr>
            </w:pPr>
            <w:r w:rsidRPr="00EF2E8A">
              <w:rPr>
                <w:rFonts w:ascii="Arial Narrow" w:hAnsi="Arial Narrow" w:cs="Calibri"/>
                <w:sz w:val="20"/>
                <w:lang w:val="en-AU"/>
              </w:rPr>
              <w:t>99 (43.8%)</w:t>
            </w:r>
          </w:p>
        </w:tc>
        <w:tc>
          <w:tcPr>
            <w:tcW w:w="1207" w:type="dxa"/>
            <w:tcBorders>
              <w:bottom w:val="single" w:sz="4" w:space="0" w:color="auto"/>
            </w:tcBorders>
          </w:tcPr>
          <w:p w14:paraId="6CF0CFB8" w14:textId="5FF0DC09"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013" w:type="dxa"/>
            <w:tcBorders>
              <w:bottom w:val="single" w:sz="4" w:space="0" w:color="auto"/>
            </w:tcBorders>
          </w:tcPr>
          <w:p w14:paraId="6D5DAF31" w14:textId="0F8944FE"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146" w:type="dxa"/>
            <w:tcBorders>
              <w:bottom w:val="single" w:sz="4" w:space="0" w:color="auto"/>
            </w:tcBorders>
          </w:tcPr>
          <w:p w14:paraId="3E16D3A0" w14:textId="7AF3B473"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1222" w:type="dxa"/>
            <w:tcBorders>
              <w:bottom w:val="single" w:sz="4" w:space="0" w:color="auto"/>
            </w:tcBorders>
          </w:tcPr>
          <w:p w14:paraId="0CC17F77" w14:textId="250E5F42" w:rsidR="00265AEF"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bl>
    <w:p w14:paraId="1B504540" w14:textId="77777777"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Compiled during the evaluation using data sourced from Table 18, p108 MIRASOL CSR March 2023; Table 18, p109 MIRASOL CSR Sept 2024.</w:t>
      </w:r>
    </w:p>
    <w:p w14:paraId="717D66AA" w14:textId="62DAE94B"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BICR= blinded independent central review; CI: confidence interval; CSR: clinical study report; HR: hazard ratio; ICC: investigator’s choice of chemotherapy; ITT: intention to treat analysis; MIRV: mirvetuximab soravtansine; mo: months; PFS: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w:t>
      </w:r>
    </w:p>
    <w:p w14:paraId="72D86D5C" w14:textId="77777777"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proofErr w:type="spellStart"/>
      <w:r w:rsidRPr="00EF2E8A">
        <w:rPr>
          <w:rFonts w:ascii="Arial Narrow" w:eastAsia="Times New Roman" w:hAnsi="Arial Narrow" w:cs="Arial"/>
          <w:snapToGrid w:val="0"/>
          <w:sz w:val="18"/>
          <w:lang w:eastAsia="en-AU"/>
        </w:rPr>
        <w:t>a</w:t>
      </w:r>
      <w:proofErr w:type="spellEnd"/>
      <w:r w:rsidRPr="00EF2E8A">
        <w:rPr>
          <w:rFonts w:ascii="Arial Narrow" w:eastAsia="Times New Roman" w:hAnsi="Arial Narrow" w:cs="Arial"/>
          <w:snapToGrid w:val="0"/>
          <w:sz w:val="18"/>
          <w:lang w:eastAsia="en-AU"/>
        </w:rPr>
        <w:t xml:space="preserve"> The ICC arm median PFS and CI values for each data cutoff were verified against the CSRs.</w:t>
      </w:r>
    </w:p>
    <w:p w14:paraId="5E00F582" w14:textId="1D354AB2" w:rsidR="00EA4BD6" w:rsidRDefault="00EA4BD6" w:rsidP="00591C83">
      <w:pPr>
        <w:pStyle w:val="Caption"/>
        <w:jc w:val="both"/>
      </w:pPr>
      <w:bookmarkStart w:id="37" w:name="_Ref205197918"/>
      <w:r>
        <w:lastRenderedPageBreak/>
        <w:t xml:space="preserve">Figure </w:t>
      </w:r>
      <w:r w:rsidR="00CC5CAD">
        <w:fldChar w:fldCharType="begin" w:fldLock="1"/>
      </w:r>
      <w:r w:rsidR="00CC5CAD">
        <w:instrText xml:space="preserve"> SEQ Figure \* ARABIC </w:instrText>
      </w:r>
      <w:r w:rsidR="00CC5CAD">
        <w:fldChar w:fldCharType="separate"/>
      </w:r>
      <w:r w:rsidR="00CC5CAD">
        <w:rPr>
          <w:noProof/>
        </w:rPr>
        <w:t>3</w:t>
      </w:r>
      <w:r w:rsidR="00CC5CAD">
        <w:rPr>
          <w:noProof/>
        </w:rPr>
        <w:fldChar w:fldCharType="end"/>
      </w:r>
      <w:bookmarkEnd w:id="37"/>
      <w:r>
        <w:t xml:space="preserve">: </w:t>
      </w:r>
      <w:r w:rsidRPr="00F70A9F">
        <w:t>Kaplan</w:t>
      </w:r>
      <w:r w:rsidR="00A46D2B">
        <w:noBreakHyphen/>
      </w:r>
      <w:r w:rsidRPr="00F70A9F">
        <w:t>Meier Plot of PFS by BICR – ITT Population (September 2024 cutoff)</w:t>
      </w:r>
    </w:p>
    <w:p w14:paraId="4391BB5E" w14:textId="77777777" w:rsidR="00265AEF" w:rsidRPr="00EF2E8A" w:rsidRDefault="00265AEF" w:rsidP="00591C83">
      <w:pPr>
        <w:spacing w:before="0" w:after="0"/>
        <w:contextualSpacing/>
        <w:rPr>
          <w:rFonts w:ascii="Calibri" w:eastAsiaTheme="minorEastAsia" w:hAnsi="Calibri"/>
          <w:sz w:val="16"/>
        </w:rPr>
      </w:pPr>
      <w:r w:rsidRPr="00EF2E8A">
        <w:rPr>
          <w:rFonts w:ascii="Calibri" w:eastAsiaTheme="minorEastAsia" w:hAnsi="Calibri"/>
          <w:noProof/>
          <w:sz w:val="16"/>
        </w:rPr>
        <w:drawing>
          <wp:inline distT="0" distB="0" distL="0" distR="0" wp14:anchorId="30F28D29" wp14:editId="2AB908D8">
            <wp:extent cx="5074333" cy="2984110"/>
            <wp:effectExtent l="0" t="0" r="0" b="6985"/>
            <wp:docPr id="857692514" name="Picture 1" descr="Figure 3: Kaplan Meier Plot of PFS by BICR – ITT Population (September 2024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92514" name="Picture 1" descr="Figure 3: Kaplan Meier Plot of PFS by BICR – ITT Population (September 2024 cutoff)"/>
                    <pic:cNvPicPr/>
                  </pic:nvPicPr>
                  <pic:blipFill>
                    <a:blip r:embed="rId12"/>
                    <a:stretch>
                      <a:fillRect/>
                    </a:stretch>
                  </pic:blipFill>
                  <pic:spPr>
                    <a:xfrm>
                      <a:off x="0" y="0"/>
                      <a:ext cx="5148159" cy="3027526"/>
                    </a:xfrm>
                    <a:prstGeom prst="rect">
                      <a:avLst/>
                    </a:prstGeom>
                  </pic:spPr>
                </pic:pic>
              </a:graphicData>
            </a:graphic>
          </wp:inline>
        </w:drawing>
      </w:r>
    </w:p>
    <w:p w14:paraId="48CDEA4D" w14:textId="0B37A5FC"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Figure 4: Kaplan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Meier Plot for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Free Survival by BICR – ITT Population, p110 MIRASOL CSR Sept 2024. </w:t>
      </w:r>
    </w:p>
    <w:p w14:paraId="1EA26E0E" w14:textId="797D151D"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BICR= blinded independent central review; CSR= clinical study report; IC Chemo= investigator’s choice of chemotherapy; IMGN853= mirvetuximab soravtansine development code; ITT= intention to treat analysis; PFS=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free survival. </w:t>
      </w:r>
    </w:p>
    <w:p w14:paraId="6A979159" w14:textId="77777777" w:rsidR="00B142F4" w:rsidRPr="00EF2E8A" w:rsidRDefault="00B142F4" w:rsidP="00591C83">
      <w:pPr>
        <w:tabs>
          <w:tab w:val="left" w:pos="284"/>
        </w:tabs>
        <w:spacing w:before="0" w:after="0"/>
        <w:jc w:val="left"/>
        <w:rPr>
          <w:rFonts w:ascii="Arial Narrow" w:eastAsia="Times New Roman" w:hAnsi="Arial Narrow" w:cs="Arial"/>
          <w:snapToGrid w:val="0"/>
          <w:sz w:val="18"/>
          <w:lang w:eastAsia="en-AU"/>
        </w:rPr>
      </w:pPr>
    </w:p>
    <w:p w14:paraId="77995230" w14:textId="6AA9D47E" w:rsidR="00265AEF" w:rsidRPr="007C7179" w:rsidRDefault="00265AEF" w:rsidP="00591C83">
      <w:pPr>
        <w:pStyle w:val="ListParagraph"/>
        <w:rPr>
          <w:iCs/>
        </w:rPr>
      </w:pPr>
      <w:bookmarkStart w:id="38" w:name="_Ref198630330"/>
      <w:r w:rsidRPr="007C7179">
        <w:rPr>
          <w:iCs/>
        </w:rPr>
        <w:t xml:space="preserve">The </w:t>
      </w:r>
      <w:r w:rsidR="00B61D07" w:rsidRPr="007C7179">
        <w:rPr>
          <w:iCs/>
        </w:rPr>
        <w:t xml:space="preserve">evaluation noted that the </w:t>
      </w:r>
      <w:r w:rsidR="00544056" w:rsidRPr="007C7179">
        <w:rPr>
          <w:iCs/>
        </w:rPr>
        <w:t xml:space="preserve">HR </w:t>
      </w:r>
      <w:r w:rsidRPr="007C7179">
        <w:rPr>
          <w:iCs/>
        </w:rPr>
        <w:t xml:space="preserve">point estimates for PFS by BICR were less favourable than </w:t>
      </w:r>
      <w:r w:rsidR="00544056" w:rsidRPr="007C7179">
        <w:rPr>
          <w:iCs/>
        </w:rPr>
        <w:t xml:space="preserve">that assessed </w:t>
      </w:r>
      <w:r w:rsidRPr="007C7179">
        <w:rPr>
          <w:iCs/>
        </w:rPr>
        <w:t xml:space="preserve">by investigator. At the second data cutoff </w:t>
      </w:r>
      <w:r w:rsidR="005A0B22" w:rsidRPr="007C7179">
        <w:rPr>
          <w:iCs/>
        </w:rPr>
        <w:t>(</w:t>
      </w:r>
      <w:r w:rsidR="007E40BC" w:rsidRPr="007C7179">
        <w:rPr>
          <w:iCs/>
        </w:rPr>
        <w:t>Sept</w:t>
      </w:r>
      <w:r w:rsidR="00AF76B3" w:rsidRPr="007C7179">
        <w:rPr>
          <w:iCs/>
        </w:rPr>
        <w:t>ember</w:t>
      </w:r>
      <w:r w:rsidR="007E40BC" w:rsidRPr="007C7179">
        <w:rPr>
          <w:iCs/>
        </w:rPr>
        <w:t xml:space="preserve"> 2024)</w:t>
      </w:r>
      <w:r w:rsidRPr="007C7179">
        <w:rPr>
          <w:iCs/>
        </w:rPr>
        <w:t xml:space="preserve"> the median duration of follow</w:t>
      </w:r>
      <w:r w:rsidR="00A46D2B">
        <w:rPr>
          <w:iCs/>
        </w:rPr>
        <w:noBreakHyphen/>
      </w:r>
      <w:r w:rsidRPr="007C7179">
        <w:rPr>
          <w:iCs/>
        </w:rPr>
        <w:t xml:space="preserve">up was substantially shorter for the participants included in the BICR analysis (8.67 months) compared with the corresponding investigator analysis (28.35 months). </w:t>
      </w:r>
      <w:r w:rsidRPr="007C7179" w:rsidDel="00B61D07">
        <w:rPr>
          <w:iCs/>
        </w:rPr>
        <w:t>T</w:t>
      </w:r>
      <w:r w:rsidRPr="007C7179">
        <w:rPr>
          <w:iCs/>
        </w:rPr>
        <w:t xml:space="preserve">his appears to </w:t>
      </w:r>
      <w:r w:rsidRPr="007C7179" w:rsidDel="005D0AC3">
        <w:rPr>
          <w:iCs/>
        </w:rPr>
        <w:t>have been</w:t>
      </w:r>
      <w:r w:rsidRPr="007C7179">
        <w:rPr>
          <w:iCs/>
        </w:rPr>
        <w:t xml:space="preserve"> due to censoring of patients in the BICR analysis.</w:t>
      </w:r>
      <w:bookmarkEnd w:id="38"/>
      <w:r w:rsidR="00B142F4" w:rsidRPr="007C7179">
        <w:rPr>
          <w:iCs/>
        </w:rPr>
        <w:t xml:space="preserve"> </w:t>
      </w:r>
    </w:p>
    <w:p w14:paraId="0BAE63AD" w14:textId="7B8FB674" w:rsidR="00265AEF" w:rsidRPr="00EF2E8A" w:rsidRDefault="00265AEF" w:rsidP="00591C83">
      <w:pPr>
        <w:pStyle w:val="ListParagraph"/>
      </w:pPr>
      <w:r w:rsidRPr="00EF2E8A">
        <w:t>Differences between the PFS by investigator and PFS by BICR were evident in the proportions of patients included in the analysis for each treatment arm, and the median duration of follow</w:t>
      </w:r>
      <w:r w:rsidR="00A46D2B">
        <w:noBreakHyphen/>
      </w:r>
      <w:r w:rsidRPr="00EF2E8A">
        <w:t>up. The censoring of patients for PFS is summarised in</w:t>
      </w:r>
      <w:r w:rsidR="00F30113">
        <w:t xml:space="preserve"> </w:t>
      </w:r>
      <w:r w:rsidR="00F30113">
        <w:fldChar w:fldCharType="begin" w:fldLock="1"/>
      </w:r>
      <w:r w:rsidR="00F30113">
        <w:instrText xml:space="preserve"> REF _Ref205278501 \h </w:instrText>
      </w:r>
      <w:r w:rsidR="00F30113">
        <w:fldChar w:fldCharType="separate"/>
      </w:r>
      <w:r w:rsidR="00CC5CAD">
        <w:t xml:space="preserve">Table </w:t>
      </w:r>
      <w:r w:rsidR="00CC5CAD">
        <w:rPr>
          <w:noProof/>
        </w:rPr>
        <w:t>8</w:t>
      </w:r>
      <w:r w:rsidR="00F30113">
        <w:fldChar w:fldCharType="end"/>
      </w:r>
      <w:r w:rsidR="00616BB6" w:rsidRPr="00EF2E8A">
        <w:t>.</w:t>
      </w:r>
    </w:p>
    <w:p w14:paraId="2D836DAA" w14:textId="3B9289C6" w:rsidR="006D7E09" w:rsidRDefault="004D4A3E" w:rsidP="00591C83">
      <w:pPr>
        <w:pStyle w:val="Caption"/>
      </w:pPr>
      <w:bookmarkStart w:id="39" w:name="_Ref205278501"/>
      <w:r>
        <w:t xml:space="preserve">Table </w:t>
      </w:r>
      <w:r w:rsidR="00CC5CAD">
        <w:fldChar w:fldCharType="begin" w:fldLock="1"/>
      </w:r>
      <w:r w:rsidR="00CC5CAD">
        <w:instrText xml:space="preserve"> SEQ Table \* ARABIC </w:instrText>
      </w:r>
      <w:r w:rsidR="00CC5CAD">
        <w:fldChar w:fldCharType="separate"/>
      </w:r>
      <w:r w:rsidR="00CC5CAD">
        <w:rPr>
          <w:noProof/>
        </w:rPr>
        <w:t>8</w:t>
      </w:r>
      <w:r w:rsidR="00CC5CAD">
        <w:rPr>
          <w:noProof/>
        </w:rPr>
        <w:fldChar w:fldCharType="end"/>
      </w:r>
      <w:bookmarkEnd w:id="39"/>
      <w:r w:rsidR="006D7E09">
        <w:t xml:space="preserve">: </w:t>
      </w:r>
      <w:r w:rsidR="006D7E09" w:rsidRPr="007C003A">
        <w:t>Censoring of patients for PFS by investigator versus PFS by BICR (ITT population) (September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Censoring of patients for PFS by investigator versus PFS by BICR (ITT population) (September 2024)"/>
      </w:tblPr>
      <w:tblGrid>
        <w:gridCol w:w="4011"/>
        <w:gridCol w:w="1251"/>
        <w:gridCol w:w="1253"/>
        <w:gridCol w:w="1251"/>
        <w:gridCol w:w="1250"/>
      </w:tblGrid>
      <w:tr w:rsidR="00265AEF" w:rsidRPr="00EF2E8A" w14:paraId="380B1E70" w14:textId="520DA24F">
        <w:trPr>
          <w:tblHeader/>
        </w:trPr>
        <w:tc>
          <w:tcPr>
            <w:tcW w:w="2224" w:type="pct"/>
            <w:vMerge w:val="restart"/>
          </w:tcPr>
          <w:p w14:paraId="57E7FB90" w14:textId="77777777" w:rsidR="00265AEF" w:rsidRPr="00EF2E8A" w:rsidRDefault="00265AEF" w:rsidP="00591C83">
            <w:pPr>
              <w:keepNext/>
              <w:spacing w:before="0" w:after="0"/>
              <w:jc w:val="left"/>
              <w:rPr>
                <w:rFonts w:ascii="Arial Narrow" w:eastAsiaTheme="majorEastAsia" w:hAnsi="Arial Narrow" w:cs="Times New Roman"/>
                <w:b/>
                <w:color w:val="000000" w:themeColor="text1"/>
                <w:sz w:val="20"/>
                <w:szCs w:val="20"/>
                <w:lang w:eastAsia="en-AU"/>
              </w:rPr>
            </w:pPr>
            <w:r w:rsidRPr="00EF2E8A">
              <w:rPr>
                <w:rFonts w:ascii="Arial Narrow" w:eastAsiaTheme="majorEastAsia" w:hAnsi="Arial Narrow" w:cs="Times New Roman"/>
                <w:b/>
                <w:color w:val="000000" w:themeColor="text1"/>
                <w:sz w:val="20"/>
                <w:szCs w:val="20"/>
                <w:lang w:eastAsia="en-AU"/>
              </w:rPr>
              <w:t>Patient events</w:t>
            </w:r>
          </w:p>
        </w:tc>
        <w:tc>
          <w:tcPr>
            <w:tcW w:w="1389" w:type="pct"/>
            <w:gridSpan w:val="2"/>
          </w:tcPr>
          <w:p w14:paraId="79AAAA43" w14:textId="77777777" w:rsidR="00265AEF" w:rsidRPr="00EF2E8A" w:rsidRDefault="00265AEF" w:rsidP="00591C83">
            <w:pPr>
              <w:keepNext/>
              <w:spacing w:before="0" w:after="0"/>
              <w:jc w:val="left"/>
              <w:rPr>
                <w:rFonts w:ascii="Arial Narrow" w:eastAsiaTheme="majorEastAsia" w:hAnsi="Arial Narrow" w:cs="Times New Roman"/>
                <w:b/>
                <w:sz w:val="20"/>
                <w:szCs w:val="24"/>
                <w:lang w:eastAsia="en-AU"/>
              </w:rPr>
            </w:pPr>
            <w:r w:rsidRPr="00EF2E8A">
              <w:rPr>
                <w:rFonts w:ascii="Arial Narrow" w:eastAsiaTheme="majorEastAsia" w:hAnsi="Arial Narrow" w:cs="Times New Roman"/>
                <w:b/>
                <w:color w:val="000000" w:themeColor="text1"/>
                <w:sz w:val="20"/>
                <w:szCs w:val="24"/>
                <w:lang w:eastAsia="en-AU"/>
              </w:rPr>
              <w:t>Investigator</w:t>
            </w:r>
          </w:p>
        </w:tc>
        <w:tc>
          <w:tcPr>
            <w:tcW w:w="1387" w:type="pct"/>
            <w:gridSpan w:val="2"/>
          </w:tcPr>
          <w:p w14:paraId="2352BC36" w14:textId="77777777" w:rsidR="00265AEF" w:rsidRPr="00EF2E8A" w:rsidRDefault="00265AEF" w:rsidP="00591C83">
            <w:pPr>
              <w:keepNext/>
              <w:spacing w:before="0" w:after="0"/>
              <w:jc w:val="left"/>
              <w:rPr>
                <w:rFonts w:ascii="Arial Narrow" w:eastAsiaTheme="majorEastAsia" w:hAnsi="Arial Narrow" w:cs="Times New Roman"/>
                <w:b/>
                <w:color w:val="000000" w:themeColor="text1"/>
                <w:sz w:val="20"/>
                <w:szCs w:val="24"/>
                <w:lang w:eastAsia="en-AU"/>
              </w:rPr>
            </w:pPr>
            <w:r w:rsidRPr="00EF2E8A">
              <w:rPr>
                <w:rFonts w:ascii="Arial Narrow" w:eastAsiaTheme="majorEastAsia" w:hAnsi="Arial Narrow" w:cs="Times New Roman"/>
                <w:b/>
                <w:color w:val="000000" w:themeColor="text1"/>
                <w:sz w:val="20"/>
                <w:szCs w:val="24"/>
                <w:lang w:eastAsia="en-AU"/>
              </w:rPr>
              <w:t>BICR</w:t>
            </w:r>
          </w:p>
        </w:tc>
      </w:tr>
      <w:tr w:rsidR="00265AEF" w:rsidRPr="00EF2E8A" w14:paraId="41A22C82" w14:textId="39A56469">
        <w:trPr>
          <w:tblHeader/>
        </w:trPr>
        <w:tc>
          <w:tcPr>
            <w:tcW w:w="2224" w:type="pct"/>
            <w:vMerge/>
          </w:tcPr>
          <w:p w14:paraId="1D9B78B8" w14:textId="77777777" w:rsidR="00265AEF" w:rsidRPr="00EF2E8A" w:rsidRDefault="00265AEF" w:rsidP="00591C83">
            <w:pPr>
              <w:keepNext/>
              <w:spacing w:before="0" w:after="0"/>
              <w:jc w:val="left"/>
              <w:rPr>
                <w:rFonts w:ascii="Arial Narrow" w:eastAsiaTheme="majorEastAsia" w:hAnsi="Arial Narrow" w:cs="Times New Roman"/>
                <w:b/>
                <w:color w:val="000000" w:themeColor="text1"/>
                <w:sz w:val="20"/>
                <w:szCs w:val="20"/>
                <w:lang w:eastAsia="en-AU"/>
              </w:rPr>
            </w:pPr>
          </w:p>
        </w:tc>
        <w:tc>
          <w:tcPr>
            <w:tcW w:w="694" w:type="pct"/>
          </w:tcPr>
          <w:p w14:paraId="7072F000" w14:textId="77777777" w:rsidR="00265AEF" w:rsidRPr="00EF2E8A" w:rsidRDefault="00265AEF" w:rsidP="00591C83">
            <w:pPr>
              <w:keepNext/>
              <w:spacing w:before="0" w:after="0"/>
              <w:jc w:val="left"/>
              <w:rPr>
                <w:rFonts w:ascii="Arial Narrow" w:eastAsiaTheme="majorEastAsia" w:hAnsi="Arial Narrow" w:cs="Times New Roman"/>
                <w:b/>
                <w:color w:val="000000" w:themeColor="text1"/>
                <w:sz w:val="20"/>
                <w:szCs w:val="24"/>
                <w:lang w:eastAsia="en-AU"/>
              </w:rPr>
            </w:pPr>
            <w:r w:rsidRPr="00EF2E8A">
              <w:rPr>
                <w:rFonts w:ascii="Arial Narrow" w:eastAsiaTheme="majorEastAsia" w:hAnsi="Arial Narrow" w:cs="Times New Roman"/>
                <w:b/>
                <w:color w:val="000000" w:themeColor="text1"/>
                <w:sz w:val="20"/>
                <w:szCs w:val="24"/>
                <w:lang w:eastAsia="en-AU"/>
              </w:rPr>
              <w:t>MIRV (N=227)</w:t>
            </w:r>
          </w:p>
        </w:tc>
        <w:tc>
          <w:tcPr>
            <w:tcW w:w="695" w:type="pct"/>
          </w:tcPr>
          <w:p w14:paraId="046E22F2" w14:textId="77777777" w:rsidR="00265AEF" w:rsidRPr="00EF2E8A" w:rsidRDefault="00265AEF" w:rsidP="00591C83">
            <w:pPr>
              <w:keepNext/>
              <w:spacing w:before="0" w:after="0"/>
              <w:jc w:val="left"/>
              <w:rPr>
                <w:rFonts w:ascii="Arial Narrow" w:eastAsiaTheme="majorEastAsia" w:hAnsi="Arial Narrow" w:cs="Times New Roman"/>
                <w:b/>
                <w:color w:val="000000" w:themeColor="text1"/>
                <w:sz w:val="20"/>
                <w:szCs w:val="24"/>
                <w:lang w:eastAsia="en-AU"/>
              </w:rPr>
            </w:pPr>
            <w:r w:rsidRPr="00EF2E8A">
              <w:rPr>
                <w:rFonts w:ascii="Arial Narrow" w:eastAsiaTheme="majorEastAsia" w:hAnsi="Arial Narrow" w:cs="Times New Roman"/>
                <w:b/>
                <w:color w:val="000000" w:themeColor="text1"/>
                <w:sz w:val="20"/>
                <w:szCs w:val="24"/>
                <w:lang w:eastAsia="en-AU"/>
              </w:rPr>
              <w:t>ICC (N=226)</w:t>
            </w:r>
          </w:p>
        </w:tc>
        <w:tc>
          <w:tcPr>
            <w:tcW w:w="694" w:type="pct"/>
          </w:tcPr>
          <w:p w14:paraId="103F439B" w14:textId="77777777" w:rsidR="00265AEF" w:rsidRPr="00EF2E8A" w:rsidRDefault="00265AEF" w:rsidP="00591C83">
            <w:pPr>
              <w:keepNext/>
              <w:spacing w:before="0" w:after="0"/>
              <w:jc w:val="left"/>
              <w:rPr>
                <w:rFonts w:ascii="Arial Narrow" w:eastAsiaTheme="majorEastAsia" w:hAnsi="Arial Narrow" w:cs="Times New Roman"/>
                <w:b/>
                <w:color w:val="000000" w:themeColor="text1"/>
                <w:sz w:val="20"/>
                <w:szCs w:val="24"/>
                <w:lang w:eastAsia="en-AU"/>
              </w:rPr>
            </w:pPr>
            <w:r w:rsidRPr="00EF2E8A">
              <w:rPr>
                <w:rFonts w:ascii="Arial Narrow" w:eastAsiaTheme="majorEastAsia" w:hAnsi="Arial Narrow" w:cs="Times New Roman"/>
                <w:b/>
                <w:color w:val="000000" w:themeColor="text1"/>
                <w:sz w:val="20"/>
                <w:szCs w:val="24"/>
                <w:lang w:eastAsia="en-AU"/>
              </w:rPr>
              <w:t>MIRV (N=227)</w:t>
            </w:r>
          </w:p>
        </w:tc>
        <w:tc>
          <w:tcPr>
            <w:tcW w:w="693" w:type="pct"/>
          </w:tcPr>
          <w:p w14:paraId="661152CB" w14:textId="77777777" w:rsidR="00265AEF" w:rsidRPr="00EF2E8A" w:rsidRDefault="00265AEF" w:rsidP="00591C83">
            <w:pPr>
              <w:keepNext/>
              <w:spacing w:before="0" w:after="0"/>
              <w:jc w:val="left"/>
              <w:rPr>
                <w:rFonts w:ascii="Arial Narrow" w:eastAsiaTheme="majorEastAsia" w:hAnsi="Arial Narrow" w:cs="Times New Roman"/>
                <w:b/>
                <w:color w:val="000000" w:themeColor="text1"/>
                <w:sz w:val="20"/>
                <w:szCs w:val="24"/>
                <w:lang w:eastAsia="en-AU"/>
              </w:rPr>
            </w:pPr>
            <w:r w:rsidRPr="00EF2E8A">
              <w:rPr>
                <w:rFonts w:ascii="Arial Narrow" w:eastAsiaTheme="majorEastAsia" w:hAnsi="Arial Narrow" w:cs="Times New Roman"/>
                <w:b/>
                <w:color w:val="000000" w:themeColor="text1"/>
                <w:sz w:val="20"/>
                <w:szCs w:val="24"/>
                <w:lang w:eastAsia="en-AU"/>
              </w:rPr>
              <w:t>ICC (N=226)</w:t>
            </w:r>
          </w:p>
        </w:tc>
      </w:tr>
      <w:tr w:rsidR="00265AEF" w:rsidRPr="00EF2E8A" w14:paraId="77882983" w14:textId="5181A0C6">
        <w:tc>
          <w:tcPr>
            <w:tcW w:w="2224" w:type="pct"/>
          </w:tcPr>
          <w:p w14:paraId="05924D40" w14:textId="77777777" w:rsidR="00265AEF" w:rsidRPr="00EF2E8A" w:rsidRDefault="00265AEF" w:rsidP="00591C83">
            <w:pPr>
              <w:spacing w:before="0" w:after="0"/>
              <w:jc w:val="left"/>
              <w:rPr>
                <w:rFonts w:ascii="Arial Narrow" w:hAnsi="Arial Narrow"/>
                <w:b/>
                <w:bCs/>
                <w:color w:val="000000" w:themeColor="text1"/>
                <w:sz w:val="20"/>
                <w:szCs w:val="20"/>
              </w:rPr>
            </w:pPr>
            <w:r w:rsidRPr="00EF2E8A">
              <w:rPr>
                <w:rFonts w:ascii="Arial Narrow" w:hAnsi="Arial Narrow"/>
                <w:b/>
                <w:bCs/>
                <w:sz w:val="20"/>
                <w:szCs w:val="20"/>
              </w:rPr>
              <w:t>Number of patients with events, n (%)</w:t>
            </w:r>
          </w:p>
        </w:tc>
        <w:tc>
          <w:tcPr>
            <w:tcW w:w="694" w:type="pct"/>
          </w:tcPr>
          <w:p w14:paraId="58AA3171" w14:textId="77777777" w:rsidR="00265AEF" w:rsidRPr="00EF2E8A" w:rsidRDefault="00265AEF" w:rsidP="00591C83">
            <w:pPr>
              <w:tabs>
                <w:tab w:val="left" w:pos="284"/>
              </w:tabs>
              <w:spacing w:before="0" w:after="0"/>
              <w:jc w:val="center"/>
              <w:rPr>
                <w:rFonts w:ascii="Arial Narrow" w:eastAsia="Times New Roman" w:hAnsi="Arial Narrow" w:cs="Arial"/>
                <w:b/>
                <w:snapToGrid w:val="0"/>
                <w:color w:val="000000" w:themeColor="text1"/>
                <w:sz w:val="20"/>
                <w:szCs w:val="20"/>
                <w:lang w:eastAsia="en-AU"/>
              </w:rPr>
            </w:pPr>
            <w:r w:rsidRPr="00EF2E8A">
              <w:rPr>
                <w:rFonts w:ascii="Arial Narrow" w:eastAsia="Times New Roman" w:hAnsi="Arial Narrow" w:cs="Arial"/>
                <w:b/>
                <w:snapToGrid w:val="0"/>
                <w:sz w:val="20"/>
                <w:szCs w:val="20"/>
                <w:lang w:eastAsia="en-AU"/>
              </w:rPr>
              <w:t>204 (89.9)</w:t>
            </w:r>
          </w:p>
        </w:tc>
        <w:tc>
          <w:tcPr>
            <w:tcW w:w="695" w:type="pct"/>
          </w:tcPr>
          <w:p w14:paraId="1437A7CD" w14:textId="77777777" w:rsidR="00265AEF" w:rsidRPr="00EF2E8A" w:rsidRDefault="00265AEF" w:rsidP="00591C83">
            <w:pPr>
              <w:spacing w:before="0" w:after="0"/>
              <w:jc w:val="center"/>
              <w:rPr>
                <w:rFonts w:ascii="Arial Narrow" w:hAnsi="Arial Narrow"/>
                <w:b/>
                <w:bCs/>
                <w:sz w:val="20"/>
              </w:rPr>
            </w:pPr>
            <w:r w:rsidRPr="00EF2E8A">
              <w:rPr>
                <w:rFonts w:ascii="Arial Narrow" w:hAnsi="Arial Narrow"/>
                <w:b/>
                <w:bCs/>
                <w:sz w:val="20"/>
              </w:rPr>
              <w:t>174 (77.0)</w:t>
            </w:r>
          </w:p>
        </w:tc>
        <w:tc>
          <w:tcPr>
            <w:tcW w:w="694" w:type="pct"/>
          </w:tcPr>
          <w:p w14:paraId="362D1E98" w14:textId="77777777" w:rsidR="00265AEF" w:rsidRPr="00EF2E8A" w:rsidRDefault="00265AEF" w:rsidP="00591C83">
            <w:pPr>
              <w:spacing w:before="0" w:after="0"/>
              <w:jc w:val="center"/>
              <w:rPr>
                <w:rFonts w:ascii="Arial Narrow" w:hAnsi="Arial Narrow"/>
                <w:b/>
                <w:bCs/>
                <w:sz w:val="20"/>
              </w:rPr>
            </w:pPr>
            <w:r w:rsidRPr="00EF2E8A">
              <w:rPr>
                <w:rFonts w:ascii="Arial Narrow" w:hAnsi="Arial Narrow"/>
                <w:b/>
                <w:bCs/>
                <w:sz w:val="20"/>
              </w:rPr>
              <w:t>164 (72.2)</w:t>
            </w:r>
          </w:p>
        </w:tc>
        <w:tc>
          <w:tcPr>
            <w:tcW w:w="693" w:type="pct"/>
          </w:tcPr>
          <w:p w14:paraId="7BFB6CC1" w14:textId="77777777" w:rsidR="00265AEF" w:rsidRPr="00EF2E8A" w:rsidRDefault="00265AEF" w:rsidP="00591C83">
            <w:pPr>
              <w:spacing w:before="0" w:after="0"/>
              <w:jc w:val="center"/>
              <w:rPr>
                <w:rFonts w:ascii="Arial Narrow" w:hAnsi="Arial Narrow"/>
                <w:b/>
                <w:bCs/>
                <w:sz w:val="20"/>
              </w:rPr>
            </w:pPr>
            <w:r w:rsidRPr="00EF2E8A">
              <w:rPr>
                <w:rFonts w:ascii="Arial Narrow" w:hAnsi="Arial Narrow"/>
                <w:b/>
                <w:bCs/>
                <w:sz w:val="20"/>
              </w:rPr>
              <w:t>127 (56.2)</w:t>
            </w:r>
          </w:p>
        </w:tc>
      </w:tr>
      <w:tr w:rsidR="00265AEF" w:rsidRPr="00EF2E8A" w14:paraId="7748E4E6" w14:textId="6C87576F">
        <w:tc>
          <w:tcPr>
            <w:tcW w:w="2224" w:type="pct"/>
          </w:tcPr>
          <w:p w14:paraId="3DAD7B1B" w14:textId="77777777" w:rsidR="00265AEF" w:rsidRPr="00EF2E8A" w:rsidRDefault="00265AEF" w:rsidP="00591C83">
            <w:pPr>
              <w:spacing w:before="0" w:after="0"/>
              <w:ind w:left="107"/>
              <w:jc w:val="left"/>
              <w:rPr>
                <w:rFonts w:ascii="Arial Narrow" w:hAnsi="Arial Narrow"/>
                <w:color w:val="000000" w:themeColor="text1"/>
                <w:sz w:val="20"/>
                <w:szCs w:val="20"/>
              </w:rPr>
            </w:pPr>
            <w:r w:rsidRPr="00EF2E8A">
              <w:rPr>
                <w:rFonts w:ascii="Arial Narrow" w:hAnsi="Arial Narrow"/>
                <w:sz w:val="20"/>
                <w:szCs w:val="20"/>
              </w:rPr>
              <w:t>Radiological progression</w:t>
            </w:r>
          </w:p>
        </w:tc>
        <w:tc>
          <w:tcPr>
            <w:tcW w:w="694" w:type="pct"/>
          </w:tcPr>
          <w:p w14:paraId="43587FAB" w14:textId="77777777" w:rsidR="00265AEF" w:rsidRPr="00EF2E8A" w:rsidRDefault="00265AEF" w:rsidP="00591C83">
            <w:pPr>
              <w:tabs>
                <w:tab w:val="right" w:pos="2212"/>
              </w:tabs>
              <w:spacing w:before="0" w:after="0"/>
              <w:jc w:val="center"/>
              <w:rPr>
                <w:rFonts w:ascii="Arial Narrow" w:hAnsi="Arial Narrow"/>
                <w:color w:val="000000" w:themeColor="text1"/>
                <w:sz w:val="20"/>
              </w:rPr>
            </w:pPr>
            <w:r w:rsidRPr="00EF2E8A">
              <w:rPr>
                <w:rFonts w:ascii="Arial Narrow" w:hAnsi="Arial Narrow"/>
                <w:sz w:val="20"/>
              </w:rPr>
              <w:t>190 (83.7)</w:t>
            </w:r>
          </w:p>
        </w:tc>
        <w:tc>
          <w:tcPr>
            <w:tcW w:w="695" w:type="pct"/>
          </w:tcPr>
          <w:p w14:paraId="35269A30"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158 (69.9)</w:t>
            </w:r>
          </w:p>
        </w:tc>
        <w:tc>
          <w:tcPr>
            <w:tcW w:w="694" w:type="pct"/>
          </w:tcPr>
          <w:p w14:paraId="24F5FFD3"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143 (63.0)</w:t>
            </w:r>
          </w:p>
        </w:tc>
        <w:tc>
          <w:tcPr>
            <w:tcW w:w="693" w:type="pct"/>
          </w:tcPr>
          <w:p w14:paraId="0C641A12"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101 (44.7)</w:t>
            </w:r>
          </w:p>
        </w:tc>
      </w:tr>
      <w:tr w:rsidR="00265AEF" w:rsidRPr="00EF2E8A" w14:paraId="2ABA29F1" w14:textId="1C8EA665">
        <w:tc>
          <w:tcPr>
            <w:tcW w:w="2224" w:type="pct"/>
          </w:tcPr>
          <w:p w14:paraId="42824CE2" w14:textId="77777777" w:rsidR="00265AEF" w:rsidRPr="00EF2E8A" w:rsidRDefault="00265AEF" w:rsidP="00591C83">
            <w:pPr>
              <w:spacing w:before="0" w:after="0"/>
              <w:ind w:left="107"/>
              <w:jc w:val="left"/>
              <w:rPr>
                <w:rFonts w:ascii="Arial Narrow" w:hAnsi="Arial Narrow"/>
                <w:color w:val="000000" w:themeColor="text1"/>
                <w:sz w:val="20"/>
                <w:szCs w:val="20"/>
              </w:rPr>
            </w:pPr>
            <w:r w:rsidRPr="00EF2E8A">
              <w:rPr>
                <w:rFonts w:ascii="Arial Narrow" w:hAnsi="Arial Narrow"/>
                <w:sz w:val="20"/>
                <w:szCs w:val="20"/>
              </w:rPr>
              <w:t>Death</w:t>
            </w:r>
          </w:p>
        </w:tc>
        <w:tc>
          <w:tcPr>
            <w:tcW w:w="694" w:type="pct"/>
          </w:tcPr>
          <w:p w14:paraId="1BCC415C" w14:textId="77777777" w:rsidR="00265AEF" w:rsidRPr="00EF2E8A" w:rsidRDefault="00265AEF" w:rsidP="00591C83">
            <w:pPr>
              <w:tabs>
                <w:tab w:val="right" w:pos="2212"/>
              </w:tabs>
              <w:spacing w:before="0" w:after="0"/>
              <w:jc w:val="center"/>
              <w:rPr>
                <w:rFonts w:ascii="Arial Narrow" w:hAnsi="Arial Narrow"/>
                <w:color w:val="000000" w:themeColor="text1"/>
                <w:sz w:val="20"/>
              </w:rPr>
            </w:pPr>
            <w:r w:rsidRPr="00EF2E8A">
              <w:rPr>
                <w:rFonts w:ascii="Arial Narrow" w:hAnsi="Arial Narrow"/>
                <w:sz w:val="20"/>
              </w:rPr>
              <w:t>14 (6.2)</w:t>
            </w:r>
          </w:p>
        </w:tc>
        <w:tc>
          <w:tcPr>
            <w:tcW w:w="695" w:type="pct"/>
          </w:tcPr>
          <w:p w14:paraId="05F4364D"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16 (7.1)</w:t>
            </w:r>
          </w:p>
        </w:tc>
        <w:tc>
          <w:tcPr>
            <w:tcW w:w="694" w:type="pct"/>
          </w:tcPr>
          <w:p w14:paraId="04D3CD37"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21 (9.3)</w:t>
            </w:r>
          </w:p>
        </w:tc>
        <w:tc>
          <w:tcPr>
            <w:tcW w:w="693" w:type="pct"/>
          </w:tcPr>
          <w:p w14:paraId="4C747505"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26 (11.5)</w:t>
            </w:r>
          </w:p>
        </w:tc>
      </w:tr>
      <w:tr w:rsidR="00265AEF" w:rsidRPr="00EF2E8A" w14:paraId="5B794229" w14:textId="57AB9417">
        <w:tc>
          <w:tcPr>
            <w:tcW w:w="2224" w:type="pct"/>
          </w:tcPr>
          <w:p w14:paraId="42E7D652" w14:textId="77777777" w:rsidR="00265AEF" w:rsidRPr="00EF2E8A" w:rsidRDefault="00265AEF" w:rsidP="00591C83">
            <w:pPr>
              <w:spacing w:before="0" w:after="0"/>
              <w:jc w:val="left"/>
              <w:rPr>
                <w:rFonts w:ascii="Arial Narrow" w:hAnsi="Arial Narrow"/>
                <w:b/>
                <w:bCs/>
                <w:color w:val="000000" w:themeColor="text1"/>
                <w:sz w:val="20"/>
                <w:szCs w:val="20"/>
              </w:rPr>
            </w:pPr>
            <w:r w:rsidRPr="00EF2E8A">
              <w:rPr>
                <w:rFonts w:ascii="Arial Narrow" w:hAnsi="Arial Narrow"/>
                <w:b/>
                <w:bCs/>
                <w:sz w:val="20"/>
                <w:szCs w:val="20"/>
              </w:rPr>
              <w:t xml:space="preserve">Number of patients </w:t>
            </w:r>
            <w:proofErr w:type="gramStart"/>
            <w:r w:rsidRPr="00EF2E8A">
              <w:rPr>
                <w:rFonts w:ascii="Arial Narrow" w:hAnsi="Arial Narrow"/>
                <w:b/>
                <w:bCs/>
                <w:sz w:val="20"/>
                <w:szCs w:val="20"/>
              </w:rPr>
              <w:t>censored,</w:t>
            </w:r>
            <w:proofErr w:type="gramEnd"/>
            <w:r w:rsidRPr="00EF2E8A">
              <w:rPr>
                <w:rFonts w:ascii="Arial Narrow" w:hAnsi="Arial Narrow"/>
                <w:b/>
                <w:bCs/>
                <w:sz w:val="20"/>
                <w:szCs w:val="20"/>
              </w:rPr>
              <w:t xml:space="preserve"> n (%)</w:t>
            </w:r>
          </w:p>
        </w:tc>
        <w:tc>
          <w:tcPr>
            <w:tcW w:w="694" w:type="pct"/>
          </w:tcPr>
          <w:p w14:paraId="5315E479" w14:textId="77777777" w:rsidR="00265AEF" w:rsidRPr="00EF2E8A" w:rsidRDefault="00265AEF" w:rsidP="00591C83">
            <w:pPr>
              <w:tabs>
                <w:tab w:val="right" w:pos="2212"/>
              </w:tabs>
              <w:spacing w:before="0" w:after="0"/>
              <w:jc w:val="center"/>
              <w:rPr>
                <w:rFonts w:ascii="Arial Narrow" w:hAnsi="Arial Narrow"/>
                <w:b/>
                <w:bCs/>
                <w:color w:val="000000" w:themeColor="text1"/>
                <w:sz w:val="20"/>
              </w:rPr>
            </w:pPr>
            <w:r w:rsidRPr="00EF2E8A">
              <w:rPr>
                <w:rFonts w:ascii="Arial Narrow" w:hAnsi="Arial Narrow"/>
                <w:b/>
                <w:bCs/>
                <w:sz w:val="20"/>
              </w:rPr>
              <w:t>23 (10.1)</w:t>
            </w:r>
          </w:p>
        </w:tc>
        <w:tc>
          <w:tcPr>
            <w:tcW w:w="695" w:type="pct"/>
          </w:tcPr>
          <w:p w14:paraId="09EAEA40" w14:textId="77777777" w:rsidR="00265AEF" w:rsidRPr="00EF2E8A" w:rsidRDefault="00265AEF" w:rsidP="00591C83">
            <w:pPr>
              <w:spacing w:before="0" w:after="0"/>
              <w:jc w:val="center"/>
              <w:rPr>
                <w:rFonts w:ascii="Arial Narrow" w:hAnsi="Arial Narrow"/>
                <w:b/>
                <w:bCs/>
                <w:sz w:val="20"/>
              </w:rPr>
            </w:pPr>
            <w:r w:rsidRPr="00EF2E8A">
              <w:rPr>
                <w:rFonts w:ascii="Arial Narrow" w:hAnsi="Arial Narrow"/>
                <w:b/>
                <w:bCs/>
                <w:sz w:val="20"/>
              </w:rPr>
              <w:t>52 (23.0)</w:t>
            </w:r>
          </w:p>
        </w:tc>
        <w:tc>
          <w:tcPr>
            <w:tcW w:w="694" w:type="pct"/>
          </w:tcPr>
          <w:p w14:paraId="14294922" w14:textId="77777777" w:rsidR="00265AEF" w:rsidRPr="00EF2E8A" w:rsidRDefault="00265AEF" w:rsidP="00591C83">
            <w:pPr>
              <w:spacing w:before="0" w:after="0"/>
              <w:jc w:val="center"/>
              <w:rPr>
                <w:rFonts w:ascii="Arial Narrow" w:hAnsi="Arial Narrow"/>
                <w:b/>
                <w:bCs/>
                <w:sz w:val="20"/>
              </w:rPr>
            </w:pPr>
            <w:r w:rsidRPr="00EF2E8A">
              <w:rPr>
                <w:rFonts w:ascii="Arial Narrow" w:hAnsi="Arial Narrow"/>
                <w:b/>
                <w:bCs/>
                <w:sz w:val="20"/>
              </w:rPr>
              <w:t>63 (27.8)</w:t>
            </w:r>
          </w:p>
        </w:tc>
        <w:tc>
          <w:tcPr>
            <w:tcW w:w="693" w:type="pct"/>
          </w:tcPr>
          <w:p w14:paraId="0EE75374" w14:textId="77777777" w:rsidR="00265AEF" w:rsidRPr="00EF2E8A" w:rsidRDefault="00265AEF" w:rsidP="00591C83">
            <w:pPr>
              <w:spacing w:before="0" w:after="0"/>
              <w:jc w:val="center"/>
              <w:rPr>
                <w:rFonts w:ascii="Arial Narrow" w:hAnsi="Arial Narrow"/>
                <w:b/>
                <w:bCs/>
                <w:sz w:val="20"/>
              </w:rPr>
            </w:pPr>
            <w:r w:rsidRPr="00EF2E8A">
              <w:rPr>
                <w:rFonts w:ascii="Arial Narrow" w:hAnsi="Arial Narrow"/>
                <w:b/>
                <w:bCs/>
                <w:sz w:val="20"/>
              </w:rPr>
              <w:t>99 (43.8)</w:t>
            </w:r>
          </w:p>
        </w:tc>
      </w:tr>
      <w:tr w:rsidR="00265AEF" w:rsidRPr="00EF2E8A" w14:paraId="15FFDF1C" w14:textId="7B35ED1C">
        <w:tc>
          <w:tcPr>
            <w:tcW w:w="2224" w:type="pct"/>
          </w:tcPr>
          <w:p w14:paraId="55EC0180" w14:textId="77777777" w:rsidR="00265AEF" w:rsidRPr="00EF2E8A" w:rsidRDefault="00265AEF" w:rsidP="00591C83">
            <w:pPr>
              <w:tabs>
                <w:tab w:val="left" w:pos="284"/>
              </w:tabs>
              <w:spacing w:before="0" w:after="0"/>
              <w:ind w:left="107"/>
              <w:jc w:val="left"/>
              <w:rPr>
                <w:rFonts w:ascii="Arial Narrow" w:eastAsia="Times New Roman" w:hAnsi="Arial Narrow" w:cs="Arial"/>
                <w:snapToGrid w:val="0"/>
                <w:sz w:val="20"/>
                <w:szCs w:val="20"/>
                <w:lang w:eastAsia="en-AU"/>
              </w:rPr>
            </w:pPr>
            <w:r w:rsidRPr="00EF2E8A">
              <w:rPr>
                <w:rFonts w:ascii="Arial Narrow" w:eastAsia="Times New Roman" w:hAnsi="Arial Narrow" w:cs="Arial"/>
                <w:snapToGrid w:val="0"/>
                <w:sz w:val="20"/>
                <w:szCs w:val="20"/>
                <w:lang w:eastAsia="en-AU"/>
              </w:rPr>
              <w:t>PD or death after missing ≥ 2 consecutive radiological assessments</w:t>
            </w:r>
          </w:p>
        </w:tc>
        <w:tc>
          <w:tcPr>
            <w:tcW w:w="694" w:type="pct"/>
          </w:tcPr>
          <w:p w14:paraId="5A0266D6" w14:textId="77777777" w:rsidR="00265AEF" w:rsidRPr="00EF2E8A" w:rsidRDefault="00265AEF" w:rsidP="00591C83">
            <w:pPr>
              <w:tabs>
                <w:tab w:val="right" w:pos="2212"/>
              </w:tabs>
              <w:spacing w:before="0" w:after="0"/>
              <w:jc w:val="center"/>
              <w:rPr>
                <w:rFonts w:ascii="Arial Narrow" w:hAnsi="Arial Narrow"/>
                <w:color w:val="000000" w:themeColor="text1"/>
                <w:sz w:val="20"/>
              </w:rPr>
            </w:pPr>
            <w:r w:rsidRPr="00EF2E8A">
              <w:rPr>
                <w:rFonts w:ascii="Arial Narrow" w:hAnsi="Arial Narrow"/>
                <w:sz w:val="20"/>
              </w:rPr>
              <w:t>3 (1.3)</w:t>
            </w:r>
          </w:p>
        </w:tc>
        <w:tc>
          <w:tcPr>
            <w:tcW w:w="695" w:type="pct"/>
          </w:tcPr>
          <w:p w14:paraId="293009B1"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5 (2.2)</w:t>
            </w:r>
          </w:p>
        </w:tc>
        <w:tc>
          <w:tcPr>
            <w:tcW w:w="694" w:type="pct"/>
          </w:tcPr>
          <w:p w14:paraId="32F09EFF"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3 (1.3)</w:t>
            </w:r>
          </w:p>
        </w:tc>
        <w:tc>
          <w:tcPr>
            <w:tcW w:w="693" w:type="pct"/>
          </w:tcPr>
          <w:p w14:paraId="5410725B"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7 (3.1)</w:t>
            </w:r>
          </w:p>
        </w:tc>
      </w:tr>
      <w:tr w:rsidR="00265AEF" w:rsidRPr="00EF2E8A" w14:paraId="7CA62BAE" w14:textId="35279942">
        <w:tc>
          <w:tcPr>
            <w:tcW w:w="2224" w:type="pct"/>
          </w:tcPr>
          <w:p w14:paraId="141EE4AE" w14:textId="5C489FB8" w:rsidR="00265AEF" w:rsidRPr="00EF2E8A" w:rsidRDefault="00265AEF" w:rsidP="00591C83">
            <w:pPr>
              <w:spacing w:before="0" w:after="0"/>
              <w:ind w:left="107"/>
              <w:jc w:val="left"/>
              <w:rPr>
                <w:rFonts w:ascii="Arial Narrow" w:hAnsi="Arial Narrow"/>
                <w:sz w:val="20"/>
                <w:szCs w:val="20"/>
              </w:rPr>
            </w:pPr>
            <w:r w:rsidRPr="00EF2E8A">
              <w:rPr>
                <w:rFonts w:ascii="Arial Narrow" w:hAnsi="Arial Narrow"/>
                <w:sz w:val="20"/>
                <w:szCs w:val="20"/>
              </w:rPr>
              <w:t>New anti</w:t>
            </w:r>
            <w:r w:rsidR="00A46D2B">
              <w:rPr>
                <w:rFonts w:ascii="Arial Narrow" w:hAnsi="Arial Narrow"/>
                <w:sz w:val="20"/>
                <w:szCs w:val="20"/>
              </w:rPr>
              <w:noBreakHyphen/>
            </w:r>
            <w:r w:rsidRPr="00EF2E8A">
              <w:rPr>
                <w:rFonts w:ascii="Arial Narrow" w:hAnsi="Arial Narrow"/>
                <w:sz w:val="20"/>
                <w:szCs w:val="20"/>
              </w:rPr>
              <w:t>cancer therapy prior to PD or death</w:t>
            </w:r>
          </w:p>
        </w:tc>
        <w:tc>
          <w:tcPr>
            <w:tcW w:w="694" w:type="pct"/>
          </w:tcPr>
          <w:p w14:paraId="0037A0D6" w14:textId="77777777" w:rsidR="00265AEF" w:rsidRPr="00EF2E8A" w:rsidRDefault="00265AEF" w:rsidP="00591C83">
            <w:pPr>
              <w:tabs>
                <w:tab w:val="right" w:pos="2212"/>
              </w:tabs>
              <w:spacing w:before="0" w:after="0"/>
              <w:jc w:val="center"/>
              <w:rPr>
                <w:rFonts w:ascii="Arial Narrow" w:hAnsi="Arial Narrow"/>
                <w:color w:val="000000" w:themeColor="text1"/>
                <w:sz w:val="20"/>
              </w:rPr>
            </w:pPr>
            <w:r w:rsidRPr="00EF2E8A">
              <w:rPr>
                <w:rFonts w:ascii="Arial Narrow" w:hAnsi="Arial Narrow"/>
                <w:sz w:val="20"/>
              </w:rPr>
              <w:t>7 (3.1)</w:t>
            </w:r>
          </w:p>
        </w:tc>
        <w:tc>
          <w:tcPr>
            <w:tcW w:w="695" w:type="pct"/>
            <w:shd w:val="clear" w:color="auto" w:fill="92D050"/>
          </w:tcPr>
          <w:p w14:paraId="7121D900"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22 (9.7)</w:t>
            </w:r>
          </w:p>
        </w:tc>
        <w:tc>
          <w:tcPr>
            <w:tcW w:w="694" w:type="pct"/>
            <w:shd w:val="clear" w:color="auto" w:fill="92D050"/>
          </w:tcPr>
          <w:p w14:paraId="3A8EDC19"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45 (19.8)</w:t>
            </w:r>
          </w:p>
        </w:tc>
        <w:tc>
          <w:tcPr>
            <w:tcW w:w="693" w:type="pct"/>
            <w:shd w:val="clear" w:color="auto" w:fill="92D050"/>
          </w:tcPr>
          <w:p w14:paraId="159E8021"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61 (27.0)</w:t>
            </w:r>
          </w:p>
        </w:tc>
      </w:tr>
      <w:tr w:rsidR="00265AEF" w:rsidRPr="00EF2E8A" w14:paraId="0FAB850F" w14:textId="24C013CF">
        <w:tc>
          <w:tcPr>
            <w:tcW w:w="2224" w:type="pct"/>
          </w:tcPr>
          <w:p w14:paraId="0DE6AD2C" w14:textId="2CCD382B" w:rsidR="00265AEF" w:rsidRPr="00EF2E8A" w:rsidRDefault="00265AEF" w:rsidP="00591C83">
            <w:pPr>
              <w:tabs>
                <w:tab w:val="left" w:pos="284"/>
              </w:tabs>
              <w:spacing w:before="0" w:after="0"/>
              <w:ind w:left="107"/>
              <w:jc w:val="left"/>
              <w:rPr>
                <w:rFonts w:ascii="Arial Narrow" w:eastAsia="Times New Roman" w:hAnsi="Arial Narrow" w:cs="Arial"/>
                <w:snapToGrid w:val="0"/>
                <w:sz w:val="20"/>
                <w:szCs w:val="20"/>
                <w:lang w:eastAsia="en-AU"/>
              </w:rPr>
            </w:pPr>
            <w:r w:rsidRPr="00EF2E8A">
              <w:rPr>
                <w:rFonts w:ascii="Arial Narrow" w:eastAsia="Times New Roman" w:hAnsi="Arial Narrow" w:cs="Arial"/>
                <w:snapToGrid w:val="0"/>
                <w:sz w:val="20"/>
                <w:szCs w:val="20"/>
                <w:lang w:eastAsia="en-AU"/>
              </w:rPr>
              <w:t>No baseline or post</w:t>
            </w:r>
            <w:r w:rsidR="00A46D2B">
              <w:rPr>
                <w:rFonts w:ascii="Arial Narrow" w:eastAsia="Times New Roman" w:hAnsi="Arial Narrow" w:cs="Arial"/>
                <w:snapToGrid w:val="0"/>
                <w:sz w:val="20"/>
                <w:szCs w:val="20"/>
                <w:lang w:eastAsia="en-AU"/>
              </w:rPr>
              <w:noBreakHyphen/>
            </w:r>
            <w:r w:rsidRPr="00EF2E8A">
              <w:rPr>
                <w:rFonts w:ascii="Arial Narrow" w:eastAsia="Times New Roman" w:hAnsi="Arial Narrow" w:cs="Arial"/>
                <w:snapToGrid w:val="0"/>
                <w:sz w:val="20"/>
                <w:szCs w:val="20"/>
                <w:lang w:eastAsia="en-AU"/>
              </w:rPr>
              <w:t>baseline assessment and patient did not die within 105 days of randomization</w:t>
            </w:r>
          </w:p>
        </w:tc>
        <w:tc>
          <w:tcPr>
            <w:tcW w:w="694" w:type="pct"/>
          </w:tcPr>
          <w:p w14:paraId="658E274E" w14:textId="77777777" w:rsidR="00265AEF" w:rsidRPr="00EF2E8A" w:rsidRDefault="00265AEF" w:rsidP="00591C83">
            <w:pPr>
              <w:tabs>
                <w:tab w:val="right" w:pos="2212"/>
              </w:tabs>
              <w:spacing w:before="0" w:after="0"/>
              <w:jc w:val="center"/>
              <w:rPr>
                <w:rFonts w:ascii="Arial Narrow" w:hAnsi="Arial Narrow"/>
                <w:color w:val="000000" w:themeColor="text1"/>
                <w:sz w:val="20"/>
              </w:rPr>
            </w:pPr>
            <w:r w:rsidRPr="00EF2E8A">
              <w:rPr>
                <w:rFonts w:ascii="Arial Narrow" w:hAnsi="Arial Narrow"/>
                <w:sz w:val="20"/>
              </w:rPr>
              <w:t>8 (3.5)</w:t>
            </w:r>
          </w:p>
        </w:tc>
        <w:tc>
          <w:tcPr>
            <w:tcW w:w="695" w:type="pct"/>
            <w:shd w:val="clear" w:color="auto" w:fill="E2EFD9" w:themeFill="accent6" w:themeFillTint="33"/>
          </w:tcPr>
          <w:p w14:paraId="1986CFA1"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22 (9.7)</w:t>
            </w:r>
          </w:p>
        </w:tc>
        <w:tc>
          <w:tcPr>
            <w:tcW w:w="694" w:type="pct"/>
          </w:tcPr>
          <w:p w14:paraId="63D8035E"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9 (4.0)</w:t>
            </w:r>
          </w:p>
        </w:tc>
        <w:tc>
          <w:tcPr>
            <w:tcW w:w="693" w:type="pct"/>
            <w:shd w:val="clear" w:color="auto" w:fill="E2EFD9" w:themeFill="accent6" w:themeFillTint="33"/>
          </w:tcPr>
          <w:p w14:paraId="7106099B"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27 (11.9)</w:t>
            </w:r>
          </w:p>
        </w:tc>
      </w:tr>
      <w:tr w:rsidR="00265AEF" w:rsidRPr="00EF2E8A" w14:paraId="0AA1BA61" w14:textId="13CC68CC">
        <w:tc>
          <w:tcPr>
            <w:tcW w:w="2224" w:type="pct"/>
          </w:tcPr>
          <w:p w14:paraId="421C4CC4" w14:textId="77777777" w:rsidR="00265AEF" w:rsidRPr="00EF2E8A" w:rsidRDefault="00265AEF" w:rsidP="00591C83">
            <w:pPr>
              <w:spacing w:before="0" w:after="0"/>
              <w:ind w:left="107"/>
              <w:jc w:val="left"/>
              <w:rPr>
                <w:rFonts w:ascii="Arial Narrow" w:hAnsi="Arial Narrow"/>
                <w:sz w:val="20"/>
                <w:szCs w:val="20"/>
              </w:rPr>
            </w:pPr>
            <w:r w:rsidRPr="00EF2E8A">
              <w:rPr>
                <w:rFonts w:ascii="Arial Narrow" w:hAnsi="Arial Narrow"/>
                <w:sz w:val="20"/>
              </w:rPr>
              <w:t>Database cut</w:t>
            </w:r>
          </w:p>
        </w:tc>
        <w:tc>
          <w:tcPr>
            <w:tcW w:w="694" w:type="pct"/>
          </w:tcPr>
          <w:p w14:paraId="52B9DD82" w14:textId="77777777" w:rsidR="00265AEF" w:rsidRPr="00EF2E8A" w:rsidRDefault="00265AEF" w:rsidP="00591C83">
            <w:pPr>
              <w:tabs>
                <w:tab w:val="right" w:pos="2212"/>
              </w:tabs>
              <w:spacing w:before="0" w:after="0"/>
              <w:jc w:val="center"/>
              <w:rPr>
                <w:rFonts w:ascii="Arial Narrow" w:hAnsi="Arial Narrow"/>
                <w:color w:val="000000" w:themeColor="text1"/>
                <w:sz w:val="20"/>
              </w:rPr>
            </w:pPr>
            <w:r w:rsidRPr="00EF2E8A">
              <w:rPr>
                <w:rFonts w:ascii="Arial Narrow" w:hAnsi="Arial Narrow"/>
                <w:sz w:val="20"/>
              </w:rPr>
              <w:t>5 (2.2)</w:t>
            </w:r>
          </w:p>
        </w:tc>
        <w:tc>
          <w:tcPr>
            <w:tcW w:w="695" w:type="pct"/>
          </w:tcPr>
          <w:p w14:paraId="3F73AA0E"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3 (1.3)</w:t>
            </w:r>
          </w:p>
        </w:tc>
        <w:tc>
          <w:tcPr>
            <w:tcW w:w="694" w:type="pct"/>
          </w:tcPr>
          <w:p w14:paraId="534FAF28"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 xml:space="preserve">6 (2.6) </w:t>
            </w:r>
          </w:p>
        </w:tc>
        <w:tc>
          <w:tcPr>
            <w:tcW w:w="693" w:type="pct"/>
          </w:tcPr>
          <w:p w14:paraId="32FF63BB" w14:textId="77777777" w:rsidR="00265AEF" w:rsidRPr="00EF2E8A" w:rsidRDefault="00265AEF" w:rsidP="00591C83">
            <w:pPr>
              <w:spacing w:before="0" w:after="0"/>
              <w:jc w:val="center"/>
              <w:rPr>
                <w:rFonts w:ascii="Arial Narrow" w:hAnsi="Arial Narrow"/>
                <w:sz w:val="20"/>
              </w:rPr>
            </w:pPr>
            <w:r w:rsidRPr="00EF2E8A">
              <w:rPr>
                <w:rFonts w:ascii="Arial Narrow" w:hAnsi="Arial Narrow"/>
                <w:sz w:val="20"/>
              </w:rPr>
              <w:t>4 (1.8)</w:t>
            </w:r>
          </w:p>
        </w:tc>
      </w:tr>
    </w:tbl>
    <w:p w14:paraId="7977CC9D" w14:textId="60855FAC"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Table 14.2.1.1 Progression Free Survival Per Investigator Intent</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to</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Treat Population and Table 14.2.1.2 Progression Free Survival per BICR Intent</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to</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Treat Population, p439 and p445, MIRASOL CSR September 2024. </w:t>
      </w:r>
    </w:p>
    <w:p w14:paraId="03F197C7" w14:textId="5506B576"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BICR=blinded independent central review; ITT= intention to treat; MIRV=mirvetuximab soravtansine; PD= progressed disease; PFS=progression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w:t>
      </w:r>
    </w:p>
    <w:p w14:paraId="665860C4" w14:textId="3F73E97E" w:rsidR="00265AEF" w:rsidRPr="00EF2E8A" w:rsidRDefault="00265AE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Shading added during the evaluation. Cells in </w:t>
      </w:r>
      <w:r w:rsidRPr="00EF2E8A">
        <w:rPr>
          <w:rFonts w:ascii="Arial Narrow" w:eastAsia="Times New Roman" w:hAnsi="Arial Narrow" w:cs="Arial"/>
          <w:snapToGrid w:val="0"/>
          <w:sz w:val="18"/>
          <w:shd w:val="clear" w:color="auto" w:fill="E2EFD9" w:themeFill="accent6" w:themeFillTint="33"/>
          <w:lang w:eastAsia="en-AU"/>
        </w:rPr>
        <w:t>light shading</w:t>
      </w:r>
      <w:r w:rsidRPr="00EF2E8A">
        <w:rPr>
          <w:rFonts w:ascii="Arial Narrow" w:eastAsia="Times New Roman" w:hAnsi="Arial Narrow" w:cs="Arial"/>
          <w:snapToGrid w:val="0"/>
          <w:sz w:val="18"/>
          <w:lang w:eastAsia="en-AU"/>
        </w:rPr>
        <w:t xml:space="preserve"> indicate events censored at a higher rate than the MIRV arm which appear to be due to study drop</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outs in the ICC arm on treatment allocation; </w:t>
      </w:r>
      <w:r w:rsidRPr="00EF2E8A">
        <w:rPr>
          <w:rFonts w:ascii="Arial Narrow" w:eastAsia="Times New Roman" w:hAnsi="Arial Narrow" w:cs="Arial"/>
          <w:snapToGrid w:val="0"/>
          <w:sz w:val="18"/>
          <w:shd w:val="clear" w:color="auto" w:fill="A8D08D" w:themeFill="accent6" w:themeFillTint="99"/>
          <w:lang w:eastAsia="en-AU"/>
        </w:rPr>
        <w:t>dark shading</w:t>
      </w:r>
      <w:r w:rsidRPr="00EF2E8A">
        <w:rPr>
          <w:rFonts w:ascii="Arial Narrow" w:eastAsia="Times New Roman" w:hAnsi="Arial Narrow" w:cs="Arial"/>
          <w:snapToGrid w:val="0"/>
          <w:sz w:val="18"/>
          <w:lang w:eastAsia="en-AU"/>
        </w:rPr>
        <w:t xml:space="preserve"> indicates censored events across both arms, in patients who discontinued prior to disease progression (likely considered to have clinically progressive disease). </w:t>
      </w:r>
    </w:p>
    <w:p w14:paraId="7A33A14C" w14:textId="5D908A70" w:rsidR="00FF1433" w:rsidRPr="00EF2E8A" w:rsidRDefault="004B7A17" w:rsidP="00591C83">
      <w:pPr>
        <w:pStyle w:val="ListParagraph"/>
      </w:pPr>
      <w:bookmarkStart w:id="40" w:name="_Ref198304518"/>
      <w:bookmarkStart w:id="41" w:name="_Ref198633253"/>
      <w:bookmarkStart w:id="42" w:name="_Ref204778039"/>
      <w:r w:rsidRPr="00EF2E8A">
        <w:lastRenderedPageBreak/>
        <w:t xml:space="preserve">PFS analyses were affected heavily by </w:t>
      </w:r>
      <w:r w:rsidR="002A2567" w:rsidRPr="00EF2E8A">
        <w:t>inclusion of patients who should have been censored</w:t>
      </w:r>
      <w:r w:rsidR="00544312" w:rsidRPr="00EF2E8A">
        <w:t>,</w:t>
      </w:r>
      <w:r w:rsidRPr="00EF2E8A">
        <w:t xml:space="preserve"> and the investigator assessed outcomes were likely to be biased in favour of MIRV.</w:t>
      </w:r>
      <w:r w:rsidR="007F23DF" w:rsidRPr="00EF2E8A">
        <w:t xml:space="preserve"> </w:t>
      </w:r>
      <w:r w:rsidR="00FF1433" w:rsidRPr="00EF2E8A">
        <w:t xml:space="preserve">Censoring of patients was higher in the ICC arm for both local and investigator and BICR analyses. </w:t>
      </w:r>
      <w:proofErr w:type="gramStart"/>
      <w:r w:rsidR="00FF1433" w:rsidRPr="00EF2E8A">
        <w:t xml:space="preserve">In </w:t>
      </w:r>
      <w:r w:rsidR="00A329B7" w:rsidRPr="00EF2E8A">
        <w:t>particular</w:t>
      </w:r>
      <w:r w:rsidR="00FF1433" w:rsidRPr="00EF2E8A">
        <w:t>, censoring</w:t>
      </w:r>
      <w:proofErr w:type="gramEnd"/>
      <w:r w:rsidR="00FF1433" w:rsidRPr="00EF2E8A">
        <w:t xml:space="preserve"> due to new anti</w:t>
      </w:r>
      <w:r w:rsidR="00A46D2B">
        <w:noBreakHyphen/>
      </w:r>
      <w:r w:rsidR="00FF1433" w:rsidRPr="00EF2E8A">
        <w:t xml:space="preserve">cancer treatment prior to disease progression was pronounced in the BICR analysis (both arms) but low in the MIRV arm investigator analysis. The </w:t>
      </w:r>
      <w:r w:rsidR="006E3103" w:rsidRPr="00EF2E8A">
        <w:t xml:space="preserve">evaluation considered that the </w:t>
      </w:r>
      <w:r w:rsidR="00FF1433" w:rsidRPr="00EF2E8A">
        <w:t>pronounced difference in numbers of patients judged by the BICR (compared to investigator assessment) to have switched to new treatment prior to disease progression in both arms suggested the investigator assessment of disease progression was subject to bias.</w:t>
      </w:r>
      <w:bookmarkEnd w:id="40"/>
      <w:bookmarkEnd w:id="41"/>
      <w:r w:rsidR="00E9263E" w:rsidRPr="00EF2E8A">
        <w:t xml:space="preserve"> The PSCR </w:t>
      </w:r>
      <w:r w:rsidR="00D545EE" w:rsidRPr="00EF2E8A">
        <w:t>contended</w:t>
      </w:r>
      <w:r w:rsidR="00E9263E" w:rsidRPr="00EF2E8A">
        <w:t xml:space="preserve"> that </w:t>
      </w:r>
      <w:r w:rsidR="00D17886" w:rsidRPr="00EF2E8A">
        <w:t xml:space="preserve">imaging assessments conducted by someone familiar with the patient's disease history are often more reliable and </w:t>
      </w:r>
      <w:r w:rsidR="00AC7C82" w:rsidRPr="00EF2E8A">
        <w:t>investigator</w:t>
      </w:r>
      <w:r w:rsidR="00A46D2B">
        <w:noBreakHyphen/>
      </w:r>
      <w:r w:rsidR="00AC7C82" w:rsidRPr="00EF2E8A">
        <w:t>assessed PFS is more reflective of clinical practice</w:t>
      </w:r>
      <w:r w:rsidR="006D0693" w:rsidRPr="00EF2E8A">
        <w:t>, and that increased withdrawals in the ICC arm would have biased against MIRV</w:t>
      </w:r>
      <w:r w:rsidR="00C4166E" w:rsidRPr="00EF2E8A">
        <w:t xml:space="preserve"> </w:t>
      </w:r>
      <w:r w:rsidR="001861A2" w:rsidRPr="00EF2E8A">
        <w:t xml:space="preserve">due to exclusion of sicker patients. </w:t>
      </w:r>
      <w:r w:rsidR="0086406D" w:rsidRPr="00EF2E8A">
        <w:t xml:space="preserve">However, the ESCs </w:t>
      </w:r>
      <w:r w:rsidR="00D01027" w:rsidRPr="00EF2E8A">
        <w:t xml:space="preserve">considered </w:t>
      </w:r>
      <w:r w:rsidR="004968FC" w:rsidRPr="00EF2E8A">
        <w:t>the PFS results to be associated with a high degree of uncertainty.</w:t>
      </w:r>
      <w:bookmarkEnd w:id="42"/>
      <w:r w:rsidR="00B65B3F">
        <w:t xml:space="preserve">  </w:t>
      </w:r>
    </w:p>
    <w:p w14:paraId="29BFD4D3" w14:textId="43DB5E3A" w:rsidR="00FF1433" w:rsidRPr="00EF2E8A" w:rsidRDefault="00FF1433" w:rsidP="00591C83">
      <w:pPr>
        <w:pStyle w:val="ListParagraph"/>
      </w:pPr>
      <w:r w:rsidRPr="00EF2E8A">
        <w:t>The results of the analysis for overall survival (OS) in the MIRASOL trial are summarised in</w:t>
      </w:r>
      <w:r w:rsidR="009639A1" w:rsidRPr="00EF2E8A">
        <w:t xml:space="preserve"> </w:t>
      </w:r>
      <w:r w:rsidR="00FC7D07">
        <w:fldChar w:fldCharType="begin" w:fldLock="1"/>
      </w:r>
      <w:r w:rsidR="00FC7D07">
        <w:instrText xml:space="preserve"> REF _Ref205198007 \h </w:instrText>
      </w:r>
      <w:r w:rsidR="00FC7D07">
        <w:fldChar w:fldCharType="separate"/>
      </w:r>
      <w:r w:rsidR="00CC5CAD">
        <w:t xml:space="preserve">Table </w:t>
      </w:r>
      <w:r w:rsidR="00CC5CAD">
        <w:rPr>
          <w:noProof/>
        </w:rPr>
        <w:t>9</w:t>
      </w:r>
      <w:r w:rsidR="00FC7D07">
        <w:fldChar w:fldCharType="end"/>
      </w:r>
      <w:r w:rsidR="00195CB8" w:rsidRPr="00EF2E8A">
        <w:t xml:space="preserve"> and </w:t>
      </w:r>
      <w:r w:rsidR="0024789E">
        <w:fldChar w:fldCharType="begin" w:fldLock="1"/>
      </w:r>
      <w:r w:rsidR="0024789E">
        <w:instrText xml:space="preserve"> REF _Ref205198056 \h </w:instrText>
      </w:r>
      <w:r w:rsidR="0024789E">
        <w:fldChar w:fldCharType="separate"/>
      </w:r>
      <w:r w:rsidR="00CC5CAD">
        <w:t xml:space="preserve">Figure </w:t>
      </w:r>
      <w:r w:rsidR="00CC5CAD">
        <w:rPr>
          <w:noProof/>
        </w:rPr>
        <w:t>4</w:t>
      </w:r>
      <w:r w:rsidR="0024789E">
        <w:fldChar w:fldCharType="end"/>
      </w:r>
      <w:r w:rsidR="00283B83" w:rsidRPr="00EF2E8A">
        <w:rPr>
          <w:rFonts w:cstheme="minorHAnsi"/>
          <w:szCs w:val="24"/>
        </w:rPr>
        <w:t xml:space="preserve">. </w:t>
      </w:r>
    </w:p>
    <w:p w14:paraId="49FB610E" w14:textId="2AC63076" w:rsidR="00FC7D07" w:rsidRDefault="00FC7D07" w:rsidP="00591C83">
      <w:pPr>
        <w:pStyle w:val="Caption"/>
      </w:pPr>
      <w:bookmarkStart w:id="43" w:name="_Ref205198007"/>
      <w:r>
        <w:t xml:space="preserve">Table </w:t>
      </w:r>
      <w:r w:rsidR="00CC5CAD">
        <w:fldChar w:fldCharType="begin" w:fldLock="1"/>
      </w:r>
      <w:r w:rsidR="00CC5CAD">
        <w:instrText xml:space="preserve"> SEQ Table \* ARABIC </w:instrText>
      </w:r>
      <w:r w:rsidR="00CC5CAD">
        <w:fldChar w:fldCharType="separate"/>
      </w:r>
      <w:r w:rsidR="00CC5CAD">
        <w:rPr>
          <w:noProof/>
        </w:rPr>
        <w:t>9</w:t>
      </w:r>
      <w:r w:rsidR="00CC5CAD">
        <w:rPr>
          <w:noProof/>
        </w:rPr>
        <w:fldChar w:fldCharType="end"/>
      </w:r>
      <w:bookmarkEnd w:id="43"/>
      <w:r>
        <w:t xml:space="preserve">: </w:t>
      </w:r>
      <w:r w:rsidRPr="009652EF">
        <w:t>Results of Secondary Endpoint (ITT): OS</w:t>
      </w:r>
    </w:p>
    <w:tbl>
      <w:tblPr>
        <w:tblStyle w:val="ACE"/>
        <w:tblW w:w="9016" w:type="dxa"/>
        <w:tblLayout w:type="fixed"/>
        <w:tblCellMar>
          <w:left w:w="28" w:type="dxa"/>
          <w:right w:w="28" w:type="dxa"/>
        </w:tblCellMar>
        <w:tblLook w:val="04A0" w:firstRow="1" w:lastRow="0" w:firstColumn="1" w:lastColumn="0" w:noHBand="0" w:noVBand="1"/>
        <w:tblCaption w:val="Table 9: Results of Secondary Endpoint (ITT): OS"/>
      </w:tblPr>
      <w:tblGrid>
        <w:gridCol w:w="784"/>
        <w:gridCol w:w="1131"/>
        <w:gridCol w:w="1560"/>
        <w:gridCol w:w="960"/>
        <w:gridCol w:w="2040"/>
        <w:gridCol w:w="900"/>
        <w:gridCol w:w="839"/>
        <w:gridCol w:w="802"/>
      </w:tblGrid>
      <w:tr w:rsidR="009258EA" w:rsidRPr="00EF2E8A" w14:paraId="05A37C59" w14:textId="77777777" w:rsidTr="00D512DE">
        <w:trPr>
          <w:cnfStyle w:val="100000000000" w:firstRow="1" w:lastRow="0" w:firstColumn="0" w:lastColumn="0" w:oddVBand="0" w:evenVBand="0" w:oddHBand="0" w:evenHBand="0" w:firstRowFirstColumn="0" w:firstRowLastColumn="0" w:lastRowFirstColumn="0" w:lastRowLastColumn="0"/>
          <w:tblHeader/>
        </w:trPr>
        <w:tc>
          <w:tcPr>
            <w:tcW w:w="1915" w:type="dxa"/>
            <w:gridSpan w:val="2"/>
            <w:tcBorders>
              <w:top w:val="single" w:sz="4" w:space="0" w:color="auto"/>
              <w:bottom w:val="single" w:sz="4" w:space="0" w:color="auto"/>
              <w:right w:val="single" w:sz="4" w:space="0" w:color="auto"/>
            </w:tcBorders>
            <w:shd w:val="clear" w:color="auto" w:fill="auto"/>
          </w:tcPr>
          <w:p w14:paraId="1F50AF0E" w14:textId="77777777" w:rsidR="00725EC2" w:rsidRPr="00EF2E8A" w:rsidRDefault="00725EC2" w:rsidP="00591C83">
            <w:pPr>
              <w:keepNext/>
              <w:keepLines/>
              <w:spacing w:before="0"/>
              <w:jc w:val="left"/>
              <w:rPr>
                <w:rFonts w:ascii="Arial Narrow" w:hAnsi="Arial Narrow" w:cs="Calibri"/>
                <w:sz w:val="20"/>
                <w:lang w:val="en-AU"/>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85D76" w14:textId="77777777" w:rsidR="00725EC2" w:rsidRPr="00EF2E8A" w:rsidRDefault="00725EC2" w:rsidP="00591C83">
            <w:pPr>
              <w:keepNext/>
              <w:keepLines/>
              <w:spacing w:before="0"/>
              <w:jc w:val="left"/>
              <w:rPr>
                <w:rFonts w:ascii="Arial Narrow" w:hAnsi="Arial Narrow" w:cs="Calibri"/>
                <w:sz w:val="20"/>
                <w:lang w:val="en-AU"/>
              </w:rPr>
            </w:pPr>
            <w:r w:rsidRPr="00EF2E8A">
              <w:rPr>
                <w:rFonts w:ascii="Arial Narrow" w:hAnsi="Arial Narrow" w:cs="Calibri"/>
                <w:bCs/>
                <w:sz w:val="20"/>
                <w:lang w:val="en-AU"/>
              </w:rPr>
              <w:t>MIRV (N=227)</w:t>
            </w:r>
          </w:p>
        </w:tc>
        <w:tc>
          <w:tcPr>
            <w:tcW w:w="2040" w:type="dxa"/>
            <w:tcBorders>
              <w:top w:val="single" w:sz="4" w:space="0" w:color="auto"/>
              <w:left w:val="single" w:sz="4" w:space="0" w:color="auto"/>
              <w:bottom w:val="single" w:sz="4" w:space="0" w:color="auto"/>
            </w:tcBorders>
            <w:shd w:val="clear" w:color="auto" w:fill="auto"/>
            <w:vAlign w:val="center"/>
          </w:tcPr>
          <w:p w14:paraId="55E06F2F" w14:textId="77777777" w:rsidR="00E5746F" w:rsidRPr="00EF2E8A" w:rsidRDefault="00E5746F"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ICC (N=226)</w:t>
            </w:r>
          </w:p>
        </w:tc>
        <w:tc>
          <w:tcPr>
            <w:tcW w:w="2541" w:type="dxa"/>
            <w:gridSpan w:val="3"/>
            <w:tcBorders>
              <w:top w:val="single" w:sz="4" w:space="0" w:color="auto"/>
              <w:left w:val="single" w:sz="4" w:space="0" w:color="auto"/>
              <w:bottom w:val="single" w:sz="4" w:space="0" w:color="auto"/>
            </w:tcBorders>
            <w:shd w:val="clear" w:color="auto" w:fill="auto"/>
            <w:vAlign w:val="center"/>
          </w:tcPr>
          <w:p w14:paraId="58E288B5" w14:textId="0AB17BA0" w:rsidR="00725EC2" w:rsidRPr="00EF2E8A" w:rsidRDefault="00725EC2" w:rsidP="00591C83">
            <w:pPr>
              <w:keepNext/>
              <w:keepLines/>
              <w:spacing w:before="0"/>
              <w:jc w:val="left"/>
              <w:rPr>
                <w:rFonts w:ascii="Arial Narrow" w:hAnsi="Arial Narrow" w:cs="Calibri"/>
                <w:sz w:val="20"/>
                <w:lang w:val="en-AU"/>
              </w:rPr>
            </w:pPr>
          </w:p>
        </w:tc>
      </w:tr>
      <w:tr w:rsidR="00D512DE" w:rsidRPr="00EF2E8A" w14:paraId="337E5AFE" w14:textId="77777777" w:rsidTr="00D512DE">
        <w:trPr>
          <w:cnfStyle w:val="100000000000" w:firstRow="1" w:lastRow="0" w:firstColumn="0" w:lastColumn="0" w:oddVBand="0" w:evenVBand="0" w:oddHBand="0" w:evenHBand="0" w:firstRowFirstColumn="0" w:firstRowLastColumn="0" w:lastRowFirstColumn="0" w:lastRowLastColumn="0"/>
          <w:tblHeader/>
        </w:trPr>
        <w:tc>
          <w:tcPr>
            <w:tcW w:w="784" w:type="dxa"/>
            <w:tcBorders>
              <w:top w:val="single" w:sz="4" w:space="0" w:color="auto"/>
              <w:bottom w:val="single" w:sz="4" w:space="0" w:color="auto"/>
              <w:right w:val="single" w:sz="4" w:space="0" w:color="auto"/>
            </w:tcBorders>
            <w:shd w:val="clear" w:color="auto" w:fill="auto"/>
          </w:tcPr>
          <w:p w14:paraId="6BE607B8" w14:textId="77777777" w:rsidR="00FF1433" w:rsidRPr="00EF2E8A" w:rsidRDefault="00FF1433"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Outcome</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2C3102E" w14:textId="4EB56B5A" w:rsidR="00FF1433" w:rsidRPr="00EF2E8A" w:rsidRDefault="00FF1433" w:rsidP="00591C83">
            <w:pPr>
              <w:keepNext/>
              <w:keepLines/>
              <w:spacing w:before="0"/>
              <w:jc w:val="left"/>
              <w:rPr>
                <w:rFonts w:ascii="Arial Narrow" w:hAnsi="Arial Narrow" w:cs="Calibri"/>
                <w:kern w:val="24"/>
                <w:sz w:val="20"/>
                <w:lang w:val="en-AU"/>
              </w:rPr>
            </w:pPr>
            <w:r w:rsidRPr="00EF2E8A">
              <w:rPr>
                <w:rFonts w:ascii="Arial Narrow" w:hAnsi="Arial Narrow" w:cs="Calibri"/>
                <w:kern w:val="24"/>
                <w:sz w:val="20"/>
                <w:lang w:val="en-AU"/>
              </w:rPr>
              <w:t xml:space="preserve">n with </w:t>
            </w:r>
            <w:r w:rsidR="009900D7" w:rsidRPr="00EF2E8A">
              <w:rPr>
                <w:rFonts w:ascii="Arial Narrow" w:hAnsi="Arial Narrow" w:cs="Calibri"/>
                <w:kern w:val="24"/>
                <w:sz w:val="20"/>
                <w:lang w:val="en-AU"/>
              </w:rPr>
              <w:t xml:space="preserve">event </w:t>
            </w:r>
            <w:r w:rsidRPr="00EF2E8A">
              <w:rPr>
                <w:rFonts w:ascii="Arial Narrow" w:hAnsi="Arial Narrow" w:cs="Calibri"/>
                <w:kern w:val="24"/>
                <w:sz w:val="20"/>
                <w:lang w:val="en-AU"/>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050BC1B" w14:textId="20E42D12" w:rsidR="00FF1433" w:rsidRPr="00EF2E8A" w:rsidRDefault="00FF1433" w:rsidP="00591C83">
            <w:pPr>
              <w:keepNext/>
              <w:keepLines/>
              <w:spacing w:before="0"/>
              <w:jc w:val="left"/>
              <w:rPr>
                <w:rFonts w:ascii="Arial Narrow" w:eastAsia="Times New Roman" w:hAnsi="Arial Narrow"/>
                <w:sz w:val="20"/>
                <w:lang w:val="en-AU"/>
              </w:rPr>
            </w:pPr>
            <w:r w:rsidRPr="00EF2E8A">
              <w:rPr>
                <w:rFonts w:ascii="Arial Narrow" w:eastAsia="Times New Roman" w:hAnsi="Arial Narrow" w:cs="Calibri"/>
                <w:kern w:val="24"/>
                <w:sz w:val="20"/>
                <w:lang w:val="en-AU"/>
              </w:rPr>
              <w:t xml:space="preserve">Median time to </w:t>
            </w:r>
            <w:r w:rsidR="00122BDD" w:rsidRPr="00EF2E8A">
              <w:rPr>
                <w:rFonts w:ascii="Arial Narrow" w:eastAsia="Times New Roman" w:hAnsi="Arial Narrow" w:cs="Calibri"/>
                <w:kern w:val="24"/>
                <w:sz w:val="20"/>
                <w:lang w:val="en-AU"/>
              </w:rPr>
              <w:t>event</w:t>
            </w:r>
            <w:r w:rsidRPr="00EF2E8A">
              <w:rPr>
                <w:rFonts w:ascii="Arial Narrow" w:eastAsia="Times New Roman" w:hAnsi="Arial Narrow" w:cs="Calibri"/>
                <w:kern w:val="24"/>
                <w:sz w:val="20"/>
                <w:lang w:val="en-AU"/>
              </w:rPr>
              <w:t xml:space="preserve"> (mo)</w:t>
            </w:r>
          </w:p>
          <w:p w14:paraId="744D3A56" w14:textId="77777777" w:rsidR="00FF1433" w:rsidRPr="00EF2E8A" w:rsidRDefault="00FF1433" w:rsidP="00591C83">
            <w:pPr>
              <w:keepNext/>
              <w:keepLines/>
              <w:spacing w:before="0"/>
              <w:jc w:val="left"/>
              <w:rPr>
                <w:rFonts w:ascii="Arial Narrow" w:eastAsia="Times New Roman" w:hAnsi="Arial Narrow" w:cs="Calibri"/>
                <w:kern w:val="24"/>
                <w:sz w:val="20"/>
                <w:lang w:val="en-AU"/>
              </w:rPr>
            </w:pPr>
            <w:r w:rsidRPr="00EF2E8A">
              <w:rPr>
                <w:rFonts w:ascii="Arial Narrow" w:eastAsia="Times New Roman" w:hAnsi="Arial Narrow" w:cs="Calibri"/>
                <w:kern w:val="24"/>
                <w:sz w:val="20"/>
                <w:lang w:val="en-AU"/>
              </w:rPr>
              <w:t>(95% CI)</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1C3EFF9" w14:textId="77777777" w:rsidR="00FF1433" w:rsidRPr="00EF2E8A" w:rsidRDefault="00FF1433" w:rsidP="00591C83">
            <w:pPr>
              <w:keepNext/>
              <w:keepLines/>
              <w:spacing w:before="0"/>
              <w:jc w:val="left"/>
              <w:rPr>
                <w:rFonts w:ascii="Arial Narrow" w:hAnsi="Arial Narrow" w:cs="Calibri"/>
                <w:kern w:val="24"/>
                <w:sz w:val="20"/>
                <w:lang w:val="en-AU"/>
              </w:rPr>
            </w:pPr>
            <w:r w:rsidRPr="00EF2E8A">
              <w:rPr>
                <w:rFonts w:ascii="Arial Narrow" w:hAnsi="Arial Narrow" w:cs="Calibri"/>
                <w:kern w:val="24"/>
                <w:sz w:val="20"/>
                <w:lang w:val="en-AU"/>
              </w:rPr>
              <w:t>n/N with PD (%)</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4DA11AD" w14:textId="6CA1C90E" w:rsidR="00FF1433" w:rsidRPr="00EF2E8A" w:rsidRDefault="00FF1433" w:rsidP="00591C83">
            <w:pPr>
              <w:keepNext/>
              <w:keepLines/>
              <w:spacing w:before="0"/>
              <w:jc w:val="left"/>
              <w:rPr>
                <w:rFonts w:ascii="Arial Narrow" w:hAnsi="Arial Narrow" w:cs="Calibri"/>
                <w:kern w:val="24"/>
                <w:sz w:val="20"/>
                <w:lang w:val="en-AU"/>
              </w:rPr>
            </w:pPr>
            <w:r w:rsidRPr="00EF2E8A">
              <w:rPr>
                <w:rFonts w:ascii="Arial Narrow" w:hAnsi="Arial Narrow" w:cs="Calibri"/>
                <w:kern w:val="24"/>
                <w:sz w:val="20"/>
                <w:lang w:val="en-AU"/>
              </w:rPr>
              <w:t xml:space="preserve">Median time to </w:t>
            </w:r>
            <w:r w:rsidR="00122BDD" w:rsidRPr="00EF2E8A">
              <w:rPr>
                <w:rFonts w:ascii="Arial Narrow" w:hAnsi="Arial Narrow" w:cs="Calibri"/>
                <w:kern w:val="24"/>
                <w:sz w:val="20"/>
                <w:lang w:val="en-AU"/>
              </w:rPr>
              <w:t>event</w:t>
            </w:r>
            <w:r w:rsidRPr="00EF2E8A">
              <w:rPr>
                <w:rFonts w:ascii="Arial Narrow" w:hAnsi="Arial Narrow" w:cs="Calibri"/>
                <w:kern w:val="24"/>
                <w:sz w:val="20"/>
                <w:lang w:val="en-AU"/>
              </w:rPr>
              <w:t xml:space="preserve"> (mo)</w:t>
            </w:r>
          </w:p>
          <w:p w14:paraId="1CE4FB1B" w14:textId="77777777" w:rsidR="00FF1433" w:rsidRPr="00EF2E8A" w:rsidRDefault="00FF1433" w:rsidP="00591C83">
            <w:pPr>
              <w:keepNext/>
              <w:keepLines/>
              <w:spacing w:before="0"/>
              <w:jc w:val="left"/>
              <w:rPr>
                <w:rFonts w:ascii="Arial Narrow" w:hAnsi="Arial Narrow" w:cs="Calibri"/>
                <w:kern w:val="24"/>
                <w:sz w:val="20"/>
                <w:lang w:val="en-AU"/>
              </w:rPr>
            </w:pPr>
            <w:r w:rsidRPr="00EF2E8A">
              <w:rPr>
                <w:rFonts w:ascii="Arial Narrow" w:hAnsi="Arial Narrow" w:cs="Calibri"/>
                <w:kern w:val="24"/>
                <w:sz w:val="20"/>
                <w:lang w:val="en-AU"/>
              </w:rPr>
              <w:t>(95% CI)</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7820BCF" w14:textId="77777777" w:rsidR="00FF1433" w:rsidRPr="00EF2E8A" w:rsidRDefault="00FF1433"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Difference in median</w:t>
            </w:r>
          </w:p>
        </w:tc>
        <w:tc>
          <w:tcPr>
            <w:tcW w:w="839" w:type="dxa"/>
            <w:tcBorders>
              <w:top w:val="single" w:sz="4" w:space="0" w:color="auto"/>
              <w:left w:val="single" w:sz="4" w:space="0" w:color="auto"/>
              <w:bottom w:val="single" w:sz="4" w:space="0" w:color="auto"/>
              <w:right w:val="single" w:sz="4" w:space="0" w:color="auto"/>
            </w:tcBorders>
            <w:shd w:val="clear" w:color="auto" w:fill="auto"/>
          </w:tcPr>
          <w:p w14:paraId="730BC53C" w14:textId="21BB0D3A" w:rsidR="00FF1433" w:rsidRPr="00EF2E8A" w:rsidRDefault="00FF1433"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P</w:t>
            </w:r>
            <w:r w:rsidR="00A46D2B">
              <w:rPr>
                <w:rFonts w:ascii="Arial Narrow" w:hAnsi="Arial Narrow" w:cs="Calibri"/>
                <w:sz w:val="20"/>
                <w:lang w:val="en-AU"/>
              </w:rPr>
              <w:noBreakHyphen/>
            </w:r>
            <w:r w:rsidRPr="00EF2E8A">
              <w:rPr>
                <w:rFonts w:ascii="Arial Narrow" w:hAnsi="Arial Narrow" w:cs="Calibri"/>
                <w:sz w:val="20"/>
                <w:lang w:val="en-AU"/>
              </w:rPr>
              <w:t>value (log rank test)</w:t>
            </w:r>
          </w:p>
        </w:tc>
        <w:tc>
          <w:tcPr>
            <w:tcW w:w="802" w:type="dxa"/>
            <w:tcBorders>
              <w:top w:val="single" w:sz="4" w:space="0" w:color="auto"/>
              <w:left w:val="single" w:sz="4" w:space="0" w:color="auto"/>
              <w:bottom w:val="single" w:sz="4" w:space="0" w:color="auto"/>
            </w:tcBorders>
            <w:shd w:val="clear" w:color="auto" w:fill="auto"/>
          </w:tcPr>
          <w:p w14:paraId="259A821D" w14:textId="77777777" w:rsidR="00FF1433" w:rsidRPr="00EF2E8A" w:rsidRDefault="00FF1433" w:rsidP="00591C83">
            <w:pPr>
              <w:keepNext/>
              <w:keepLines/>
              <w:spacing w:before="0"/>
              <w:jc w:val="left"/>
              <w:rPr>
                <w:rFonts w:ascii="Arial Narrow" w:hAnsi="Arial Narrow" w:cs="Calibri"/>
                <w:sz w:val="20"/>
                <w:lang w:val="en-AU"/>
              </w:rPr>
            </w:pPr>
            <w:r w:rsidRPr="00EF2E8A">
              <w:rPr>
                <w:rFonts w:ascii="Arial Narrow" w:hAnsi="Arial Narrow" w:cs="Calibri"/>
                <w:sz w:val="20"/>
                <w:lang w:val="en-AU"/>
              </w:rPr>
              <w:t>HR (95% CI)</w:t>
            </w:r>
          </w:p>
        </w:tc>
      </w:tr>
      <w:tr w:rsidR="00FF1433" w:rsidRPr="00EF2E8A" w14:paraId="65EA8D9D" w14:textId="77777777" w:rsidTr="00AF04D1">
        <w:tc>
          <w:tcPr>
            <w:tcW w:w="9016" w:type="dxa"/>
            <w:gridSpan w:val="8"/>
            <w:tcBorders>
              <w:top w:val="single" w:sz="4" w:space="0" w:color="auto"/>
            </w:tcBorders>
          </w:tcPr>
          <w:p w14:paraId="11758E8E" w14:textId="69D5CBC2" w:rsidR="00FF1433" w:rsidRPr="00EF2E8A" w:rsidRDefault="00FF1433" w:rsidP="00591C83">
            <w:pPr>
              <w:keepNext/>
              <w:keepLines/>
              <w:autoSpaceDE w:val="0"/>
              <w:autoSpaceDN w:val="0"/>
              <w:adjustRightInd w:val="0"/>
              <w:spacing w:before="0"/>
              <w:jc w:val="left"/>
              <w:rPr>
                <w:rFonts w:ascii="Arial Narrow" w:hAnsi="Arial Narrow" w:cs="Calibri"/>
                <w:b/>
                <w:sz w:val="20"/>
                <w:lang w:val="en-AU"/>
              </w:rPr>
            </w:pPr>
            <w:r w:rsidRPr="00EF2E8A">
              <w:rPr>
                <w:rFonts w:ascii="Arial Narrow" w:hAnsi="Arial Narrow" w:cs="Calibri"/>
                <w:b/>
                <w:sz w:val="20"/>
                <w:lang w:val="en-AU"/>
              </w:rPr>
              <w:t>MIRASOL March 2023 data cutoff (median follow</w:t>
            </w:r>
            <w:r w:rsidR="00A46D2B">
              <w:rPr>
                <w:rFonts w:ascii="Arial Narrow" w:hAnsi="Arial Narrow" w:cs="Calibri"/>
                <w:b/>
                <w:sz w:val="20"/>
                <w:lang w:val="en-AU"/>
              </w:rPr>
              <w:noBreakHyphen/>
            </w:r>
            <w:r w:rsidRPr="00EF2E8A">
              <w:rPr>
                <w:rFonts w:ascii="Arial Narrow" w:hAnsi="Arial Narrow" w:cs="Calibri"/>
                <w:b/>
                <w:sz w:val="20"/>
                <w:lang w:val="en-AU"/>
              </w:rPr>
              <w:t>up 13.11 mo [95% CI12.09, 14.13])</w:t>
            </w:r>
          </w:p>
        </w:tc>
      </w:tr>
      <w:tr w:rsidR="00D512DE" w:rsidRPr="00EF2E8A" w14:paraId="6783F051" w14:textId="77777777" w:rsidTr="00D512DE">
        <w:tc>
          <w:tcPr>
            <w:tcW w:w="784" w:type="dxa"/>
            <w:tcBorders>
              <w:bottom w:val="single" w:sz="4" w:space="0" w:color="auto"/>
            </w:tcBorders>
            <w:hideMark/>
          </w:tcPr>
          <w:p w14:paraId="7247AA6E" w14:textId="77777777" w:rsidR="00FF1433" w:rsidRPr="00EF2E8A" w:rsidRDefault="00FF1433" w:rsidP="00591C83">
            <w:pPr>
              <w:keepNext/>
              <w:keepLines/>
              <w:spacing w:before="0"/>
              <w:rPr>
                <w:rFonts w:ascii="Arial Narrow" w:hAnsi="Arial Narrow" w:cs="Calibri"/>
                <w:sz w:val="20"/>
                <w:lang w:val="en-AU"/>
              </w:rPr>
            </w:pPr>
            <w:r w:rsidRPr="00EF2E8A">
              <w:rPr>
                <w:rFonts w:ascii="Arial Narrow" w:hAnsi="Arial Narrow" w:cs="Calibri"/>
                <w:sz w:val="20"/>
                <w:lang w:val="en-AU"/>
              </w:rPr>
              <w:t>OS</w:t>
            </w:r>
          </w:p>
        </w:tc>
        <w:tc>
          <w:tcPr>
            <w:tcW w:w="1131" w:type="dxa"/>
            <w:tcBorders>
              <w:bottom w:val="single" w:sz="4" w:space="0" w:color="auto"/>
            </w:tcBorders>
            <w:vAlign w:val="center"/>
          </w:tcPr>
          <w:p w14:paraId="42623B77" w14:textId="15AAFCCC"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90 (39.6)</w:t>
            </w:r>
          </w:p>
        </w:tc>
        <w:tc>
          <w:tcPr>
            <w:tcW w:w="1560" w:type="dxa"/>
            <w:tcBorders>
              <w:bottom w:val="single" w:sz="4" w:space="0" w:color="auto"/>
            </w:tcBorders>
            <w:vAlign w:val="center"/>
          </w:tcPr>
          <w:p w14:paraId="4D9027A9" w14:textId="77777777" w:rsidR="00FF1433" w:rsidRPr="00EF2E8A" w:rsidRDefault="00FF1433" w:rsidP="00591C83">
            <w:pPr>
              <w:keepNext/>
              <w:keepLines/>
              <w:spacing w:before="0"/>
              <w:jc w:val="center"/>
              <w:rPr>
                <w:rFonts w:ascii="Arial Narrow" w:eastAsia="Times New Roman" w:hAnsi="Arial Narrow"/>
                <w:sz w:val="20"/>
                <w:lang w:val="en-AU"/>
              </w:rPr>
            </w:pPr>
            <w:r w:rsidRPr="00EF2E8A">
              <w:rPr>
                <w:rFonts w:ascii="Arial Narrow" w:hAnsi="Arial Narrow" w:cs="Calibri"/>
                <w:kern w:val="24"/>
                <w:sz w:val="20"/>
                <w:lang w:val="en-AU"/>
              </w:rPr>
              <w:t>16.46</w:t>
            </w:r>
          </w:p>
          <w:p w14:paraId="2E4E59A9"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(14.46, 24.57)</w:t>
            </w:r>
          </w:p>
        </w:tc>
        <w:tc>
          <w:tcPr>
            <w:tcW w:w="960" w:type="dxa"/>
            <w:tcBorders>
              <w:bottom w:val="single" w:sz="4" w:space="0" w:color="auto"/>
            </w:tcBorders>
            <w:vAlign w:val="center"/>
          </w:tcPr>
          <w:p w14:paraId="0ED26504" w14:textId="5BB0E85D"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114 (50.4)</w:t>
            </w:r>
          </w:p>
        </w:tc>
        <w:tc>
          <w:tcPr>
            <w:tcW w:w="2040" w:type="dxa"/>
            <w:tcBorders>
              <w:bottom w:val="single" w:sz="4" w:space="0" w:color="auto"/>
            </w:tcBorders>
            <w:vAlign w:val="center"/>
          </w:tcPr>
          <w:p w14:paraId="3879FBE8" w14:textId="77777777" w:rsidR="00FF1433" w:rsidRPr="00EF2E8A" w:rsidRDefault="00FF1433" w:rsidP="00591C83">
            <w:pPr>
              <w:keepNext/>
              <w:keepLines/>
              <w:spacing w:before="0"/>
              <w:jc w:val="center"/>
              <w:rPr>
                <w:rFonts w:ascii="Arial Narrow" w:eastAsia="Times New Roman" w:hAnsi="Arial Narrow"/>
                <w:sz w:val="20"/>
                <w:lang w:val="en-AU"/>
              </w:rPr>
            </w:pPr>
            <w:r w:rsidRPr="00EF2E8A">
              <w:rPr>
                <w:rFonts w:ascii="Arial Narrow" w:hAnsi="Arial Narrow" w:cs="Calibri"/>
                <w:kern w:val="24"/>
                <w:sz w:val="20"/>
                <w:lang w:val="en-AU"/>
              </w:rPr>
              <w:t>12.75</w:t>
            </w:r>
          </w:p>
          <w:p w14:paraId="3AC1C8A0"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(10.91, 14.36)</w:t>
            </w:r>
          </w:p>
        </w:tc>
        <w:tc>
          <w:tcPr>
            <w:tcW w:w="900" w:type="dxa"/>
            <w:tcBorders>
              <w:bottom w:val="single" w:sz="4" w:space="0" w:color="auto"/>
            </w:tcBorders>
            <w:vAlign w:val="center"/>
          </w:tcPr>
          <w:p w14:paraId="373A77B2"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3.74</w:t>
            </w:r>
          </w:p>
        </w:tc>
        <w:tc>
          <w:tcPr>
            <w:tcW w:w="839" w:type="dxa"/>
            <w:tcBorders>
              <w:bottom w:val="single" w:sz="4" w:space="0" w:color="auto"/>
            </w:tcBorders>
            <w:vAlign w:val="center"/>
          </w:tcPr>
          <w:p w14:paraId="590EABC6" w14:textId="77777777" w:rsidR="00FF1433" w:rsidRPr="00EF2E8A" w:rsidRDefault="00FF1433" w:rsidP="00591C83">
            <w:pPr>
              <w:keepNext/>
              <w:keepLines/>
              <w:spacing w:before="0"/>
              <w:jc w:val="center"/>
              <w:rPr>
                <w:rFonts w:ascii="Arial Narrow" w:hAnsi="Arial Narrow" w:cs="Calibri"/>
                <w:b/>
                <w:bCs/>
                <w:sz w:val="20"/>
                <w:lang w:val="en-AU"/>
              </w:rPr>
            </w:pPr>
            <w:r w:rsidRPr="00EF2E8A">
              <w:rPr>
                <w:rFonts w:ascii="Arial Narrow" w:hAnsi="Arial Narrow" w:cs="Calibri"/>
                <w:b/>
                <w:kern w:val="24"/>
                <w:sz w:val="20"/>
                <w:lang w:val="en-AU"/>
              </w:rPr>
              <w:t>0.0046</w:t>
            </w:r>
          </w:p>
        </w:tc>
        <w:tc>
          <w:tcPr>
            <w:tcW w:w="802" w:type="dxa"/>
            <w:tcBorders>
              <w:bottom w:val="single" w:sz="4" w:space="0" w:color="auto"/>
            </w:tcBorders>
            <w:vAlign w:val="center"/>
          </w:tcPr>
          <w:p w14:paraId="22E0A90B" w14:textId="77777777" w:rsidR="00FF1433" w:rsidRPr="00EF2E8A" w:rsidRDefault="00FF1433" w:rsidP="00591C83">
            <w:pPr>
              <w:keepNext/>
              <w:keepLines/>
              <w:spacing w:before="0"/>
              <w:jc w:val="center"/>
              <w:rPr>
                <w:rFonts w:ascii="Arial Narrow" w:eastAsia="Times New Roman" w:hAnsi="Arial Narrow"/>
                <w:b/>
                <w:sz w:val="20"/>
                <w:lang w:val="en-AU"/>
              </w:rPr>
            </w:pPr>
            <w:r w:rsidRPr="00EF2E8A">
              <w:rPr>
                <w:rFonts w:ascii="Arial Narrow" w:hAnsi="Arial Narrow" w:cs="Calibri"/>
                <w:b/>
                <w:kern w:val="24"/>
                <w:sz w:val="20"/>
                <w:lang w:val="en-AU"/>
              </w:rPr>
              <w:t>0.67</w:t>
            </w:r>
          </w:p>
          <w:p w14:paraId="1FC1C3DE" w14:textId="77777777" w:rsidR="00FF1433" w:rsidRPr="00EF2E8A" w:rsidRDefault="00FF1433" w:rsidP="00591C83">
            <w:pPr>
              <w:keepNext/>
              <w:keepLines/>
              <w:spacing w:before="0"/>
              <w:jc w:val="center"/>
              <w:rPr>
                <w:rFonts w:ascii="Arial Narrow" w:hAnsi="Arial Narrow" w:cs="Calibri"/>
                <w:b/>
                <w:bCs/>
                <w:sz w:val="20"/>
                <w:lang w:val="en-AU"/>
              </w:rPr>
            </w:pPr>
            <w:r w:rsidRPr="00EF2E8A">
              <w:rPr>
                <w:rFonts w:ascii="Arial Narrow" w:hAnsi="Arial Narrow" w:cs="Calibri"/>
                <w:b/>
                <w:kern w:val="24"/>
                <w:sz w:val="20"/>
                <w:lang w:val="en-AU"/>
              </w:rPr>
              <w:t>(0.504, 0.885)</w:t>
            </w:r>
          </w:p>
        </w:tc>
      </w:tr>
      <w:tr w:rsidR="009258EA" w:rsidRPr="00EF2E8A" w14:paraId="68332DC7" w14:textId="77777777" w:rsidTr="00D512DE">
        <w:tc>
          <w:tcPr>
            <w:tcW w:w="784" w:type="dxa"/>
            <w:tcBorders>
              <w:bottom w:val="single" w:sz="4" w:space="0" w:color="auto"/>
            </w:tcBorders>
          </w:tcPr>
          <w:p w14:paraId="4BA73701" w14:textId="77777777" w:rsidR="00FF1433" w:rsidRPr="00EF2E8A" w:rsidRDefault="00FF1433" w:rsidP="00591C83">
            <w:pPr>
              <w:keepNext/>
              <w:keepLines/>
              <w:spacing w:before="0"/>
              <w:rPr>
                <w:rFonts w:ascii="Arial Narrow" w:hAnsi="Arial Narrow" w:cs="Calibri"/>
                <w:sz w:val="20"/>
                <w:lang w:val="en-AU"/>
              </w:rPr>
            </w:pPr>
            <w:r w:rsidRPr="00EF2E8A">
              <w:rPr>
                <w:rFonts w:ascii="Arial Narrow" w:hAnsi="Arial Narrow" w:cs="Calibri"/>
                <w:sz w:val="20"/>
                <w:lang w:val="en-AU"/>
              </w:rPr>
              <w:t>Censored</w:t>
            </w:r>
          </w:p>
        </w:tc>
        <w:tc>
          <w:tcPr>
            <w:tcW w:w="1131" w:type="dxa"/>
            <w:tcBorders>
              <w:bottom w:val="single" w:sz="4" w:space="0" w:color="auto"/>
            </w:tcBorders>
          </w:tcPr>
          <w:p w14:paraId="68F60A8F"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 xml:space="preserve">137 (60.4%) </w:t>
            </w:r>
          </w:p>
        </w:tc>
        <w:tc>
          <w:tcPr>
            <w:tcW w:w="1560" w:type="dxa"/>
            <w:tcBorders>
              <w:bottom w:val="single" w:sz="4" w:space="0" w:color="auto"/>
            </w:tcBorders>
          </w:tcPr>
          <w:p w14:paraId="4200110D" w14:textId="69038A64"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960" w:type="dxa"/>
            <w:tcBorders>
              <w:bottom w:val="single" w:sz="4" w:space="0" w:color="auto"/>
            </w:tcBorders>
          </w:tcPr>
          <w:p w14:paraId="179AF84A"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112 (49.6%)</w:t>
            </w:r>
          </w:p>
        </w:tc>
        <w:tc>
          <w:tcPr>
            <w:tcW w:w="2040" w:type="dxa"/>
            <w:tcBorders>
              <w:bottom w:val="single" w:sz="4" w:space="0" w:color="auto"/>
            </w:tcBorders>
          </w:tcPr>
          <w:p w14:paraId="2F33FD2F" w14:textId="5BA9DF97"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900" w:type="dxa"/>
            <w:tcBorders>
              <w:bottom w:val="single" w:sz="4" w:space="0" w:color="auto"/>
            </w:tcBorders>
          </w:tcPr>
          <w:p w14:paraId="7884C6CB" w14:textId="3A3A8857"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839" w:type="dxa"/>
            <w:tcBorders>
              <w:bottom w:val="single" w:sz="4" w:space="0" w:color="auto"/>
            </w:tcBorders>
          </w:tcPr>
          <w:p w14:paraId="18CB47F8" w14:textId="5D21D25B"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802" w:type="dxa"/>
            <w:tcBorders>
              <w:bottom w:val="single" w:sz="4" w:space="0" w:color="auto"/>
            </w:tcBorders>
          </w:tcPr>
          <w:p w14:paraId="4994B010" w14:textId="55C60057"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r w:rsidR="00FF1433" w:rsidRPr="00EF2E8A" w14:paraId="7BEBEABA" w14:textId="77777777" w:rsidTr="00AF04D1">
        <w:tc>
          <w:tcPr>
            <w:tcW w:w="9016" w:type="dxa"/>
            <w:gridSpan w:val="8"/>
          </w:tcPr>
          <w:p w14:paraId="0E700E94" w14:textId="53D54541" w:rsidR="00FF1433" w:rsidRPr="00EF2E8A" w:rsidRDefault="00FF1433" w:rsidP="00591C83">
            <w:pPr>
              <w:keepNext/>
              <w:keepLines/>
              <w:autoSpaceDE w:val="0"/>
              <w:autoSpaceDN w:val="0"/>
              <w:adjustRightInd w:val="0"/>
              <w:spacing w:before="0"/>
              <w:jc w:val="left"/>
              <w:rPr>
                <w:rFonts w:ascii="Arial Narrow" w:hAnsi="Arial Narrow" w:cs="Calibri"/>
                <w:b/>
                <w:sz w:val="20"/>
                <w:lang w:val="en-AU"/>
              </w:rPr>
            </w:pPr>
            <w:r w:rsidRPr="00EF2E8A">
              <w:rPr>
                <w:rFonts w:ascii="Arial Narrow" w:hAnsi="Arial Narrow" w:cs="Calibri"/>
                <w:b/>
                <w:sz w:val="20"/>
                <w:lang w:val="en-AU"/>
              </w:rPr>
              <w:t>MIRASOL September 2024 data cutoff (median follow</w:t>
            </w:r>
            <w:r w:rsidR="00A46D2B">
              <w:rPr>
                <w:rFonts w:ascii="Arial Narrow" w:hAnsi="Arial Narrow" w:cs="Calibri"/>
                <w:b/>
                <w:sz w:val="20"/>
                <w:lang w:val="en-AU"/>
              </w:rPr>
              <w:noBreakHyphen/>
            </w:r>
            <w:r w:rsidRPr="00EF2E8A">
              <w:rPr>
                <w:rFonts w:ascii="Arial Narrow" w:hAnsi="Arial Narrow" w:cs="Calibri"/>
                <w:b/>
                <w:sz w:val="20"/>
                <w:lang w:val="en-AU"/>
              </w:rPr>
              <w:t>up 30.49 mo [95% 28.75, 33.68])</w:t>
            </w:r>
          </w:p>
        </w:tc>
      </w:tr>
      <w:tr w:rsidR="009258EA" w:rsidRPr="00EF2E8A" w14:paraId="549CCA36" w14:textId="77777777" w:rsidTr="00D512DE">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498CCCB" w14:textId="77777777" w:rsidR="00FF1433" w:rsidRPr="00EF2E8A" w:rsidRDefault="00FF1433" w:rsidP="00591C83">
            <w:pPr>
              <w:keepNext/>
              <w:keepLines/>
              <w:spacing w:before="0"/>
              <w:rPr>
                <w:rFonts w:ascii="Arial Narrow" w:hAnsi="Arial Narrow" w:cs="Calibri"/>
                <w:sz w:val="20"/>
                <w:lang w:val="en-AU"/>
              </w:rPr>
            </w:pPr>
            <w:r w:rsidRPr="00EF2E8A">
              <w:rPr>
                <w:rFonts w:ascii="Arial Narrow" w:hAnsi="Arial Narrow" w:cs="Calibri"/>
                <w:kern w:val="24"/>
                <w:sz w:val="20"/>
                <w:lang w:val="en-AU"/>
              </w:rPr>
              <w:t>OS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4F55EE4" w14:textId="2CCF11DA"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162 (71.4)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460DD2" w14:textId="77777777" w:rsidR="00FF1433" w:rsidRPr="00EF2E8A" w:rsidRDefault="00FF1433" w:rsidP="00591C83">
            <w:pPr>
              <w:keepNext/>
              <w:keepLines/>
              <w:spacing w:before="0"/>
              <w:jc w:val="center"/>
              <w:rPr>
                <w:rFonts w:ascii="Arial Narrow" w:eastAsia="Times New Roman" w:hAnsi="Arial Narrow"/>
                <w:sz w:val="20"/>
                <w:lang w:val="en-AU"/>
              </w:rPr>
            </w:pPr>
            <w:r w:rsidRPr="00EF2E8A">
              <w:rPr>
                <w:rFonts w:ascii="Arial Narrow" w:hAnsi="Arial Narrow" w:cs="Calibri"/>
                <w:kern w:val="24"/>
                <w:sz w:val="20"/>
                <w:lang w:val="en-AU"/>
              </w:rPr>
              <w:t xml:space="preserve">16.85 </w:t>
            </w:r>
          </w:p>
          <w:p w14:paraId="2E8D0596"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(14.36, 19.78)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31C0C3A"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177 (78.3)</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60E0AE1" w14:textId="77777777" w:rsidR="00FF1433" w:rsidRPr="00EF2E8A" w:rsidRDefault="00FF1433" w:rsidP="00591C83">
            <w:pPr>
              <w:keepNext/>
              <w:keepLines/>
              <w:spacing w:before="0"/>
              <w:jc w:val="center"/>
              <w:rPr>
                <w:rFonts w:ascii="Arial Narrow" w:eastAsia="Times New Roman" w:hAnsi="Arial Narrow"/>
                <w:sz w:val="20"/>
                <w:lang w:val="en-AU"/>
              </w:rPr>
            </w:pPr>
            <w:r w:rsidRPr="00EF2E8A">
              <w:rPr>
                <w:rFonts w:ascii="Arial Narrow" w:hAnsi="Arial Narrow" w:cs="Calibri"/>
                <w:kern w:val="24"/>
                <w:sz w:val="20"/>
                <w:lang w:val="en-AU"/>
              </w:rPr>
              <w:t xml:space="preserve">13.34 </w:t>
            </w:r>
          </w:p>
          <w:p w14:paraId="33C40C51"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(11.37, 15.15)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3194A35"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kern w:val="24"/>
                <w:sz w:val="20"/>
                <w:lang w:val="en-AU"/>
              </w:rPr>
              <w:t>3.51</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7C40915E" w14:textId="77777777" w:rsidR="00FF1433" w:rsidRPr="00EF2E8A" w:rsidRDefault="00FF1433" w:rsidP="00591C83">
            <w:pPr>
              <w:keepNext/>
              <w:keepLines/>
              <w:spacing w:before="0"/>
              <w:jc w:val="center"/>
              <w:rPr>
                <w:rFonts w:ascii="Arial Narrow" w:hAnsi="Arial Narrow" w:cs="Calibri"/>
                <w:b/>
                <w:bCs/>
                <w:sz w:val="20"/>
                <w:lang w:val="en-AU"/>
              </w:rPr>
            </w:pPr>
            <w:r w:rsidRPr="00EF2E8A">
              <w:rPr>
                <w:rFonts w:ascii="Arial Narrow" w:hAnsi="Arial Narrow" w:cs="Calibri"/>
                <w:b/>
                <w:kern w:val="24"/>
                <w:sz w:val="20"/>
                <w:lang w:val="en-AU"/>
              </w:rPr>
              <w:t>0.0004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5415B33E" w14:textId="77777777" w:rsidR="00FF1433" w:rsidRPr="00EF2E8A" w:rsidRDefault="00FF1433" w:rsidP="00591C83">
            <w:pPr>
              <w:keepNext/>
              <w:keepLines/>
              <w:spacing w:before="0"/>
              <w:jc w:val="center"/>
              <w:rPr>
                <w:rFonts w:ascii="Arial Narrow" w:eastAsia="Times New Roman" w:hAnsi="Arial Narrow"/>
                <w:b/>
                <w:sz w:val="20"/>
                <w:lang w:val="en-AU"/>
              </w:rPr>
            </w:pPr>
            <w:r w:rsidRPr="00EF2E8A">
              <w:rPr>
                <w:rFonts w:ascii="Arial Narrow" w:hAnsi="Arial Narrow" w:cs="Calibri"/>
                <w:b/>
                <w:kern w:val="24"/>
                <w:sz w:val="20"/>
                <w:lang w:val="en-AU"/>
              </w:rPr>
              <w:t xml:space="preserve">0.68 </w:t>
            </w:r>
          </w:p>
          <w:p w14:paraId="5F8A3840" w14:textId="77777777" w:rsidR="00FF1433" w:rsidRPr="00EF2E8A" w:rsidRDefault="00FF1433" w:rsidP="00591C83">
            <w:pPr>
              <w:keepNext/>
              <w:keepLines/>
              <w:spacing w:before="0"/>
              <w:jc w:val="center"/>
              <w:rPr>
                <w:rFonts w:ascii="Arial Narrow" w:hAnsi="Arial Narrow" w:cs="Calibri"/>
                <w:b/>
                <w:bCs/>
                <w:sz w:val="20"/>
                <w:lang w:val="en-AU"/>
              </w:rPr>
            </w:pPr>
            <w:r w:rsidRPr="00EF2E8A">
              <w:rPr>
                <w:rFonts w:ascii="Arial Narrow" w:hAnsi="Arial Narrow" w:cs="Calibri"/>
                <w:b/>
                <w:kern w:val="24"/>
                <w:sz w:val="20"/>
                <w:lang w:val="en-AU"/>
              </w:rPr>
              <w:t>(0.543, 0.840)</w:t>
            </w:r>
          </w:p>
        </w:tc>
      </w:tr>
      <w:tr w:rsidR="009258EA" w:rsidRPr="00EF2E8A" w14:paraId="51A83EBF" w14:textId="77777777" w:rsidTr="00D512DE">
        <w:tc>
          <w:tcPr>
            <w:tcW w:w="784" w:type="dxa"/>
          </w:tcPr>
          <w:p w14:paraId="1E066717" w14:textId="77777777" w:rsidR="00FF1433" w:rsidRPr="00EF2E8A" w:rsidRDefault="00FF1433" w:rsidP="00591C83">
            <w:pPr>
              <w:keepNext/>
              <w:keepLines/>
              <w:spacing w:before="0"/>
              <w:rPr>
                <w:rFonts w:ascii="Arial Narrow" w:hAnsi="Arial Narrow" w:cs="Calibri"/>
                <w:sz w:val="20"/>
                <w:lang w:val="en-AU"/>
              </w:rPr>
            </w:pPr>
            <w:r w:rsidRPr="00EF2E8A">
              <w:rPr>
                <w:rFonts w:ascii="Arial Narrow" w:hAnsi="Arial Narrow" w:cs="Calibri"/>
                <w:sz w:val="20"/>
                <w:lang w:val="en-AU"/>
              </w:rPr>
              <w:t>Censored</w:t>
            </w:r>
          </w:p>
        </w:tc>
        <w:tc>
          <w:tcPr>
            <w:tcW w:w="1131" w:type="dxa"/>
          </w:tcPr>
          <w:p w14:paraId="76AD9F4A"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 xml:space="preserve">65 (28.6%) </w:t>
            </w:r>
          </w:p>
        </w:tc>
        <w:tc>
          <w:tcPr>
            <w:tcW w:w="1560" w:type="dxa"/>
          </w:tcPr>
          <w:p w14:paraId="7DC4D416" w14:textId="0DDF6B95"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960" w:type="dxa"/>
          </w:tcPr>
          <w:p w14:paraId="03095A17" w14:textId="77777777" w:rsidR="00FF1433" w:rsidRPr="00EF2E8A" w:rsidRDefault="00FF1433" w:rsidP="00591C83">
            <w:pPr>
              <w:keepNext/>
              <w:keepLines/>
              <w:spacing w:before="0"/>
              <w:jc w:val="center"/>
              <w:rPr>
                <w:rFonts w:ascii="Arial Narrow" w:hAnsi="Arial Narrow" w:cs="Calibri"/>
                <w:sz w:val="20"/>
                <w:lang w:val="en-AU"/>
              </w:rPr>
            </w:pPr>
            <w:r w:rsidRPr="00EF2E8A">
              <w:rPr>
                <w:rFonts w:ascii="Arial Narrow" w:hAnsi="Arial Narrow" w:cs="Calibri"/>
                <w:sz w:val="20"/>
                <w:lang w:val="en-AU"/>
              </w:rPr>
              <w:t>49 (21.7%)</w:t>
            </w:r>
          </w:p>
        </w:tc>
        <w:tc>
          <w:tcPr>
            <w:tcW w:w="2040" w:type="dxa"/>
          </w:tcPr>
          <w:p w14:paraId="18D1CED8" w14:textId="0B436E9F"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900" w:type="dxa"/>
          </w:tcPr>
          <w:p w14:paraId="43F8E793" w14:textId="4DF61D21"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839" w:type="dxa"/>
          </w:tcPr>
          <w:p w14:paraId="3ED8B83C" w14:textId="5744517E"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c>
          <w:tcPr>
            <w:tcW w:w="802" w:type="dxa"/>
          </w:tcPr>
          <w:p w14:paraId="1B20BABA" w14:textId="5009C3B7" w:rsidR="00FF1433" w:rsidRPr="00EF2E8A" w:rsidRDefault="00A46D2B" w:rsidP="00591C83">
            <w:pPr>
              <w:keepNext/>
              <w:keepLines/>
              <w:spacing w:before="0"/>
              <w:jc w:val="center"/>
              <w:rPr>
                <w:rFonts w:ascii="Arial Narrow" w:hAnsi="Arial Narrow" w:cs="Calibri"/>
                <w:sz w:val="20"/>
                <w:lang w:val="en-AU"/>
              </w:rPr>
            </w:pPr>
            <w:r>
              <w:rPr>
                <w:rFonts w:ascii="Arial Narrow" w:hAnsi="Arial Narrow" w:cs="Calibri"/>
                <w:sz w:val="20"/>
                <w:lang w:val="en-AU"/>
              </w:rPr>
              <w:noBreakHyphen/>
            </w:r>
            <w:r>
              <w:rPr>
                <w:rFonts w:ascii="Arial Narrow" w:hAnsi="Arial Narrow" w:cs="Calibri"/>
                <w:sz w:val="20"/>
                <w:lang w:val="en-AU"/>
              </w:rPr>
              <w:noBreakHyphen/>
            </w:r>
          </w:p>
        </w:tc>
      </w:tr>
    </w:tbl>
    <w:p w14:paraId="3E7C02AC" w14:textId="0023BD69" w:rsidR="00FF1433" w:rsidRPr="00EF2E8A" w:rsidRDefault="00FF1433" w:rsidP="00591C83">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Table 2.5 5 Results of Secondary Outcomes (ITT): OS, p68 of the submission; Table 2.5 6 Results of Secondary Outcomes (ITT): OS (September 2024 data cut), p70 of the submission; Table 23, p115</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16 MIRASOL CSR March 2023; Table 23, p117 MIRASOL CSR Sept 2024.</w:t>
      </w:r>
    </w:p>
    <w:p w14:paraId="367F5FCB" w14:textId="77777777" w:rsidR="00FF1433" w:rsidRPr="00EF2E8A" w:rsidRDefault="00FF1433" w:rsidP="00591C83">
      <w:pPr>
        <w:keepNext/>
        <w:keepLines/>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CI= confidence interval; CSR: clinical study report; HR= hazard ratio; ICC= investigator’s choice of chemotherapy; ITT: intention to treat analysis; MIRV: mirvetuximab soravtansine; mo: months; PD: progressive disease; PFS= progression free survival; OS: overall survival. </w:t>
      </w:r>
    </w:p>
    <w:p w14:paraId="4F8ACA62"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Values in </w:t>
      </w:r>
      <w:r w:rsidRPr="00EF2E8A">
        <w:rPr>
          <w:rFonts w:ascii="Arial Narrow" w:eastAsia="Times New Roman" w:hAnsi="Arial Narrow" w:cs="Arial"/>
          <w:b/>
          <w:bCs/>
          <w:snapToGrid w:val="0"/>
          <w:sz w:val="18"/>
          <w:lang w:eastAsia="en-AU"/>
        </w:rPr>
        <w:t>bold</w:t>
      </w:r>
      <w:r w:rsidRPr="00EF2E8A">
        <w:rPr>
          <w:rFonts w:ascii="Arial Narrow" w:eastAsia="Times New Roman" w:hAnsi="Arial Narrow" w:cs="Arial"/>
          <w:snapToGrid w:val="0"/>
          <w:sz w:val="18"/>
          <w:lang w:eastAsia="en-AU"/>
        </w:rPr>
        <w:t xml:space="preserve"> were statistically significant. </w:t>
      </w:r>
    </w:p>
    <w:p w14:paraId="5FDBBCF4" w14:textId="2BF07B71" w:rsidR="0024789E" w:rsidRDefault="0024789E" w:rsidP="00591C83">
      <w:pPr>
        <w:pStyle w:val="Caption"/>
      </w:pPr>
      <w:bookmarkStart w:id="44" w:name="_Ref205198056"/>
      <w:r>
        <w:lastRenderedPageBreak/>
        <w:t xml:space="preserve">Figure </w:t>
      </w:r>
      <w:r w:rsidR="00CC5CAD">
        <w:fldChar w:fldCharType="begin" w:fldLock="1"/>
      </w:r>
      <w:r w:rsidR="00CC5CAD">
        <w:instrText xml:space="preserve"> SEQ Figure \* ARABIC </w:instrText>
      </w:r>
      <w:r w:rsidR="00CC5CAD">
        <w:fldChar w:fldCharType="separate"/>
      </w:r>
      <w:r w:rsidR="00CC5CAD">
        <w:rPr>
          <w:noProof/>
        </w:rPr>
        <w:t>4</w:t>
      </w:r>
      <w:r w:rsidR="00CC5CAD">
        <w:rPr>
          <w:noProof/>
        </w:rPr>
        <w:fldChar w:fldCharType="end"/>
      </w:r>
      <w:bookmarkEnd w:id="44"/>
      <w:r>
        <w:t xml:space="preserve">: </w:t>
      </w:r>
      <w:r w:rsidRPr="00EA69CD">
        <w:t>Kaplan</w:t>
      </w:r>
      <w:r w:rsidR="00A46D2B">
        <w:noBreakHyphen/>
      </w:r>
      <w:r w:rsidRPr="00EA69CD">
        <w:t>Meier Plot of OS – ITT Population (September 2024 cutoff)</w:t>
      </w:r>
    </w:p>
    <w:tbl>
      <w:tblPr>
        <w:tblStyle w:val="TableGrid"/>
        <w:tblW w:w="0" w:type="auto"/>
        <w:tblLook w:val="04A0" w:firstRow="1" w:lastRow="0" w:firstColumn="1" w:lastColumn="0" w:noHBand="0" w:noVBand="1"/>
      </w:tblPr>
      <w:tblGrid>
        <w:gridCol w:w="9016"/>
      </w:tblGrid>
      <w:tr w:rsidR="00C564DB" w:rsidRPr="00EF2E8A" w14:paraId="2F006820" w14:textId="77777777">
        <w:trPr>
          <w:cnfStyle w:val="100000000000" w:firstRow="1" w:lastRow="0" w:firstColumn="0" w:lastColumn="0" w:oddVBand="0" w:evenVBand="0" w:oddHBand="0" w:evenHBand="0" w:firstRowFirstColumn="0" w:firstRowLastColumn="0" w:lastRowFirstColumn="0" w:lastRowLastColumn="0"/>
        </w:trPr>
        <w:tc>
          <w:tcPr>
            <w:tcW w:w="9016" w:type="dxa"/>
          </w:tcPr>
          <w:p w14:paraId="7459AAF5" w14:textId="77777777" w:rsidR="00A63A9A" w:rsidRPr="00EF2E8A" w:rsidRDefault="00A63A9A" w:rsidP="00591C83">
            <w:pPr>
              <w:pStyle w:val="tablefootnote"/>
              <w:spacing w:before="0" w:after="0" w:line="240" w:lineRule="auto"/>
              <w:rPr>
                <w:lang w:val="en-AU"/>
              </w:rPr>
            </w:pPr>
            <w:r w:rsidRPr="00EF2E8A">
              <w:rPr>
                <w:noProof/>
                <w:lang w:val="en-AU"/>
              </w:rPr>
              <w:drawing>
                <wp:inline distT="0" distB="0" distL="0" distR="0" wp14:anchorId="00DEFD4D" wp14:editId="1913BB7F">
                  <wp:extent cx="5187315" cy="3026414"/>
                  <wp:effectExtent l="0" t="0" r="0" b="2540"/>
                  <wp:docPr id="1459203948" name="Picture 1" descr="Figure 4: Kaplan Meier Plot of OS – ITT Population (September 2024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03948" name="Picture 1" descr="Figure 4: Kaplan Meier Plot of OS – ITT Population (September 2024 cutoff)"/>
                          <pic:cNvPicPr/>
                        </pic:nvPicPr>
                        <pic:blipFill>
                          <a:blip r:embed="rId13"/>
                          <a:stretch>
                            <a:fillRect/>
                          </a:stretch>
                        </pic:blipFill>
                        <pic:spPr>
                          <a:xfrm>
                            <a:off x="0" y="0"/>
                            <a:ext cx="5233379" cy="3053289"/>
                          </a:xfrm>
                          <a:prstGeom prst="rect">
                            <a:avLst/>
                          </a:prstGeom>
                        </pic:spPr>
                      </pic:pic>
                    </a:graphicData>
                  </a:graphic>
                </wp:inline>
              </w:drawing>
            </w:r>
          </w:p>
        </w:tc>
      </w:tr>
    </w:tbl>
    <w:p w14:paraId="3DA7557D" w14:textId="305708D8" w:rsidR="00A63A9A" w:rsidRPr="00EF2E8A" w:rsidRDefault="00A63A9A" w:rsidP="00591C83">
      <w:pPr>
        <w:pStyle w:val="TableFigureFooter"/>
      </w:pPr>
      <w:r w:rsidRPr="00EF2E8A">
        <w:t>Source: Figure 2.5 3 Kaplan</w:t>
      </w:r>
      <w:r w:rsidR="00A46D2B">
        <w:noBreakHyphen/>
      </w:r>
      <w:r w:rsidRPr="00EF2E8A">
        <w:t>Meier Plot for Overall Survival – ITT Population, p68 of the submission; Figure 6: Kaplan</w:t>
      </w:r>
      <w:r w:rsidR="00A46D2B">
        <w:noBreakHyphen/>
      </w:r>
      <w:r w:rsidRPr="00EF2E8A">
        <w:t xml:space="preserve">Meier Plot for Overall Survival – ITT Population, p118 MIRASOL CSR Sept 2024. </w:t>
      </w:r>
    </w:p>
    <w:p w14:paraId="57876949" w14:textId="77777777" w:rsidR="00A63A9A" w:rsidRPr="00EF2E8A" w:rsidRDefault="00A63A9A" w:rsidP="00591C83">
      <w:pPr>
        <w:pStyle w:val="TableFigureFooter"/>
      </w:pPr>
      <w:r w:rsidRPr="00EF2E8A">
        <w:t xml:space="preserve">CSR= clinical study report; IC= investigator’s choice; ITT= intention to treat analysis; OS= overall survival. </w:t>
      </w:r>
    </w:p>
    <w:p w14:paraId="6004404D" w14:textId="77777777" w:rsidR="00A63A9A" w:rsidRPr="00EF2E8A" w:rsidRDefault="00A63A9A" w:rsidP="00591C83">
      <w:pPr>
        <w:tabs>
          <w:tab w:val="left" w:pos="284"/>
        </w:tabs>
        <w:spacing w:before="0" w:after="0"/>
        <w:jc w:val="left"/>
        <w:rPr>
          <w:rFonts w:ascii="Arial Narrow" w:eastAsia="Times New Roman" w:hAnsi="Arial Narrow" w:cs="Arial"/>
          <w:snapToGrid w:val="0"/>
          <w:sz w:val="18"/>
          <w:lang w:eastAsia="en-AU"/>
        </w:rPr>
      </w:pPr>
    </w:p>
    <w:p w14:paraId="7AA7BCE9" w14:textId="730BCD66" w:rsidR="00FF1433" w:rsidRPr="00EF2E8A" w:rsidRDefault="00FF1433" w:rsidP="00591C83">
      <w:pPr>
        <w:pStyle w:val="ListParagraph"/>
      </w:pPr>
      <w:r w:rsidRPr="00EF2E8A">
        <w:t xml:space="preserve">MIRASOL patients treated with MIRV achieved a statistically significant improvement in OS compared with ICC (HR 0.67, 95% CI: 0.504, 0.885). </w:t>
      </w:r>
      <w:r w:rsidR="00CB0CFF" w:rsidRPr="00EF2E8A">
        <w:t xml:space="preserve">Although the trial focused on PFS </w:t>
      </w:r>
      <w:r w:rsidR="00A04A09" w:rsidRPr="00EF2E8A">
        <w:t>(</w:t>
      </w:r>
      <w:r w:rsidR="00CB0CFF" w:rsidRPr="00EF2E8A">
        <w:t>as the primary outcome</w:t>
      </w:r>
      <w:r w:rsidR="00A04A09" w:rsidRPr="00EF2E8A">
        <w:t>)</w:t>
      </w:r>
      <w:r w:rsidR="00CB0CFF" w:rsidRPr="00EF2E8A">
        <w:t xml:space="preserve">, </w:t>
      </w:r>
      <w:r w:rsidR="003459E1" w:rsidRPr="00EF2E8A">
        <w:t>the</w:t>
      </w:r>
      <w:r w:rsidRPr="00EF2E8A">
        <w:t xml:space="preserve"> MIRASOL result for OS was a more </w:t>
      </w:r>
      <w:r w:rsidR="00A632C7" w:rsidRPr="00EF2E8A">
        <w:t xml:space="preserve">objective </w:t>
      </w:r>
      <w:r w:rsidRPr="00EF2E8A">
        <w:t xml:space="preserve">outcome than the PFS surrogate, particularly for an open label study and noting the issues discussed above regarding the PFS analyses. </w:t>
      </w:r>
    </w:p>
    <w:p w14:paraId="7CE24F43" w14:textId="59A6BB53" w:rsidR="00483320" w:rsidRPr="00EF2E8A" w:rsidRDefault="00F35C7E" w:rsidP="00591C83">
      <w:pPr>
        <w:pStyle w:val="ListParagraph"/>
      </w:pPr>
      <w:r w:rsidRPr="00EF2E8A">
        <w:t xml:space="preserve">Based on data from the March 2023 data cutoff, </w:t>
      </w:r>
      <w:r w:rsidR="009B1240" w:rsidRPr="00EF2E8A">
        <w:t xml:space="preserve">96 (42.3%) patients achieved an objective </w:t>
      </w:r>
      <w:r w:rsidR="006D0B3F" w:rsidRPr="00EF2E8A">
        <w:t xml:space="preserve">(complete or partial) </w:t>
      </w:r>
      <w:r w:rsidR="009B1240" w:rsidRPr="00EF2E8A">
        <w:t>response (ORR) in the MIRV arm compared to 36 (15.9%) patients in the ICC arm, a</w:t>
      </w:r>
      <w:r w:rsidR="006D0B3F" w:rsidRPr="00EF2E8A">
        <w:t>n absolute</w:t>
      </w:r>
      <w:r w:rsidR="009B1240" w:rsidRPr="00EF2E8A">
        <w:t xml:space="preserve"> difference </w:t>
      </w:r>
      <w:r w:rsidR="006D0B3F" w:rsidRPr="00EF2E8A">
        <w:t xml:space="preserve">of </w:t>
      </w:r>
      <w:r w:rsidR="009B1240" w:rsidRPr="00EF2E8A">
        <w:t xml:space="preserve">26.4% (95% CI: 18.4, 34.4). </w:t>
      </w:r>
      <w:r w:rsidR="00C21726" w:rsidRPr="00EF2E8A">
        <w:t xml:space="preserve">Complete response was achieved by </w:t>
      </w:r>
      <w:r w:rsidR="009B1240" w:rsidRPr="00EF2E8A">
        <w:t>12 (5.3%) patients in the MIRV arm and no patients in the ICC arm. In the MIRV arm, 84 (37.0%) patients achieved partial response compared to 36 (15.9%) patients in the ICC arm. Overall, the key secondary efficacy endpoint of ORR was met (p&lt;0.0001). The ORR results from the September 2024 data cutoff aligned with the results from the March 2023 data</w:t>
      </w:r>
      <w:r w:rsidR="00A46D2B">
        <w:noBreakHyphen/>
      </w:r>
      <w:r w:rsidR="009B1240" w:rsidRPr="00EF2E8A">
        <w:t>cut.</w:t>
      </w:r>
    </w:p>
    <w:p w14:paraId="526E1A69" w14:textId="757AC897" w:rsidR="003F033F" w:rsidRPr="00EF2E8A" w:rsidRDefault="00BC268D" w:rsidP="00591C83">
      <w:pPr>
        <w:pStyle w:val="ListParagraph"/>
      </w:pPr>
      <w:r w:rsidRPr="00EF2E8A">
        <w:t xml:space="preserve">Subgroup analyses reported in MIRASOL indicated that </w:t>
      </w:r>
      <w:r w:rsidR="0093212F" w:rsidRPr="00EF2E8A">
        <w:t xml:space="preserve">PFS results from </w:t>
      </w:r>
      <w:r w:rsidR="00591C83">
        <w:br/>
      </w:r>
      <w:r w:rsidR="0093212F" w:rsidRPr="00EF2E8A">
        <w:t>BEVA</w:t>
      </w:r>
      <w:r w:rsidR="00A46D2B">
        <w:noBreakHyphen/>
      </w:r>
      <w:r w:rsidR="0093212F" w:rsidRPr="00EF2E8A">
        <w:t>pretreated and BEVA</w:t>
      </w:r>
      <w:r w:rsidR="00A46D2B">
        <w:noBreakHyphen/>
      </w:r>
      <w:r w:rsidR="0093212F" w:rsidRPr="00EF2E8A">
        <w:t xml:space="preserve">naïve subgroups showed a consistent benefit with MIRV in patients with PROC with HRs of 0.64 (p=0.021) and 0.67 (p=0.0184), respectively. </w:t>
      </w:r>
      <w:r w:rsidR="0095717B" w:rsidRPr="00EF2E8A">
        <w:t>For o</w:t>
      </w:r>
      <w:r w:rsidR="0093212F" w:rsidRPr="00EF2E8A">
        <w:t>ther subgroup</w:t>
      </w:r>
      <w:r w:rsidR="0095717B" w:rsidRPr="00EF2E8A">
        <w:t xml:space="preserve"> analyses,</w:t>
      </w:r>
      <w:r w:rsidR="0093212F" w:rsidRPr="00EF2E8A">
        <w:t xml:space="preserve"> including prior exposure to BEVA, PARP inhibitors and number of prior lines (1, 2, or 3 lines) of therapy</w:t>
      </w:r>
      <w:r w:rsidR="0095717B" w:rsidRPr="00EF2E8A">
        <w:t>,</w:t>
      </w:r>
      <w:r w:rsidR="0093212F" w:rsidRPr="00EF2E8A">
        <w:t xml:space="preserve"> </w:t>
      </w:r>
      <w:r w:rsidR="0095717B" w:rsidRPr="00EF2E8A">
        <w:t xml:space="preserve">benefits </w:t>
      </w:r>
      <w:r w:rsidR="0093212F" w:rsidRPr="00EF2E8A">
        <w:t xml:space="preserve">were observed for MIRV versus ICC. </w:t>
      </w:r>
      <w:r w:rsidR="005541E9" w:rsidRPr="00EF2E8A">
        <w:t xml:space="preserve">For OS, </w:t>
      </w:r>
      <w:r w:rsidR="0095717B" w:rsidRPr="00EF2E8A">
        <w:t xml:space="preserve">there was </w:t>
      </w:r>
      <w:r w:rsidR="005541E9" w:rsidRPr="00EF2E8A">
        <w:t>a consistent trend for benefit of MIRV over ICC across subpopulation analyses, including prior exposure to BEV, PARP inhibitors, and the number of prior lines of therapy. However,</w:t>
      </w:r>
      <w:r w:rsidR="001C3154" w:rsidRPr="00EF2E8A">
        <w:t xml:space="preserve"> </w:t>
      </w:r>
      <w:r w:rsidR="005541E9" w:rsidRPr="00EF2E8A">
        <w:t xml:space="preserve">patients in the primary </w:t>
      </w:r>
      <w:r w:rsidR="005B4BFF">
        <w:t>progression</w:t>
      </w:r>
      <w:r w:rsidR="00A46D2B">
        <w:noBreakHyphen/>
      </w:r>
      <w:r w:rsidR="005B4BFF">
        <w:t>free interval (PFI)</w:t>
      </w:r>
      <w:r w:rsidR="005541E9" w:rsidRPr="00EF2E8A">
        <w:t xml:space="preserve"> &gt; 6 months </w:t>
      </w:r>
      <w:r w:rsidR="00FD245E" w:rsidRPr="00EF2E8A">
        <w:t xml:space="preserve">subgroup </w:t>
      </w:r>
      <w:r w:rsidR="005541E9" w:rsidRPr="00EF2E8A">
        <w:t xml:space="preserve">appear to achieve better OS outcomes (HR 0.54; 95% CI 0.415, 0.707) compared to those with primary PFI ≤6 months (HR 1.07; </w:t>
      </w:r>
      <w:r w:rsidR="00591C83">
        <w:br/>
      </w:r>
      <w:r w:rsidR="005541E9" w:rsidRPr="00EF2E8A">
        <w:t>95% CI 0.735, 1.562).</w:t>
      </w:r>
    </w:p>
    <w:p w14:paraId="10071E20" w14:textId="4CCFBEBB" w:rsidR="00FF1433" w:rsidRPr="00EF2E8A" w:rsidRDefault="00FF1433" w:rsidP="00591C83">
      <w:pPr>
        <w:pStyle w:val="ListParagraph"/>
      </w:pPr>
      <w:r w:rsidRPr="00EF2E8A">
        <w:lastRenderedPageBreak/>
        <w:t>The submission reported MIRASOL quality of life (QoL) outcomes for European Organization for Research and Treatment of Cancer Quality of Life Questionnaire–Ovarian Cancer Module (EORTC QLQ</w:t>
      </w:r>
      <w:r w:rsidR="00A46D2B">
        <w:noBreakHyphen/>
      </w:r>
      <w:r w:rsidRPr="00EF2E8A">
        <w:t xml:space="preserve">OV28) (abdominal/gastrointestinal [GI] scores), four subscales of </w:t>
      </w:r>
      <w:r w:rsidR="002C5D48">
        <w:t xml:space="preserve">the </w:t>
      </w:r>
      <w:r w:rsidRPr="00EF2E8A">
        <w:t>EORTC QLQ</w:t>
      </w:r>
      <w:r w:rsidR="00A46D2B">
        <w:noBreakHyphen/>
      </w:r>
      <w:r w:rsidRPr="00EF2E8A">
        <w:t>C30 instrument</w:t>
      </w:r>
      <w:r w:rsidR="00977869">
        <w:t>:</w:t>
      </w:r>
      <w:r w:rsidRPr="00EF2E8A">
        <w:t xml:space="preserve"> Global Health Status/Quality of Life [GHS/QoL], Physical Functioning [PF], Role Functioning [RF], and Fatigue Symptoms [FA])</w:t>
      </w:r>
      <w:r w:rsidR="00F11F91">
        <w:t>;</w:t>
      </w:r>
      <w:r w:rsidRPr="00EF2E8A">
        <w:t xml:space="preserve"> and EuroQol 5 Dimensions, 5 Levels (EQ</w:t>
      </w:r>
      <w:r w:rsidR="00A46D2B">
        <w:noBreakHyphen/>
      </w:r>
      <w:r w:rsidRPr="00EF2E8A">
        <w:t>5D</w:t>
      </w:r>
      <w:r w:rsidR="00A46D2B">
        <w:noBreakHyphen/>
      </w:r>
      <w:r w:rsidRPr="00EF2E8A">
        <w:t xml:space="preserve">5L) visual analogue scale (VAS) scores. </w:t>
      </w:r>
      <w:r w:rsidRPr="00EF2E8A" w:rsidDel="001621B8">
        <w:t>C</w:t>
      </w:r>
      <w:r w:rsidRPr="00EF2E8A">
        <w:t>ompletion rates at baseline were between 78%</w:t>
      </w:r>
      <w:r w:rsidR="00B21C7C" w:rsidRPr="00EF2E8A">
        <w:t xml:space="preserve"> and </w:t>
      </w:r>
      <w:r w:rsidRPr="00EF2E8A">
        <w:t>85% of participants and had decreased to approximately 28% in the MIRV arm and 17% in the ICC arm at week 24.</w:t>
      </w:r>
    </w:p>
    <w:p w14:paraId="7C1B5F41" w14:textId="1BCC5656" w:rsidR="00FF1433" w:rsidRPr="00EF2E8A" w:rsidRDefault="00FF1433" w:rsidP="00591C83">
      <w:pPr>
        <w:pStyle w:val="ListParagraph"/>
      </w:pPr>
      <w:bookmarkStart w:id="45" w:name="_Ref201217940"/>
      <w:r w:rsidRPr="00EF2E8A">
        <w:t>The primary responder analysis for EORTC QLQ</w:t>
      </w:r>
      <w:r w:rsidR="00A46D2B">
        <w:noBreakHyphen/>
      </w:r>
      <w:r w:rsidRPr="00EF2E8A">
        <w:t>OV28 (abdominal/GI scores) at Week 8/9 showed that more MIRV patients (21%) met the improvement threshold (change from baseline of at least 16.67 points compared with ICC patients (15%). Three of the four EORTC QLQ</w:t>
      </w:r>
      <w:r w:rsidR="00A46D2B">
        <w:noBreakHyphen/>
      </w:r>
      <w:r w:rsidRPr="00EF2E8A">
        <w:t>C30 subscales showed statistically differences for the percentage of improved patients for MIRV versus ICC participants at Week 8/9 (</w:t>
      </w:r>
      <w:r w:rsidRPr="00EF2E8A">
        <w:rPr>
          <w:rFonts w:eastAsia="Times New Roman" w:cs="Calibri"/>
          <w:lang w:eastAsia="en-CA"/>
        </w:rPr>
        <w:t>GHS/QoL 22.9% vs 10.4% [p=0.0023]; FA 14.3% vs 4.6% [p=0.0386]; RF 10.1% vs 3.9% [p=0.0038], respectively</w:t>
      </w:r>
      <w:r w:rsidRPr="00EF2E8A">
        <w:t>). Results for the PF subscale showed no difference. For EQ</w:t>
      </w:r>
      <w:r w:rsidR="00A46D2B">
        <w:noBreakHyphen/>
      </w:r>
      <w:r w:rsidRPr="00EF2E8A">
        <w:t>5D</w:t>
      </w:r>
      <w:r w:rsidR="00A46D2B">
        <w:noBreakHyphen/>
      </w:r>
      <w:r w:rsidRPr="00EF2E8A">
        <w:t xml:space="preserve">5L VAS score at </w:t>
      </w:r>
      <w:r w:rsidRPr="00EF2E8A">
        <w:rPr>
          <w:szCs w:val="24"/>
        </w:rPr>
        <w:t xml:space="preserve">Week 8/9, results favoured MIRV, showing a statistically significant difference in mean change from baseline of 6.9 (95% CI: [3.6, 10.1]; p&lt;0.0001). </w:t>
      </w:r>
      <w:r w:rsidRPr="00EF2E8A" w:rsidDel="008A5B91">
        <w:rPr>
          <w:szCs w:val="24"/>
        </w:rPr>
        <w:t>A</w:t>
      </w:r>
      <w:r w:rsidRPr="00EF2E8A">
        <w:rPr>
          <w:szCs w:val="24"/>
        </w:rPr>
        <w:t xml:space="preserve">lthough the QoL results tended to favour MIRV, some of the results were only evident </w:t>
      </w:r>
      <w:r w:rsidR="005D6BF7" w:rsidRPr="00EF2E8A">
        <w:rPr>
          <w:szCs w:val="24"/>
        </w:rPr>
        <w:t>in the analysis of only patients completing the week 8/9 survey</w:t>
      </w:r>
      <w:r w:rsidRPr="00EF2E8A">
        <w:rPr>
          <w:szCs w:val="24"/>
        </w:rPr>
        <w:t xml:space="preserve">, </w:t>
      </w:r>
      <w:r w:rsidR="00BB1129" w:rsidRPr="00EF2E8A">
        <w:rPr>
          <w:szCs w:val="24"/>
        </w:rPr>
        <w:t xml:space="preserve">who </w:t>
      </w:r>
      <w:r w:rsidR="000C0987" w:rsidRPr="00EF2E8A">
        <w:rPr>
          <w:szCs w:val="24"/>
        </w:rPr>
        <w:t>may not be</w:t>
      </w:r>
      <w:r w:rsidRPr="00EF2E8A">
        <w:rPr>
          <w:szCs w:val="24"/>
        </w:rPr>
        <w:t xml:space="preserve"> representative of the whole trial population based on the reducing</w:t>
      </w:r>
      <w:r w:rsidR="00363B8F" w:rsidRPr="00EF2E8A">
        <w:rPr>
          <w:szCs w:val="24"/>
        </w:rPr>
        <w:t>,</w:t>
      </w:r>
      <w:r w:rsidRPr="00EF2E8A">
        <w:rPr>
          <w:szCs w:val="24"/>
        </w:rPr>
        <w:t xml:space="preserve"> low completion rates throughout the trial.</w:t>
      </w:r>
      <w:r w:rsidR="00BA0B16" w:rsidRPr="00EF2E8A">
        <w:rPr>
          <w:szCs w:val="24"/>
        </w:rPr>
        <w:t xml:space="preserve"> For EORTC QLQ</w:t>
      </w:r>
      <w:r w:rsidR="00A46D2B">
        <w:rPr>
          <w:szCs w:val="24"/>
        </w:rPr>
        <w:noBreakHyphen/>
      </w:r>
      <w:r w:rsidR="00BA0B16" w:rsidRPr="00EF2E8A">
        <w:rPr>
          <w:szCs w:val="24"/>
        </w:rPr>
        <w:t xml:space="preserve">OV28 (abdominal/GI scores), completion rates at Week 8/9 were </w:t>
      </w:r>
      <w:r w:rsidR="00A718CF" w:rsidRPr="00EF2E8A">
        <w:rPr>
          <w:szCs w:val="24"/>
        </w:rPr>
        <w:t>68.7% in the MIRV arm and 58.8% for ICC.</w:t>
      </w:r>
      <w:bookmarkEnd w:id="45"/>
    </w:p>
    <w:p w14:paraId="14C30024" w14:textId="72AB5F5C" w:rsidR="00FF1433" w:rsidRPr="00EF2E8A" w:rsidRDefault="00FF1433" w:rsidP="00591C83">
      <w:pPr>
        <w:keepNext/>
        <w:rPr>
          <w:b/>
          <w:bCs/>
          <w:sz w:val="22"/>
          <w:szCs w:val="20"/>
        </w:rPr>
      </w:pPr>
      <w:r w:rsidRPr="00EF2E8A">
        <w:rPr>
          <w:b/>
          <w:bCs/>
          <w:sz w:val="22"/>
          <w:szCs w:val="20"/>
        </w:rPr>
        <w:t>FORWARD</w:t>
      </w:r>
      <w:r w:rsidR="00A46D2B">
        <w:rPr>
          <w:b/>
          <w:bCs/>
          <w:sz w:val="22"/>
          <w:szCs w:val="20"/>
        </w:rPr>
        <w:noBreakHyphen/>
      </w:r>
      <w:r w:rsidRPr="00EF2E8A">
        <w:rPr>
          <w:b/>
          <w:bCs/>
          <w:sz w:val="22"/>
          <w:szCs w:val="20"/>
        </w:rPr>
        <w:t>I</w:t>
      </w:r>
    </w:p>
    <w:p w14:paraId="2951F299" w14:textId="5C49A92A" w:rsidR="00FF1433" w:rsidRPr="00EF2E8A" w:rsidRDefault="00FF1433" w:rsidP="00591C83">
      <w:pPr>
        <w:pStyle w:val="ListParagraph"/>
      </w:pPr>
      <w:r w:rsidRPr="00EF2E8A">
        <w:t>The FORWARD</w:t>
      </w:r>
      <w:r w:rsidR="00A46D2B">
        <w:noBreakHyphen/>
      </w:r>
      <w:r w:rsidRPr="00EF2E8A">
        <w:t>I trial employed a different definition of FR</w:t>
      </w:r>
      <w:r w:rsidRPr="00EF2E8A">
        <w:rPr>
          <w:rFonts w:cstheme="minorHAnsi"/>
        </w:rPr>
        <w:t>α</w:t>
      </w:r>
      <w:r w:rsidRPr="00EF2E8A">
        <w:t xml:space="preserve"> expression test positivity than used for MIRASOL (and proposed for the PBS restriction) however, the trial supports clinical utility of the biomarker, in that it shows the rationale behind the choice of cutoff for the eligible patient population and offers a subgroup that represents a biomarker negative population.</w:t>
      </w:r>
    </w:p>
    <w:p w14:paraId="47D4A954" w14:textId="49889F6F" w:rsidR="00FF1433" w:rsidRPr="00EF2E8A" w:rsidRDefault="00FF1433" w:rsidP="00591C83">
      <w:pPr>
        <w:pStyle w:val="ListParagraph"/>
      </w:pPr>
      <w:r w:rsidRPr="00EF2E8A">
        <w:t>The sponsor explored the FORWARD</w:t>
      </w:r>
      <w:r w:rsidR="00A46D2B">
        <w:noBreakHyphen/>
      </w:r>
      <w:r w:rsidRPr="00EF2E8A">
        <w:t>I data by re</w:t>
      </w:r>
      <w:r w:rsidR="00A46D2B">
        <w:noBreakHyphen/>
      </w:r>
      <w:r w:rsidRPr="00EF2E8A">
        <w:t>scoring the tissue samples used to determine FR</w:t>
      </w:r>
      <w:r w:rsidRPr="00EF2E8A">
        <w:rPr>
          <w:rFonts w:cstheme="minorHAnsi"/>
        </w:rPr>
        <w:t>α</w:t>
      </w:r>
      <w:r w:rsidRPr="00EF2E8A">
        <w:t xml:space="preserve"> expression status in the trial using the PS2+ method and compared them to the simplified 10X method used as the basis for the trial (</w:t>
      </w:r>
      <w:r w:rsidR="0024789E">
        <w:fldChar w:fldCharType="begin" w:fldLock="1"/>
      </w:r>
      <w:r w:rsidR="0024789E">
        <w:instrText xml:space="preserve"> REF _Ref205198109 \h </w:instrText>
      </w:r>
      <w:r w:rsidR="0024789E">
        <w:fldChar w:fldCharType="separate"/>
      </w:r>
      <w:r w:rsidR="00CC5CAD">
        <w:t xml:space="preserve">Table </w:t>
      </w:r>
      <w:r w:rsidR="00CC5CAD">
        <w:rPr>
          <w:noProof/>
        </w:rPr>
        <w:t>10</w:t>
      </w:r>
      <w:r w:rsidR="0024789E">
        <w:fldChar w:fldCharType="end"/>
      </w:r>
      <w:r w:rsidRPr="00EF2E8A">
        <w:t>).</w:t>
      </w:r>
    </w:p>
    <w:p w14:paraId="2947AF8A" w14:textId="2107A7D9" w:rsidR="0024789E" w:rsidRDefault="0024789E" w:rsidP="00591C83">
      <w:pPr>
        <w:pStyle w:val="Caption"/>
      </w:pPr>
      <w:bookmarkStart w:id="46" w:name="_Ref205198109"/>
      <w:r>
        <w:t xml:space="preserve">Table </w:t>
      </w:r>
      <w:r w:rsidR="00CC5CAD">
        <w:fldChar w:fldCharType="begin" w:fldLock="1"/>
      </w:r>
      <w:r w:rsidR="00CC5CAD">
        <w:instrText xml:space="preserve"> SEQ Table \* ARABIC </w:instrText>
      </w:r>
      <w:r w:rsidR="00CC5CAD">
        <w:fldChar w:fldCharType="separate"/>
      </w:r>
      <w:r w:rsidR="00CC5CAD">
        <w:rPr>
          <w:noProof/>
        </w:rPr>
        <w:t>10</w:t>
      </w:r>
      <w:r w:rsidR="00CC5CAD">
        <w:rPr>
          <w:noProof/>
        </w:rPr>
        <w:fldChar w:fldCharType="end"/>
      </w:r>
      <w:bookmarkEnd w:id="46"/>
      <w:r>
        <w:t xml:space="preserve">: </w:t>
      </w:r>
      <w:r w:rsidRPr="00F562E4">
        <w:t>Results of re</w:t>
      </w:r>
      <w:r w:rsidR="00A46D2B">
        <w:noBreakHyphen/>
      </w:r>
      <w:r w:rsidRPr="00F562E4">
        <w:t>scoring FORWARD</w:t>
      </w:r>
      <w:r w:rsidR="00A46D2B">
        <w:noBreakHyphen/>
      </w:r>
      <w:r w:rsidRPr="00F562E4">
        <w:t>I patients FRα expression levels (N=332)</w:t>
      </w:r>
      <w:r>
        <w:t xml:space="preserve"> </w:t>
      </w:r>
      <w:r w:rsidRPr="0024789E">
        <w:rPr>
          <w:vertAlign w:val="superscript"/>
        </w:rPr>
        <w:t>a</w:t>
      </w:r>
    </w:p>
    <w:tbl>
      <w:tblPr>
        <w:tblStyle w:val="ACE"/>
        <w:tblW w:w="5000" w:type="pct"/>
        <w:tblCellMar>
          <w:left w:w="28" w:type="dxa"/>
          <w:right w:w="28" w:type="dxa"/>
        </w:tblCellMar>
        <w:tblLook w:val="04A0" w:firstRow="1" w:lastRow="0" w:firstColumn="1" w:lastColumn="0" w:noHBand="0" w:noVBand="1"/>
        <w:tblCaption w:val="Table 10: Results of re scoring FORWARD I patients FRα expression levels (N=332)"/>
      </w:tblPr>
      <w:tblGrid>
        <w:gridCol w:w="1838"/>
        <w:gridCol w:w="852"/>
        <w:gridCol w:w="850"/>
        <w:gridCol w:w="566"/>
        <w:gridCol w:w="1430"/>
        <w:gridCol w:w="555"/>
        <w:gridCol w:w="2925"/>
      </w:tblGrid>
      <w:tr w:rsidR="00FF1433" w:rsidRPr="00EF2E8A" w14:paraId="3A4E68F6" w14:textId="77777777">
        <w:trPr>
          <w:cnfStyle w:val="100000000000" w:firstRow="1" w:lastRow="0" w:firstColumn="0" w:lastColumn="0" w:oddVBand="0" w:evenVBand="0" w:oddHBand="0" w:evenHBand="0" w:firstRowFirstColumn="0" w:firstRowLastColumn="0" w:lastRowFirstColumn="0" w:lastRowLastColumn="0"/>
          <w:tblHeader/>
        </w:trPr>
        <w:tc>
          <w:tcPr>
            <w:tcW w:w="1019" w:type="pct"/>
            <w:tcBorders>
              <w:top w:val="single" w:sz="4" w:space="0" w:color="auto"/>
              <w:bottom w:val="single" w:sz="4" w:space="0" w:color="auto"/>
              <w:right w:val="single" w:sz="4" w:space="0" w:color="auto"/>
            </w:tcBorders>
            <w:shd w:val="clear" w:color="auto" w:fill="auto"/>
            <w:vAlign w:val="center"/>
          </w:tcPr>
          <w:p w14:paraId="56461AFA" w14:textId="77777777"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szCs w:val="18"/>
                <w:lang w:val="en-AU"/>
              </w:rPr>
              <w:t>FRα expression Level</w:t>
            </w:r>
          </w:p>
        </w:tc>
        <w:tc>
          <w:tcPr>
            <w:tcW w:w="472" w:type="pct"/>
            <w:tcBorders>
              <w:top w:val="single" w:sz="4" w:space="0" w:color="auto"/>
              <w:bottom w:val="single" w:sz="4" w:space="0" w:color="auto"/>
              <w:right w:val="single" w:sz="4" w:space="0" w:color="auto"/>
            </w:tcBorders>
            <w:shd w:val="clear" w:color="auto" w:fill="auto"/>
          </w:tcPr>
          <w:p w14:paraId="5A85C98D" w14:textId="77777777"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szCs w:val="18"/>
                <w:lang w:val="en-AU"/>
              </w:rPr>
              <w:t>Cutoff</w:t>
            </w:r>
          </w:p>
        </w:tc>
        <w:tc>
          <w:tcPr>
            <w:tcW w:w="471" w:type="pct"/>
            <w:tcBorders>
              <w:top w:val="single" w:sz="4" w:space="0" w:color="auto"/>
              <w:bottom w:val="single" w:sz="4" w:space="0" w:color="auto"/>
            </w:tcBorders>
            <w:shd w:val="clear" w:color="auto" w:fill="auto"/>
            <w:vAlign w:val="center"/>
          </w:tcPr>
          <w:p w14:paraId="5992132B" w14:textId="77777777"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szCs w:val="18"/>
                <w:lang w:val="en-AU"/>
              </w:rPr>
              <w:t>10X, N</w:t>
            </w:r>
          </w:p>
        </w:tc>
        <w:tc>
          <w:tcPr>
            <w:tcW w:w="314" w:type="pct"/>
            <w:tcBorders>
              <w:top w:val="single" w:sz="4" w:space="0" w:color="auto"/>
              <w:bottom w:val="single" w:sz="4" w:space="0" w:color="auto"/>
              <w:right w:val="single" w:sz="4" w:space="0" w:color="auto"/>
            </w:tcBorders>
            <w:shd w:val="clear" w:color="auto" w:fill="auto"/>
          </w:tcPr>
          <w:p w14:paraId="53F63681" w14:textId="77777777"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szCs w:val="18"/>
                <w:lang w:val="en-AU"/>
              </w:rPr>
              <w:t>%</w:t>
            </w:r>
          </w:p>
        </w:tc>
        <w:tc>
          <w:tcPr>
            <w:tcW w:w="793" w:type="pct"/>
            <w:tcBorders>
              <w:top w:val="single" w:sz="4" w:space="0" w:color="auto"/>
              <w:bottom w:val="single" w:sz="4" w:space="0" w:color="auto"/>
              <w:right w:val="single" w:sz="4" w:space="0" w:color="auto"/>
            </w:tcBorders>
            <w:shd w:val="clear" w:color="auto" w:fill="auto"/>
            <w:vAlign w:val="center"/>
          </w:tcPr>
          <w:p w14:paraId="2795E38F" w14:textId="77777777"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szCs w:val="18"/>
                <w:lang w:val="en-AU"/>
              </w:rPr>
              <w:t xml:space="preserve">PS2+, N </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C479F9E" w14:textId="77777777"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szCs w:val="18"/>
                <w:lang w:val="en-AU"/>
              </w:rPr>
              <w:t>%</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22C352DB" w14:textId="6048522E"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szCs w:val="18"/>
                <w:lang w:val="en-AU"/>
              </w:rPr>
              <w:t>Outcome of re</w:t>
            </w:r>
            <w:r w:rsidR="00A46D2B">
              <w:rPr>
                <w:rFonts w:ascii="Arial Narrow" w:hAnsi="Arial Narrow"/>
                <w:sz w:val="20"/>
                <w:szCs w:val="18"/>
                <w:lang w:val="en-AU"/>
              </w:rPr>
              <w:noBreakHyphen/>
            </w:r>
            <w:r w:rsidRPr="00EF2E8A">
              <w:rPr>
                <w:rFonts w:ascii="Arial Narrow" w:hAnsi="Arial Narrow"/>
                <w:sz w:val="20"/>
                <w:szCs w:val="18"/>
                <w:lang w:val="en-AU"/>
              </w:rPr>
              <w:t xml:space="preserve">scoring </w:t>
            </w:r>
          </w:p>
        </w:tc>
      </w:tr>
      <w:tr w:rsidR="00FF1433" w:rsidRPr="00EF2E8A" w14:paraId="615653EE" w14:textId="77777777">
        <w:trPr>
          <w:cnfStyle w:val="100000000000" w:firstRow="1" w:lastRow="0" w:firstColumn="0" w:lastColumn="0" w:oddVBand="0" w:evenVBand="0" w:oddHBand="0" w:evenHBand="0" w:firstRowFirstColumn="0" w:firstRowLastColumn="0" w:lastRowFirstColumn="0" w:lastRowLastColumn="0"/>
          <w:tblHeader/>
        </w:trPr>
        <w:tc>
          <w:tcPr>
            <w:tcW w:w="1019" w:type="pct"/>
            <w:tcBorders>
              <w:top w:val="single" w:sz="4" w:space="0" w:color="auto"/>
              <w:bottom w:val="single" w:sz="4" w:space="0" w:color="auto"/>
              <w:right w:val="single" w:sz="4" w:space="0" w:color="auto"/>
            </w:tcBorders>
            <w:shd w:val="clear" w:color="auto" w:fill="auto"/>
            <w:vAlign w:val="center"/>
          </w:tcPr>
          <w:p w14:paraId="6D1D7131" w14:textId="0B0258D4"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low (&lt;50%)</w:t>
            </w:r>
          </w:p>
        </w:tc>
        <w:tc>
          <w:tcPr>
            <w:tcW w:w="472" w:type="pct"/>
            <w:tcBorders>
              <w:top w:val="single" w:sz="4" w:space="0" w:color="auto"/>
              <w:bottom w:val="single" w:sz="4" w:space="0" w:color="auto"/>
              <w:right w:val="single" w:sz="4" w:space="0" w:color="auto"/>
            </w:tcBorders>
            <w:shd w:val="clear" w:color="auto" w:fill="auto"/>
            <w:vAlign w:val="center"/>
          </w:tcPr>
          <w:p w14:paraId="1D8C5E1D" w14:textId="77777777" w:rsidR="00FF1433" w:rsidRPr="00EF2E8A" w:rsidRDefault="00FF1433" w:rsidP="00591C83">
            <w:pPr>
              <w:spacing w:before="0"/>
              <w:jc w:val="center"/>
              <w:rPr>
                <w:rFonts w:ascii="Arial Narrow" w:hAnsi="Arial Narrow"/>
                <w:sz w:val="20"/>
                <w:szCs w:val="18"/>
                <w:lang w:val="en-AU"/>
              </w:rPr>
            </w:pPr>
            <w:r w:rsidRPr="00EF2E8A">
              <w:rPr>
                <w:rFonts w:ascii="Arial Narrow" w:hAnsi="Arial Narrow"/>
                <w:sz w:val="20"/>
                <w:szCs w:val="18"/>
                <w:lang w:val="en-AU"/>
              </w:rPr>
              <w:t>0&lt;50%</w:t>
            </w:r>
          </w:p>
        </w:tc>
        <w:tc>
          <w:tcPr>
            <w:tcW w:w="471" w:type="pct"/>
            <w:tcBorders>
              <w:top w:val="single" w:sz="4" w:space="0" w:color="auto"/>
              <w:bottom w:val="single" w:sz="4" w:space="0" w:color="auto"/>
            </w:tcBorders>
            <w:shd w:val="clear" w:color="auto" w:fill="auto"/>
            <w:vAlign w:val="center"/>
          </w:tcPr>
          <w:p w14:paraId="2D033502" w14:textId="77777777" w:rsidR="00FF1433" w:rsidRPr="00EF2E8A" w:rsidRDefault="00FF1433" w:rsidP="00591C83">
            <w:pPr>
              <w:spacing w:before="0"/>
              <w:jc w:val="center"/>
              <w:rPr>
                <w:rFonts w:ascii="Arial Narrow" w:hAnsi="Arial Narrow"/>
                <w:sz w:val="20"/>
                <w:szCs w:val="18"/>
                <w:lang w:val="en-AU"/>
              </w:rPr>
            </w:pPr>
            <w:r w:rsidRPr="00EF2E8A">
              <w:rPr>
                <w:rFonts w:ascii="Arial Narrow" w:hAnsi="Arial Narrow"/>
                <w:sz w:val="20"/>
                <w:szCs w:val="18"/>
                <w:lang w:val="en-AU"/>
              </w:rPr>
              <w:t>0</w:t>
            </w:r>
          </w:p>
        </w:tc>
        <w:tc>
          <w:tcPr>
            <w:tcW w:w="314" w:type="pct"/>
            <w:tcBorders>
              <w:top w:val="single" w:sz="4" w:space="0" w:color="auto"/>
              <w:bottom w:val="single" w:sz="4" w:space="0" w:color="auto"/>
              <w:right w:val="single" w:sz="4" w:space="0" w:color="auto"/>
            </w:tcBorders>
            <w:shd w:val="clear" w:color="auto" w:fill="auto"/>
            <w:vAlign w:val="center"/>
          </w:tcPr>
          <w:p w14:paraId="6F156996" w14:textId="097D1A0C" w:rsidR="00FF1433" w:rsidRPr="00EF2E8A" w:rsidRDefault="00A46D2B" w:rsidP="00591C83">
            <w:pPr>
              <w:spacing w:before="0"/>
              <w:jc w:val="center"/>
              <w:rPr>
                <w:rFonts w:ascii="Arial Narrow" w:hAnsi="Arial Narrow"/>
                <w:sz w:val="20"/>
                <w:szCs w:val="18"/>
                <w:lang w:val="en-AU"/>
              </w:rPr>
            </w:pPr>
            <w:r>
              <w:rPr>
                <w:rFonts w:ascii="Arial Narrow" w:hAnsi="Arial Narrow"/>
                <w:sz w:val="20"/>
                <w:szCs w:val="18"/>
                <w:lang w:val="en-AU"/>
              </w:rPr>
              <w:noBreakHyphen/>
            </w:r>
            <w:r>
              <w:rPr>
                <w:rFonts w:ascii="Arial Narrow" w:hAnsi="Arial Narrow"/>
                <w:sz w:val="20"/>
                <w:szCs w:val="18"/>
                <w:lang w:val="en-AU"/>
              </w:rPr>
              <w:noBreakHyphen/>
            </w:r>
          </w:p>
        </w:tc>
        <w:tc>
          <w:tcPr>
            <w:tcW w:w="793" w:type="pct"/>
            <w:tcBorders>
              <w:top w:val="single" w:sz="4" w:space="0" w:color="auto"/>
              <w:bottom w:val="single" w:sz="4" w:space="0" w:color="auto"/>
              <w:right w:val="single" w:sz="4" w:space="0" w:color="auto"/>
            </w:tcBorders>
            <w:shd w:val="clear" w:color="auto" w:fill="D1F3B7"/>
            <w:vAlign w:val="center"/>
          </w:tcPr>
          <w:p w14:paraId="238093DC" w14:textId="77777777" w:rsidR="00FF1433" w:rsidRPr="00EF2E8A" w:rsidRDefault="00FF1433" w:rsidP="00591C83">
            <w:pPr>
              <w:spacing w:before="0"/>
              <w:jc w:val="center"/>
              <w:rPr>
                <w:rFonts w:ascii="Arial Narrow" w:hAnsi="Arial Narrow"/>
                <w:sz w:val="20"/>
                <w:szCs w:val="18"/>
                <w:lang w:val="en-AU"/>
              </w:rPr>
            </w:pPr>
            <w:r w:rsidRPr="00EF2E8A">
              <w:rPr>
                <w:rFonts w:ascii="Arial Narrow" w:hAnsi="Arial Narrow"/>
                <w:sz w:val="20"/>
                <w:szCs w:val="18"/>
                <w:lang w:val="en-AU"/>
              </w:rPr>
              <w:t>114</w:t>
            </w:r>
          </w:p>
        </w:tc>
        <w:tc>
          <w:tcPr>
            <w:tcW w:w="308" w:type="pct"/>
            <w:tcBorders>
              <w:top w:val="single" w:sz="4" w:space="0" w:color="auto"/>
              <w:left w:val="single" w:sz="4" w:space="0" w:color="auto"/>
              <w:bottom w:val="single" w:sz="4" w:space="0" w:color="auto"/>
              <w:right w:val="single" w:sz="4" w:space="0" w:color="auto"/>
            </w:tcBorders>
            <w:shd w:val="clear" w:color="auto" w:fill="D1F3B7"/>
            <w:vAlign w:val="center"/>
          </w:tcPr>
          <w:p w14:paraId="16B515D9" w14:textId="77777777" w:rsidR="00FF1433" w:rsidRPr="00EF2E8A" w:rsidRDefault="00FF1433" w:rsidP="00591C83">
            <w:pPr>
              <w:spacing w:before="0"/>
              <w:jc w:val="center"/>
              <w:rPr>
                <w:rFonts w:ascii="Arial Narrow" w:hAnsi="Arial Narrow"/>
                <w:sz w:val="20"/>
                <w:szCs w:val="18"/>
                <w:lang w:val="en-AU"/>
              </w:rPr>
            </w:pPr>
            <w:r w:rsidRPr="00EF2E8A">
              <w:rPr>
                <w:rFonts w:ascii="Arial Narrow" w:hAnsi="Arial Narrow"/>
                <w:sz w:val="20"/>
                <w:szCs w:val="18"/>
                <w:lang w:val="en-AU"/>
              </w:rPr>
              <w:t>34%</w:t>
            </w:r>
          </w:p>
        </w:tc>
        <w:tc>
          <w:tcPr>
            <w:tcW w:w="162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C13DEC7" w14:textId="4B82B2BE" w:rsidR="00FF1433" w:rsidRPr="00EF2E8A" w:rsidRDefault="00FF1433" w:rsidP="00591C83">
            <w:pPr>
              <w:spacing w:before="0"/>
              <w:jc w:val="left"/>
              <w:rPr>
                <w:rFonts w:ascii="Arial Narrow" w:hAnsi="Arial Narrow"/>
                <w:sz w:val="20"/>
                <w:szCs w:val="18"/>
                <w:lang w:val="en-AU"/>
              </w:rPr>
            </w:pPr>
            <w:r w:rsidRPr="00EF2E8A">
              <w:rPr>
                <w:rFonts w:ascii="Arial Narrow" w:hAnsi="Arial Narrow"/>
                <w:sz w:val="20"/>
                <w:szCs w:val="18"/>
                <w:lang w:val="en-AU"/>
              </w:rPr>
              <w:t>Below intended expression cutoff for the FORWARD</w:t>
            </w:r>
            <w:r w:rsidR="00A46D2B">
              <w:rPr>
                <w:rFonts w:ascii="Arial Narrow" w:hAnsi="Arial Narrow"/>
                <w:sz w:val="20"/>
                <w:szCs w:val="18"/>
                <w:lang w:val="en-AU"/>
              </w:rPr>
              <w:noBreakHyphen/>
            </w:r>
            <w:r w:rsidRPr="00EF2E8A">
              <w:rPr>
                <w:rFonts w:ascii="Arial Narrow" w:hAnsi="Arial Narrow"/>
                <w:sz w:val="20"/>
                <w:szCs w:val="18"/>
                <w:lang w:val="en-AU"/>
              </w:rPr>
              <w:t>I trial</w:t>
            </w:r>
          </w:p>
        </w:tc>
      </w:tr>
      <w:tr w:rsidR="00FF1433" w:rsidRPr="00EF2E8A" w14:paraId="4BB57ABC" w14:textId="77777777">
        <w:tc>
          <w:tcPr>
            <w:tcW w:w="1019" w:type="pct"/>
            <w:vMerge w:val="restart"/>
            <w:shd w:val="clear" w:color="auto" w:fill="D1F3B7"/>
            <w:vAlign w:val="center"/>
          </w:tcPr>
          <w:p w14:paraId="47DEB0EB" w14:textId="2FF18122" w:rsidR="00FF1433" w:rsidRPr="00EF2E8A" w:rsidRDefault="00FF1433" w:rsidP="00591C83">
            <w:pPr>
              <w:keepNext/>
              <w:spacing w:before="0"/>
              <w:rPr>
                <w:rFonts w:ascii="Arial Narrow" w:hAnsi="Arial Narrow" w:cs="Calibri"/>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medium</w:t>
            </w:r>
          </w:p>
        </w:tc>
        <w:tc>
          <w:tcPr>
            <w:tcW w:w="472" w:type="pct"/>
            <w:vMerge w:val="restart"/>
            <w:shd w:val="clear" w:color="auto" w:fill="D1F3B7"/>
            <w:vAlign w:val="center"/>
          </w:tcPr>
          <w:p w14:paraId="453610F2"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sz w:val="20"/>
                <w:lang w:val="en-AU"/>
              </w:rPr>
              <w:t>50&lt;75%</w:t>
            </w:r>
          </w:p>
        </w:tc>
        <w:tc>
          <w:tcPr>
            <w:tcW w:w="471" w:type="pct"/>
            <w:vMerge w:val="restart"/>
            <w:shd w:val="clear" w:color="auto" w:fill="D1F3B7"/>
            <w:vAlign w:val="center"/>
          </w:tcPr>
          <w:p w14:paraId="4634EB21"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134</w:t>
            </w:r>
          </w:p>
        </w:tc>
        <w:tc>
          <w:tcPr>
            <w:tcW w:w="314" w:type="pct"/>
            <w:vMerge w:val="restart"/>
            <w:shd w:val="clear" w:color="auto" w:fill="D1F3B7"/>
            <w:vAlign w:val="center"/>
          </w:tcPr>
          <w:p w14:paraId="772D3B4F"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40%</w:t>
            </w:r>
          </w:p>
        </w:tc>
        <w:tc>
          <w:tcPr>
            <w:tcW w:w="793" w:type="pct"/>
            <w:tcBorders>
              <w:bottom w:val="nil"/>
            </w:tcBorders>
            <w:shd w:val="clear" w:color="auto" w:fill="D1F3B7"/>
            <w:vAlign w:val="center"/>
          </w:tcPr>
          <w:p w14:paraId="1D493C3D"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20</w:t>
            </w:r>
            <w:r w:rsidRPr="00EF2E8A">
              <w:rPr>
                <w:rFonts w:ascii="Arial Narrow" w:hAnsi="Arial Narrow" w:cs="Calibri"/>
                <w:sz w:val="20"/>
                <w:vertAlign w:val="superscript"/>
                <w:lang w:val="en-AU"/>
              </w:rPr>
              <w:t xml:space="preserve">a </w:t>
            </w:r>
          </w:p>
        </w:tc>
        <w:tc>
          <w:tcPr>
            <w:tcW w:w="308" w:type="pct"/>
            <w:vMerge w:val="restart"/>
            <w:shd w:val="thinDiagStripe" w:color="26C88E" w:fill="D1F3B7"/>
            <w:vAlign w:val="center"/>
          </w:tcPr>
          <w:p w14:paraId="1D98B16D"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31%</w:t>
            </w:r>
          </w:p>
        </w:tc>
        <w:tc>
          <w:tcPr>
            <w:tcW w:w="1622" w:type="pct"/>
            <w:vMerge w:val="restart"/>
            <w:tcMar>
              <w:left w:w="57" w:type="dxa"/>
              <w:right w:w="57" w:type="dxa"/>
            </w:tcMar>
            <w:vAlign w:val="center"/>
          </w:tcPr>
          <w:p w14:paraId="05DB5E18" w14:textId="464A0B8C" w:rsidR="00FF1433" w:rsidRPr="00EF2E8A" w:rsidRDefault="00FF1433" w:rsidP="00591C83">
            <w:pPr>
              <w:keepNext/>
              <w:spacing w:before="0"/>
              <w:jc w:val="left"/>
              <w:rPr>
                <w:rFonts w:ascii="Arial Narrow" w:hAnsi="Arial Narrow" w:cs="Calibri"/>
                <w:sz w:val="20"/>
                <w:lang w:val="en-AU"/>
              </w:rPr>
            </w:pPr>
            <w:r w:rsidRPr="00EF2E8A">
              <w:rPr>
                <w:rFonts w:ascii="Arial Narrow" w:hAnsi="Arial Narrow"/>
                <w:sz w:val="20"/>
                <w:lang w:val="en-AU"/>
              </w:rPr>
              <w:t>Intended expression level FRα</w:t>
            </w:r>
            <w:r w:rsidR="00A46D2B">
              <w:rPr>
                <w:rFonts w:ascii="Arial Narrow" w:hAnsi="Arial Narrow"/>
                <w:sz w:val="20"/>
                <w:lang w:val="en-AU"/>
              </w:rPr>
              <w:noBreakHyphen/>
            </w:r>
            <w:r w:rsidRPr="00EF2E8A">
              <w:rPr>
                <w:rFonts w:ascii="Arial Narrow" w:hAnsi="Arial Narrow"/>
                <w:sz w:val="20"/>
                <w:lang w:val="en-AU"/>
              </w:rPr>
              <w:t>medium</w:t>
            </w:r>
          </w:p>
        </w:tc>
      </w:tr>
      <w:tr w:rsidR="00FF1433" w:rsidRPr="00EF2E8A" w14:paraId="149DCDFD" w14:textId="77777777">
        <w:tc>
          <w:tcPr>
            <w:tcW w:w="1019" w:type="pct"/>
            <w:vMerge/>
            <w:shd w:val="clear" w:color="auto" w:fill="D1F3B7"/>
            <w:vAlign w:val="center"/>
          </w:tcPr>
          <w:p w14:paraId="0C326B19" w14:textId="77777777" w:rsidR="00FF1433" w:rsidRPr="00EF2E8A" w:rsidRDefault="00FF1433" w:rsidP="00591C83">
            <w:pPr>
              <w:keepNext/>
              <w:spacing w:before="0"/>
              <w:rPr>
                <w:rFonts w:ascii="Arial Narrow" w:hAnsi="Arial Narrow"/>
                <w:sz w:val="20"/>
                <w:lang w:val="en-AU"/>
              </w:rPr>
            </w:pPr>
          </w:p>
        </w:tc>
        <w:tc>
          <w:tcPr>
            <w:tcW w:w="472" w:type="pct"/>
            <w:vMerge/>
            <w:shd w:val="clear" w:color="auto" w:fill="D1F3B7"/>
          </w:tcPr>
          <w:p w14:paraId="054347AC" w14:textId="77777777" w:rsidR="00FF1433" w:rsidRPr="00EF2E8A" w:rsidRDefault="00FF1433" w:rsidP="00591C83">
            <w:pPr>
              <w:keepNext/>
              <w:spacing w:before="0"/>
              <w:jc w:val="center"/>
              <w:rPr>
                <w:rFonts w:ascii="Arial Narrow" w:hAnsi="Arial Narrow" w:cs="Calibri"/>
                <w:sz w:val="20"/>
                <w:lang w:val="en-AU"/>
              </w:rPr>
            </w:pPr>
          </w:p>
        </w:tc>
        <w:tc>
          <w:tcPr>
            <w:tcW w:w="471" w:type="pct"/>
            <w:vMerge/>
            <w:shd w:val="clear" w:color="auto" w:fill="D1F3B7"/>
            <w:vAlign w:val="center"/>
          </w:tcPr>
          <w:p w14:paraId="01213DB2" w14:textId="77777777" w:rsidR="00FF1433" w:rsidRPr="00EF2E8A" w:rsidRDefault="00FF1433" w:rsidP="00591C83">
            <w:pPr>
              <w:keepNext/>
              <w:spacing w:before="0"/>
              <w:jc w:val="center"/>
              <w:rPr>
                <w:rFonts w:ascii="Arial Narrow" w:hAnsi="Arial Narrow" w:cs="Calibri"/>
                <w:sz w:val="20"/>
                <w:lang w:val="en-AU"/>
              </w:rPr>
            </w:pPr>
          </w:p>
        </w:tc>
        <w:tc>
          <w:tcPr>
            <w:tcW w:w="314" w:type="pct"/>
            <w:vMerge/>
            <w:shd w:val="clear" w:color="auto" w:fill="D1F3B7"/>
          </w:tcPr>
          <w:p w14:paraId="73488F95" w14:textId="77777777" w:rsidR="00FF1433" w:rsidRPr="00EF2E8A" w:rsidRDefault="00FF1433" w:rsidP="00591C83">
            <w:pPr>
              <w:keepNext/>
              <w:spacing w:before="0"/>
              <w:jc w:val="center"/>
              <w:rPr>
                <w:rFonts w:ascii="Arial Narrow" w:hAnsi="Arial Narrow" w:cs="Calibri"/>
                <w:sz w:val="20"/>
                <w:lang w:val="en-AU"/>
              </w:rPr>
            </w:pPr>
          </w:p>
        </w:tc>
        <w:tc>
          <w:tcPr>
            <w:tcW w:w="793" w:type="pct"/>
            <w:tcBorders>
              <w:top w:val="nil"/>
            </w:tcBorders>
            <w:shd w:val="clear" w:color="auto" w:fill="26C88E"/>
            <w:vAlign w:val="center"/>
          </w:tcPr>
          <w:p w14:paraId="41B930A1"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82</w:t>
            </w:r>
            <w:r w:rsidRPr="00EF2E8A">
              <w:rPr>
                <w:rFonts w:ascii="Arial Narrow" w:hAnsi="Arial Narrow" w:cs="Calibri"/>
                <w:sz w:val="20"/>
                <w:vertAlign w:val="superscript"/>
                <w:lang w:val="en-AU"/>
              </w:rPr>
              <w:t>a</w:t>
            </w:r>
          </w:p>
        </w:tc>
        <w:tc>
          <w:tcPr>
            <w:tcW w:w="308" w:type="pct"/>
            <w:vMerge/>
            <w:shd w:val="thinDiagStripe" w:color="26C88E" w:fill="D1F3B7"/>
            <w:vAlign w:val="center"/>
          </w:tcPr>
          <w:p w14:paraId="788B6C46" w14:textId="77777777" w:rsidR="00FF1433" w:rsidRPr="00EF2E8A" w:rsidRDefault="00FF1433" w:rsidP="00591C83">
            <w:pPr>
              <w:keepNext/>
              <w:spacing w:before="0"/>
              <w:jc w:val="center"/>
              <w:rPr>
                <w:rFonts w:ascii="Arial Narrow" w:hAnsi="Arial Narrow" w:cs="Calibri"/>
                <w:sz w:val="20"/>
                <w:lang w:val="en-AU"/>
              </w:rPr>
            </w:pPr>
          </w:p>
        </w:tc>
        <w:tc>
          <w:tcPr>
            <w:tcW w:w="1622" w:type="pct"/>
            <w:vMerge/>
            <w:tcMar>
              <w:left w:w="57" w:type="dxa"/>
              <w:right w:w="57" w:type="dxa"/>
            </w:tcMar>
            <w:vAlign w:val="center"/>
          </w:tcPr>
          <w:p w14:paraId="17C5A6D4" w14:textId="77777777" w:rsidR="00FF1433" w:rsidRPr="00EF2E8A" w:rsidRDefault="00FF1433" w:rsidP="00591C83">
            <w:pPr>
              <w:keepNext/>
              <w:spacing w:before="0"/>
              <w:jc w:val="left"/>
              <w:rPr>
                <w:rFonts w:ascii="Arial Narrow" w:hAnsi="Arial Narrow"/>
                <w:sz w:val="20"/>
                <w:lang w:val="en-AU"/>
              </w:rPr>
            </w:pPr>
          </w:p>
        </w:tc>
      </w:tr>
      <w:tr w:rsidR="00FF1433" w:rsidRPr="00EF2E8A" w14:paraId="4CD6B8FD" w14:textId="77777777">
        <w:tc>
          <w:tcPr>
            <w:tcW w:w="1019" w:type="pct"/>
            <w:shd w:val="clear" w:color="auto" w:fill="26C88E"/>
            <w:vAlign w:val="center"/>
          </w:tcPr>
          <w:p w14:paraId="04F41484" w14:textId="0BAF85C1" w:rsidR="00FF1433" w:rsidRPr="00EF2E8A" w:rsidRDefault="00FF1433" w:rsidP="00591C83">
            <w:pPr>
              <w:keepNext/>
              <w:spacing w:before="0"/>
              <w:rPr>
                <w:rFonts w:ascii="Arial Narrow" w:hAnsi="Arial Narrow"/>
                <w:sz w:val="20"/>
                <w:lang w:val="en-AU"/>
              </w:rPr>
            </w:pPr>
            <w:r w:rsidRPr="00EF2E8A">
              <w:rPr>
                <w:rFonts w:ascii="Arial Narrow" w:hAnsi="Arial Narrow" w:cs="Calibri"/>
                <w:sz w:val="20"/>
                <w:lang w:val="en-AU"/>
              </w:rPr>
              <w:t>FRα</w:t>
            </w:r>
            <w:r w:rsidR="00A46D2B">
              <w:rPr>
                <w:rFonts w:ascii="Arial Narrow" w:hAnsi="Arial Narrow" w:cs="Calibri"/>
                <w:sz w:val="20"/>
                <w:lang w:val="en-AU"/>
              </w:rPr>
              <w:noBreakHyphen/>
            </w:r>
            <w:r w:rsidRPr="00EF2E8A">
              <w:rPr>
                <w:rFonts w:ascii="Arial Narrow" w:hAnsi="Arial Narrow" w:cs="Calibri"/>
                <w:sz w:val="20"/>
                <w:lang w:val="en-AU"/>
              </w:rPr>
              <w:t>high</w:t>
            </w:r>
          </w:p>
        </w:tc>
        <w:tc>
          <w:tcPr>
            <w:tcW w:w="472" w:type="pct"/>
            <w:shd w:val="clear" w:color="auto" w:fill="26C88E"/>
          </w:tcPr>
          <w:p w14:paraId="22C3C8DF"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sz w:val="20"/>
                <w:lang w:val="en-AU"/>
              </w:rPr>
              <w:t>≥75%</w:t>
            </w:r>
          </w:p>
        </w:tc>
        <w:tc>
          <w:tcPr>
            <w:tcW w:w="471" w:type="pct"/>
            <w:shd w:val="clear" w:color="auto" w:fill="26C88E"/>
            <w:vAlign w:val="center"/>
          </w:tcPr>
          <w:p w14:paraId="4BFDE056"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198</w:t>
            </w:r>
          </w:p>
        </w:tc>
        <w:tc>
          <w:tcPr>
            <w:tcW w:w="314" w:type="pct"/>
            <w:shd w:val="clear" w:color="auto" w:fill="26C88E"/>
          </w:tcPr>
          <w:p w14:paraId="65942E76"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60%</w:t>
            </w:r>
          </w:p>
        </w:tc>
        <w:tc>
          <w:tcPr>
            <w:tcW w:w="793" w:type="pct"/>
            <w:shd w:val="clear" w:color="auto" w:fill="26C88E"/>
            <w:vAlign w:val="center"/>
          </w:tcPr>
          <w:p w14:paraId="00C7624D"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116</w:t>
            </w:r>
          </w:p>
        </w:tc>
        <w:tc>
          <w:tcPr>
            <w:tcW w:w="308" w:type="pct"/>
            <w:tcBorders>
              <w:bottom w:val="single" w:sz="4" w:space="0" w:color="auto"/>
            </w:tcBorders>
            <w:shd w:val="clear" w:color="auto" w:fill="26C88E"/>
            <w:vAlign w:val="center"/>
          </w:tcPr>
          <w:p w14:paraId="7C12D9FE" w14:textId="77777777" w:rsidR="00FF1433" w:rsidRPr="00EF2E8A" w:rsidRDefault="00FF1433" w:rsidP="00591C83">
            <w:pPr>
              <w:keepNext/>
              <w:spacing w:before="0"/>
              <w:jc w:val="center"/>
              <w:rPr>
                <w:rFonts w:ascii="Arial Narrow" w:hAnsi="Arial Narrow" w:cs="Calibri"/>
                <w:sz w:val="20"/>
                <w:lang w:val="en-AU"/>
              </w:rPr>
            </w:pPr>
            <w:r w:rsidRPr="00EF2E8A">
              <w:rPr>
                <w:rFonts w:ascii="Arial Narrow" w:hAnsi="Arial Narrow" w:cs="Calibri"/>
                <w:sz w:val="20"/>
                <w:lang w:val="en-AU"/>
              </w:rPr>
              <w:t>35%</w:t>
            </w:r>
          </w:p>
        </w:tc>
        <w:tc>
          <w:tcPr>
            <w:tcW w:w="1622" w:type="pct"/>
            <w:tcBorders>
              <w:bottom w:val="single" w:sz="4" w:space="0" w:color="auto"/>
            </w:tcBorders>
            <w:tcMar>
              <w:left w:w="57" w:type="dxa"/>
              <w:right w:w="57" w:type="dxa"/>
            </w:tcMar>
            <w:vAlign w:val="center"/>
          </w:tcPr>
          <w:p w14:paraId="7A41E40D" w14:textId="24219F6D" w:rsidR="00FF1433" w:rsidRPr="00EF2E8A" w:rsidRDefault="00FF1433" w:rsidP="00591C83">
            <w:pPr>
              <w:keepNext/>
              <w:spacing w:before="0"/>
              <w:jc w:val="left"/>
              <w:rPr>
                <w:rFonts w:ascii="Arial Narrow" w:hAnsi="Arial Narrow" w:cs="Calibri"/>
                <w:sz w:val="20"/>
                <w:lang w:val="en-AU"/>
              </w:rPr>
            </w:pPr>
            <w:r w:rsidRPr="00EF2E8A">
              <w:rPr>
                <w:rFonts w:ascii="Arial Narrow" w:hAnsi="Arial Narrow"/>
                <w:sz w:val="20"/>
                <w:lang w:val="en-AU"/>
              </w:rPr>
              <w:t>Intended expression level FRα</w:t>
            </w:r>
            <w:r w:rsidR="00A46D2B">
              <w:rPr>
                <w:rFonts w:ascii="Arial Narrow" w:hAnsi="Arial Narrow"/>
                <w:sz w:val="20"/>
                <w:lang w:val="en-AU"/>
              </w:rPr>
              <w:noBreakHyphen/>
            </w:r>
            <w:r w:rsidRPr="00EF2E8A">
              <w:rPr>
                <w:rFonts w:ascii="Arial Narrow" w:hAnsi="Arial Narrow"/>
                <w:sz w:val="20"/>
                <w:lang w:val="en-AU"/>
              </w:rPr>
              <w:t>high</w:t>
            </w:r>
          </w:p>
        </w:tc>
      </w:tr>
    </w:tbl>
    <w:p w14:paraId="64839BE6"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Source: slide 11 FORWARD I 10X SCORING COMPARED WITH EXPLORATORY PS2+ SCORING, Moore et al, (2019). </w:t>
      </w:r>
    </w:p>
    <w:p w14:paraId="33168092" w14:textId="19ACC824" w:rsidR="00DA0F96" w:rsidRPr="00EF2E8A" w:rsidRDefault="00AC2F0F"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FRα=folate receptor alpha;</w:t>
      </w:r>
      <w:r w:rsidR="001D4F93" w:rsidRPr="00EF2E8A">
        <w:rPr>
          <w:rFonts w:ascii="Arial Narrow" w:eastAsia="Times New Roman" w:hAnsi="Arial Narrow" w:cs="Arial"/>
          <w:snapToGrid w:val="0"/>
          <w:sz w:val="18"/>
          <w:lang w:eastAsia="en-AU"/>
        </w:rPr>
        <w:t xml:space="preserve"> </w:t>
      </w:r>
      <w:r w:rsidR="001D3ABE" w:rsidRPr="00EF2E8A">
        <w:rPr>
          <w:rFonts w:ascii="Arial Narrow" w:eastAsia="Times New Roman" w:hAnsi="Arial Narrow" w:cs="Arial"/>
          <w:snapToGrid w:val="0"/>
          <w:sz w:val="18"/>
          <w:lang w:eastAsia="en-AU"/>
        </w:rPr>
        <w:t>PS2+= FRα membrane staining at moderate (2) or high (3) intensity.</w:t>
      </w:r>
    </w:p>
    <w:p w14:paraId="2800A62A"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vertAlign w:val="superscript"/>
          <w:lang w:eastAsia="en-AU"/>
        </w:rPr>
        <w:t>a</w:t>
      </w:r>
      <w:r w:rsidRPr="00EF2E8A">
        <w:rPr>
          <w:rFonts w:ascii="Arial Narrow" w:eastAsia="Times New Roman" w:hAnsi="Arial Narrow" w:cs="Arial"/>
          <w:snapToGrid w:val="0"/>
          <w:sz w:val="18"/>
          <w:lang w:eastAsia="en-AU"/>
        </w:rPr>
        <w:t xml:space="preserve"> Analysis population for whom samples were available; percentages indicated are of the total N=332. </w:t>
      </w:r>
    </w:p>
    <w:p w14:paraId="3BF36A68" w14:textId="18166B6B"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vertAlign w:val="superscript"/>
          <w:lang w:eastAsia="en-AU"/>
        </w:rPr>
        <w:t>b</w:t>
      </w:r>
      <w:r w:rsidRPr="00EF2E8A">
        <w:rPr>
          <w:rFonts w:ascii="Arial Narrow" w:eastAsia="Times New Roman" w:hAnsi="Arial Narrow" w:cs="Arial"/>
          <w:snapToGrid w:val="0"/>
          <w:sz w:val="18"/>
          <w:lang w:eastAsia="en-AU"/>
        </w:rPr>
        <w:t xml:space="preserve"> Values for the re</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scored medium group (20+82=102) were derived during the evaluation from the numbers presented in the source document which gave a value of n=103. Investigation of these discrepancies was considered unlikely to change the resulting proportions. </w:t>
      </w:r>
    </w:p>
    <w:p w14:paraId="0445E6C2" w14:textId="0EC7A1D2"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Shading was added to indicate the origin of the values in the re</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scored groups. Light green shading indicated patients originally classified as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medium and dark green shading indicated patients originally scored as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high. Hatched indicated a mix of both. </w:t>
      </w:r>
    </w:p>
    <w:p w14:paraId="4946A9C5" w14:textId="478E5A4A" w:rsidR="00FF1433" w:rsidRPr="00EF2E8A" w:rsidRDefault="00FF1433" w:rsidP="00591C83">
      <w:pPr>
        <w:pStyle w:val="ListParagraph"/>
      </w:pPr>
      <w:r w:rsidRPr="00EF2E8A">
        <w:lastRenderedPageBreak/>
        <w:t>Of the group originally scored as FRα</w:t>
      </w:r>
      <w:r w:rsidR="00A46D2B">
        <w:noBreakHyphen/>
      </w:r>
      <w:r w:rsidRPr="00EF2E8A">
        <w:t>high, 82 (41%) were rescored as medium and 116 (59%) remained as FRα</w:t>
      </w:r>
      <w:r w:rsidR="00A46D2B">
        <w:noBreakHyphen/>
      </w:r>
      <w:r w:rsidRPr="00EF2E8A">
        <w:t>high. Therefore, according to definition of FRα test positivity requested in the submission, all the patients in the FORWARD</w:t>
      </w:r>
      <w:r w:rsidR="00A46D2B">
        <w:noBreakHyphen/>
      </w:r>
      <w:r w:rsidRPr="00EF2E8A">
        <w:t>I FRα</w:t>
      </w:r>
      <w:r w:rsidR="00A46D2B">
        <w:noBreakHyphen/>
      </w:r>
      <w:r w:rsidRPr="00EF2E8A">
        <w:t>medium group would have been defined as test negative and just over half (59%) of the patients in the FRα</w:t>
      </w:r>
      <w:r w:rsidR="00A46D2B">
        <w:noBreakHyphen/>
      </w:r>
      <w:r w:rsidRPr="00EF2E8A">
        <w:t>high group would have been defined as test positive. The re</w:t>
      </w:r>
      <w:r w:rsidR="00A46D2B">
        <w:noBreakHyphen/>
      </w:r>
      <w:r w:rsidRPr="00EF2E8A">
        <w:t>scored groups formed the basis of the post</w:t>
      </w:r>
      <w:r w:rsidR="00A46D2B">
        <w:noBreakHyphen/>
      </w:r>
      <w:r w:rsidRPr="00EF2E8A">
        <w:t>hoc analyses.</w:t>
      </w:r>
    </w:p>
    <w:p w14:paraId="36EBC621" w14:textId="628D8536" w:rsidR="00FF1433" w:rsidRPr="00EF2E8A" w:rsidRDefault="00FF1433" w:rsidP="00591C83">
      <w:pPr>
        <w:pStyle w:val="ListParagraph"/>
      </w:pPr>
      <w:bookmarkStart w:id="47" w:name="_Ref198630256"/>
      <w:r w:rsidRPr="00EF2E8A">
        <w:t>The results from the analysis of PFS by BICR in the FORWARD</w:t>
      </w:r>
      <w:r w:rsidR="00A46D2B">
        <w:noBreakHyphen/>
      </w:r>
      <w:r w:rsidRPr="00EF2E8A">
        <w:t>I trial are summarised in</w:t>
      </w:r>
      <w:r w:rsidR="00EF6E37" w:rsidRPr="00EF2E8A">
        <w:t xml:space="preserve"> </w:t>
      </w:r>
      <w:r w:rsidR="000A571A">
        <w:fldChar w:fldCharType="begin" w:fldLock="1"/>
      </w:r>
      <w:r w:rsidR="000A571A">
        <w:instrText xml:space="preserve"> REF _Ref205198159 \h </w:instrText>
      </w:r>
      <w:r w:rsidR="000A571A">
        <w:fldChar w:fldCharType="separate"/>
      </w:r>
      <w:r w:rsidR="00CC5CAD">
        <w:t xml:space="preserve">Table </w:t>
      </w:r>
      <w:r w:rsidR="00CC5CAD">
        <w:rPr>
          <w:noProof/>
        </w:rPr>
        <w:t>11</w:t>
      </w:r>
      <w:r w:rsidR="000A571A">
        <w:fldChar w:fldCharType="end"/>
      </w:r>
      <w:r w:rsidRPr="00EF2E8A">
        <w:t>, including the re</w:t>
      </w:r>
      <w:r w:rsidR="00A46D2B">
        <w:noBreakHyphen/>
      </w:r>
      <w:r w:rsidRPr="00EF2E8A">
        <w:t>analysed FR</w:t>
      </w:r>
      <w:r w:rsidRPr="00EF2E8A">
        <w:rPr>
          <w:rFonts w:cstheme="minorHAnsi"/>
        </w:rPr>
        <w:t>α</w:t>
      </w:r>
      <w:r w:rsidRPr="00EF2E8A">
        <w:t xml:space="preserve"> expression groups based on the post</w:t>
      </w:r>
      <w:r w:rsidR="00A46D2B">
        <w:noBreakHyphen/>
      </w:r>
      <w:r w:rsidRPr="00EF2E8A">
        <w:t>hoc analysis (low, medium and high by PS2+ scoring as per</w:t>
      </w:r>
      <w:r w:rsidR="00EF6E37" w:rsidRPr="00EF2E8A">
        <w:t xml:space="preserve"> </w:t>
      </w:r>
      <w:r w:rsidR="009165A3">
        <w:fldChar w:fldCharType="begin" w:fldLock="1"/>
      </w:r>
      <w:r w:rsidR="009165A3">
        <w:instrText xml:space="preserve"> REF _Ref205198109 \h </w:instrText>
      </w:r>
      <w:r w:rsidR="009165A3">
        <w:fldChar w:fldCharType="separate"/>
      </w:r>
      <w:r w:rsidR="00CC5CAD">
        <w:t xml:space="preserve">Table </w:t>
      </w:r>
      <w:r w:rsidR="00CC5CAD">
        <w:rPr>
          <w:noProof/>
        </w:rPr>
        <w:t>10</w:t>
      </w:r>
      <w:r w:rsidR="009165A3">
        <w:fldChar w:fldCharType="end"/>
      </w:r>
      <w:r w:rsidRPr="00EF2E8A">
        <w:t>).</w:t>
      </w:r>
      <w:bookmarkEnd w:id="47"/>
    </w:p>
    <w:p w14:paraId="4B0FF6AB" w14:textId="77777777" w:rsidR="001A6C90" w:rsidRPr="00EF2E8A" w:rsidRDefault="001A6C90" w:rsidP="00591C83">
      <w:pPr>
        <w:spacing w:before="0" w:line="259" w:lineRule="auto"/>
        <w:jc w:val="left"/>
        <w:rPr>
          <w:color w:val="000000" w:themeColor="text1"/>
        </w:rPr>
      </w:pPr>
      <w:r w:rsidRPr="00EF2E8A">
        <w:br w:type="page"/>
      </w:r>
    </w:p>
    <w:p w14:paraId="680E0650" w14:textId="39206708" w:rsidR="009165A3" w:rsidRDefault="009165A3" w:rsidP="00591C83">
      <w:pPr>
        <w:pStyle w:val="Caption"/>
      </w:pPr>
      <w:bookmarkStart w:id="48" w:name="_Ref205198159"/>
      <w:bookmarkStart w:id="49" w:name="_Ref205275231"/>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11</w:t>
      </w:r>
      <w:r w:rsidR="00CC5CAD">
        <w:rPr>
          <w:noProof/>
        </w:rPr>
        <w:fldChar w:fldCharType="end"/>
      </w:r>
      <w:bookmarkEnd w:id="48"/>
      <w:r>
        <w:t xml:space="preserve">: </w:t>
      </w:r>
      <w:r w:rsidRPr="00E00075">
        <w:t>FORWARD</w:t>
      </w:r>
      <w:r w:rsidR="00A46D2B">
        <w:noBreakHyphen/>
      </w:r>
      <w:r w:rsidRPr="00E00075">
        <w:t>I: analysis of PFS by BICR (February 2019 data cutoff)</w:t>
      </w:r>
      <w:bookmarkEnd w:id="49"/>
    </w:p>
    <w:tbl>
      <w:tblPr>
        <w:tblStyle w:val="ACE"/>
        <w:tblW w:w="9016" w:type="dxa"/>
        <w:tblLayout w:type="fixed"/>
        <w:tblCellMar>
          <w:left w:w="28" w:type="dxa"/>
          <w:right w:w="28" w:type="dxa"/>
        </w:tblCellMar>
        <w:tblLook w:val="04A0" w:firstRow="1" w:lastRow="0" w:firstColumn="1" w:lastColumn="0" w:noHBand="0" w:noVBand="1"/>
        <w:tblCaption w:val="Table 11: FORWARD I: analysis of PFS by BICR (February 2019 data cutoff)"/>
      </w:tblPr>
      <w:tblGrid>
        <w:gridCol w:w="1434"/>
        <w:gridCol w:w="1084"/>
        <w:gridCol w:w="1077"/>
        <w:gridCol w:w="1093"/>
        <w:gridCol w:w="1067"/>
        <w:gridCol w:w="959"/>
        <w:gridCol w:w="840"/>
        <w:gridCol w:w="1462"/>
      </w:tblGrid>
      <w:tr w:rsidR="00134157" w:rsidRPr="00EF2E8A" w14:paraId="041EC193" w14:textId="77777777" w:rsidTr="009165A3">
        <w:trPr>
          <w:cnfStyle w:val="100000000000" w:firstRow="1" w:lastRow="0" w:firstColumn="0" w:lastColumn="0" w:oddVBand="0" w:evenVBand="0" w:oddHBand="0" w:evenHBand="0" w:firstRowFirstColumn="0" w:firstRowLastColumn="0" w:lastRowFirstColumn="0" w:lastRowLastColumn="0"/>
          <w:tblHeader/>
        </w:trPr>
        <w:tc>
          <w:tcPr>
            <w:tcW w:w="795" w:type="pct"/>
            <w:tcBorders>
              <w:top w:val="single" w:sz="4" w:space="0" w:color="auto"/>
              <w:bottom w:val="single" w:sz="4" w:space="0" w:color="auto"/>
              <w:right w:val="single" w:sz="4" w:space="0" w:color="auto"/>
            </w:tcBorders>
            <w:shd w:val="clear" w:color="auto" w:fill="auto"/>
          </w:tcPr>
          <w:p w14:paraId="1235C06D" w14:textId="2321A9C1" w:rsidR="00DB6F47" w:rsidRPr="00EF2E8A" w:rsidRDefault="00DB6F47" w:rsidP="00591C83">
            <w:pPr>
              <w:keepNext/>
              <w:spacing w:before="0"/>
              <w:jc w:val="left"/>
              <w:rPr>
                <w:rFonts w:ascii="Arial Narrow" w:eastAsiaTheme="minorHAnsi" w:hAnsi="Arial Narrow" w:cs="Calibri"/>
                <w:bCs/>
                <w:sz w:val="20"/>
                <w:lang w:val="en-AU"/>
              </w:rPr>
            </w:pPr>
            <w:r w:rsidRPr="00EF2E8A">
              <w:rPr>
                <w:rFonts w:ascii="Arial Narrow" w:eastAsiaTheme="minorHAnsi" w:hAnsi="Arial Narrow" w:cs="Calibri"/>
                <w:bCs/>
                <w:sz w:val="20"/>
                <w:lang w:val="en-AU"/>
              </w:rPr>
              <w:t>Analysis</w:t>
            </w:r>
          </w:p>
          <w:p w14:paraId="1456C68B" w14:textId="3351587B" w:rsidR="00FF1433" w:rsidRPr="00EF2E8A" w:rsidRDefault="00FF1433" w:rsidP="00591C83">
            <w:pPr>
              <w:keepNext/>
              <w:spacing w:before="0"/>
              <w:jc w:val="left"/>
              <w:rPr>
                <w:rFonts w:ascii="Arial Narrow" w:eastAsiaTheme="minorHAnsi" w:hAnsi="Arial Narrow" w:cs="Calibri"/>
                <w:sz w:val="20"/>
                <w:lang w:val="en-AU"/>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00B8EEC" w14:textId="43DC1EF4" w:rsidR="00FF1433" w:rsidRPr="00EF2E8A" w:rsidRDefault="00FF1433" w:rsidP="00591C83">
            <w:pPr>
              <w:keepNext/>
              <w:spacing w:before="0"/>
              <w:jc w:val="left"/>
              <w:rPr>
                <w:rFonts w:ascii="Arial Narrow" w:eastAsiaTheme="minorHAnsi" w:hAnsi="Arial Narrow" w:cs="Calibri"/>
                <w:kern w:val="24"/>
                <w:sz w:val="20"/>
                <w:lang w:val="en-AU"/>
              </w:rPr>
            </w:pPr>
            <w:r w:rsidRPr="00EF2E8A">
              <w:rPr>
                <w:rFonts w:ascii="Arial Narrow" w:eastAsiaTheme="minorHAnsi" w:hAnsi="Arial Narrow" w:cs="Calibri"/>
                <w:kern w:val="24"/>
                <w:sz w:val="20"/>
                <w:lang w:val="en-AU"/>
              </w:rPr>
              <w:t>n/N with event (%)</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3676D810" w14:textId="4B2A6100" w:rsidR="00FF1433" w:rsidRPr="00EF2E8A" w:rsidRDefault="00FF1433" w:rsidP="00591C83">
            <w:pPr>
              <w:keepNext/>
              <w:spacing w:before="0"/>
              <w:jc w:val="left"/>
              <w:rPr>
                <w:rFonts w:ascii="Arial Narrow" w:eastAsia="Times New Roman" w:hAnsi="Arial Narrow"/>
                <w:sz w:val="20"/>
                <w:lang w:val="en-AU"/>
              </w:rPr>
            </w:pPr>
            <w:r w:rsidRPr="00EF2E8A">
              <w:rPr>
                <w:rFonts w:ascii="Arial Narrow" w:eastAsia="Times New Roman" w:hAnsi="Arial Narrow" w:cs="Calibri"/>
                <w:kern w:val="24"/>
                <w:sz w:val="20"/>
                <w:lang w:val="en-AU"/>
              </w:rPr>
              <w:t>Median time to PFS</w:t>
            </w:r>
            <w:r w:rsidR="00122BDD" w:rsidRPr="00EF2E8A">
              <w:rPr>
                <w:rFonts w:ascii="Arial Narrow" w:eastAsia="Times New Roman" w:hAnsi="Arial Narrow" w:cs="Calibri"/>
                <w:kern w:val="24"/>
                <w:sz w:val="20"/>
                <w:lang w:val="en-AU"/>
              </w:rPr>
              <w:t xml:space="preserve"> event</w:t>
            </w:r>
            <w:r w:rsidRPr="00EF2E8A">
              <w:rPr>
                <w:rFonts w:ascii="Arial Narrow" w:eastAsia="Times New Roman" w:hAnsi="Arial Narrow" w:cs="Calibri"/>
                <w:kern w:val="24"/>
                <w:sz w:val="20"/>
                <w:lang w:val="en-AU"/>
              </w:rPr>
              <w:t xml:space="preserve"> (mo)</w:t>
            </w:r>
          </w:p>
          <w:p w14:paraId="084BBFF9" w14:textId="77777777" w:rsidR="00FF1433" w:rsidRPr="00EF2E8A" w:rsidRDefault="00FF1433" w:rsidP="00591C83">
            <w:pPr>
              <w:keepNext/>
              <w:spacing w:before="0"/>
              <w:jc w:val="left"/>
              <w:rPr>
                <w:rFonts w:ascii="Arial Narrow" w:eastAsia="Times New Roman" w:hAnsi="Arial Narrow" w:cs="Calibri"/>
                <w:kern w:val="24"/>
                <w:sz w:val="20"/>
                <w:lang w:val="en-AU"/>
              </w:rPr>
            </w:pPr>
            <w:r w:rsidRPr="00EF2E8A">
              <w:rPr>
                <w:rFonts w:ascii="Arial Narrow" w:eastAsia="Times New Roman" w:hAnsi="Arial Narrow" w:cs="Calibri"/>
                <w:kern w:val="24"/>
                <w:sz w:val="20"/>
                <w:lang w:val="en-AU"/>
              </w:rPr>
              <w:t>(95% CI)</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5D1064FC" w14:textId="77777777" w:rsidR="00FF1433" w:rsidRPr="00EF2E8A" w:rsidRDefault="00FF1433" w:rsidP="00591C83">
            <w:pPr>
              <w:keepNext/>
              <w:spacing w:before="0"/>
              <w:jc w:val="left"/>
              <w:rPr>
                <w:rFonts w:ascii="Arial Narrow" w:eastAsiaTheme="minorHAnsi" w:hAnsi="Arial Narrow" w:cs="Calibri"/>
                <w:kern w:val="24"/>
                <w:sz w:val="20"/>
                <w:lang w:val="en-AU"/>
              </w:rPr>
            </w:pPr>
            <w:r w:rsidRPr="00EF2E8A">
              <w:rPr>
                <w:rFonts w:ascii="Arial Narrow" w:eastAsiaTheme="minorHAnsi" w:hAnsi="Arial Narrow" w:cs="Calibri"/>
                <w:kern w:val="24"/>
                <w:sz w:val="20"/>
                <w:lang w:val="en-AU"/>
              </w:rPr>
              <w:t>n/N with event (%)</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58FEF3DB" w14:textId="36257DC6" w:rsidR="00FF1433" w:rsidRPr="00EF2E8A" w:rsidRDefault="00FF1433" w:rsidP="00591C83">
            <w:pPr>
              <w:keepNext/>
              <w:spacing w:before="0"/>
              <w:jc w:val="left"/>
              <w:rPr>
                <w:rFonts w:ascii="Arial Narrow" w:eastAsiaTheme="minorHAnsi" w:hAnsi="Arial Narrow" w:cs="Calibri"/>
                <w:kern w:val="24"/>
                <w:sz w:val="20"/>
                <w:lang w:val="en-AU"/>
              </w:rPr>
            </w:pPr>
            <w:r w:rsidRPr="00EF2E8A">
              <w:rPr>
                <w:rFonts w:ascii="Arial Narrow" w:eastAsiaTheme="minorHAnsi" w:hAnsi="Arial Narrow" w:cs="Calibri"/>
                <w:kern w:val="24"/>
                <w:sz w:val="20"/>
                <w:lang w:val="en-AU"/>
              </w:rPr>
              <w:t>Median time to PFS</w:t>
            </w:r>
            <w:r w:rsidR="00122BDD" w:rsidRPr="00EF2E8A">
              <w:rPr>
                <w:rFonts w:ascii="Arial Narrow" w:eastAsiaTheme="minorHAnsi" w:hAnsi="Arial Narrow" w:cs="Calibri"/>
                <w:kern w:val="24"/>
                <w:sz w:val="20"/>
                <w:lang w:val="en-AU"/>
              </w:rPr>
              <w:t xml:space="preserve"> event</w:t>
            </w:r>
            <w:r w:rsidRPr="00EF2E8A">
              <w:rPr>
                <w:rFonts w:ascii="Arial Narrow" w:eastAsiaTheme="minorHAnsi" w:hAnsi="Arial Narrow" w:cs="Calibri"/>
                <w:kern w:val="24"/>
                <w:sz w:val="20"/>
                <w:lang w:val="en-AU"/>
              </w:rPr>
              <w:t xml:space="preserve"> (mo)</w:t>
            </w:r>
          </w:p>
          <w:p w14:paraId="47DE105E" w14:textId="77777777" w:rsidR="00FF1433" w:rsidRPr="00EF2E8A" w:rsidRDefault="00FF1433" w:rsidP="00591C83">
            <w:pPr>
              <w:keepNext/>
              <w:spacing w:before="0"/>
              <w:jc w:val="left"/>
              <w:rPr>
                <w:rFonts w:ascii="Arial Narrow" w:eastAsiaTheme="minorHAnsi" w:hAnsi="Arial Narrow" w:cs="Calibri"/>
                <w:kern w:val="24"/>
                <w:sz w:val="20"/>
                <w:lang w:val="en-AU"/>
              </w:rPr>
            </w:pPr>
            <w:r w:rsidRPr="00EF2E8A">
              <w:rPr>
                <w:rFonts w:ascii="Arial Narrow" w:eastAsiaTheme="minorHAnsi" w:hAnsi="Arial Narrow" w:cs="Calibri"/>
                <w:kern w:val="24"/>
                <w:sz w:val="20"/>
                <w:lang w:val="en-AU"/>
              </w:rPr>
              <w:t>(95% CI)</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D26D0FF" w14:textId="77777777" w:rsidR="00FF1433" w:rsidRPr="00EF2E8A" w:rsidRDefault="00FF1433" w:rsidP="00591C83">
            <w:pPr>
              <w:keepNext/>
              <w:spacing w:before="0"/>
              <w:jc w:val="left"/>
              <w:rPr>
                <w:rFonts w:ascii="Arial Narrow" w:eastAsiaTheme="minorHAnsi" w:hAnsi="Arial Narrow" w:cs="Calibri"/>
                <w:sz w:val="20"/>
                <w:lang w:val="en-AU"/>
              </w:rPr>
            </w:pPr>
            <w:r w:rsidRPr="00EF2E8A">
              <w:rPr>
                <w:rFonts w:ascii="Arial Narrow" w:eastAsiaTheme="minorHAnsi" w:hAnsi="Arial Narrow" w:cs="Calibri"/>
                <w:sz w:val="20"/>
                <w:lang w:val="en-AU"/>
              </w:rPr>
              <w:t>Difference in median</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452CA13A" w14:textId="36F2A28D" w:rsidR="00FF1433" w:rsidRPr="00EF2E8A" w:rsidRDefault="00FF1433" w:rsidP="00591C83">
            <w:pPr>
              <w:keepNext/>
              <w:spacing w:before="0"/>
              <w:jc w:val="left"/>
              <w:rPr>
                <w:rFonts w:ascii="Arial Narrow" w:eastAsiaTheme="minorHAnsi" w:hAnsi="Arial Narrow" w:cs="Calibri"/>
                <w:sz w:val="20"/>
                <w:lang w:val="en-AU"/>
              </w:rPr>
            </w:pPr>
            <w:r w:rsidRPr="00EF2E8A">
              <w:rPr>
                <w:rFonts w:ascii="Arial Narrow" w:eastAsiaTheme="minorHAnsi" w:hAnsi="Arial Narrow" w:cs="Calibri"/>
                <w:sz w:val="20"/>
                <w:lang w:val="en-AU"/>
              </w:rPr>
              <w:t>P</w:t>
            </w:r>
            <w:r w:rsidR="00A46D2B">
              <w:rPr>
                <w:rFonts w:ascii="Arial Narrow" w:eastAsiaTheme="minorHAnsi" w:hAnsi="Arial Narrow" w:cs="Calibri"/>
                <w:sz w:val="20"/>
                <w:lang w:val="en-AU"/>
              </w:rPr>
              <w:noBreakHyphen/>
            </w:r>
            <w:r w:rsidRPr="00EF2E8A">
              <w:rPr>
                <w:rFonts w:ascii="Arial Narrow" w:eastAsiaTheme="minorHAnsi" w:hAnsi="Arial Narrow" w:cs="Calibri"/>
                <w:sz w:val="20"/>
                <w:lang w:val="en-AU"/>
              </w:rPr>
              <w:t>value (log rank test)</w:t>
            </w:r>
          </w:p>
        </w:tc>
        <w:tc>
          <w:tcPr>
            <w:tcW w:w="811" w:type="pct"/>
            <w:tcBorders>
              <w:top w:val="single" w:sz="4" w:space="0" w:color="auto"/>
              <w:left w:val="single" w:sz="4" w:space="0" w:color="auto"/>
              <w:bottom w:val="single" w:sz="4" w:space="0" w:color="auto"/>
            </w:tcBorders>
            <w:shd w:val="clear" w:color="auto" w:fill="auto"/>
          </w:tcPr>
          <w:p w14:paraId="5C31F8B3" w14:textId="77777777" w:rsidR="00FF1433" w:rsidRPr="00EF2E8A" w:rsidRDefault="00FF1433" w:rsidP="00591C83">
            <w:pPr>
              <w:keepNext/>
              <w:spacing w:before="0"/>
              <w:jc w:val="left"/>
              <w:rPr>
                <w:rFonts w:ascii="Arial Narrow" w:eastAsiaTheme="minorHAnsi" w:hAnsi="Arial Narrow" w:cs="Calibri"/>
                <w:sz w:val="20"/>
                <w:lang w:val="en-AU"/>
              </w:rPr>
            </w:pPr>
            <w:r w:rsidRPr="00EF2E8A">
              <w:rPr>
                <w:rFonts w:ascii="Arial Narrow" w:eastAsiaTheme="minorHAnsi" w:hAnsi="Arial Narrow" w:cs="Calibri"/>
                <w:sz w:val="20"/>
                <w:lang w:val="en-AU"/>
              </w:rPr>
              <w:t>HR (95% CI)</w:t>
            </w:r>
          </w:p>
        </w:tc>
      </w:tr>
      <w:tr w:rsidR="00FF1433" w:rsidRPr="00EF2E8A" w14:paraId="0CDCD1FE" w14:textId="77777777" w:rsidTr="00134157">
        <w:tc>
          <w:tcPr>
            <w:tcW w:w="5000" w:type="pct"/>
            <w:gridSpan w:val="8"/>
            <w:tcBorders>
              <w:top w:val="single" w:sz="4" w:space="0" w:color="auto"/>
              <w:bottom w:val="single" w:sz="4" w:space="0" w:color="auto"/>
            </w:tcBorders>
            <w:shd w:val="clear" w:color="auto" w:fill="F2F2F2" w:themeFill="background1" w:themeFillShade="F2"/>
          </w:tcPr>
          <w:p w14:paraId="2AF4D003" w14:textId="77777777" w:rsidR="00FF1433" w:rsidRPr="00EF2E8A" w:rsidRDefault="00FF1433" w:rsidP="00591C83">
            <w:pPr>
              <w:keepNext/>
              <w:autoSpaceDE w:val="0"/>
              <w:autoSpaceDN w:val="0"/>
              <w:adjustRightInd w:val="0"/>
              <w:spacing w:before="0"/>
              <w:jc w:val="left"/>
              <w:rPr>
                <w:rFonts w:ascii="Arial Narrow" w:hAnsi="Arial Narrow" w:cs="Calibri"/>
                <w:b/>
                <w:color w:val="000000"/>
                <w:sz w:val="20"/>
                <w:lang w:val="en-AU"/>
              </w:rPr>
            </w:pPr>
            <w:r w:rsidRPr="00EF2E8A">
              <w:rPr>
                <w:rFonts w:ascii="Arial Narrow" w:hAnsi="Arial Narrow" w:cs="Calibri"/>
                <w:b/>
                <w:color w:val="000000"/>
                <w:sz w:val="20"/>
                <w:lang w:val="en-AU"/>
              </w:rPr>
              <w:t>PFS – Whole trial population</w:t>
            </w:r>
          </w:p>
        </w:tc>
      </w:tr>
      <w:tr w:rsidR="00134157" w:rsidRPr="00EF2E8A" w14:paraId="59BD9874" w14:textId="77777777" w:rsidTr="009165A3">
        <w:trPr>
          <w:trHeight w:val="277"/>
          <w:tblHeader/>
        </w:trPr>
        <w:tc>
          <w:tcPr>
            <w:tcW w:w="795" w:type="pct"/>
            <w:tcBorders>
              <w:top w:val="single" w:sz="4" w:space="0" w:color="auto"/>
              <w:bottom w:val="single" w:sz="4" w:space="0" w:color="auto"/>
              <w:right w:val="single" w:sz="4" w:space="0" w:color="auto"/>
            </w:tcBorders>
            <w:shd w:val="clear" w:color="auto" w:fill="auto"/>
          </w:tcPr>
          <w:p w14:paraId="0E70BB05" w14:textId="77777777" w:rsidR="00134157" w:rsidRPr="00EF2E8A" w:rsidRDefault="00134157" w:rsidP="00591C83">
            <w:pPr>
              <w:spacing w:before="0"/>
              <w:jc w:val="left"/>
              <w:rPr>
                <w:rFonts w:ascii="Arial Narrow" w:eastAsiaTheme="minorHAnsi" w:hAnsi="Arial Narrow" w:cs="Calibri"/>
                <w:sz w:val="20"/>
                <w:lang w:val="en-A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tcPr>
          <w:p w14:paraId="15C355B5" w14:textId="77777777" w:rsidR="00134157" w:rsidRPr="00EF2E8A" w:rsidRDefault="00134157" w:rsidP="00591C83">
            <w:pPr>
              <w:spacing w:before="0"/>
              <w:jc w:val="left"/>
              <w:rPr>
                <w:rFonts w:ascii="Arial Narrow" w:eastAsiaTheme="minorHAnsi" w:hAnsi="Arial Narrow" w:cs="Calibri"/>
                <w:b/>
                <w:sz w:val="20"/>
                <w:lang w:val="en-AU"/>
              </w:rPr>
            </w:pPr>
            <w:r w:rsidRPr="00EF2E8A">
              <w:rPr>
                <w:rFonts w:ascii="Arial Narrow" w:eastAsiaTheme="minorHAnsi" w:hAnsi="Arial Narrow" w:cs="Calibri"/>
                <w:b/>
                <w:sz w:val="20"/>
                <w:lang w:val="en-AU"/>
              </w:rPr>
              <w:t>MIRV (N=248)</w:t>
            </w: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tcPr>
          <w:p w14:paraId="01BBBEA6" w14:textId="77777777" w:rsidR="00134157" w:rsidRPr="00EF2E8A" w:rsidRDefault="00134157" w:rsidP="00591C83">
            <w:pPr>
              <w:spacing w:before="0"/>
              <w:jc w:val="left"/>
              <w:rPr>
                <w:rFonts w:ascii="Arial Narrow" w:eastAsiaTheme="minorHAnsi" w:hAnsi="Arial Narrow" w:cs="Calibri"/>
                <w:b/>
                <w:sz w:val="20"/>
                <w:lang w:val="en-AU"/>
              </w:rPr>
            </w:pPr>
            <w:r w:rsidRPr="00EF2E8A">
              <w:rPr>
                <w:rFonts w:ascii="Arial Narrow" w:eastAsiaTheme="minorHAnsi" w:hAnsi="Arial Narrow" w:cs="Calibri"/>
                <w:b/>
                <w:sz w:val="20"/>
                <w:lang w:val="en-AU"/>
              </w:rPr>
              <w:t>ICC (N=118)</w:t>
            </w:r>
          </w:p>
        </w:tc>
        <w:tc>
          <w:tcPr>
            <w:tcW w:w="1808" w:type="pct"/>
            <w:gridSpan w:val="3"/>
            <w:tcBorders>
              <w:top w:val="single" w:sz="4" w:space="0" w:color="auto"/>
              <w:left w:val="single" w:sz="4" w:space="0" w:color="auto"/>
              <w:bottom w:val="single" w:sz="4" w:space="0" w:color="auto"/>
            </w:tcBorders>
            <w:shd w:val="clear" w:color="auto" w:fill="auto"/>
          </w:tcPr>
          <w:p w14:paraId="1EB67BF1" w14:textId="77777777" w:rsidR="00134157" w:rsidRPr="00EF2E8A" w:rsidRDefault="00134157" w:rsidP="00591C83">
            <w:pPr>
              <w:spacing w:before="0"/>
              <w:jc w:val="center"/>
              <w:rPr>
                <w:rFonts w:ascii="Arial Narrow" w:eastAsiaTheme="minorHAnsi" w:hAnsi="Arial Narrow" w:cs="Calibri"/>
                <w:sz w:val="20"/>
                <w:lang w:val="en-AU"/>
              </w:rPr>
            </w:pPr>
          </w:p>
        </w:tc>
      </w:tr>
      <w:tr w:rsidR="00134157" w:rsidRPr="00EF2E8A" w14:paraId="421D6314" w14:textId="77777777" w:rsidTr="009165A3">
        <w:tc>
          <w:tcPr>
            <w:tcW w:w="795" w:type="pct"/>
            <w:tcBorders>
              <w:bottom w:val="nil"/>
            </w:tcBorders>
            <w:hideMark/>
          </w:tcPr>
          <w:p w14:paraId="598E740E" w14:textId="287089FD" w:rsidR="00FF1433" w:rsidRPr="00EF2E8A" w:rsidRDefault="00FF1433" w:rsidP="00591C83">
            <w:pPr>
              <w:keepNext/>
              <w:spacing w:before="0"/>
              <w:rPr>
                <w:rFonts w:ascii="Arial Narrow" w:eastAsiaTheme="minorHAnsi" w:hAnsi="Arial Narrow" w:cs="Calibri"/>
                <w:sz w:val="20"/>
                <w:lang w:val="en-AU"/>
              </w:rPr>
            </w:pPr>
            <w:r w:rsidRPr="00EF2E8A">
              <w:rPr>
                <w:rFonts w:ascii="Arial Narrow" w:eastAsiaTheme="minorHAnsi" w:hAnsi="Arial Narrow"/>
                <w:sz w:val="20"/>
                <w:lang w:val="en-AU"/>
              </w:rPr>
              <w:t>ITT</w:t>
            </w:r>
          </w:p>
        </w:tc>
        <w:tc>
          <w:tcPr>
            <w:tcW w:w="601" w:type="pct"/>
            <w:tcBorders>
              <w:bottom w:val="nil"/>
            </w:tcBorders>
          </w:tcPr>
          <w:p w14:paraId="69B5F293" w14:textId="6EAF08D8"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174/248 </w:t>
            </w:r>
          </w:p>
          <w:p w14:paraId="490715BA" w14:textId="0F2A6D76"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(70%)</w:t>
            </w:r>
          </w:p>
        </w:tc>
        <w:tc>
          <w:tcPr>
            <w:tcW w:w="597" w:type="pct"/>
            <w:tcBorders>
              <w:bottom w:val="nil"/>
            </w:tcBorders>
          </w:tcPr>
          <w:p w14:paraId="1BCE76F6"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4.14 </w:t>
            </w:r>
          </w:p>
          <w:p w14:paraId="2FD955D7" w14:textId="566FD86B"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(3.75, 4.53) </w:t>
            </w:r>
          </w:p>
        </w:tc>
        <w:tc>
          <w:tcPr>
            <w:tcW w:w="606" w:type="pct"/>
            <w:tcBorders>
              <w:bottom w:val="nil"/>
            </w:tcBorders>
          </w:tcPr>
          <w:p w14:paraId="2CE2E516"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70/118 </w:t>
            </w:r>
          </w:p>
          <w:p w14:paraId="3FBEE7B5" w14:textId="330DA0E9"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(59%)</w:t>
            </w:r>
          </w:p>
        </w:tc>
        <w:tc>
          <w:tcPr>
            <w:tcW w:w="592" w:type="pct"/>
            <w:tcBorders>
              <w:bottom w:val="nil"/>
            </w:tcBorders>
          </w:tcPr>
          <w:p w14:paraId="3F774D99"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4.44 </w:t>
            </w:r>
          </w:p>
          <w:p w14:paraId="19CBD2FD" w14:textId="254E148E"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(2.83, 5.59)</w:t>
            </w:r>
          </w:p>
        </w:tc>
        <w:tc>
          <w:tcPr>
            <w:tcW w:w="532" w:type="pct"/>
            <w:tcBorders>
              <w:bottom w:val="nil"/>
            </w:tcBorders>
          </w:tcPr>
          <w:p w14:paraId="3B69EB48" w14:textId="23F5CD4F" w:rsidR="00FF1433" w:rsidRPr="00EF2E8A" w:rsidRDefault="00A46D2B" w:rsidP="00591C83">
            <w:pPr>
              <w:keepNext/>
              <w:spacing w:before="0"/>
              <w:jc w:val="center"/>
              <w:rPr>
                <w:rFonts w:ascii="Arial Narrow" w:eastAsiaTheme="minorHAnsi" w:hAnsi="Arial Narrow" w:cs="Calibri"/>
                <w:sz w:val="20"/>
                <w:lang w:val="en-AU"/>
              </w:rPr>
            </w:pPr>
            <w:r>
              <w:rPr>
                <w:rFonts w:ascii="Arial Narrow" w:eastAsiaTheme="minorHAnsi" w:hAnsi="Arial Narrow" w:cs="Calibri"/>
                <w:sz w:val="20"/>
                <w:lang w:val="en-AU"/>
              </w:rPr>
              <w:noBreakHyphen/>
            </w:r>
            <w:r w:rsidR="00FF1433" w:rsidRPr="00EF2E8A">
              <w:rPr>
                <w:rFonts w:ascii="Arial Narrow" w:eastAsiaTheme="minorHAnsi" w:hAnsi="Arial Narrow" w:cs="Calibri"/>
                <w:sz w:val="20"/>
                <w:lang w:val="en-AU"/>
              </w:rPr>
              <w:t>0.3</w:t>
            </w:r>
          </w:p>
        </w:tc>
        <w:tc>
          <w:tcPr>
            <w:tcW w:w="466" w:type="pct"/>
            <w:tcBorders>
              <w:bottom w:val="nil"/>
            </w:tcBorders>
          </w:tcPr>
          <w:p w14:paraId="69740BE9" w14:textId="7777777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0.897</w:t>
            </w:r>
          </w:p>
        </w:tc>
        <w:tc>
          <w:tcPr>
            <w:tcW w:w="811" w:type="pct"/>
            <w:tcBorders>
              <w:bottom w:val="nil"/>
            </w:tcBorders>
          </w:tcPr>
          <w:p w14:paraId="76CABE3F"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0.981 </w:t>
            </w:r>
          </w:p>
          <w:p w14:paraId="23F9D2EC" w14:textId="22501F3A"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(0.734, 1.310)</w:t>
            </w:r>
          </w:p>
        </w:tc>
      </w:tr>
      <w:tr w:rsidR="00FF1433" w:rsidRPr="00EF2E8A" w14:paraId="416376CB" w14:textId="77777777" w:rsidTr="00134157">
        <w:tc>
          <w:tcPr>
            <w:tcW w:w="5000" w:type="pct"/>
            <w:gridSpan w:val="8"/>
            <w:tcBorders>
              <w:bottom w:val="single" w:sz="4" w:space="0" w:color="auto"/>
            </w:tcBorders>
            <w:shd w:val="clear" w:color="auto" w:fill="F2F2F2" w:themeFill="background1" w:themeFillShade="F2"/>
          </w:tcPr>
          <w:p w14:paraId="7C6ECAB5" w14:textId="4812E0E1" w:rsidR="00FF1433" w:rsidRPr="00EF2E8A" w:rsidRDefault="00FF1433" w:rsidP="00591C83">
            <w:pPr>
              <w:keepNext/>
              <w:autoSpaceDE w:val="0"/>
              <w:autoSpaceDN w:val="0"/>
              <w:adjustRightInd w:val="0"/>
              <w:spacing w:before="0"/>
              <w:jc w:val="left"/>
              <w:rPr>
                <w:rFonts w:ascii="Arial Narrow" w:hAnsi="Arial Narrow" w:cs="Calibri"/>
                <w:b/>
                <w:sz w:val="20"/>
                <w:highlight w:val="yellow"/>
                <w:lang w:val="en-AU"/>
              </w:rPr>
            </w:pPr>
            <w:r w:rsidRPr="00EF2E8A">
              <w:rPr>
                <w:rFonts w:ascii="Arial Narrow" w:hAnsi="Arial Narrow" w:cs="Calibri"/>
                <w:b/>
                <w:sz w:val="20"/>
                <w:lang w:val="en-AU"/>
              </w:rPr>
              <w:t>PFS – FRα</w:t>
            </w:r>
            <w:r w:rsidR="00A46D2B">
              <w:rPr>
                <w:rFonts w:ascii="Arial Narrow" w:hAnsi="Arial Narrow" w:cs="Calibri"/>
                <w:b/>
                <w:sz w:val="20"/>
                <w:lang w:val="en-AU"/>
              </w:rPr>
              <w:noBreakHyphen/>
            </w:r>
            <w:r w:rsidRPr="00EF2E8A">
              <w:rPr>
                <w:rFonts w:ascii="Arial Narrow" w:hAnsi="Arial Narrow" w:cs="Calibri"/>
                <w:b/>
                <w:sz w:val="20"/>
                <w:lang w:val="en-AU"/>
              </w:rPr>
              <w:t>high (≥75%, using 10X scoring) (pre</w:t>
            </w:r>
            <w:r w:rsidR="00A46D2B">
              <w:rPr>
                <w:rFonts w:ascii="Arial Narrow" w:hAnsi="Arial Narrow" w:cs="Calibri"/>
                <w:b/>
                <w:sz w:val="20"/>
                <w:lang w:val="en-AU"/>
              </w:rPr>
              <w:noBreakHyphen/>
            </w:r>
            <w:r w:rsidRPr="00EF2E8A">
              <w:rPr>
                <w:rFonts w:ascii="Arial Narrow" w:hAnsi="Arial Narrow" w:cs="Calibri"/>
                <w:b/>
                <w:sz w:val="20"/>
                <w:lang w:val="en-AU"/>
              </w:rPr>
              <w:t>specified)</w:t>
            </w:r>
          </w:p>
        </w:tc>
      </w:tr>
      <w:tr w:rsidR="005C0536" w:rsidRPr="00EF2E8A" w14:paraId="69BE4C6B" w14:textId="77777777" w:rsidTr="00134157">
        <w:trPr>
          <w:tblHeader/>
        </w:trPr>
        <w:tc>
          <w:tcPr>
            <w:tcW w:w="795" w:type="pct"/>
            <w:tcBorders>
              <w:top w:val="single" w:sz="4" w:space="0" w:color="auto"/>
              <w:bottom w:val="single" w:sz="4" w:space="0" w:color="auto"/>
              <w:right w:val="single" w:sz="4" w:space="0" w:color="auto"/>
            </w:tcBorders>
            <w:shd w:val="clear" w:color="auto" w:fill="auto"/>
          </w:tcPr>
          <w:p w14:paraId="1FD11919" w14:textId="77777777" w:rsidR="00134157" w:rsidRPr="00EF2E8A" w:rsidRDefault="00134157" w:rsidP="00591C83">
            <w:pPr>
              <w:spacing w:before="0"/>
              <w:rPr>
                <w:rFonts w:ascii="Arial Narrow" w:eastAsiaTheme="minorHAnsi" w:hAnsi="Arial Narrow" w:cs="Calibri"/>
                <w:b/>
                <w:sz w:val="20"/>
                <w:lang w:val="en-A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tcPr>
          <w:p w14:paraId="33BC9545" w14:textId="77777777" w:rsidR="00134157" w:rsidRPr="00EF2E8A" w:rsidRDefault="00134157" w:rsidP="00591C83">
            <w:pPr>
              <w:spacing w:before="0"/>
              <w:jc w:val="left"/>
              <w:rPr>
                <w:rFonts w:ascii="Arial Narrow" w:eastAsiaTheme="minorHAnsi" w:hAnsi="Arial Narrow" w:cs="Calibri"/>
                <w:b/>
                <w:sz w:val="20"/>
                <w:lang w:val="en-AU"/>
              </w:rPr>
            </w:pPr>
            <w:r w:rsidRPr="00EF2E8A">
              <w:rPr>
                <w:rFonts w:ascii="Arial Narrow" w:eastAsiaTheme="minorHAnsi" w:hAnsi="Arial Narrow" w:cs="Calibri"/>
                <w:b/>
                <w:sz w:val="20"/>
                <w:lang w:val="en-AU"/>
              </w:rPr>
              <w:t>MIRV (N=147)</w:t>
            </w: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tcPr>
          <w:p w14:paraId="64B752F4" w14:textId="77777777" w:rsidR="00134157" w:rsidRPr="00EF2E8A" w:rsidRDefault="00134157" w:rsidP="00591C83">
            <w:pPr>
              <w:spacing w:before="0"/>
              <w:jc w:val="left"/>
              <w:rPr>
                <w:rFonts w:ascii="Arial Narrow" w:eastAsiaTheme="minorHAnsi" w:hAnsi="Arial Narrow" w:cs="Calibri"/>
                <w:b/>
                <w:sz w:val="20"/>
                <w:lang w:val="en-AU"/>
              </w:rPr>
            </w:pPr>
            <w:r w:rsidRPr="00EF2E8A">
              <w:rPr>
                <w:rFonts w:ascii="Arial Narrow" w:eastAsiaTheme="minorHAnsi" w:hAnsi="Arial Narrow" w:cs="Calibri"/>
                <w:b/>
                <w:sz w:val="20"/>
                <w:lang w:val="en-AU"/>
              </w:rPr>
              <w:t>ICC (N=71)</w:t>
            </w:r>
          </w:p>
        </w:tc>
        <w:tc>
          <w:tcPr>
            <w:tcW w:w="1808" w:type="pct"/>
            <w:gridSpan w:val="3"/>
            <w:tcBorders>
              <w:top w:val="single" w:sz="4" w:space="0" w:color="auto"/>
              <w:left w:val="single" w:sz="4" w:space="0" w:color="auto"/>
              <w:bottom w:val="single" w:sz="4" w:space="0" w:color="auto"/>
            </w:tcBorders>
            <w:shd w:val="clear" w:color="auto" w:fill="auto"/>
          </w:tcPr>
          <w:p w14:paraId="162377F9" w14:textId="77777777" w:rsidR="00134157" w:rsidRPr="00EF2E8A" w:rsidRDefault="00134157" w:rsidP="00591C83">
            <w:pPr>
              <w:spacing w:before="0"/>
              <w:jc w:val="center"/>
              <w:rPr>
                <w:rFonts w:ascii="Arial Narrow" w:eastAsiaTheme="minorHAnsi" w:hAnsi="Arial Narrow" w:cs="Calibri"/>
                <w:sz w:val="20"/>
                <w:lang w:val="en-AU"/>
              </w:rPr>
            </w:pPr>
          </w:p>
        </w:tc>
      </w:tr>
      <w:tr w:rsidR="00134157" w:rsidRPr="00EF2E8A" w14:paraId="21129452" w14:textId="77777777" w:rsidTr="009165A3">
        <w:tc>
          <w:tcPr>
            <w:tcW w:w="795" w:type="pct"/>
            <w:tcBorders>
              <w:top w:val="single" w:sz="4" w:space="0" w:color="auto"/>
              <w:left w:val="single" w:sz="4" w:space="0" w:color="auto"/>
              <w:bottom w:val="single" w:sz="4" w:space="0" w:color="auto"/>
              <w:right w:val="single" w:sz="4" w:space="0" w:color="auto"/>
            </w:tcBorders>
            <w:shd w:val="clear" w:color="auto" w:fill="auto"/>
          </w:tcPr>
          <w:p w14:paraId="44869138" w14:textId="0C9FD71A" w:rsidR="00FF1433" w:rsidRPr="00EF2E8A" w:rsidRDefault="00FF1433" w:rsidP="00591C83">
            <w:pPr>
              <w:keepNext/>
              <w:spacing w:before="0"/>
              <w:rPr>
                <w:rFonts w:ascii="Arial Narrow" w:eastAsiaTheme="minorHAnsi" w:hAnsi="Arial Narrow" w:cs="Calibri"/>
                <w:sz w:val="20"/>
                <w:lang w:val="en-AU"/>
              </w:rPr>
            </w:pPr>
            <w:r w:rsidRPr="00EF2E8A">
              <w:rPr>
                <w:rFonts w:ascii="Arial Narrow" w:eastAsiaTheme="minorHAnsi" w:hAnsi="Arial Narrow"/>
                <w:sz w:val="20"/>
                <w:lang w:val="en-AU"/>
              </w:rPr>
              <w:t>FRα</w:t>
            </w:r>
            <w:r w:rsidR="00A46D2B">
              <w:rPr>
                <w:rFonts w:ascii="Arial Narrow" w:eastAsiaTheme="minorHAnsi" w:hAnsi="Arial Narrow"/>
                <w:sz w:val="20"/>
                <w:lang w:val="en-AU"/>
              </w:rPr>
              <w:noBreakHyphen/>
            </w:r>
            <w:r w:rsidRPr="00EF2E8A">
              <w:rPr>
                <w:rFonts w:ascii="Arial Narrow" w:eastAsiaTheme="minorHAnsi" w:hAnsi="Arial Narrow"/>
                <w:sz w:val="20"/>
                <w:lang w:val="en-AU"/>
              </w:rPr>
              <w:t>high</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8C077C4"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93/147 </w:t>
            </w:r>
          </w:p>
          <w:p w14:paraId="797DDDD8" w14:textId="0427DFC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(63%)</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5B0AD268"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4.76 </w:t>
            </w:r>
          </w:p>
          <w:p w14:paraId="6CB492C3" w14:textId="11072B0A"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(4.11, 5.68)</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03962B74"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45/71 </w:t>
            </w:r>
          </w:p>
          <w:p w14:paraId="666F473C" w14:textId="3DBFD689"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(63%)</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9B969D1"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3.25 </w:t>
            </w:r>
          </w:p>
          <w:p w14:paraId="560CC780" w14:textId="1D9D61B0"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(1.97, 5.59)</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34E5942" w14:textId="7777777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1.51</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2FC31810" w14:textId="7777777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0.049</w:t>
            </w: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283C6400"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0.693 </w:t>
            </w:r>
          </w:p>
          <w:p w14:paraId="6A7EE48B" w14:textId="068144E3"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(0.480, 1.000)</w:t>
            </w:r>
          </w:p>
        </w:tc>
      </w:tr>
      <w:tr w:rsidR="00FF1433" w:rsidRPr="00EF2E8A" w14:paraId="45C3A628" w14:textId="77777777" w:rsidTr="00134157">
        <w:tc>
          <w:tcPr>
            <w:tcW w:w="5000" w:type="pct"/>
            <w:gridSpan w:val="8"/>
            <w:tcBorders>
              <w:bottom w:val="single" w:sz="4" w:space="0" w:color="auto"/>
            </w:tcBorders>
            <w:shd w:val="clear" w:color="auto" w:fill="F2F2F2" w:themeFill="background1" w:themeFillShade="F2"/>
          </w:tcPr>
          <w:p w14:paraId="60D0CFE0" w14:textId="2ABD4A75" w:rsidR="00FF1433" w:rsidRPr="00EF2E8A" w:rsidRDefault="00FF1433" w:rsidP="00591C83">
            <w:pPr>
              <w:keepNext/>
              <w:autoSpaceDE w:val="0"/>
              <w:autoSpaceDN w:val="0"/>
              <w:adjustRightInd w:val="0"/>
              <w:spacing w:before="0"/>
              <w:jc w:val="left"/>
              <w:rPr>
                <w:rFonts w:ascii="Arial Narrow" w:hAnsi="Arial Narrow" w:cs="Calibri"/>
                <w:b/>
                <w:sz w:val="20"/>
                <w:highlight w:val="yellow"/>
                <w:lang w:val="en-AU"/>
              </w:rPr>
            </w:pPr>
            <w:r w:rsidRPr="00EF2E8A">
              <w:rPr>
                <w:rFonts w:ascii="Arial Narrow" w:hAnsi="Arial Narrow" w:cs="Calibri"/>
                <w:b/>
                <w:sz w:val="20"/>
                <w:lang w:val="en-AU"/>
              </w:rPr>
              <w:t>PFS – FRα</w:t>
            </w:r>
            <w:r w:rsidR="00A46D2B">
              <w:rPr>
                <w:rFonts w:ascii="Arial Narrow" w:hAnsi="Arial Narrow" w:cs="Calibri"/>
                <w:b/>
                <w:sz w:val="20"/>
                <w:lang w:val="en-AU"/>
              </w:rPr>
              <w:noBreakHyphen/>
            </w:r>
            <w:r w:rsidRPr="00EF2E8A">
              <w:rPr>
                <w:rFonts w:ascii="Arial Narrow" w:hAnsi="Arial Narrow" w:cs="Calibri"/>
                <w:b/>
                <w:sz w:val="20"/>
                <w:lang w:val="en-AU"/>
              </w:rPr>
              <w:t>medium (&lt;75%, using 10X scoring) (pre</w:t>
            </w:r>
            <w:r w:rsidR="00A46D2B">
              <w:rPr>
                <w:rFonts w:ascii="Arial Narrow" w:hAnsi="Arial Narrow" w:cs="Calibri"/>
                <w:b/>
                <w:sz w:val="20"/>
                <w:lang w:val="en-AU"/>
              </w:rPr>
              <w:noBreakHyphen/>
            </w:r>
            <w:r w:rsidRPr="00EF2E8A">
              <w:rPr>
                <w:rFonts w:ascii="Arial Narrow" w:hAnsi="Arial Narrow" w:cs="Calibri"/>
                <w:b/>
                <w:sz w:val="20"/>
                <w:lang w:val="en-AU"/>
              </w:rPr>
              <w:t>specified)</w:t>
            </w:r>
          </w:p>
        </w:tc>
      </w:tr>
      <w:tr w:rsidR="00134157" w:rsidRPr="00EF2E8A" w14:paraId="766D9222" w14:textId="77777777" w:rsidTr="00134157">
        <w:trPr>
          <w:tblHeader/>
        </w:trPr>
        <w:tc>
          <w:tcPr>
            <w:tcW w:w="795" w:type="pct"/>
            <w:tcBorders>
              <w:top w:val="single" w:sz="4" w:space="0" w:color="auto"/>
              <w:bottom w:val="single" w:sz="4" w:space="0" w:color="auto"/>
              <w:right w:val="single" w:sz="4" w:space="0" w:color="auto"/>
            </w:tcBorders>
            <w:shd w:val="clear" w:color="auto" w:fill="auto"/>
          </w:tcPr>
          <w:p w14:paraId="7DCA27F1" w14:textId="77777777" w:rsidR="00134157" w:rsidRPr="00EF2E8A" w:rsidRDefault="00134157" w:rsidP="00591C83">
            <w:pPr>
              <w:spacing w:before="0"/>
              <w:rPr>
                <w:rFonts w:ascii="Arial Narrow" w:eastAsiaTheme="minorHAnsi" w:hAnsi="Arial Narrow" w:cs="Calibri"/>
                <w:sz w:val="20"/>
                <w:lang w:val="en-A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tcPr>
          <w:p w14:paraId="4F6B3978" w14:textId="03A413F3" w:rsidR="00134157" w:rsidRPr="00EF2E8A" w:rsidRDefault="00134157" w:rsidP="00591C83">
            <w:pPr>
              <w:spacing w:before="0"/>
              <w:jc w:val="left"/>
              <w:rPr>
                <w:rFonts w:ascii="Arial Narrow" w:eastAsiaTheme="minorHAnsi" w:hAnsi="Arial Narrow" w:cs="Calibri"/>
                <w:b/>
                <w:sz w:val="20"/>
                <w:lang w:val="en-AU"/>
              </w:rPr>
            </w:pPr>
            <w:r w:rsidRPr="00EF2E8A">
              <w:rPr>
                <w:rFonts w:ascii="Arial Narrow" w:eastAsiaTheme="minorHAnsi" w:hAnsi="Arial Narrow" w:cs="Calibri"/>
                <w:b/>
                <w:sz w:val="20"/>
                <w:lang w:val="en-AU"/>
              </w:rPr>
              <w:t>MIRV (N=101)</w:t>
            </w: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tcPr>
          <w:p w14:paraId="5F88803E" w14:textId="0764FABC" w:rsidR="00134157" w:rsidRPr="00EF2E8A" w:rsidRDefault="00134157" w:rsidP="00591C83">
            <w:pPr>
              <w:spacing w:before="0"/>
              <w:jc w:val="left"/>
              <w:rPr>
                <w:rFonts w:ascii="Arial Narrow" w:eastAsiaTheme="minorHAnsi" w:hAnsi="Arial Narrow" w:cs="Calibri"/>
                <w:b/>
                <w:sz w:val="20"/>
                <w:lang w:val="en-AU"/>
              </w:rPr>
            </w:pPr>
            <w:r w:rsidRPr="00EF2E8A">
              <w:rPr>
                <w:rFonts w:ascii="Arial Narrow" w:eastAsiaTheme="minorHAnsi" w:hAnsi="Arial Narrow" w:cs="Calibri"/>
                <w:b/>
                <w:sz w:val="20"/>
                <w:lang w:val="en-AU"/>
              </w:rPr>
              <w:t>ICC (N=46)</w:t>
            </w:r>
          </w:p>
        </w:tc>
        <w:tc>
          <w:tcPr>
            <w:tcW w:w="1808" w:type="pct"/>
            <w:gridSpan w:val="3"/>
            <w:tcBorders>
              <w:top w:val="single" w:sz="4" w:space="0" w:color="auto"/>
              <w:left w:val="single" w:sz="4" w:space="0" w:color="auto"/>
              <w:bottom w:val="single" w:sz="4" w:space="0" w:color="auto"/>
            </w:tcBorders>
            <w:shd w:val="clear" w:color="auto" w:fill="auto"/>
          </w:tcPr>
          <w:p w14:paraId="6CF10C31" w14:textId="77777777" w:rsidR="00134157" w:rsidRPr="00EF2E8A" w:rsidRDefault="00134157" w:rsidP="00591C83">
            <w:pPr>
              <w:spacing w:before="0"/>
              <w:jc w:val="center"/>
              <w:rPr>
                <w:rFonts w:ascii="Arial Narrow" w:eastAsiaTheme="minorHAnsi" w:hAnsi="Arial Narrow" w:cs="Calibri"/>
                <w:sz w:val="20"/>
                <w:lang w:val="en-AU"/>
              </w:rPr>
            </w:pPr>
          </w:p>
        </w:tc>
      </w:tr>
      <w:tr w:rsidR="00134157" w:rsidRPr="00EF2E8A" w14:paraId="3E7EE2D0" w14:textId="77777777" w:rsidTr="009165A3">
        <w:tc>
          <w:tcPr>
            <w:tcW w:w="795" w:type="pct"/>
            <w:tcBorders>
              <w:top w:val="single" w:sz="4" w:space="0" w:color="auto"/>
              <w:left w:val="single" w:sz="4" w:space="0" w:color="auto"/>
              <w:bottom w:val="single" w:sz="4" w:space="0" w:color="auto"/>
              <w:right w:val="single" w:sz="4" w:space="0" w:color="auto"/>
            </w:tcBorders>
            <w:shd w:val="clear" w:color="auto" w:fill="auto"/>
          </w:tcPr>
          <w:p w14:paraId="648C1690" w14:textId="76F46F0F" w:rsidR="00FF1433" w:rsidRPr="00EF2E8A" w:rsidRDefault="00FF1433" w:rsidP="00591C83">
            <w:pPr>
              <w:keepNext/>
              <w:spacing w:before="0"/>
              <w:rPr>
                <w:rFonts w:ascii="Arial Narrow" w:eastAsiaTheme="minorHAnsi" w:hAnsi="Arial Narrow" w:cs="Calibri"/>
                <w:sz w:val="20"/>
                <w:lang w:val="en-AU"/>
              </w:rPr>
            </w:pPr>
            <w:r w:rsidRPr="00EF2E8A">
              <w:rPr>
                <w:rFonts w:ascii="Arial Narrow" w:eastAsiaTheme="minorHAnsi" w:hAnsi="Arial Narrow"/>
                <w:sz w:val="20"/>
                <w:lang w:val="en-AU"/>
              </w:rPr>
              <w:t>FRα</w:t>
            </w:r>
            <w:r w:rsidR="00A46D2B">
              <w:rPr>
                <w:rFonts w:ascii="Arial Narrow" w:eastAsiaTheme="minorHAnsi" w:hAnsi="Arial Narrow"/>
                <w:sz w:val="20"/>
                <w:lang w:val="en-AU"/>
              </w:rPr>
              <w:noBreakHyphen/>
            </w:r>
            <w:r w:rsidRPr="00EF2E8A">
              <w:rPr>
                <w:rFonts w:ascii="Arial Narrow" w:eastAsiaTheme="minorHAnsi" w:hAnsi="Arial Narrow"/>
                <w:sz w:val="20"/>
                <w:lang w:val="en-AU"/>
              </w:rPr>
              <w:t>medium</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75847B5E"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81/101 </w:t>
            </w:r>
          </w:p>
          <w:p w14:paraId="6D4A8806" w14:textId="5ABF3C98"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(80) </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52AB6E31"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2.92 </w:t>
            </w:r>
          </w:p>
          <w:p w14:paraId="5F5135BB" w14:textId="6192AAB3"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(2.76, 4.14) </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34A1C99A"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25/46</w:t>
            </w:r>
          </w:p>
          <w:p w14:paraId="498721F9" w14:textId="31FF9271"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 (54)</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0D6F041D"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5.55 </w:t>
            </w:r>
          </w:p>
          <w:p w14:paraId="602F1B88" w14:textId="7C70C629"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(2.73, 8.34)</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A401497" w14:textId="5E16375D" w:rsidR="00FF1433" w:rsidRPr="00EF2E8A" w:rsidRDefault="00A46D2B" w:rsidP="00591C83">
            <w:pPr>
              <w:keepNext/>
              <w:spacing w:before="0"/>
              <w:jc w:val="center"/>
              <w:rPr>
                <w:rFonts w:ascii="Arial Narrow" w:eastAsiaTheme="minorHAnsi" w:hAnsi="Arial Narrow" w:cs="Calibri"/>
                <w:sz w:val="20"/>
                <w:lang w:val="en-AU"/>
              </w:rPr>
            </w:pPr>
            <w:r>
              <w:rPr>
                <w:rFonts w:ascii="Arial Narrow" w:eastAsiaTheme="minorHAnsi" w:hAnsi="Arial Narrow" w:cs="Calibri"/>
                <w:sz w:val="20"/>
                <w:lang w:val="en-AU"/>
              </w:rPr>
              <w:noBreakHyphen/>
            </w:r>
            <w:r w:rsidR="00FF1433" w:rsidRPr="00EF2E8A">
              <w:rPr>
                <w:rFonts w:ascii="Arial Narrow" w:eastAsiaTheme="minorHAnsi" w:hAnsi="Arial Narrow" w:cs="Calibri"/>
                <w:sz w:val="20"/>
                <w:lang w:val="en-AU"/>
              </w:rPr>
              <w:t>2.63</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576292B6" w14:textId="7777777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0.061 </w:t>
            </w: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2486E494"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1.560 </w:t>
            </w:r>
          </w:p>
          <w:p w14:paraId="7BA3303F" w14:textId="78CB263D"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(0.976, 2.492)</w:t>
            </w:r>
          </w:p>
        </w:tc>
      </w:tr>
      <w:tr w:rsidR="00FF1433" w:rsidRPr="00EF2E8A" w14:paraId="5F238628" w14:textId="77777777" w:rsidTr="00134157">
        <w:tc>
          <w:tcPr>
            <w:tcW w:w="5000" w:type="pct"/>
            <w:gridSpan w:val="8"/>
            <w:tcBorders>
              <w:bottom w:val="single" w:sz="4" w:space="0" w:color="auto"/>
            </w:tcBorders>
            <w:shd w:val="clear" w:color="auto" w:fill="F2F2F2" w:themeFill="background1" w:themeFillShade="F2"/>
          </w:tcPr>
          <w:p w14:paraId="24D01E34" w14:textId="400C39E8" w:rsidR="00FF1433" w:rsidRPr="00EF2E8A" w:rsidRDefault="00FF1433" w:rsidP="00591C83">
            <w:pPr>
              <w:keepNext/>
              <w:autoSpaceDE w:val="0"/>
              <w:autoSpaceDN w:val="0"/>
              <w:adjustRightInd w:val="0"/>
              <w:spacing w:before="0"/>
              <w:jc w:val="left"/>
              <w:rPr>
                <w:rFonts w:ascii="Arial Narrow" w:hAnsi="Arial Narrow" w:cs="Calibri"/>
                <w:b/>
                <w:sz w:val="20"/>
                <w:highlight w:val="yellow"/>
                <w:lang w:val="en-AU"/>
              </w:rPr>
            </w:pPr>
            <w:r w:rsidRPr="00EF2E8A">
              <w:rPr>
                <w:rFonts w:ascii="Arial Narrow" w:hAnsi="Arial Narrow" w:cs="Calibri"/>
                <w:b/>
                <w:sz w:val="20"/>
                <w:lang w:val="en-AU"/>
              </w:rPr>
              <w:t>PFS – FRα expression groups (≥75%, using PS2+ scoring) (post</w:t>
            </w:r>
            <w:r w:rsidR="00A46D2B">
              <w:rPr>
                <w:rFonts w:ascii="Arial Narrow" w:hAnsi="Arial Narrow" w:cs="Calibri"/>
                <w:b/>
                <w:sz w:val="20"/>
                <w:lang w:val="en-AU"/>
              </w:rPr>
              <w:noBreakHyphen/>
            </w:r>
            <w:r w:rsidRPr="00EF2E8A">
              <w:rPr>
                <w:rFonts w:ascii="Arial Narrow" w:hAnsi="Arial Narrow" w:cs="Calibri"/>
                <w:b/>
                <w:sz w:val="20"/>
                <w:lang w:val="en-AU"/>
              </w:rPr>
              <w:t>hoc)</w:t>
            </w:r>
          </w:p>
        </w:tc>
      </w:tr>
      <w:tr w:rsidR="00134157" w:rsidRPr="00EF2E8A" w14:paraId="0D6E0F71" w14:textId="77777777" w:rsidTr="00134157">
        <w:trPr>
          <w:tblHeader/>
        </w:trPr>
        <w:tc>
          <w:tcPr>
            <w:tcW w:w="795" w:type="pct"/>
            <w:tcBorders>
              <w:top w:val="single" w:sz="4" w:space="0" w:color="auto"/>
              <w:bottom w:val="single" w:sz="4" w:space="0" w:color="auto"/>
              <w:right w:val="single" w:sz="4" w:space="0" w:color="auto"/>
            </w:tcBorders>
            <w:shd w:val="clear" w:color="auto" w:fill="auto"/>
          </w:tcPr>
          <w:p w14:paraId="70DEA17E" w14:textId="77777777" w:rsidR="00134157" w:rsidRPr="00EF2E8A" w:rsidRDefault="00134157" w:rsidP="00591C83">
            <w:pPr>
              <w:spacing w:before="0"/>
              <w:rPr>
                <w:rFonts w:ascii="Arial Narrow" w:eastAsiaTheme="minorHAnsi" w:hAnsi="Arial Narrow" w:cs="Calibri"/>
                <w:sz w:val="20"/>
                <w:lang w:val="en-A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tcPr>
          <w:p w14:paraId="27E64D5F" w14:textId="77777777" w:rsidR="00134157" w:rsidRPr="00EF2E8A" w:rsidRDefault="00134157" w:rsidP="00591C83">
            <w:pPr>
              <w:spacing w:before="0"/>
              <w:jc w:val="left"/>
              <w:rPr>
                <w:rFonts w:ascii="Arial Narrow" w:eastAsiaTheme="minorHAnsi" w:hAnsi="Arial Narrow" w:cs="Calibri"/>
                <w:b/>
                <w:sz w:val="20"/>
                <w:lang w:val="en-AU"/>
              </w:rPr>
            </w:pPr>
            <w:r w:rsidRPr="00EF2E8A">
              <w:rPr>
                <w:rFonts w:ascii="Arial Narrow" w:eastAsiaTheme="minorHAnsi" w:hAnsi="Arial Narrow" w:cs="Calibri"/>
                <w:b/>
                <w:sz w:val="20"/>
                <w:lang w:val="en-AU"/>
              </w:rPr>
              <w:t xml:space="preserve">MIRV </w:t>
            </w: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tcPr>
          <w:p w14:paraId="4932ECE2" w14:textId="77777777" w:rsidR="00134157" w:rsidRPr="00EF2E8A" w:rsidRDefault="00134157" w:rsidP="00591C83">
            <w:pPr>
              <w:spacing w:before="0"/>
              <w:jc w:val="left"/>
              <w:rPr>
                <w:rFonts w:ascii="Arial Narrow" w:eastAsiaTheme="minorHAnsi" w:hAnsi="Arial Narrow" w:cs="Calibri"/>
                <w:b/>
                <w:sz w:val="20"/>
                <w:lang w:val="en-AU"/>
              </w:rPr>
            </w:pPr>
            <w:r w:rsidRPr="00EF2E8A">
              <w:rPr>
                <w:rFonts w:ascii="Arial Narrow" w:eastAsiaTheme="minorHAnsi" w:hAnsi="Arial Narrow" w:cs="Calibri"/>
                <w:b/>
                <w:sz w:val="20"/>
                <w:lang w:val="en-AU"/>
              </w:rPr>
              <w:t xml:space="preserve">ICC </w:t>
            </w:r>
          </w:p>
        </w:tc>
        <w:tc>
          <w:tcPr>
            <w:tcW w:w="1808" w:type="pct"/>
            <w:gridSpan w:val="3"/>
            <w:tcBorders>
              <w:top w:val="single" w:sz="4" w:space="0" w:color="auto"/>
              <w:left w:val="single" w:sz="4" w:space="0" w:color="auto"/>
              <w:bottom w:val="single" w:sz="4" w:space="0" w:color="auto"/>
            </w:tcBorders>
            <w:shd w:val="clear" w:color="auto" w:fill="auto"/>
          </w:tcPr>
          <w:p w14:paraId="1A38BB17" w14:textId="77777777" w:rsidR="00134157" w:rsidRPr="00EF2E8A" w:rsidRDefault="00134157" w:rsidP="00591C83">
            <w:pPr>
              <w:spacing w:before="0"/>
              <w:jc w:val="center"/>
              <w:rPr>
                <w:rFonts w:ascii="Arial Narrow" w:eastAsiaTheme="minorHAnsi" w:hAnsi="Arial Narrow" w:cs="Calibri"/>
                <w:sz w:val="20"/>
                <w:lang w:val="en-AU"/>
              </w:rPr>
            </w:pPr>
          </w:p>
        </w:tc>
      </w:tr>
      <w:tr w:rsidR="00134157" w:rsidRPr="00EF2E8A" w14:paraId="0DA77403" w14:textId="77777777" w:rsidTr="009165A3">
        <w:tc>
          <w:tcPr>
            <w:tcW w:w="795" w:type="pct"/>
            <w:tcBorders>
              <w:top w:val="single" w:sz="4" w:space="0" w:color="auto"/>
              <w:left w:val="single" w:sz="4" w:space="0" w:color="auto"/>
              <w:bottom w:val="single" w:sz="4" w:space="0" w:color="auto"/>
              <w:right w:val="single" w:sz="4" w:space="0" w:color="auto"/>
            </w:tcBorders>
            <w:shd w:val="clear" w:color="auto" w:fill="auto"/>
          </w:tcPr>
          <w:p w14:paraId="52530A5D" w14:textId="60B3DE22" w:rsidR="00FF1433" w:rsidRPr="00EF2E8A" w:rsidRDefault="00FF1433" w:rsidP="00591C83">
            <w:pPr>
              <w:keepNext/>
              <w:spacing w:before="0"/>
              <w:rPr>
                <w:rFonts w:ascii="Arial Narrow" w:eastAsiaTheme="minorHAnsi" w:hAnsi="Arial Narrow" w:cs="Calibri"/>
                <w:sz w:val="20"/>
                <w:lang w:val="en-AU"/>
              </w:rPr>
            </w:pPr>
            <w:r w:rsidRPr="00EF2E8A">
              <w:rPr>
                <w:rFonts w:ascii="Arial Narrow" w:eastAsiaTheme="minorHAnsi" w:hAnsi="Arial Narrow"/>
                <w:sz w:val="20"/>
                <w:lang w:val="en-AU"/>
              </w:rPr>
              <w:t>FRα</w:t>
            </w:r>
            <w:r w:rsidR="00A46D2B">
              <w:rPr>
                <w:rFonts w:ascii="Arial Narrow" w:eastAsiaTheme="minorHAnsi" w:hAnsi="Arial Narrow"/>
                <w:sz w:val="20"/>
                <w:lang w:val="en-AU"/>
              </w:rPr>
              <w:noBreakHyphen/>
            </w:r>
            <w:r w:rsidRPr="00EF2E8A">
              <w:rPr>
                <w:rFonts w:ascii="Arial Narrow" w:eastAsiaTheme="minorHAnsi" w:hAnsi="Arial Narrow"/>
                <w:sz w:val="20"/>
                <w:lang w:val="en-AU"/>
              </w:rPr>
              <w:t>high</w:t>
            </w:r>
          </w:p>
        </w:tc>
        <w:tc>
          <w:tcPr>
            <w:tcW w:w="601" w:type="pct"/>
          </w:tcPr>
          <w:p w14:paraId="4F0C41D8"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50/82 </w:t>
            </w:r>
          </w:p>
          <w:p w14:paraId="56C160FC" w14:textId="767DB16B"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(61%)</w:t>
            </w:r>
          </w:p>
        </w:tc>
        <w:tc>
          <w:tcPr>
            <w:tcW w:w="597" w:type="pct"/>
          </w:tcPr>
          <w:p w14:paraId="4D6F2E56"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5.62 </w:t>
            </w:r>
          </w:p>
          <w:p w14:paraId="53B27D29" w14:textId="6AF17DAC"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(4.04, 7.06) </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3E59794E"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25/34 </w:t>
            </w:r>
          </w:p>
          <w:p w14:paraId="01787107" w14:textId="19ADDF3A"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(74%)</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77937047"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3.22 </w:t>
            </w:r>
          </w:p>
          <w:p w14:paraId="0494D8F0" w14:textId="7BB55BE6"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(1.51, 5.49)</w:t>
            </w:r>
          </w:p>
        </w:tc>
        <w:tc>
          <w:tcPr>
            <w:tcW w:w="532" w:type="pct"/>
          </w:tcPr>
          <w:p w14:paraId="5D5315ED" w14:textId="7777777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2.4</w:t>
            </w:r>
          </w:p>
        </w:tc>
        <w:tc>
          <w:tcPr>
            <w:tcW w:w="466" w:type="pct"/>
          </w:tcPr>
          <w:p w14:paraId="577D06E9" w14:textId="7777777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0.0151</w:t>
            </w: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6F6DC9C4"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0.549 </w:t>
            </w:r>
          </w:p>
          <w:p w14:paraId="727F031D" w14:textId="6D9B0723"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(0.336, 0.897)</w:t>
            </w:r>
          </w:p>
        </w:tc>
      </w:tr>
      <w:tr w:rsidR="00134157" w:rsidRPr="00EF2E8A" w14:paraId="6531235E" w14:textId="77777777" w:rsidTr="009165A3">
        <w:tc>
          <w:tcPr>
            <w:tcW w:w="795" w:type="pct"/>
            <w:tcBorders>
              <w:top w:val="single" w:sz="4" w:space="0" w:color="auto"/>
              <w:left w:val="single" w:sz="4" w:space="0" w:color="auto"/>
              <w:bottom w:val="single" w:sz="4" w:space="0" w:color="auto"/>
              <w:right w:val="single" w:sz="4" w:space="0" w:color="auto"/>
            </w:tcBorders>
            <w:shd w:val="clear" w:color="auto" w:fill="auto"/>
          </w:tcPr>
          <w:p w14:paraId="6C1A4FF5" w14:textId="78E010B7" w:rsidR="00FF1433" w:rsidRPr="00EF2E8A" w:rsidRDefault="00FF1433" w:rsidP="00591C83">
            <w:pPr>
              <w:keepNext/>
              <w:spacing w:before="0"/>
              <w:rPr>
                <w:rFonts w:ascii="Arial Narrow" w:eastAsiaTheme="minorHAnsi" w:hAnsi="Arial Narrow" w:cs="Calibri"/>
                <w:kern w:val="24"/>
                <w:sz w:val="20"/>
                <w:lang w:val="en-AU"/>
              </w:rPr>
            </w:pPr>
            <w:r w:rsidRPr="00EF2E8A">
              <w:rPr>
                <w:rFonts w:ascii="Arial Narrow" w:eastAsiaTheme="minorHAnsi" w:hAnsi="Arial Narrow"/>
                <w:sz w:val="20"/>
                <w:lang w:val="en-AU"/>
              </w:rPr>
              <w:t>FRα</w:t>
            </w:r>
            <w:r w:rsidR="00A46D2B">
              <w:rPr>
                <w:rFonts w:ascii="Arial Narrow" w:eastAsiaTheme="minorHAnsi" w:hAnsi="Arial Narrow"/>
                <w:sz w:val="20"/>
                <w:lang w:val="en-AU"/>
              </w:rPr>
              <w:noBreakHyphen/>
            </w:r>
            <w:r w:rsidRPr="00EF2E8A">
              <w:rPr>
                <w:rFonts w:ascii="Arial Narrow" w:eastAsiaTheme="minorHAnsi" w:hAnsi="Arial Narrow"/>
                <w:sz w:val="20"/>
                <w:lang w:val="en-AU"/>
              </w:rPr>
              <w:t>medium</w:t>
            </w:r>
          </w:p>
        </w:tc>
        <w:tc>
          <w:tcPr>
            <w:tcW w:w="601" w:type="pct"/>
          </w:tcPr>
          <w:p w14:paraId="4AFC5A2F"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53/69 </w:t>
            </w:r>
          </w:p>
          <w:p w14:paraId="487A6509" w14:textId="2446CB92"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(77%)</w:t>
            </w:r>
          </w:p>
        </w:tc>
        <w:tc>
          <w:tcPr>
            <w:tcW w:w="597" w:type="pct"/>
          </w:tcPr>
          <w:p w14:paraId="05C3812C"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4.30 </w:t>
            </w:r>
          </w:p>
          <w:p w14:paraId="1A82EE00" w14:textId="7B8A5A9F"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(4.11, 5.59)</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601D3DE2"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22/34 </w:t>
            </w:r>
          </w:p>
          <w:p w14:paraId="2BF146C6" w14:textId="098F78E2"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(65%)</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2817BA66"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5.55 </w:t>
            </w:r>
          </w:p>
          <w:p w14:paraId="6234EC6D" w14:textId="3D635DF1"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(1.61, 9.10)</w:t>
            </w:r>
          </w:p>
        </w:tc>
        <w:tc>
          <w:tcPr>
            <w:tcW w:w="532" w:type="pct"/>
          </w:tcPr>
          <w:p w14:paraId="235EEAEA" w14:textId="39AF78F2" w:rsidR="00FF1433" w:rsidRPr="00EF2E8A" w:rsidRDefault="00A46D2B" w:rsidP="00591C83">
            <w:pPr>
              <w:keepNext/>
              <w:spacing w:before="0"/>
              <w:jc w:val="center"/>
              <w:rPr>
                <w:rFonts w:ascii="Arial Narrow" w:eastAsiaTheme="minorHAnsi" w:hAnsi="Arial Narrow" w:cs="Calibri"/>
                <w:sz w:val="20"/>
                <w:lang w:val="en-AU"/>
              </w:rPr>
            </w:pPr>
            <w:r>
              <w:rPr>
                <w:rFonts w:ascii="Arial Narrow" w:eastAsiaTheme="minorHAnsi" w:hAnsi="Arial Narrow" w:cs="Calibri"/>
                <w:sz w:val="20"/>
                <w:lang w:val="en-AU"/>
              </w:rPr>
              <w:noBreakHyphen/>
            </w:r>
            <w:r w:rsidR="00FF1433" w:rsidRPr="00EF2E8A">
              <w:rPr>
                <w:rFonts w:ascii="Arial Narrow" w:eastAsiaTheme="minorHAnsi" w:hAnsi="Arial Narrow" w:cs="Calibri"/>
                <w:sz w:val="20"/>
                <w:lang w:val="en-AU"/>
              </w:rPr>
              <w:t>1.25</w:t>
            </w:r>
          </w:p>
        </w:tc>
        <w:tc>
          <w:tcPr>
            <w:tcW w:w="466" w:type="pct"/>
          </w:tcPr>
          <w:p w14:paraId="0B66DA45" w14:textId="7777777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0.9543</w:t>
            </w: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67850D54"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1.015 </w:t>
            </w:r>
          </w:p>
          <w:p w14:paraId="03D03295" w14:textId="621F5822"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(0.611, 1.687)</w:t>
            </w:r>
          </w:p>
        </w:tc>
      </w:tr>
      <w:tr w:rsidR="00134157" w:rsidRPr="00EF2E8A" w14:paraId="127222B3" w14:textId="77777777" w:rsidTr="009165A3">
        <w:tc>
          <w:tcPr>
            <w:tcW w:w="795" w:type="pct"/>
            <w:tcBorders>
              <w:top w:val="single" w:sz="4" w:space="0" w:color="auto"/>
              <w:left w:val="single" w:sz="4" w:space="0" w:color="auto"/>
              <w:bottom w:val="single" w:sz="4" w:space="0" w:color="auto"/>
              <w:right w:val="single" w:sz="4" w:space="0" w:color="auto"/>
            </w:tcBorders>
            <w:shd w:val="clear" w:color="auto" w:fill="auto"/>
          </w:tcPr>
          <w:p w14:paraId="2926B18E" w14:textId="253F1831" w:rsidR="00FF1433" w:rsidRPr="00EF2E8A" w:rsidRDefault="00FF1433" w:rsidP="00591C83">
            <w:pPr>
              <w:keepNext/>
              <w:spacing w:before="0"/>
              <w:rPr>
                <w:rFonts w:ascii="Arial Narrow" w:eastAsiaTheme="minorHAnsi" w:hAnsi="Arial Narrow" w:cs="Calibri"/>
                <w:kern w:val="24"/>
                <w:sz w:val="20"/>
                <w:lang w:val="en-AU"/>
              </w:rPr>
            </w:pPr>
            <w:r w:rsidRPr="00EF2E8A">
              <w:rPr>
                <w:rFonts w:ascii="Arial Narrow" w:eastAsiaTheme="minorHAnsi" w:hAnsi="Arial Narrow"/>
                <w:sz w:val="20"/>
                <w:lang w:val="en-AU"/>
              </w:rPr>
              <w:t>FRα</w:t>
            </w:r>
            <w:r w:rsidR="00A46D2B">
              <w:rPr>
                <w:rFonts w:ascii="Arial Narrow" w:eastAsiaTheme="minorHAnsi" w:hAnsi="Arial Narrow"/>
                <w:sz w:val="20"/>
                <w:lang w:val="en-AU"/>
              </w:rPr>
              <w:noBreakHyphen/>
            </w:r>
            <w:r w:rsidRPr="00EF2E8A">
              <w:rPr>
                <w:rFonts w:ascii="Arial Narrow" w:eastAsiaTheme="minorHAnsi" w:hAnsi="Arial Narrow"/>
                <w:sz w:val="20"/>
                <w:lang w:val="en-AU"/>
              </w:rPr>
              <w:t>low</w:t>
            </w:r>
          </w:p>
        </w:tc>
        <w:tc>
          <w:tcPr>
            <w:tcW w:w="601" w:type="pct"/>
          </w:tcPr>
          <w:p w14:paraId="399163C9"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57/76 </w:t>
            </w:r>
          </w:p>
          <w:p w14:paraId="4C765759" w14:textId="4E1C951D"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(75%)</w:t>
            </w:r>
          </w:p>
        </w:tc>
        <w:tc>
          <w:tcPr>
            <w:tcW w:w="597" w:type="pct"/>
          </w:tcPr>
          <w:p w14:paraId="458F4A29"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3.75 </w:t>
            </w:r>
          </w:p>
          <w:p w14:paraId="7301C519" w14:textId="08231953"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(2.83, 4.14) </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7A628E72" w14:textId="77777777" w:rsidR="0089074C"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21/38 </w:t>
            </w:r>
          </w:p>
          <w:p w14:paraId="25F35322" w14:textId="5CDBE164"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(55%)</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21736E8C"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5.49 </w:t>
            </w:r>
          </w:p>
          <w:p w14:paraId="02C90D5B" w14:textId="41E5A18D"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(1.97, 6.97)</w:t>
            </w:r>
          </w:p>
        </w:tc>
        <w:tc>
          <w:tcPr>
            <w:tcW w:w="532" w:type="pct"/>
          </w:tcPr>
          <w:p w14:paraId="761212E7" w14:textId="29318AB6" w:rsidR="00FF1433" w:rsidRPr="00EF2E8A" w:rsidRDefault="00A46D2B" w:rsidP="00591C83">
            <w:pPr>
              <w:keepNext/>
              <w:spacing w:before="0"/>
              <w:jc w:val="center"/>
              <w:rPr>
                <w:rFonts w:ascii="Arial Narrow" w:eastAsiaTheme="minorHAnsi" w:hAnsi="Arial Narrow" w:cs="Calibri"/>
                <w:sz w:val="20"/>
                <w:lang w:val="en-AU"/>
              </w:rPr>
            </w:pPr>
            <w:r>
              <w:rPr>
                <w:rFonts w:ascii="Arial Narrow" w:eastAsiaTheme="minorHAnsi" w:hAnsi="Arial Narrow" w:cs="Calibri"/>
                <w:sz w:val="20"/>
                <w:lang w:val="en-AU"/>
              </w:rPr>
              <w:noBreakHyphen/>
            </w:r>
            <w:r w:rsidR="00FF1433" w:rsidRPr="00EF2E8A">
              <w:rPr>
                <w:rFonts w:ascii="Arial Narrow" w:eastAsiaTheme="minorHAnsi" w:hAnsi="Arial Narrow" w:cs="Calibri"/>
                <w:sz w:val="20"/>
                <w:lang w:val="en-AU"/>
              </w:rPr>
              <w:t>1.74</w:t>
            </w:r>
          </w:p>
        </w:tc>
        <w:tc>
          <w:tcPr>
            <w:tcW w:w="466" w:type="pct"/>
          </w:tcPr>
          <w:p w14:paraId="2E6C26A0" w14:textId="77777777"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0.1425</w:t>
            </w: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0FEE05CF" w14:textId="77777777" w:rsidR="00530CB7"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 xml:space="preserve">1.458 </w:t>
            </w:r>
          </w:p>
          <w:p w14:paraId="06129887" w14:textId="74A59911" w:rsidR="00FF1433" w:rsidRPr="00EF2E8A" w:rsidRDefault="00FF1433" w:rsidP="00591C83">
            <w:pPr>
              <w:keepNext/>
              <w:spacing w:before="0"/>
              <w:jc w:val="center"/>
              <w:rPr>
                <w:rFonts w:ascii="Arial Narrow" w:eastAsiaTheme="minorHAnsi" w:hAnsi="Arial Narrow" w:cs="Calibri"/>
                <w:sz w:val="20"/>
                <w:lang w:val="en-AU"/>
              </w:rPr>
            </w:pPr>
            <w:r w:rsidRPr="00EF2E8A">
              <w:rPr>
                <w:rFonts w:ascii="Arial Narrow" w:eastAsiaTheme="minorHAnsi" w:hAnsi="Arial Narrow" w:cs="Calibri"/>
                <w:sz w:val="20"/>
                <w:lang w:val="en-AU"/>
              </w:rPr>
              <w:t>(0.878, 2.420)</w:t>
            </w:r>
          </w:p>
        </w:tc>
      </w:tr>
    </w:tbl>
    <w:p w14:paraId="3FA9F496"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compiled during the evaluation from:</w:t>
      </w:r>
    </w:p>
    <w:p w14:paraId="7618E3DF" w14:textId="4DDE5469"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9 Primary and secondary endpoint results for the ITT population and the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high population, p18 of submission Appendix A; </w:t>
      </w:r>
    </w:p>
    <w:p w14:paraId="33EAE9DC" w14:textId="4137AA3D"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21: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 per BIRC – ITT Population, pp97</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99, FORWARD</w:t>
      </w:r>
      <w:r w:rsidR="00A46D2B">
        <w:rPr>
          <w:rFonts w:ascii="Arial Narrow" w:eastAsia="Times New Roman" w:hAnsi="Arial Narrow" w:cs="Arial"/>
          <w:snapToGrid w:val="0"/>
          <w:sz w:val="18"/>
          <w:lang w:eastAsia="en-AU"/>
        </w:rPr>
        <w:noBreakHyphen/>
      </w:r>
      <w:r w:rsidR="005C28E5" w:rsidRPr="00EF2E8A">
        <w:rPr>
          <w:rFonts w:ascii="Arial Narrow" w:eastAsia="Times New Roman" w:hAnsi="Arial Narrow" w:cs="Arial"/>
          <w:snapToGrid w:val="0"/>
          <w:sz w:val="18"/>
          <w:lang w:eastAsia="en-AU"/>
        </w:rPr>
        <w:t>I</w:t>
      </w:r>
      <w:r w:rsidRPr="00EF2E8A">
        <w:rPr>
          <w:rFonts w:ascii="Arial Narrow" w:eastAsia="Times New Roman" w:hAnsi="Arial Narrow" w:cs="Arial"/>
          <w:snapToGrid w:val="0"/>
          <w:sz w:val="18"/>
          <w:lang w:eastAsia="en-AU"/>
        </w:rPr>
        <w:t xml:space="preserve"> CSR February 2019 data cutoff; </w:t>
      </w:r>
    </w:p>
    <w:p w14:paraId="561A5C89" w14:textId="69D009B4"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22: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 per BIRC –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high Population, pp100</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102, FORWARD</w:t>
      </w:r>
      <w:r w:rsidR="00A46D2B">
        <w:rPr>
          <w:rFonts w:ascii="Arial Narrow" w:eastAsia="Times New Roman" w:hAnsi="Arial Narrow" w:cs="Arial"/>
          <w:snapToGrid w:val="0"/>
          <w:sz w:val="18"/>
          <w:lang w:eastAsia="en-AU"/>
        </w:rPr>
        <w:noBreakHyphen/>
      </w:r>
      <w:r w:rsidR="005C28E5" w:rsidRPr="00EF2E8A">
        <w:rPr>
          <w:rFonts w:ascii="Arial Narrow" w:eastAsia="Times New Roman" w:hAnsi="Arial Narrow" w:cs="Arial"/>
          <w:snapToGrid w:val="0"/>
          <w:sz w:val="18"/>
          <w:lang w:eastAsia="en-AU"/>
        </w:rPr>
        <w:t>I</w:t>
      </w:r>
      <w:r w:rsidRPr="00EF2E8A">
        <w:rPr>
          <w:rFonts w:ascii="Arial Narrow" w:eastAsia="Times New Roman" w:hAnsi="Arial Narrow" w:cs="Arial"/>
          <w:snapToGrid w:val="0"/>
          <w:sz w:val="18"/>
          <w:lang w:eastAsia="en-AU"/>
        </w:rPr>
        <w:t xml:space="preserve"> CSR February 2019 data cutoff; </w:t>
      </w:r>
    </w:p>
    <w:p w14:paraId="4C5CD5C6" w14:textId="16164822"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10 Post hoc analysis of FORWARD I: primary and secondary endpoints results for the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high,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medium and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low population, p19 of submission Appendix A.</w:t>
      </w:r>
    </w:p>
    <w:p w14:paraId="2081FD40" w14:textId="1508E36D"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Table 14.2.1.1.3: Progression Free Survival BIRC </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FR A Medium Level ITT Population, p662, FORWARD</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I CSR. </w:t>
      </w:r>
    </w:p>
    <w:p w14:paraId="35DD3E71"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Slides 12; 14, FORWARD I 10X SCORING COMPARED WITH EXPLORATORY PS2+ SCORING, Moore et al, (2019). </w:t>
      </w:r>
    </w:p>
    <w:p w14:paraId="03B145C1" w14:textId="35B3DCDE"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65, Table 66 and Table 67, pp1</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6 of Corrected Attachment 2.7 to the submission.</w:t>
      </w:r>
    </w:p>
    <w:p w14:paraId="42CDA247" w14:textId="68ADC976"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BICR</w:t>
      </w:r>
      <w:r w:rsidR="009B0E69"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blinded independent central review; CI</w:t>
      </w:r>
      <w:r w:rsidR="000D462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confidence interval; CSR</w:t>
      </w:r>
      <w:r w:rsidR="000D462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clinical study report; FRα</w:t>
      </w:r>
      <w:r w:rsidR="000D4628" w:rsidRPr="00EF2E8A">
        <w:rPr>
          <w:rFonts w:ascii="Arial Narrow" w:eastAsia="Times New Roman" w:hAnsi="Arial Narrow" w:cs="Arial"/>
          <w:snapToGrid w:val="0"/>
          <w:sz w:val="18"/>
          <w:lang w:eastAsia="en-AU"/>
        </w:rPr>
        <w:t xml:space="preserve">= </w:t>
      </w:r>
      <w:r w:rsidR="009541FF" w:rsidRPr="00EF2E8A">
        <w:rPr>
          <w:rFonts w:ascii="Arial Narrow" w:eastAsia="Times New Roman" w:hAnsi="Arial Narrow" w:cs="Arial"/>
          <w:snapToGrid w:val="0"/>
          <w:sz w:val="18"/>
          <w:lang w:eastAsia="en-AU"/>
        </w:rPr>
        <w:t>folate receptor alpha</w:t>
      </w:r>
      <w:r w:rsidRPr="00EF2E8A">
        <w:rPr>
          <w:rFonts w:ascii="Arial Narrow" w:eastAsia="Times New Roman" w:hAnsi="Arial Narrow" w:cs="Arial"/>
          <w:snapToGrid w:val="0"/>
          <w:sz w:val="18"/>
          <w:lang w:eastAsia="en-AU"/>
        </w:rPr>
        <w:t>; HR</w:t>
      </w:r>
      <w:r w:rsidR="000D462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hazard ratio; ICC</w:t>
      </w:r>
      <w:r w:rsidR="000D462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investigator’s choice of chemotherapy; ITT</w:t>
      </w:r>
      <w:r w:rsidR="000D462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intention to treat analysis; MIRV</w:t>
      </w:r>
      <w:r w:rsidR="000D462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mirvetuximab soravtansine; mo</w:t>
      </w:r>
      <w:r w:rsidR="000D462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months; </w:t>
      </w:r>
      <w:r w:rsidR="00CB7246" w:rsidRPr="00EF2E8A">
        <w:rPr>
          <w:rFonts w:ascii="Arial Narrow" w:eastAsia="Times New Roman" w:hAnsi="Arial Narrow" w:cs="Arial"/>
          <w:snapToGrid w:val="0"/>
          <w:sz w:val="18"/>
          <w:lang w:eastAsia="en-AU"/>
        </w:rPr>
        <w:t>n= number of events; N= number of patients</w:t>
      </w:r>
      <w:r w:rsidRPr="00EF2E8A">
        <w:rPr>
          <w:rFonts w:ascii="Arial Narrow" w:eastAsia="Times New Roman" w:hAnsi="Arial Narrow" w:cs="Arial"/>
          <w:snapToGrid w:val="0"/>
          <w:sz w:val="18"/>
          <w:lang w:eastAsia="en-AU"/>
        </w:rPr>
        <w:t>; PFS</w:t>
      </w:r>
      <w:r w:rsidR="000D462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w:t>
      </w:r>
    </w:p>
    <w:p w14:paraId="6351F83F" w14:textId="308BC1DA" w:rsidR="00FF1433" w:rsidRPr="00EF2E8A" w:rsidRDefault="00FF1433" w:rsidP="00591C83">
      <w:pPr>
        <w:pStyle w:val="ListParagraph"/>
      </w:pPr>
      <w:r w:rsidRPr="00EF2E8A">
        <w:t>The primary endpoint of PFS by BICR did not meet statistical significance in either the intention to treat (ITT) (whole trial) population or FRα</w:t>
      </w:r>
      <w:r w:rsidR="00A46D2B">
        <w:noBreakHyphen/>
      </w:r>
      <w:r w:rsidRPr="00EF2E8A">
        <w:t>high expression (≥75%, using 10X scoring) subgroup. The median PFS for the FRα</w:t>
      </w:r>
      <w:r w:rsidR="00A46D2B">
        <w:noBreakHyphen/>
      </w:r>
      <w:r w:rsidRPr="00EF2E8A">
        <w:t xml:space="preserve">medium population showed a pronounced lack of benefit, in which MIRV patients did worse than the ICC patients (a difference of </w:t>
      </w:r>
      <w:r w:rsidR="00A46D2B">
        <w:noBreakHyphen/>
      </w:r>
      <w:r w:rsidRPr="00EF2E8A">
        <w:t>2.63 months median time to progression or death). The HR point estimate was above 1.0 with wide confidence intervals (1.560 [95% CI 0.976, 2.492] p=0.061).</w:t>
      </w:r>
      <w:r w:rsidR="00A11B7A">
        <w:t xml:space="preserve"> </w:t>
      </w:r>
      <w:r w:rsidRPr="00EF2E8A">
        <w:t>The re</w:t>
      </w:r>
      <w:r w:rsidR="00A46D2B">
        <w:noBreakHyphen/>
      </w:r>
      <w:r w:rsidRPr="00EF2E8A">
        <w:t>scored subgroups showed a benefit only for the FRα</w:t>
      </w:r>
      <w:r w:rsidR="00A46D2B">
        <w:noBreakHyphen/>
      </w:r>
      <w:r w:rsidRPr="00EF2E8A">
        <w:t>high expression group (HR 0.549 [95% CI 0.336, 0.897] p=0.0151) – this formed the basis for the hypothesis tested in the MIRASOL trial.</w:t>
      </w:r>
    </w:p>
    <w:p w14:paraId="5AAD71B6" w14:textId="168420CA" w:rsidR="00FF1433" w:rsidRPr="00EF2E8A" w:rsidRDefault="00FF1433" w:rsidP="00591C83">
      <w:pPr>
        <w:pStyle w:val="ListParagraph"/>
      </w:pPr>
      <w:r w:rsidRPr="00EF2E8A">
        <w:t>The results for OS in the FORWARD</w:t>
      </w:r>
      <w:r w:rsidR="00A46D2B">
        <w:noBreakHyphen/>
      </w:r>
      <w:r w:rsidRPr="00EF2E8A">
        <w:t>I trial are summarised in</w:t>
      </w:r>
      <w:r w:rsidR="00EF6E37" w:rsidRPr="00EF2E8A">
        <w:t xml:space="preserve"> </w:t>
      </w:r>
      <w:r w:rsidR="00490677">
        <w:fldChar w:fldCharType="begin" w:fldLock="1"/>
      </w:r>
      <w:r w:rsidR="00490677">
        <w:instrText xml:space="preserve"> REF _Ref205198270 \h </w:instrText>
      </w:r>
      <w:r w:rsidR="00490677">
        <w:fldChar w:fldCharType="separate"/>
      </w:r>
      <w:r w:rsidR="00CC5CAD">
        <w:t xml:space="preserve">Table </w:t>
      </w:r>
      <w:r w:rsidR="00CC5CAD">
        <w:rPr>
          <w:noProof/>
        </w:rPr>
        <w:t>12</w:t>
      </w:r>
      <w:r w:rsidR="00490677">
        <w:fldChar w:fldCharType="end"/>
      </w:r>
      <w:r w:rsidRPr="00EF2E8A">
        <w:t>. The submission presented OS results for the pre</w:t>
      </w:r>
      <w:r w:rsidR="00A46D2B">
        <w:noBreakHyphen/>
      </w:r>
      <w:r w:rsidRPr="00EF2E8A">
        <w:t>specified subgroups from three analyses (February 2019; August 2019; March 2020). The post hoc analysis of the re</w:t>
      </w:r>
      <w:r w:rsidR="00A46D2B">
        <w:noBreakHyphen/>
      </w:r>
      <w:r w:rsidRPr="00EF2E8A">
        <w:t>scored low, medium and high FRα expression groups was based on February 2019 data.</w:t>
      </w:r>
    </w:p>
    <w:p w14:paraId="29C3ED42" w14:textId="77777777" w:rsidR="00FF1433" w:rsidRPr="00EF2E8A" w:rsidRDefault="00FF1433" w:rsidP="00591C83">
      <w:pPr>
        <w:spacing w:before="0" w:line="259" w:lineRule="auto"/>
        <w:jc w:val="left"/>
        <w:rPr>
          <w:color w:val="000000" w:themeColor="text1"/>
        </w:rPr>
      </w:pPr>
      <w:r w:rsidRPr="00EF2E8A">
        <w:br w:type="page"/>
      </w:r>
    </w:p>
    <w:p w14:paraId="213DCEF6" w14:textId="75E28B7A" w:rsidR="00490677" w:rsidRDefault="00490677" w:rsidP="00591C83">
      <w:pPr>
        <w:pStyle w:val="Caption"/>
      </w:pPr>
      <w:bookmarkStart w:id="50" w:name="_Ref205198270"/>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12</w:t>
      </w:r>
      <w:r w:rsidR="00CC5CAD">
        <w:rPr>
          <w:noProof/>
        </w:rPr>
        <w:fldChar w:fldCharType="end"/>
      </w:r>
      <w:bookmarkEnd w:id="50"/>
      <w:r>
        <w:t xml:space="preserve">: </w:t>
      </w:r>
      <w:r w:rsidRPr="00365F12">
        <w:t>FORWARD</w:t>
      </w:r>
      <w:r w:rsidR="00A46D2B">
        <w:noBreakHyphen/>
      </w:r>
      <w:r w:rsidRPr="00365F12">
        <w:t>I: analysis of OS (February 2019 and March 2020 data cutoffs)</w:t>
      </w:r>
    </w:p>
    <w:tbl>
      <w:tblPr>
        <w:tblStyle w:val="ACE"/>
        <w:tblW w:w="9171" w:type="dxa"/>
        <w:tblLayout w:type="fixed"/>
        <w:tblCellMar>
          <w:left w:w="28" w:type="dxa"/>
          <w:right w:w="28" w:type="dxa"/>
        </w:tblCellMar>
        <w:tblLook w:val="04A0" w:firstRow="1" w:lastRow="0" w:firstColumn="1" w:lastColumn="0" w:noHBand="0" w:noVBand="1"/>
        <w:tblCaption w:val="Table 12: FORWARD I: analysis of OS (February 2019 and March 2020 data cutoffs)"/>
      </w:tblPr>
      <w:tblGrid>
        <w:gridCol w:w="1271"/>
        <w:gridCol w:w="1134"/>
        <w:gridCol w:w="1276"/>
        <w:gridCol w:w="1134"/>
        <w:gridCol w:w="1276"/>
        <w:gridCol w:w="1134"/>
        <w:gridCol w:w="850"/>
        <w:gridCol w:w="1085"/>
        <w:gridCol w:w="11"/>
      </w:tblGrid>
      <w:tr w:rsidR="00FF1433" w:rsidRPr="00EF2E8A" w14:paraId="410FF0AC" w14:textId="77777777" w:rsidTr="00530CB7">
        <w:trPr>
          <w:gridAfter w:val="1"/>
          <w:cnfStyle w:val="100000000000" w:firstRow="1" w:lastRow="0" w:firstColumn="0" w:lastColumn="0" w:oddVBand="0" w:evenVBand="0" w:oddHBand="0" w:evenHBand="0" w:firstRowFirstColumn="0" w:firstRowLastColumn="0" w:lastRowFirstColumn="0" w:lastRowLastColumn="0"/>
          <w:wAfter w:w="11" w:type="dxa"/>
          <w:tblHeader/>
        </w:trPr>
        <w:tc>
          <w:tcPr>
            <w:tcW w:w="1271" w:type="dxa"/>
            <w:tcBorders>
              <w:top w:val="single" w:sz="4" w:space="0" w:color="auto"/>
              <w:bottom w:val="single" w:sz="4" w:space="0" w:color="auto"/>
              <w:right w:val="single" w:sz="4" w:space="0" w:color="auto"/>
            </w:tcBorders>
            <w:shd w:val="clear" w:color="auto" w:fill="auto"/>
          </w:tcPr>
          <w:p w14:paraId="7FA01292" w14:textId="77777777" w:rsidR="00FF1433" w:rsidRPr="00EF2E8A" w:rsidRDefault="00FF1433" w:rsidP="00591C83">
            <w:pPr>
              <w:keepNext/>
              <w:spacing w:before="0"/>
              <w:jc w:val="left"/>
              <w:rPr>
                <w:rFonts w:ascii="Arial Narrow" w:hAnsi="Arial Narrow" w:cs="Calibri"/>
                <w:sz w:val="20"/>
                <w:lang w:val="en-A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3AF567F2" w14:textId="77777777" w:rsidR="00FF1433" w:rsidRPr="00EF2E8A" w:rsidRDefault="00FF1433" w:rsidP="00591C83">
            <w:pPr>
              <w:keepNext/>
              <w:spacing w:before="0"/>
              <w:jc w:val="left"/>
              <w:rPr>
                <w:rFonts w:ascii="Arial Narrow" w:hAnsi="Arial Narrow" w:cs="Calibri"/>
                <w:sz w:val="20"/>
                <w:lang w:val="en-AU"/>
              </w:rPr>
            </w:pPr>
            <w:r w:rsidRPr="00EF2E8A">
              <w:rPr>
                <w:rFonts w:ascii="Arial Narrow" w:hAnsi="Arial Narrow" w:cs="Calibri"/>
                <w:bCs/>
                <w:sz w:val="20"/>
                <w:lang w:val="en-AU"/>
              </w:rPr>
              <w:t>MIRV (N=</w:t>
            </w:r>
            <w:r w:rsidRPr="00EF2E8A">
              <w:rPr>
                <w:rFonts w:ascii="Arial Narrow" w:hAnsi="Arial Narrow" w:cs="Calibri"/>
                <w:sz w:val="20"/>
                <w:lang w:val="en-AU"/>
              </w:rPr>
              <w:t>248</w:t>
            </w:r>
            <w:r w:rsidRPr="00EF2E8A">
              <w:rPr>
                <w:rFonts w:ascii="Arial Narrow" w:hAnsi="Arial Narrow" w:cs="Calibri"/>
                <w:bCs/>
                <w:sz w:val="20"/>
                <w:lang w:val="en-AU"/>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3A180F5" w14:textId="77777777" w:rsidR="00FF1433" w:rsidRPr="00EF2E8A" w:rsidRDefault="00FF1433" w:rsidP="00591C83">
            <w:pPr>
              <w:keepNext/>
              <w:spacing w:before="0"/>
              <w:jc w:val="left"/>
              <w:rPr>
                <w:rFonts w:ascii="Arial Narrow" w:hAnsi="Arial Narrow" w:cs="Calibri"/>
                <w:sz w:val="20"/>
                <w:lang w:val="en-AU"/>
              </w:rPr>
            </w:pPr>
            <w:r w:rsidRPr="00EF2E8A">
              <w:rPr>
                <w:rFonts w:ascii="Arial Narrow" w:hAnsi="Arial Narrow" w:cs="Calibri"/>
                <w:sz w:val="20"/>
                <w:lang w:val="en-AU"/>
              </w:rPr>
              <w:t>ICC (N=118)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DD333D" w14:textId="77777777" w:rsidR="00FF1433" w:rsidRPr="00EF2E8A" w:rsidRDefault="00FF1433" w:rsidP="00591C83">
            <w:pPr>
              <w:keepNext/>
              <w:spacing w:before="0"/>
              <w:jc w:val="left"/>
              <w:rPr>
                <w:rFonts w:ascii="Arial Narrow" w:hAnsi="Arial Narrow" w:cs="Calibri"/>
                <w:sz w:val="20"/>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0364EE" w14:textId="77777777" w:rsidR="00FF1433" w:rsidRPr="00EF2E8A" w:rsidRDefault="00FF1433" w:rsidP="00591C83">
            <w:pPr>
              <w:keepNext/>
              <w:spacing w:before="0"/>
              <w:jc w:val="left"/>
              <w:rPr>
                <w:rFonts w:ascii="Arial Narrow" w:hAnsi="Arial Narrow" w:cs="Calibri"/>
                <w:sz w:val="20"/>
                <w:lang w:val="en-AU"/>
              </w:rPr>
            </w:pPr>
          </w:p>
        </w:tc>
        <w:tc>
          <w:tcPr>
            <w:tcW w:w="1085" w:type="dxa"/>
            <w:tcBorders>
              <w:top w:val="single" w:sz="4" w:space="0" w:color="auto"/>
              <w:left w:val="single" w:sz="4" w:space="0" w:color="auto"/>
              <w:bottom w:val="single" w:sz="4" w:space="0" w:color="auto"/>
            </w:tcBorders>
            <w:shd w:val="clear" w:color="auto" w:fill="auto"/>
          </w:tcPr>
          <w:p w14:paraId="3743DA06" w14:textId="77777777" w:rsidR="00FF1433" w:rsidRPr="00EF2E8A" w:rsidRDefault="00FF1433" w:rsidP="00591C83">
            <w:pPr>
              <w:keepNext/>
              <w:spacing w:before="0"/>
              <w:jc w:val="left"/>
              <w:rPr>
                <w:rFonts w:ascii="Arial Narrow" w:hAnsi="Arial Narrow" w:cs="Calibri"/>
                <w:sz w:val="20"/>
                <w:lang w:val="en-AU"/>
              </w:rPr>
            </w:pPr>
          </w:p>
        </w:tc>
      </w:tr>
      <w:tr w:rsidR="00FF1433" w:rsidRPr="00EF2E8A" w14:paraId="5B257CBB" w14:textId="77777777" w:rsidTr="00530CB7">
        <w:trPr>
          <w:gridAfter w:val="1"/>
          <w:cnfStyle w:val="100000000000" w:firstRow="1" w:lastRow="0" w:firstColumn="0" w:lastColumn="0" w:oddVBand="0" w:evenVBand="0" w:oddHBand="0" w:evenHBand="0" w:firstRowFirstColumn="0" w:firstRowLastColumn="0" w:lastRowFirstColumn="0" w:lastRowLastColumn="0"/>
          <w:wAfter w:w="11" w:type="dxa"/>
          <w:tblHeader/>
        </w:trPr>
        <w:tc>
          <w:tcPr>
            <w:tcW w:w="1271" w:type="dxa"/>
            <w:tcBorders>
              <w:top w:val="single" w:sz="4" w:space="0" w:color="auto"/>
              <w:bottom w:val="single" w:sz="4" w:space="0" w:color="auto"/>
              <w:right w:val="single" w:sz="4" w:space="0" w:color="auto"/>
            </w:tcBorders>
            <w:shd w:val="clear" w:color="auto" w:fill="auto"/>
          </w:tcPr>
          <w:p w14:paraId="1B90BDD2" w14:textId="77777777" w:rsidR="00FF1433" w:rsidRPr="00EF2E8A" w:rsidRDefault="00FF1433" w:rsidP="00591C83">
            <w:pPr>
              <w:keepNext/>
              <w:spacing w:before="0"/>
              <w:jc w:val="left"/>
              <w:rPr>
                <w:rFonts w:ascii="Arial Narrow" w:hAnsi="Arial Narrow" w:cs="Calibri"/>
                <w:sz w:val="20"/>
                <w:lang w:val="en-AU"/>
              </w:rPr>
            </w:pPr>
            <w:r w:rsidRPr="00EF2E8A">
              <w:rPr>
                <w:rFonts w:ascii="Arial Narrow" w:hAnsi="Arial Narrow" w:cs="Calibri"/>
                <w:sz w:val="20"/>
                <w:lang w:val="en-AU"/>
              </w:rPr>
              <w:t>Outcome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ED1C5" w14:textId="77777777" w:rsidR="00FF1433" w:rsidRPr="00EF2E8A" w:rsidRDefault="00FF1433" w:rsidP="00591C83">
            <w:pPr>
              <w:keepNext/>
              <w:spacing w:before="0"/>
              <w:jc w:val="left"/>
              <w:rPr>
                <w:rFonts w:ascii="Arial Narrow" w:hAnsi="Arial Narrow" w:cs="Calibri"/>
                <w:kern w:val="24"/>
                <w:sz w:val="20"/>
                <w:lang w:val="en-AU"/>
              </w:rPr>
            </w:pPr>
            <w:r w:rsidRPr="00EF2E8A">
              <w:rPr>
                <w:rFonts w:ascii="Arial Narrow" w:hAnsi="Arial Narrow" w:cs="Calibri"/>
                <w:kern w:val="24"/>
                <w:sz w:val="20"/>
                <w:lang w:val="en-AU"/>
              </w:rPr>
              <w:t>n/N with event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523A0D" w14:textId="77777777" w:rsidR="00FF1433" w:rsidRPr="00EF2E8A" w:rsidRDefault="00FF1433" w:rsidP="00591C83">
            <w:pPr>
              <w:keepNext/>
              <w:spacing w:before="0"/>
              <w:jc w:val="left"/>
              <w:rPr>
                <w:rFonts w:ascii="Arial Narrow" w:eastAsia="Times New Roman" w:hAnsi="Arial Narrow"/>
                <w:sz w:val="20"/>
                <w:lang w:val="en-AU"/>
              </w:rPr>
            </w:pPr>
            <w:r w:rsidRPr="00EF2E8A">
              <w:rPr>
                <w:rFonts w:ascii="Arial Narrow" w:eastAsia="Times New Roman" w:hAnsi="Arial Narrow" w:cs="Calibri"/>
                <w:kern w:val="24"/>
                <w:sz w:val="20"/>
                <w:lang w:val="en-AU"/>
              </w:rPr>
              <w:t>Median time to event (mo)</w:t>
            </w:r>
          </w:p>
          <w:p w14:paraId="6C89C323" w14:textId="77777777" w:rsidR="00FF1433" w:rsidRPr="00EF2E8A" w:rsidRDefault="00FF1433" w:rsidP="00591C83">
            <w:pPr>
              <w:keepNext/>
              <w:spacing w:before="0"/>
              <w:jc w:val="left"/>
              <w:rPr>
                <w:rFonts w:ascii="Arial Narrow" w:eastAsia="Times New Roman" w:hAnsi="Arial Narrow" w:cs="Calibri"/>
                <w:kern w:val="24"/>
                <w:sz w:val="20"/>
                <w:lang w:val="en-AU"/>
              </w:rPr>
            </w:pPr>
            <w:r w:rsidRPr="00EF2E8A">
              <w:rPr>
                <w:rFonts w:ascii="Arial Narrow" w:eastAsia="Times New Roman" w:hAnsi="Arial Narrow" w:cs="Calibri"/>
                <w:kern w:val="24"/>
                <w:sz w:val="20"/>
                <w:lang w:val="en-AU"/>
              </w:rPr>
              <w:t>(95% CI)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0FFB50" w14:textId="77777777" w:rsidR="00FF1433" w:rsidRPr="00EF2E8A" w:rsidRDefault="00FF1433" w:rsidP="00591C83">
            <w:pPr>
              <w:keepNext/>
              <w:spacing w:before="0"/>
              <w:jc w:val="left"/>
              <w:rPr>
                <w:rFonts w:ascii="Arial Narrow" w:hAnsi="Arial Narrow" w:cs="Calibri"/>
                <w:kern w:val="24"/>
                <w:sz w:val="20"/>
                <w:lang w:val="en-AU"/>
              </w:rPr>
            </w:pPr>
            <w:r w:rsidRPr="00EF2E8A">
              <w:rPr>
                <w:rFonts w:ascii="Arial Narrow" w:hAnsi="Arial Narrow" w:cs="Calibri"/>
                <w:kern w:val="24"/>
                <w:sz w:val="20"/>
                <w:lang w:val="en-AU"/>
              </w:rPr>
              <w:t>n/N with event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2937F5" w14:textId="77777777" w:rsidR="00FF1433" w:rsidRPr="00EF2E8A" w:rsidRDefault="00FF1433" w:rsidP="00591C83">
            <w:pPr>
              <w:keepNext/>
              <w:spacing w:before="0"/>
              <w:jc w:val="left"/>
              <w:rPr>
                <w:rFonts w:ascii="Arial Narrow" w:hAnsi="Arial Narrow" w:cs="Calibri"/>
                <w:kern w:val="24"/>
                <w:sz w:val="20"/>
                <w:lang w:val="en-AU"/>
              </w:rPr>
            </w:pPr>
            <w:r w:rsidRPr="00EF2E8A">
              <w:rPr>
                <w:rFonts w:ascii="Arial Narrow" w:hAnsi="Arial Narrow" w:cs="Calibri"/>
                <w:kern w:val="24"/>
                <w:sz w:val="20"/>
                <w:lang w:val="en-AU"/>
              </w:rPr>
              <w:t>Median time to event (mo)</w:t>
            </w:r>
          </w:p>
          <w:p w14:paraId="24546A47" w14:textId="77777777" w:rsidR="00FF1433" w:rsidRPr="00EF2E8A" w:rsidRDefault="00FF1433" w:rsidP="00591C83">
            <w:pPr>
              <w:keepNext/>
              <w:spacing w:before="0"/>
              <w:jc w:val="left"/>
              <w:rPr>
                <w:rFonts w:ascii="Arial Narrow" w:hAnsi="Arial Narrow" w:cs="Calibri"/>
                <w:kern w:val="24"/>
                <w:sz w:val="20"/>
                <w:lang w:val="en-AU"/>
              </w:rPr>
            </w:pPr>
            <w:r w:rsidRPr="00EF2E8A">
              <w:rPr>
                <w:rFonts w:ascii="Arial Narrow" w:hAnsi="Arial Narrow" w:cs="Calibri"/>
                <w:kern w:val="24"/>
                <w:sz w:val="20"/>
                <w:lang w:val="en-AU"/>
              </w:rPr>
              <w:t>(95% CI)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7DE914" w14:textId="77777777" w:rsidR="00FF1433" w:rsidRPr="00EF2E8A" w:rsidRDefault="00FF1433" w:rsidP="00591C83">
            <w:pPr>
              <w:keepNext/>
              <w:spacing w:before="0"/>
              <w:jc w:val="left"/>
              <w:rPr>
                <w:rFonts w:ascii="Arial Narrow" w:hAnsi="Arial Narrow" w:cs="Calibri"/>
                <w:sz w:val="20"/>
                <w:lang w:val="en-AU"/>
              </w:rPr>
            </w:pPr>
            <w:r w:rsidRPr="00EF2E8A">
              <w:rPr>
                <w:rFonts w:ascii="Arial Narrow" w:hAnsi="Arial Narrow" w:cs="Calibri"/>
                <w:sz w:val="20"/>
                <w:lang w:val="en-AU"/>
              </w:rPr>
              <w:t>Difference in median</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638273" w14:textId="1C7BAA93" w:rsidR="00FF1433" w:rsidRPr="00EF2E8A" w:rsidRDefault="00FF1433" w:rsidP="00591C83">
            <w:pPr>
              <w:keepNext/>
              <w:spacing w:before="0"/>
              <w:jc w:val="left"/>
              <w:rPr>
                <w:rFonts w:ascii="Arial Narrow" w:hAnsi="Arial Narrow" w:cs="Calibri"/>
                <w:sz w:val="20"/>
                <w:lang w:val="en-AU"/>
              </w:rPr>
            </w:pPr>
            <w:r w:rsidRPr="00EF2E8A">
              <w:rPr>
                <w:rFonts w:ascii="Arial Narrow" w:hAnsi="Arial Narrow" w:cs="Calibri"/>
                <w:sz w:val="20"/>
                <w:lang w:val="en-AU"/>
              </w:rPr>
              <w:t>P</w:t>
            </w:r>
            <w:r w:rsidR="00A46D2B">
              <w:rPr>
                <w:rFonts w:ascii="Arial Narrow" w:hAnsi="Arial Narrow" w:cs="Calibri"/>
                <w:sz w:val="20"/>
                <w:lang w:val="en-AU"/>
              </w:rPr>
              <w:noBreakHyphen/>
            </w:r>
            <w:r w:rsidRPr="00EF2E8A">
              <w:rPr>
                <w:rFonts w:ascii="Arial Narrow" w:hAnsi="Arial Narrow" w:cs="Calibri"/>
                <w:sz w:val="20"/>
                <w:lang w:val="en-AU"/>
              </w:rPr>
              <w:t>value (log rank test)</w:t>
            </w:r>
          </w:p>
        </w:tc>
        <w:tc>
          <w:tcPr>
            <w:tcW w:w="1085" w:type="dxa"/>
            <w:tcBorders>
              <w:top w:val="single" w:sz="4" w:space="0" w:color="auto"/>
              <w:left w:val="single" w:sz="4" w:space="0" w:color="auto"/>
              <w:bottom w:val="single" w:sz="4" w:space="0" w:color="auto"/>
            </w:tcBorders>
            <w:shd w:val="clear" w:color="auto" w:fill="auto"/>
          </w:tcPr>
          <w:p w14:paraId="36905BFB" w14:textId="77777777" w:rsidR="00FF1433" w:rsidRPr="00EF2E8A" w:rsidRDefault="00FF1433" w:rsidP="00591C83">
            <w:pPr>
              <w:keepNext/>
              <w:spacing w:before="0"/>
              <w:jc w:val="left"/>
              <w:rPr>
                <w:rFonts w:ascii="Arial Narrow" w:hAnsi="Arial Narrow" w:cs="Calibri"/>
                <w:sz w:val="20"/>
                <w:lang w:val="en-AU"/>
              </w:rPr>
            </w:pPr>
            <w:r w:rsidRPr="00EF2E8A">
              <w:rPr>
                <w:rFonts w:ascii="Arial Narrow" w:hAnsi="Arial Narrow" w:cs="Calibri"/>
                <w:sz w:val="20"/>
                <w:lang w:val="en-AU"/>
              </w:rPr>
              <w:t>HR (95% CI)</w:t>
            </w:r>
          </w:p>
        </w:tc>
      </w:tr>
      <w:tr w:rsidR="00FF1433" w:rsidRPr="00EF2E8A" w14:paraId="4C9BEB24" w14:textId="77777777">
        <w:tc>
          <w:tcPr>
            <w:tcW w:w="9171" w:type="dxa"/>
            <w:gridSpan w:val="9"/>
            <w:tcBorders>
              <w:top w:val="single" w:sz="4" w:space="0" w:color="auto"/>
              <w:bottom w:val="single" w:sz="4" w:space="0" w:color="auto"/>
            </w:tcBorders>
            <w:shd w:val="clear" w:color="auto" w:fill="F2F2F2" w:themeFill="background1" w:themeFillShade="F2"/>
          </w:tcPr>
          <w:p w14:paraId="482EF5E3" w14:textId="77777777" w:rsidR="00FF1433" w:rsidRPr="00EF2E8A" w:rsidRDefault="00FF1433" w:rsidP="00591C83">
            <w:pPr>
              <w:keepNext/>
              <w:autoSpaceDE w:val="0"/>
              <w:autoSpaceDN w:val="0"/>
              <w:adjustRightInd w:val="0"/>
              <w:spacing w:before="0"/>
              <w:jc w:val="left"/>
              <w:rPr>
                <w:rFonts w:ascii="Arial Narrow" w:hAnsi="Arial Narrow" w:cs="Calibri"/>
                <w:b/>
                <w:bCs/>
                <w:color w:val="000000"/>
                <w:sz w:val="20"/>
                <w:lang w:val="en-AU"/>
              </w:rPr>
            </w:pPr>
            <w:r w:rsidRPr="00EF2E8A">
              <w:rPr>
                <w:rFonts w:ascii="Arial Narrow" w:hAnsi="Arial Narrow" w:cs="Calibri"/>
                <w:b/>
                <w:bCs/>
                <w:color w:val="000000"/>
                <w:sz w:val="20"/>
                <w:lang w:val="en-AU"/>
              </w:rPr>
              <w:t>OS – Whole trial population</w:t>
            </w:r>
          </w:p>
        </w:tc>
      </w:tr>
      <w:tr w:rsidR="00FF1433" w:rsidRPr="00EF2E8A" w14:paraId="354F4AA8" w14:textId="77777777" w:rsidTr="00530CB7">
        <w:trPr>
          <w:gridAfter w:val="1"/>
          <w:wAfter w:w="11" w:type="dxa"/>
          <w:tblHeader/>
        </w:trPr>
        <w:tc>
          <w:tcPr>
            <w:tcW w:w="1271" w:type="dxa"/>
            <w:tcBorders>
              <w:top w:val="single" w:sz="4" w:space="0" w:color="auto"/>
              <w:bottom w:val="single" w:sz="4" w:space="0" w:color="auto"/>
              <w:right w:val="single" w:sz="4" w:space="0" w:color="auto"/>
            </w:tcBorders>
            <w:shd w:val="clear" w:color="auto" w:fill="auto"/>
          </w:tcPr>
          <w:p w14:paraId="1498B094" w14:textId="77777777" w:rsidR="00FF1433" w:rsidRPr="00EF2E8A" w:rsidRDefault="00FF1433" w:rsidP="00591C83">
            <w:pPr>
              <w:keepNext/>
              <w:spacing w:before="0"/>
              <w:jc w:val="left"/>
              <w:rPr>
                <w:rFonts w:ascii="Arial Narrow" w:hAnsi="Arial Narrow" w:cs="Calibri"/>
                <w:b/>
                <w:bCs/>
                <w:sz w:val="20"/>
                <w:lang w:val="en-A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0BAD1D7" w14:textId="77777777" w:rsidR="00FF1433" w:rsidRPr="00EF2E8A" w:rsidRDefault="00FF1433" w:rsidP="00591C83">
            <w:pPr>
              <w:keepNext/>
              <w:spacing w:before="0"/>
              <w:jc w:val="left"/>
              <w:rPr>
                <w:rFonts w:ascii="Arial Narrow" w:hAnsi="Arial Narrow" w:cs="Calibri"/>
                <w:b/>
                <w:bCs/>
                <w:sz w:val="20"/>
                <w:lang w:val="en-AU"/>
              </w:rPr>
            </w:pPr>
            <w:r w:rsidRPr="00EF2E8A">
              <w:rPr>
                <w:rFonts w:ascii="Arial Narrow" w:hAnsi="Arial Narrow" w:cs="Calibri"/>
                <w:b/>
                <w:bCs/>
                <w:sz w:val="20"/>
                <w:lang w:val="en-AU"/>
              </w:rPr>
              <w:t>MIRV (N=248)</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5A110829" w14:textId="77777777" w:rsidR="00FF1433" w:rsidRPr="00EF2E8A" w:rsidRDefault="00FF1433" w:rsidP="00591C83">
            <w:pPr>
              <w:keepNext/>
              <w:spacing w:before="0"/>
              <w:jc w:val="left"/>
              <w:rPr>
                <w:rFonts w:ascii="Arial Narrow" w:hAnsi="Arial Narrow" w:cs="Calibri"/>
                <w:b/>
                <w:bCs/>
                <w:sz w:val="20"/>
                <w:lang w:val="en-AU"/>
              </w:rPr>
            </w:pPr>
            <w:r w:rsidRPr="00EF2E8A">
              <w:rPr>
                <w:rFonts w:ascii="Arial Narrow" w:hAnsi="Arial Narrow" w:cs="Calibri"/>
                <w:b/>
                <w:bCs/>
                <w:sz w:val="20"/>
                <w:lang w:val="en-AU"/>
              </w:rPr>
              <w:t>ICC (N=118)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72EBAD" w14:textId="77777777" w:rsidR="00FF1433" w:rsidRPr="00EF2E8A" w:rsidRDefault="00FF1433" w:rsidP="00591C83">
            <w:pPr>
              <w:keepNext/>
              <w:spacing w:before="0"/>
              <w:jc w:val="center"/>
              <w:rPr>
                <w:rFonts w:ascii="Arial Narrow" w:hAnsi="Arial Narrow" w:cs="Calibri"/>
                <w:b/>
                <w:bCs/>
                <w:sz w:val="20"/>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C84370" w14:textId="77777777" w:rsidR="00FF1433" w:rsidRPr="00EF2E8A" w:rsidRDefault="00FF1433" w:rsidP="00591C83">
            <w:pPr>
              <w:keepNext/>
              <w:spacing w:before="0"/>
              <w:jc w:val="center"/>
              <w:rPr>
                <w:rFonts w:ascii="Arial Narrow" w:hAnsi="Arial Narrow" w:cs="Calibri"/>
                <w:b/>
                <w:bCs/>
                <w:sz w:val="20"/>
                <w:lang w:val="en-AU"/>
              </w:rPr>
            </w:pPr>
          </w:p>
        </w:tc>
        <w:tc>
          <w:tcPr>
            <w:tcW w:w="1085" w:type="dxa"/>
            <w:tcBorders>
              <w:top w:val="single" w:sz="4" w:space="0" w:color="auto"/>
              <w:left w:val="single" w:sz="4" w:space="0" w:color="auto"/>
              <w:bottom w:val="single" w:sz="4" w:space="0" w:color="auto"/>
            </w:tcBorders>
            <w:shd w:val="clear" w:color="auto" w:fill="auto"/>
          </w:tcPr>
          <w:p w14:paraId="6ECFCF44" w14:textId="77777777" w:rsidR="00FF1433" w:rsidRPr="00EF2E8A" w:rsidRDefault="00FF1433" w:rsidP="00591C83">
            <w:pPr>
              <w:keepNext/>
              <w:spacing w:before="0"/>
              <w:jc w:val="center"/>
              <w:rPr>
                <w:rFonts w:ascii="Arial Narrow" w:hAnsi="Arial Narrow" w:cs="Calibri"/>
                <w:b/>
                <w:bCs/>
                <w:sz w:val="20"/>
                <w:lang w:val="en-AU"/>
              </w:rPr>
            </w:pPr>
          </w:p>
        </w:tc>
      </w:tr>
      <w:tr w:rsidR="00FF1433" w:rsidRPr="00EF2E8A" w14:paraId="368D7C57" w14:textId="77777777" w:rsidTr="00530CB7">
        <w:trPr>
          <w:gridAfter w:val="1"/>
          <w:wAfter w:w="11" w:type="dxa"/>
        </w:trPr>
        <w:tc>
          <w:tcPr>
            <w:tcW w:w="1271" w:type="dxa"/>
            <w:tcBorders>
              <w:bottom w:val="single" w:sz="4" w:space="0" w:color="auto"/>
            </w:tcBorders>
            <w:hideMark/>
          </w:tcPr>
          <w:p w14:paraId="3DEFD8B0" w14:textId="77777777" w:rsidR="00FF1433" w:rsidRPr="00EF2E8A" w:rsidRDefault="00FF1433" w:rsidP="00591C83">
            <w:pPr>
              <w:spacing w:before="0"/>
              <w:rPr>
                <w:rFonts w:ascii="Arial Narrow" w:hAnsi="Arial Narrow" w:cs="Calibri"/>
                <w:sz w:val="20"/>
                <w:lang w:val="en-AU"/>
              </w:rPr>
            </w:pPr>
            <w:r w:rsidRPr="00EF2E8A">
              <w:rPr>
                <w:rFonts w:ascii="Arial Narrow" w:hAnsi="Arial Narrow"/>
                <w:sz w:val="20"/>
                <w:lang w:val="en-AU"/>
              </w:rPr>
              <w:t xml:space="preserve">ITT </w:t>
            </w:r>
            <w:r w:rsidRPr="00EF2E8A">
              <w:rPr>
                <w:rFonts w:ascii="Arial Narrow" w:hAnsi="Arial Narrow"/>
                <w:sz w:val="20"/>
                <w:lang w:val="en-AU"/>
              </w:rPr>
              <w:br/>
              <w:t>February 2019</w:t>
            </w:r>
          </w:p>
        </w:tc>
        <w:tc>
          <w:tcPr>
            <w:tcW w:w="1134" w:type="dxa"/>
          </w:tcPr>
          <w:p w14:paraId="621A8886" w14:textId="5611A68D"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96/248 </w:t>
            </w:r>
          </w:p>
          <w:p w14:paraId="3558A09E" w14:textId="61E67B71"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(39%)</w:t>
            </w:r>
          </w:p>
        </w:tc>
        <w:tc>
          <w:tcPr>
            <w:tcW w:w="1276" w:type="dxa"/>
          </w:tcPr>
          <w:p w14:paraId="2416AE95"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16.4 </w:t>
            </w:r>
            <w:r w:rsidRPr="00EF2E8A">
              <w:rPr>
                <w:rFonts w:ascii="Arial Narrow" w:hAnsi="Arial Narrow" w:cs="Calibri"/>
                <w:sz w:val="20"/>
                <w:lang w:val="en-AU"/>
              </w:rPr>
              <w:br/>
              <w:t>(12.81, NC)</w:t>
            </w:r>
          </w:p>
        </w:tc>
        <w:tc>
          <w:tcPr>
            <w:tcW w:w="1134" w:type="dxa"/>
            <w:tcBorders>
              <w:bottom w:val="single" w:sz="4" w:space="0" w:color="auto"/>
            </w:tcBorders>
          </w:tcPr>
          <w:p w14:paraId="6F4BD69D"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50/118 </w:t>
            </w:r>
          </w:p>
          <w:p w14:paraId="15345429" w14:textId="2EF45ACA"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(42%)</w:t>
            </w:r>
          </w:p>
        </w:tc>
        <w:tc>
          <w:tcPr>
            <w:tcW w:w="1276" w:type="dxa"/>
            <w:tcBorders>
              <w:bottom w:val="single" w:sz="4" w:space="0" w:color="auto"/>
            </w:tcBorders>
          </w:tcPr>
          <w:p w14:paraId="138D6E0E"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14.0</w:t>
            </w:r>
            <w:r w:rsidRPr="00EF2E8A">
              <w:rPr>
                <w:rFonts w:ascii="Arial Narrow" w:hAnsi="Arial Narrow" w:cs="Calibri"/>
                <w:sz w:val="20"/>
                <w:lang w:val="en-AU"/>
              </w:rPr>
              <w:br/>
              <w:t>(11.01, NC)</w:t>
            </w:r>
          </w:p>
        </w:tc>
        <w:tc>
          <w:tcPr>
            <w:tcW w:w="1134" w:type="dxa"/>
          </w:tcPr>
          <w:p w14:paraId="33C3DBAA" w14:textId="77777777" w:rsidR="00FF1433" w:rsidRPr="00EF2E8A" w:rsidRDefault="00FF1433" w:rsidP="00591C83">
            <w:pPr>
              <w:autoSpaceDE w:val="0"/>
              <w:autoSpaceDN w:val="0"/>
              <w:adjustRightInd w:val="0"/>
              <w:spacing w:before="0"/>
              <w:contextualSpacing/>
              <w:jc w:val="center"/>
              <w:rPr>
                <w:rFonts w:ascii="Arial Narrow" w:hAnsi="Arial Narrow" w:cs="Calibri"/>
                <w:color w:val="000000"/>
                <w:sz w:val="20"/>
                <w:lang w:val="en-AU"/>
              </w:rPr>
            </w:pPr>
            <w:r w:rsidRPr="00EF2E8A">
              <w:rPr>
                <w:rFonts w:ascii="Arial Narrow" w:hAnsi="Arial Narrow" w:cs="Calibri"/>
                <w:color w:val="000000"/>
                <w:sz w:val="20"/>
                <w:lang w:val="en-AU"/>
              </w:rPr>
              <w:t>2.4</w:t>
            </w:r>
          </w:p>
        </w:tc>
        <w:tc>
          <w:tcPr>
            <w:tcW w:w="850" w:type="dxa"/>
          </w:tcPr>
          <w:p w14:paraId="7BCED4A8" w14:textId="77777777" w:rsidR="00FF1433" w:rsidRPr="00EF2E8A" w:rsidRDefault="00FF1433" w:rsidP="00591C83">
            <w:pPr>
              <w:autoSpaceDE w:val="0"/>
              <w:autoSpaceDN w:val="0"/>
              <w:adjustRightInd w:val="0"/>
              <w:spacing w:before="0"/>
              <w:contextualSpacing/>
              <w:jc w:val="center"/>
              <w:rPr>
                <w:rFonts w:ascii="Arial Narrow" w:hAnsi="Arial Narrow" w:cs="Calibri"/>
                <w:color w:val="000000"/>
                <w:sz w:val="20"/>
                <w:lang w:val="en-AU"/>
              </w:rPr>
            </w:pPr>
            <w:r w:rsidRPr="00EF2E8A">
              <w:rPr>
                <w:rFonts w:ascii="Arial Narrow" w:hAnsi="Arial Narrow" w:cs="Calibri"/>
                <w:color w:val="000000"/>
                <w:sz w:val="20"/>
                <w:lang w:val="en-AU"/>
              </w:rPr>
              <w:t>0.248</w:t>
            </w:r>
          </w:p>
        </w:tc>
        <w:tc>
          <w:tcPr>
            <w:tcW w:w="1085" w:type="dxa"/>
            <w:tcBorders>
              <w:bottom w:val="single" w:sz="4" w:space="0" w:color="auto"/>
            </w:tcBorders>
          </w:tcPr>
          <w:p w14:paraId="48C1314F"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0.815 </w:t>
            </w:r>
            <w:r w:rsidRPr="00EF2E8A">
              <w:rPr>
                <w:rFonts w:ascii="Arial Narrow" w:hAnsi="Arial Narrow" w:cs="Calibri"/>
                <w:sz w:val="20"/>
                <w:lang w:val="en-AU"/>
              </w:rPr>
              <w:br/>
              <w:t>(0.575, 1.154)</w:t>
            </w:r>
          </w:p>
        </w:tc>
      </w:tr>
      <w:tr w:rsidR="00FF1433" w:rsidRPr="00EF2E8A" w14:paraId="5787697A" w14:textId="77777777" w:rsidTr="00530CB7">
        <w:trPr>
          <w:gridAfter w:val="1"/>
          <w:wAfter w:w="11" w:type="dxa"/>
        </w:trPr>
        <w:tc>
          <w:tcPr>
            <w:tcW w:w="1271" w:type="dxa"/>
            <w:tcBorders>
              <w:bottom w:val="single" w:sz="4" w:space="0" w:color="auto"/>
            </w:tcBorders>
          </w:tcPr>
          <w:p w14:paraId="6CE7EADF" w14:textId="77777777" w:rsidR="00FF1433" w:rsidRPr="00EF2E8A" w:rsidRDefault="00FF1433" w:rsidP="00591C83">
            <w:pPr>
              <w:spacing w:before="0"/>
              <w:jc w:val="left"/>
              <w:rPr>
                <w:rFonts w:ascii="Arial Narrow" w:hAnsi="Arial Narrow"/>
                <w:sz w:val="20"/>
                <w:lang w:val="en-AU"/>
              </w:rPr>
            </w:pPr>
            <w:r w:rsidRPr="00EF2E8A">
              <w:rPr>
                <w:rFonts w:ascii="Arial Narrow" w:hAnsi="Arial Narrow"/>
                <w:sz w:val="20"/>
                <w:lang w:val="en-AU"/>
              </w:rPr>
              <w:t xml:space="preserve">ITT </w:t>
            </w:r>
            <w:r w:rsidRPr="00EF2E8A">
              <w:rPr>
                <w:rFonts w:ascii="Arial Narrow" w:hAnsi="Arial Narrow"/>
                <w:sz w:val="20"/>
                <w:lang w:val="en-AU"/>
              </w:rPr>
              <w:br/>
              <w:t>August 2019 exploratory analysis</w:t>
            </w:r>
          </w:p>
        </w:tc>
        <w:tc>
          <w:tcPr>
            <w:tcW w:w="1134" w:type="dxa"/>
          </w:tcPr>
          <w:p w14:paraId="6C27AFE7"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96/248 </w:t>
            </w:r>
          </w:p>
          <w:p w14:paraId="182A61FA" w14:textId="4B754011"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(39%)</w:t>
            </w:r>
          </w:p>
        </w:tc>
        <w:tc>
          <w:tcPr>
            <w:tcW w:w="1276" w:type="dxa"/>
          </w:tcPr>
          <w:p w14:paraId="53D173BB"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15.6 </w:t>
            </w:r>
          </w:p>
          <w:p w14:paraId="2CFD7C21" w14:textId="4994280E"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1134" w:type="dxa"/>
            <w:tcBorders>
              <w:bottom w:val="single" w:sz="4" w:space="0" w:color="auto"/>
            </w:tcBorders>
          </w:tcPr>
          <w:p w14:paraId="4A7A5474"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50/118 </w:t>
            </w:r>
          </w:p>
          <w:p w14:paraId="138FBC55" w14:textId="2551B430"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(42%)</w:t>
            </w:r>
          </w:p>
        </w:tc>
        <w:tc>
          <w:tcPr>
            <w:tcW w:w="1276" w:type="dxa"/>
            <w:tcBorders>
              <w:bottom w:val="single" w:sz="4" w:space="0" w:color="auto"/>
            </w:tcBorders>
          </w:tcPr>
          <w:p w14:paraId="669E41C3"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13.9 </w:t>
            </w:r>
          </w:p>
          <w:p w14:paraId="0C38C127" w14:textId="5206B6C3"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1134" w:type="dxa"/>
          </w:tcPr>
          <w:p w14:paraId="7856B873" w14:textId="77777777" w:rsidR="00FF1433" w:rsidRPr="00EF2E8A" w:rsidRDefault="00FF1433" w:rsidP="00591C83">
            <w:pPr>
              <w:autoSpaceDE w:val="0"/>
              <w:autoSpaceDN w:val="0"/>
              <w:adjustRightInd w:val="0"/>
              <w:spacing w:before="0"/>
              <w:contextualSpacing/>
              <w:jc w:val="center"/>
              <w:rPr>
                <w:rFonts w:ascii="Arial Narrow" w:hAnsi="Arial Narrow" w:cs="Calibri"/>
                <w:color w:val="000000"/>
                <w:sz w:val="20"/>
                <w:lang w:val="en-AU"/>
              </w:rPr>
            </w:pPr>
            <w:r w:rsidRPr="00EF2E8A">
              <w:rPr>
                <w:rFonts w:ascii="Arial Narrow" w:hAnsi="Arial Narrow" w:cs="Calibri"/>
                <w:color w:val="000000"/>
                <w:sz w:val="20"/>
                <w:lang w:val="en-AU"/>
              </w:rPr>
              <w:t>1.7</w:t>
            </w:r>
          </w:p>
        </w:tc>
        <w:tc>
          <w:tcPr>
            <w:tcW w:w="850" w:type="dxa"/>
          </w:tcPr>
          <w:p w14:paraId="31EF1854" w14:textId="77777777" w:rsidR="00FF1433" w:rsidRPr="00EF2E8A" w:rsidRDefault="00FF1433" w:rsidP="00591C83">
            <w:pPr>
              <w:autoSpaceDE w:val="0"/>
              <w:autoSpaceDN w:val="0"/>
              <w:adjustRightInd w:val="0"/>
              <w:spacing w:before="0"/>
              <w:contextualSpacing/>
              <w:jc w:val="center"/>
              <w:rPr>
                <w:rFonts w:ascii="Arial Narrow" w:hAnsi="Arial Narrow" w:cs="Calibri"/>
                <w:sz w:val="20"/>
                <w:lang w:val="en-AU"/>
              </w:rPr>
            </w:pPr>
            <w:r w:rsidRPr="00EF2E8A">
              <w:rPr>
                <w:rFonts w:ascii="Arial Narrow" w:hAnsi="Arial Narrow" w:cs="Calibri"/>
                <w:sz w:val="20"/>
                <w:lang w:val="en-AU"/>
              </w:rPr>
              <w:t>0.278</w:t>
            </w:r>
          </w:p>
        </w:tc>
        <w:tc>
          <w:tcPr>
            <w:tcW w:w="1085" w:type="dxa"/>
            <w:tcBorders>
              <w:bottom w:val="single" w:sz="4" w:space="0" w:color="auto"/>
            </w:tcBorders>
          </w:tcPr>
          <w:p w14:paraId="3C850E6E" w14:textId="77777777" w:rsidR="00FF1433" w:rsidRPr="00EF2E8A" w:rsidRDefault="00FF1433" w:rsidP="00591C83">
            <w:pPr>
              <w:spacing w:before="0"/>
              <w:jc w:val="center"/>
              <w:rPr>
                <w:rFonts w:ascii="Arial Narrow" w:hAnsi="Arial Narrow"/>
                <w:sz w:val="20"/>
                <w:lang w:val="en-AU"/>
              </w:rPr>
            </w:pPr>
            <w:r w:rsidRPr="00EF2E8A">
              <w:rPr>
                <w:rFonts w:ascii="Arial Narrow" w:hAnsi="Arial Narrow"/>
                <w:sz w:val="20"/>
                <w:lang w:val="en-AU"/>
              </w:rPr>
              <w:t xml:space="preserve">0.846 </w:t>
            </w:r>
            <w:r w:rsidRPr="00EF2E8A">
              <w:rPr>
                <w:rFonts w:ascii="Arial Narrow" w:hAnsi="Arial Narrow"/>
                <w:sz w:val="20"/>
                <w:lang w:val="en-AU"/>
              </w:rPr>
              <w:br/>
              <w:t>(0.625, 1.145)</w:t>
            </w:r>
          </w:p>
        </w:tc>
      </w:tr>
      <w:tr w:rsidR="00FF1433" w:rsidRPr="00EF2E8A" w14:paraId="02319F92" w14:textId="77777777" w:rsidTr="00530CB7">
        <w:trPr>
          <w:gridAfter w:val="1"/>
          <w:wAfter w:w="11" w:type="dxa"/>
        </w:trPr>
        <w:tc>
          <w:tcPr>
            <w:tcW w:w="1271" w:type="dxa"/>
            <w:tcBorders>
              <w:bottom w:val="single" w:sz="4" w:space="0" w:color="auto"/>
            </w:tcBorders>
          </w:tcPr>
          <w:p w14:paraId="00E64D28" w14:textId="77777777" w:rsidR="00FF1433" w:rsidRPr="00EF2E8A" w:rsidRDefault="00FF1433" w:rsidP="00591C83">
            <w:pPr>
              <w:spacing w:before="0"/>
              <w:rPr>
                <w:rFonts w:ascii="Arial Narrow" w:hAnsi="Arial Narrow"/>
                <w:sz w:val="20"/>
                <w:lang w:val="en-AU"/>
              </w:rPr>
            </w:pPr>
            <w:r w:rsidRPr="00EF2E8A">
              <w:rPr>
                <w:rFonts w:ascii="Arial Narrow" w:hAnsi="Arial Narrow"/>
                <w:sz w:val="20"/>
                <w:lang w:val="en-AU"/>
              </w:rPr>
              <w:t xml:space="preserve">ITT </w:t>
            </w:r>
            <w:r w:rsidRPr="00EF2E8A">
              <w:rPr>
                <w:rFonts w:ascii="Arial Narrow" w:hAnsi="Arial Narrow"/>
                <w:sz w:val="20"/>
                <w:lang w:val="en-AU"/>
              </w:rPr>
              <w:br/>
              <w:t>March 2020</w:t>
            </w:r>
          </w:p>
        </w:tc>
        <w:tc>
          <w:tcPr>
            <w:tcW w:w="1134" w:type="dxa"/>
          </w:tcPr>
          <w:p w14:paraId="20818A91"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152/248 </w:t>
            </w:r>
          </w:p>
          <w:p w14:paraId="1E2AB739" w14:textId="604DB765"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(61%) </w:t>
            </w:r>
          </w:p>
        </w:tc>
        <w:tc>
          <w:tcPr>
            <w:tcW w:w="1276" w:type="dxa"/>
          </w:tcPr>
          <w:p w14:paraId="67C3C851"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15.57 </w:t>
            </w:r>
            <w:r w:rsidRPr="00EF2E8A">
              <w:rPr>
                <w:rFonts w:ascii="Arial Narrow" w:hAnsi="Arial Narrow" w:cs="Calibri"/>
                <w:sz w:val="20"/>
                <w:lang w:val="en-AU"/>
              </w:rPr>
              <w:br/>
              <w:t>(12.85, 18.04)</w:t>
            </w:r>
          </w:p>
        </w:tc>
        <w:tc>
          <w:tcPr>
            <w:tcW w:w="1134" w:type="dxa"/>
            <w:tcBorders>
              <w:bottom w:val="single" w:sz="4" w:space="0" w:color="auto"/>
            </w:tcBorders>
          </w:tcPr>
          <w:p w14:paraId="310FDEE2"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75/118 </w:t>
            </w:r>
          </w:p>
          <w:p w14:paraId="5CE8C31F" w14:textId="24AD8D3B"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(64%)</w:t>
            </w:r>
          </w:p>
        </w:tc>
        <w:tc>
          <w:tcPr>
            <w:tcW w:w="1276" w:type="dxa"/>
            <w:tcBorders>
              <w:bottom w:val="single" w:sz="4" w:space="0" w:color="auto"/>
            </w:tcBorders>
          </w:tcPr>
          <w:p w14:paraId="68926FCD"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13.93 </w:t>
            </w:r>
            <w:r w:rsidRPr="00EF2E8A">
              <w:rPr>
                <w:rFonts w:ascii="Arial Narrow" w:hAnsi="Arial Narrow" w:cs="Calibri"/>
                <w:sz w:val="20"/>
                <w:lang w:val="en-AU"/>
              </w:rPr>
              <w:br/>
              <w:t>(11.40, 18.50)</w:t>
            </w:r>
          </w:p>
        </w:tc>
        <w:tc>
          <w:tcPr>
            <w:tcW w:w="1134" w:type="dxa"/>
          </w:tcPr>
          <w:p w14:paraId="54D7E8C2" w14:textId="77777777" w:rsidR="00FF1433" w:rsidRPr="00EF2E8A" w:rsidRDefault="00FF1433" w:rsidP="00591C83">
            <w:pPr>
              <w:autoSpaceDE w:val="0"/>
              <w:autoSpaceDN w:val="0"/>
              <w:adjustRightInd w:val="0"/>
              <w:spacing w:before="0"/>
              <w:contextualSpacing/>
              <w:jc w:val="center"/>
              <w:rPr>
                <w:rFonts w:ascii="Arial Narrow" w:hAnsi="Arial Narrow" w:cs="Calibri"/>
                <w:color w:val="000000"/>
                <w:sz w:val="20"/>
                <w:lang w:val="en-AU"/>
              </w:rPr>
            </w:pPr>
            <w:r w:rsidRPr="00EF2E8A">
              <w:rPr>
                <w:rFonts w:ascii="Arial Narrow" w:hAnsi="Arial Narrow" w:cs="Calibri"/>
                <w:color w:val="000000"/>
                <w:sz w:val="20"/>
                <w:lang w:val="en-AU"/>
              </w:rPr>
              <w:t>1.64</w:t>
            </w:r>
          </w:p>
        </w:tc>
        <w:tc>
          <w:tcPr>
            <w:tcW w:w="850" w:type="dxa"/>
          </w:tcPr>
          <w:p w14:paraId="7A0939C8" w14:textId="77777777" w:rsidR="00FF1433" w:rsidRPr="00EF2E8A" w:rsidRDefault="00FF1433" w:rsidP="00591C83">
            <w:pPr>
              <w:autoSpaceDE w:val="0"/>
              <w:autoSpaceDN w:val="0"/>
              <w:adjustRightInd w:val="0"/>
              <w:spacing w:before="0"/>
              <w:contextualSpacing/>
              <w:jc w:val="center"/>
              <w:rPr>
                <w:rFonts w:ascii="Arial Narrow" w:hAnsi="Arial Narrow" w:cs="Calibri"/>
                <w:color w:val="000000"/>
                <w:sz w:val="20"/>
                <w:lang w:val="en-AU"/>
              </w:rPr>
            </w:pPr>
            <w:r w:rsidRPr="00EF2E8A">
              <w:rPr>
                <w:rFonts w:ascii="Arial Narrow" w:hAnsi="Arial Narrow" w:cs="Calibri"/>
                <w:color w:val="000000"/>
                <w:sz w:val="20"/>
                <w:lang w:val="en-AU"/>
              </w:rPr>
              <w:t>0.276</w:t>
            </w:r>
          </w:p>
        </w:tc>
        <w:tc>
          <w:tcPr>
            <w:tcW w:w="1085" w:type="dxa"/>
            <w:tcBorders>
              <w:bottom w:val="single" w:sz="4" w:space="0" w:color="auto"/>
            </w:tcBorders>
          </w:tcPr>
          <w:p w14:paraId="4EFAAFA8" w14:textId="77777777" w:rsidR="00FF1433" w:rsidRPr="00EF2E8A" w:rsidRDefault="00FF1433" w:rsidP="00591C83">
            <w:pPr>
              <w:spacing w:before="0"/>
              <w:jc w:val="center"/>
              <w:rPr>
                <w:rFonts w:ascii="Arial Narrow" w:hAnsi="Arial Narrow"/>
                <w:sz w:val="20"/>
                <w:lang w:val="en-AU"/>
              </w:rPr>
            </w:pPr>
            <w:r w:rsidRPr="00EF2E8A">
              <w:rPr>
                <w:rFonts w:ascii="Arial Narrow" w:hAnsi="Arial Narrow"/>
                <w:sz w:val="20"/>
                <w:lang w:val="en-AU"/>
              </w:rPr>
              <w:t>0.855</w:t>
            </w:r>
            <w:r w:rsidRPr="00EF2E8A">
              <w:rPr>
                <w:rFonts w:ascii="Arial Narrow" w:hAnsi="Arial Narrow"/>
                <w:sz w:val="20"/>
                <w:lang w:val="en-AU"/>
              </w:rPr>
              <w:br/>
              <w:t>(0.644, 1.134)</w:t>
            </w:r>
          </w:p>
        </w:tc>
      </w:tr>
      <w:tr w:rsidR="00FF1433" w:rsidRPr="00EF2E8A" w14:paraId="12A86FA9" w14:textId="77777777" w:rsidTr="00530CB7">
        <w:tc>
          <w:tcPr>
            <w:tcW w:w="9171" w:type="dxa"/>
            <w:gridSpan w:val="9"/>
            <w:tcBorders>
              <w:top w:val="single" w:sz="4" w:space="0" w:color="auto"/>
              <w:bottom w:val="single" w:sz="4" w:space="0" w:color="auto"/>
            </w:tcBorders>
            <w:shd w:val="clear" w:color="auto" w:fill="F2F2F2" w:themeFill="background1" w:themeFillShade="F2"/>
          </w:tcPr>
          <w:p w14:paraId="44C347DB" w14:textId="68D31D4D" w:rsidR="00FF1433" w:rsidRPr="00EF2E8A" w:rsidRDefault="00FF1433" w:rsidP="00591C83">
            <w:pPr>
              <w:keepNext/>
              <w:autoSpaceDE w:val="0"/>
              <w:autoSpaceDN w:val="0"/>
              <w:adjustRightInd w:val="0"/>
              <w:spacing w:before="0"/>
              <w:jc w:val="left"/>
              <w:rPr>
                <w:rFonts w:ascii="Arial Narrow" w:hAnsi="Arial Narrow" w:cs="Calibri"/>
                <w:b/>
                <w:bCs/>
                <w:color w:val="000000"/>
                <w:sz w:val="20"/>
                <w:lang w:val="en-AU"/>
              </w:rPr>
            </w:pPr>
            <w:r w:rsidRPr="00EF2E8A">
              <w:rPr>
                <w:rFonts w:ascii="Arial Narrow" w:hAnsi="Arial Narrow" w:cs="Calibri"/>
                <w:b/>
                <w:bCs/>
                <w:color w:val="000000"/>
                <w:sz w:val="20"/>
                <w:lang w:val="en-AU"/>
              </w:rPr>
              <w:t>OS – FRα</w:t>
            </w:r>
            <w:r w:rsidR="00A46D2B">
              <w:rPr>
                <w:rFonts w:ascii="Arial Narrow" w:hAnsi="Arial Narrow" w:cs="Calibri"/>
                <w:b/>
                <w:bCs/>
                <w:color w:val="000000"/>
                <w:sz w:val="20"/>
                <w:lang w:val="en-AU"/>
              </w:rPr>
              <w:noBreakHyphen/>
            </w:r>
            <w:r w:rsidRPr="00EF2E8A">
              <w:rPr>
                <w:rFonts w:ascii="Arial Narrow" w:hAnsi="Arial Narrow" w:cs="Calibri"/>
                <w:b/>
                <w:bCs/>
                <w:color w:val="000000"/>
                <w:sz w:val="20"/>
                <w:lang w:val="en-AU"/>
              </w:rPr>
              <w:t>high (≥75%, using 10X scoring) (pre</w:t>
            </w:r>
            <w:r w:rsidR="00A46D2B">
              <w:rPr>
                <w:rFonts w:ascii="Arial Narrow" w:hAnsi="Arial Narrow" w:cs="Calibri"/>
                <w:b/>
                <w:bCs/>
                <w:color w:val="000000"/>
                <w:sz w:val="20"/>
                <w:lang w:val="en-AU"/>
              </w:rPr>
              <w:noBreakHyphen/>
            </w:r>
            <w:r w:rsidRPr="00EF2E8A">
              <w:rPr>
                <w:rFonts w:ascii="Arial Narrow" w:hAnsi="Arial Narrow" w:cs="Calibri"/>
                <w:b/>
                <w:bCs/>
                <w:color w:val="000000"/>
                <w:sz w:val="20"/>
                <w:lang w:val="en-AU"/>
              </w:rPr>
              <w:t>specified)</w:t>
            </w:r>
          </w:p>
        </w:tc>
      </w:tr>
      <w:tr w:rsidR="00FF1433" w:rsidRPr="00EF2E8A" w14:paraId="20F75251" w14:textId="77777777" w:rsidTr="00530CB7">
        <w:trPr>
          <w:gridAfter w:val="1"/>
          <w:wAfter w:w="11" w:type="dxa"/>
          <w:tblHeader/>
        </w:trPr>
        <w:tc>
          <w:tcPr>
            <w:tcW w:w="1271" w:type="dxa"/>
            <w:tcBorders>
              <w:top w:val="single" w:sz="4" w:space="0" w:color="auto"/>
              <w:bottom w:val="single" w:sz="4" w:space="0" w:color="auto"/>
              <w:right w:val="single" w:sz="4" w:space="0" w:color="auto"/>
            </w:tcBorders>
            <w:shd w:val="clear" w:color="auto" w:fill="auto"/>
          </w:tcPr>
          <w:p w14:paraId="62D05B5E" w14:textId="77777777" w:rsidR="00FF1433" w:rsidRPr="00EF2E8A" w:rsidRDefault="00FF1433" w:rsidP="00591C83">
            <w:pPr>
              <w:keepNext/>
              <w:spacing w:before="0"/>
              <w:rPr>
                <w:rFonts w:ascii="Arial Narrow" w:hAnsi="Arial Narrow" w:cs="Calibri"/>
                <w:b/>
                <w:bCs/>
                <w:sz w:val="20"/>
                <w:lang w:val="en-A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4E0F18" w14:textId="77777777" w:rsidR="00FF1433" w:rsidRPr="00EF2E8A" w:rsidRDefault="00FF1433" w:rsidP="00591C83">
            <w:pPr>
              <w:keepNext/>
              <w:spacing w:before="0"/>
              <w:jc w:val="left"/>
              <w:rPr>
                <w:rFonts w:ascii="Arial Narrow" w:hAnsi="Arial Narrow" w:cs="Calibri"/>
                <w:b/>
                <w:bCs/>
                <w:sz w:val="20"/>
                <w:lang w:val="en-AU"/>
              </w:rPr>
            </w:pPr>
            <w:r w:rsidRPr="00EF2E8A">
              <w:rPr>
                <w:rFonts w:ascii="Arial Narrow" w:hAnsi="Arial Narrow" w:cs="Calibri"/>
                <w:b/>
                <w:bCs/>
                <w:sz w:val="20"/>
                <w:lang w:val="en-AU"/>
              </w:rPr>
              <w:t>MIRV (N=147)</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3A605C7" w14:textId="77777777" w:rsidR="00FF1433" w:rsidRPr="00EF2E8A" w:rsidRDefault="00FF1433" w:rsidP="00591C83">
            <w:pPr>
              <w:keepNext/>
              <w:spacing w:before="0"/>
              <w:jc w:val="left"/>
              <w:rPr>
                <w:rFonts w:ascii="Arial Narrow" w:hAnsi="Arial Narrow" w:cs="Calibri"/>
                <w:b/>
                <w:bCs/>
                <w:sz w:val="20"/>
                <w:lang w:val="en-AU"/>
              </w:rPr>
            </w:pPr>
            <w:r w:rsidRPr="00EF2E8A">
              <w:rPr>
                <w:rFonts w:ascii="Arial Narrow" w:hAnsi="Arial Narrow" w:cs="Calibri"/>
                <w:b/>
                <w:bCs/>
                <w:sz w:val="20"/>
                <w:lang w:val="en-AU"/>
              </w:rPr>
              <w:t>ICC (N=71)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387916" w14:textId="77777777" w:rsidR="00FF1433" w:rsidRPr="00EF2E8A" w:rsidRDefault="00FF1433" w:rsidP="00591C83">
            <w:pPr>
              <w:keepNext/>
              <w:spacing w:before="0"/>
              <w:jc w:val="center"/>
              <w:rPr>
                <w:rFonts w:ascii="Arial Narrow" w:hAnsi="Arial Narrow" w:cs="Calibri"/>
                <w:b/>
                <w:bCs/>
                <w:sz w:val="20"/>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8A1A02" w14:textId="77777777" w:rsidR="00FF1433" w:rsidRPr="00EF2E8A" w:rsidRDefault="00FF1433" w:rsidP="00591C83">
            <w:pPr>
              <w:keepNext/>
              <w:spacing w:before="0"/>
              <w:jc w:val="center"/>
              <w:rPr>
                <w:rFonts w:ascii="Arial Narrow" w:hAnsi="Arial Narrow" w:cs="Calibri"/>
                <w:b/>
                <w:bCs/>
                <w:sz w:val="20"/>
                <w:lang w:val="en-AU"/>
              </w:rPr>
            </w:pPr>
          </w:p>
        </w:tc>
        <w:tc>
          <w:tcPr>
            <w:tcW w:w="1085" w:type="dxa"/>
            <w:tcBorders>
              <w:top w:val="single" w:sz="4" w:space="0" w:color="auto"/>
              <w:left w:val="single" w:sz="4" w:space="0" w:color="auto"/>
              <w:bottom w:val="single" w:sz="4" w:space="0" w:color="auto"/>
            </w:tcBorders>
            <w:shd w:val="clear" w:color="auto" w:fill="auto"/>
          </w:tcPr>
          <w:p w14:paraId="2514907A" w14:textId="77777777" w:rsidR="00FF1433" w:rsidRPr="00EF2E8A" w:rsidRDefault="00FF1433" w:rsidP="00591C83">
            <w:pPr>
              <w:keepNext/>
              <w:spacing w:before="0"/>
              <w:jc w:val="center"/>
              <w:rPr>
                <w:rFonts w:ascii="Arial Narrow" w:hAnsi="Arial Narrow" w:cs="Calibri"/>
                <w:b/>
                <w:bCs/>
                <w:sz w:val="20"/>
                <w:lang w:val="en-AU"/>
              </w:rPr>
            </w:pPr>
          </w:p>
        </w:tc>
      </w:tr>
      <w:tr w:rsidR="00FF1433" w:rsidRPr="00EF2E8A" w14:paraId="5255F4CC" w14:textId="77777777" w:rsidTr="00530CB7">
        <w:trPr>
          <w:gridAfter w:val="1"/>
          <w:wAfter w:w="11" w:type="dxa"/>
        </w:trPr>
        <w:tc>
          <w:tcPr>
            <w:tcW w:w="1271" w:type="dxa"/>
            <w:tcBorders>
              <w:bottom w:val="single" w:sz="4" w:space="0" w:color="auto"/>
            </w:tcBorders>
            <w:hideMark/>
          </w:tcPr>
          <w:p w14:paraId="4B1DB788" w14:textId="62B32D64" w:rsidR="00FF1433" w:rsidRPr="00EF2E8A" w:rsidRDefault="00FF1433" w:rsidP="00591C83">
            <w:pPr>
              <w:spacing w:before="0"/>
              <w:rPr>
                <w:rFonts w:ascii="Arial Narrow" w:hAnsi="Arial Narrow" w:cs="Calibri"/>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high</w:t>
            </w:r>
            <w:r w:rsidRPr="00EF2E8A">
              <w:rPr>
                <w:rFonts w:ascii="Arial Narrow" w:hAnsi="Arial Narrow"/>
                <w:sz w:val="20"/>
                <w:lang w:val="en-AU"/>
              </w:rPr>
              <w:br/>
            </w:r>
            <w:r w:rsidRPr="00EF2E8A">
              <w:rPr>
                <w:rFonts w:ascii="Arial Narrow" w:hAnsi="Arial Narrow" w:cs="Calibri"/>
                <w:sz w:val="20"/>
                <w:lang w:val="en-AU"/>
              </w:rPr>
              <w:t>February 2019</w:t>
            </w:r>
          </w:p>
        </w:tc>
        <w:tc>
          <w:tcPr>
            <w:tcW w:w="1134" w:type="dxa"/>
          </w:tcPr>
          <w:p w14:paraId="49B44C74"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50/147</w:t>
            </w:r>
          </w:p>
          <w:p w14:paraId="4E16A888" w14:textId="48E664C2"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 (34%) </w:t>
            </w:r>
          </w:p>
        </w:tc>
        <w:tc>
          <w:tcPr>
            <w:tcW w:w="1276" w:type="dxa"/>
          </w:tcPr>
          <w:p w14:paraId="564C5839"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NC </w:t>
            </w:r>
            <w:r w:rsidRPr="00EF2E8A">
              <w:rPr>
                <w:rFonts w:ascii="Arial Narrow" w:hAnsi="Arial Narrow" w:cs="Calibri"/>
                <w:sz w:val="20"/>
                <w:lang w:val="en-AU"/>
              </w:rPr>
              <w:br/>
              <w:t xml:space="preserve">(12.58, NC) </w:t>
            </w:r>
          </w:p>
        </w:tc>
        <w:tc>
          <w:tcPr>
            <w:tcW w:w="1134" w:type="dxa"/>
            <w:tcBorders>
              <w:bottom w:val="single" w:sz="4" w:space="0" w:color="auto"/>
            </w:tcBorders>
          </w:tcPr>
          <w:p w14:paraId="0F3EB179"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33/71 </w:t>
            </w:r>
          </w:p>
          <w:p w14:paraId="49E17559" w14:textId="0CA774F6"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(46%) </w:t>
            </w:r>
          </w:p>
        </w:tc>
        <w:tc>
          <w:tcPr>
            <w:tcW w:w="1276" w:type="dxa"/>
            <w:tcBorders>
              <w:bottom w:val="single" w:sz="4" w:space="0" w:color="auto"/>
            </w:tcBorders>
          </w:tcPr>
          <w:p w14:paraId="695FADB9"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11.76 </w:t>
            </w:r>
            <w:r w:rsidRPr="00EF2E8A">
              <w:rPr>
                <w:rFonts w:ascii="Arial Narrow" w:hAnsi="Arial Narrow" w:cs="Calibri"/>
                <w:sz w:val="20"/>
                <w:lang w:val="en-AU"/>
              </w:rPr>
              <w:br/>
              <w:t>(9.20, NC)</w:t>
            </w:r>
          </w:p>
        </w:tc>
        <w:tc>
          <w:tcPr>
            <w:tcW w:w="1134" w:type="dxa"/>
          </w:tcPr>
          <w:p w14:paraId="16987C9C"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NC</w:t>
            </w:r>
          </w:p>
        </w:tc>
        <w:tc>
          <w:tcPr>
            <w:tcW w:w="850" w:type="dxa"/>
          </w:tcPr>
          <w:p w14:paraId="72F11D73"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0.033</w:t>
            </w:r>
          </w:p>
        </w:tc>
        <w:tc>
          <w:tcPr>
            <w:tcW w:w="1085" w:type="dxa"/>
            <w:tcBorders>
              <w:bottom w:val="single" w:sz="4" w:space="0" w:color="auto"/>
            </w:tcBorders>
          </w:tcPr>
          <w:p w14:paraId="2703A822" w14:textId="77777777" w:rsidR="00FF1433" w:rsidRPr="00EF2E8A" w:rsidRDefault="00FF1433" w:rsidP="00591C83">
            <w:pPr>
              <w:autoSpaceDE w:val="0"/>
              <w:autoSpaceDN w:val="0"/>
              <w:adjustRightInd w:val="0"/>
              <w:spacing w:before="0"/>
              <w:contextualSpacing/>
              <w:jc w:val="center"/>
              <w:rPr>
                <w:rFonts w:ascii="Arial Narrow" w:hAnsi="Arial Narrow" w:cs="Calibri"/>
                <w:color w:val="000000"/>
                <w:sz w:val="20"/>
                <w:lang w:val="en-AU"/>
              </w:rPr>
            </w:pPr>
            <w:r w:rsidRPr="00EF2E8A">
              <w:rPr>
                <w:rFonts w:ascii="Arial Narrow" w:hAnsi="Arial Narrow" w:cs="Calibri"/>
                <w:color w:val="000000"/>
                <w:sz w:val="20"/>
                <w:lang w:val="en-AU"/>
              </w:rPr>
              <w:t xml:space="preserve">0.618 </w:t>
            </w:r>
            <w:r w:rsidRPr="00EF2E8A">
              <w:rPr>
                <w:rFonts w:ascii="Arial Narrow" w:hAnsi="Arial Narrow" w:cs="Calibri"/>
                <w:color w:val="000000"/>
                <w:sz w:val="20"/>
                <w:lang w:val="en-AU"/>
              </w:rPr>
              <w:br/>
              <w:t>(0.395, 0.966)</w:t>
            </w:r>
          </w:p>
        </w:tc>
      </w:tr>
      <w:tr w:rsidR="00FF1433" w:rsidRPr="00EF2E8A" w14:paraId="4C0D435D" w14:textId="77777777" w:rsidTr="00530CB7">
        <w:trPr>
          <w:gridAfter w:val="1"/>
          <w:wAfter w:w="11" w:type="dxa"/>
        </w:trPr>
        <w:tc>
          <w:tcPr>
            <w:tcW w:w="1271" w:type="dxa"/>
            <w:tcBorders>
              <w:bottom w:val="single" w:sz="4" w:space="0" w:color="auto"/>
            </w:tcBorders>
          </w:tcPr>
          <w:p w14:paraId="469D04C9" w14:textId="77777777" w:rsidR="00FF1433" w:rsidRPr="00EF2E8A" w:rsidRDefault="00FF1433" w:rsidP="00591C83">
            <w:pPr>
              <w:spacing w:before="0"/>
              <w:jc w:val="left"/>
              <w:rPr>
                <w:rFonts w:ascii="Arial Narrow" w:hAnsi="Arial Narrow"/>
                <w:sz w:val="20"/>
                <w:lang w:val="en-AU"/>
              </w:rPr>
            </w:pPr>
            <w:r w:rsidRPr="00EF2E8A">
              <w:rPr>
                <w:rFonts w:ascii="Arial Narrow" w:hAnsi="Arial Narrow"/>
                <w:sz w:val="20"/>
                <w:lang w:val="en-AU"/>
              </w:rPr>
              <w:t xml:space="preserve">ITT </w:t>
            </w:r>
            <w:r w:rsidRPr="00EF2E8A">
              <w:rPr>
                <w:rFonts w:ascii="Arial Narrow" w:hAnsi="Arial Narrow"/>
                <w:sz w:val="20"/>
                <w:lang w:val="en-AU"/>
              </w:rPr>
              <w:br/>
              <w:t>August 2019 exploratory analysis</w:t>
            </w:r>
          </w:p>
        </w:tc>
        <w:tc>
          <w:tcPr>
            <w:tcW w:w="1134" w:type="dxa"/>
          </w:tcPr>
          <w:p w14:paraId="77EA4AD0"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50/147 </w:t>
            </w:r>
          </w:p>
          <w:p w14:paraId="10CD6239" w14:textId="15444A7D"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(34%)</w:t>
            </w:r>
          </w:p>
        </w:tc>
        <w:tc>
          <w:tcPr>
            <w:tcW w:w="1276" w:type="dxa"/>
          </w:tcPr>
          <w:p w14:paraId="323DD7F6"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16.4 </w:t>
            </w:r>
            <w:r w:rsidRPr="00EF2E8A">
              <w:rPr>
                <w:rFonts w:ascii="Arial Narrow" w:hAnsi="Arial Narrow" w:cs="Calibri"/>
                <w:sz w:val="20"/>
                <w:lang w:val="en-AU"/>
              </w:rPr>
              <w:br/>
              <w:t>(NR)</w:t>
            </w:r>
          </w:p>
        </w:tc>
        <w:tc>
          <w:tcPr>
            <w:tcW w:w="1134" w:type="dxa"/>
            <w:tcBorders>
              <w:bottom w:val="single" w:sz="4" w:space="0" w:color="auto"/>
            </w:tcBorders>
          </w:tcPr>
          <w:p w14:paraId="5C5B6563"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33/71 </w:t>
            </w:r>
          </w:p>
          <w:p w14:paraId="0992B523" w14:textId="732B39F5"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(46%)</w:t>
            </w:r>
          </w:p>
        </w:tc>
        <w:tc>
          <w:tcPr>
            <w:tcW w:w="1276" w:type="dxa"/>
            <w:tcBorders>
              <w:bottom w:val="single" w:sz="4" w:space="0" w:color="auto"/>
            </w:tcBorders>
          </w:tcPr>
          <w:p w14:paraId="5C3BBF1A"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12.0</w:t>
            </w:r>
          </w:p>
          <w:p w14:paraId="7B1F3BE8"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1134" w:type="dxa"/>
          </w:tcPr>
          <w:p w14:paraId="784A2FF5" w14:textId="77777777" w:rsidR="00FF1433" w:rsidRPr="00EF2E8A" w:rsidRDefault="00FF1433" w:rsidP="00591C83">
            <w:pPr>
              <w:autoSpaceDE w:val="0"/>
              <w:autoSpaceDN w:val="0"/>
              <w:adjustRightInd w:val="0"/>
              <w:spacing w:before="0"/>
              <w:contextualSpacing/>
              <w:jc w:val="center"/>
              <w:rPr>
                <w:rFonts w:ascii="Arial Narrow" w:hAnsi="Arial Narrow" w:cs="Calibri"/>
                <w:color w:val="000000"/>
                <w:sz w:val="20"/>
                <w:lang w:val="en-AU"/>
              </w:rPr>
            </w:pPr>
            <w:r w:rsidRPr="00EF2E8A">
              <w:rPr>
                <w:rFonts w:ascii="Arial Narrow" w:hAnsi="Arial Narrow" w:cs="Calibri"/>
                <w:color w:val="000000"/>
                <w:sz w:val="20"/>
                <w:lang w:val="en-AU"/>
              </w:rPr>
              <w:t>4.4</w:t>
            </w:r>
          </w:p>
        </w:tc>
        <w:tc>
          <w:tcPr>
            <w:tcW w:w="850" w:type="dxa"/>
          </w:tcPr>
          <w:p w14:paraId="511ED3CC" w14:textId="77777777" w:rsidR="00FF1433" w:rsidRPr="00EF2E8A" w:rsidRDefault="00FF1433" w:rsidP="00591C83">
            <w:pPr>
              <w:autoSpaceDE w:val="0"/>
              <w:autoSpaceDN w:val="0"/>
              <w:adjustRightInd w:val="0"/>
              <w:spacing w:before="0"/>
              <w:contextualSpacing/>
              <w:jc w:val="center"/>
              <w:rPr>
                <w:rFonts w:ascii="Arial Narrow" w:hAnsi="Arial Narrow" w:cs="Calibri"/>
                <w:sz w:val="20"/>
                <w:lang w:val="en-AU"/>
              </w:rPr>
            </w:pPr>
            <w:r w:rsidRPr="00EF2E8A">
              <w:rPr>
                <w:rFonts w:ascii="Arial Narrow" w:hAnsi="Arial Narrow" w:cs="Calibri"/>
                <w:sz w:val="20"/>
                <w:lang w:val="en-AU"/>
              </w:rPr>
              <w:t>0.048</w:t>
            </w:r>
          </w:p>
        </w:tc>
        <w:tc>
          <w:tcPr>
            <w:tcW w:w="1085" w:type="dxa"/>
            <w:tcBorders>
              <w:bottom w:val="single" w:sz="4" w:space="0" w:color="auto"/>
            </w:tcBorders>
          </w:tcPr>
          <w:p w14:paraId="26B01473" w14:textId="77777777" w:rsidR="00FF1433" w:rsidRPr="00EF2E8A" w:rsidRDefault="00FF1433" w:rsidP="00591C83">
            <w:pPr>
              <w:spacing w:before="0"/>
              <w:jc w:val="center"/>
              <w:rPr>
                <w:rFonts w:ascii="Arial Narrow" w:hAnsi="Arial Narrow"/>
                <w:sz w:val="20"/>
                <w:lang w:val="en-AU"/>
              </w:rPr>
            </w:pPr>
            <w:r w:rsidRPr="00EF2E8A">
              <w:rPr>
                <w:rFonts w:ascii="Arial Narrow" w:hAnsi="Arial Narrow"/>
                <w:sz w:val="20"/>
                <w:lang w:val="en-AU"/>
              </w:rPr>
              <w:t xml:space="preserve">0.678 </w:t>
            </w:r>
            <w:r w:rsidRPr="00EF2E8A">
              <w:rPr>
                <w:rFonts w:ascii="Arial Narrow" w:hAnsi="Arial Narrow"/>
                <w:sz w:val="20"/>
                <w:lang w:val="en-AU"/>
              </w:rPr>
              <w:br/>
              <w:t>(0.460, 0.999)</w:t>
            </w:r>
          </w:p>
        </w:tc>
      </w:tr>
      <w:tr w:rsidR="00FF1433" w:rsidRPr="00EF2E8A" w14:paraId="6222ADA0" w14:textId="77777777" w:rsidTr="00530CB7">
        <w:trPr>
          <w:gridAfter w:val="1"/>
          <w:wAfter w:w="11" w:type="dxa"/>
        </w:trPr>
        <w:tc>
          <w:tcPr>
            <w:tcW w:w="1271" w:type="dxa"/>
            <w:tcBorders>
              <w:bottom w:val="single" w:sz="4" w:space="0" w:color="auto"/>
            </w:tcBorders>
          </w:tcPr>
          <w:p w14:paraId="33DE1A7B" w14:textId="73259066" w:rsidR="00FF1433" w:rsidRPr="00EF2E8A" w:rsidRDefault="00FF1433" w:rsidP="00591C83">
            <w:pPr>
              <w:spacing w:before="0"/>
              <w:rPr>
                <w:rFonts w:ascii="Arial Narrow" w:hAnsi="Arial Narrow"/>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high</w:t>
            </w:r>
            <w:r w:rsidRPr="00EF2E8A">
              <w:rPr>
                <w:rFonts w:ascii="Arial Narrow" w:hAnsi="Arial Narrow"/>
                <w:sz w:val="20"/>
                <w:lang w:val="en-AU"/>
              </w:rPr>
              <w:br/>
            </w:r>
            <w:r w:rsidRPr="00EF2E8A">
              <w:rPr>
                <w:rFonts w:ascii="Arial Narrow" w:hAnsi="Arial Narrow" w:cs="Calibri"/>
                <w:sz w:val="20"/>
                <w:lang w:val="en-AU"/>
              </w:rPr>
              <w:t>March 2020</w:t>
            </w:r>
          </w:p>
        </w:tc>
        <w:tc>
          <w:tcPr>
            <w:tcW w:w="1134" w:type="dxa"/>
          </w:tcPr>
          <w:p w14:paraId="5E9B2509"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82/147 </w:t>
            </w:r>
          </w:p>
          <w:p w14:paraId="6AAAB666" w14:textId="7245109C"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(56%) </w:t>
            </w:r>
          </w:p>
        </w:tc>
        <w:tc>
          <w:tcPr>
            <w:tcW w:w="1276" w:type="dxa"/>
          </w:tcPr>
          <w:p w14:paraId="32245F77"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17.31 </w:t>
            </w:r>
            <w:r w:rsidRPr="00EF2E8A">
              <w:rPr>
                <w:rFonts w:ascii="Arial Narrow" w:hAnsi="Arial Narrow" w:cs="Calibri"/>
                <w:sz w:val="20"/>
                <w:lang w:val="en-AU"/>
              </w:rPr>
              <w:br/>
              <w:t xml:space="preserve">(12.81, 20.50) </w:t>
            </w:r>
          </w:p>
        </w:tc>
        <w:tc>
          <w:tcPr>
            <w:tcW w:w="1134" w:type="dxa"/>
            <w:tcBorders>
              <w:bottom w:val="single" w:sz="4" w:space="0" w:color="auto"/>
            </w:tcBorders>
          </w:tcPr>
          <w:p w14:paraId="6A02FF6F"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45/71 </w:t>
            </w:r>
          </w:p>
          <w:p w14:paraId="386F2E19" w14:textId="394D6AB2"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(63%)</w:t>
            </w:r>
          </w:p>
        </w:tc>
        <w:tc>
          <w:tcPr>
            <w:tcW w:w="1276" w:type="dxa"/>
            <w:tcBorders>
              <w:bottom w:val="single" w:sz="4" w:space="0" w:color="auto"/>
            </w:tcBorders>
          </w:tcPr>
          <w:p w14:paraId="1C485511"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12.02 </w:t>
            </w:r>
            <w:r w:rsidRPr="00EF2E8A">
              <w:rPr>
                <w:rFonts w:ascii="Arial Narrow" w:hAnsi="Arial Narrow" w:cs="Calibri"/>
                <w:sz w:val="20"/>
                <w:lang w:val="en-AU"/>
              </w:rPr>
              <w:br/>
              <w:t>(9.20, 18.07)</w:t>
            </w:r>
          </w:p>
        </w:tc>
        <w:tc>
          <w:tcPr>
            <w:tcW w:w="1134" w:type="dxa"/>
          </w:tcPr>
          <w:p w14:paraId="1DF43ACE"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5.29</w:t>
            </w:r>
          </w:p>
        </w:tc>
        <w:tc>
          <w:tcPr>
            <w:tcW w:w="850" w:type="dxa"/>
          </w:tcPr>
          <w:p w14:paraId="3D80AB35"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sz w:val="20"/>
                <w:lang w:val="en-AU"/>
              </w:rPr>
              <w:t>0.063</w:t>
            </w:r>
          </w:p>
        </w:tc>
        <w:tc>
          <w:tcPr>
            <w:tcW w:w="1085" w:type="dxa"/>
            <w:tcBorders>
              <w:bottom w:val="single" w:sz="4" w:space="0" w:color="auto"/>
            </w:tcBorders>
          </w:tcPr>
          <w:p w14:paraId="0C34D6D7" w14:textId="77777777" w:rsidR="00FF1433" w:rsidRPr="00EF2E8A" w:rsidRDefault="00FF1433" w:rsidP="00591C83">
            <w:pPr>
              <w:autoSpaceDE w:val="0"/>
              <w:autoSpaceDN w:val="0"/>
              <w:adjustRightInd w:val="0"/>
              <w:spacing w:before="0"/>
              <w:contextualSpacing/>
              <w:jc w:val="center"/>
              <w:rPr>
                <w:rFonts w:ascii="Arial Narrow" w:hAnsi="Arial Narrow" w:cs="Calibri"/>
                <w:sz w:val="20"/>
                <w:lang w:val="en-AU"/>
              </w:rPr>
            </w:pPr>
            <w:r w:rsidRPr="00EF2E8A">
              <w:rPr>
                <w:rFonts w:ascii="Arial Narrow" w:hAnsi="Arial Narrow" w:cs="Calibri"/>
                <w:sz w:val="20"/>
                <w:lang w:val="en-AU"/>
              </w:rPr>
              <w:t xml:space="preserve">0.706 </w:t>
            </w:r>
            <w:r w:rsidRPr="00EF2E8A">
              <w:rPr>
                <w:rFonts w:ascii="Arial Narrow" w:hAnsi="Arial Narrow" w:cs="Calibri"/>
                <w:sz w:val="20"/>
                <w:lang w:val="en-AU"/>
              </w:rPr>
              <w:br/>
              <w:t>(0.489, 1.020)</w:t>
            </w:r>
          </w:p>
        </w:tc>
      </w:tr>
      <w:tr w:rsidR="00FF1433" w:rsidRPr="00EF2E8A" w14:paraId="2C4409F6" w14:textId="77777777" w:rsidTr="00530CB7">
        <w:tc>
          <w:tcPr>
            <w:tcW w:w="9171" w:type="dxa"/>
            <w:gridSpan w:val="9"/>
            <w:tcBorders>
              <w:top w:val="single" w:sz="4" w:space="0" w:color="auto"/>
              <w:bottom w:val="single" w:sz="4" w:space="0" w:color="auto"/>
            </w:tcBorders>
            <w:shd w:val="clear" w:color="auto" w:fill="F2F2F2" w:themeFill="background1" w:themeFillShade="F2"/>
          </w:tcPr>
          <w:p w14:paraId="676BC3D1" w14:textId="3649B230" w:rsidR="00FF1433" w:rsidRPr="00EF2E8A" w:rsidRDefault="00FF1433" w:rsidP="00591C83">
            <w:pPr>
              <w:keepNext/>
              <w:autoSpaceDE w:val="0"/>
              <w:autoSpaceDN w:val="0"/>
              <w:adjustRightInd w:val="0"/>
              <w:spacing w:before="0"/>
              <w:jc w:val="left"/>
              <w:rPr>
                <w:rFonts w:ascii="Arial Narrow" w:hAnsi="Arial Narrow" w:cs="Calibri"/>
                <w:b/>
                <w:bCs/>
                <w:color w:val="000000"/>
                <w:sz w:val="20"/>
                <w:lang w:val="en-AU"/>
              </w:rPr>
            </w:pPr>
            <w:r w:rsidRPr="00EF2E8A">
              <w:rPr>
                <w:rFonts w:ascii="Arial Narrow" w:hAnsi="Arial Narrow" w:cs="Calibri"/>
                <w:b/>
                <w:bCs/>
                <w:color w:val="000000"/>
                <w:sz w:val="20"/>
                <w:lang w:val="en-AU"/>
              </w:rPr>
              <w:t>OS – FRα</w:t>
            </w:r>
            <w:r w:rsidR="00A46D2B">
              <w:rPr>
                <w:rFonts w:ascii="Arial Narrow" w:hAnsi="Arial Narrow" w:cs="Calibri"/>
                <w:b/>
                <w:bCs/>
                <w:color w:val="000000"/>
                <w:sz w:val="20"/>
                <w:lang w:val="en-AU"/>
              </w:rPr>
              <w:noBreakHyphen/>
            </w:r>
            <w:r w:rsidRPr="00EF2E8A">
              <w:rPr>
                <w:rFonts w:ascii="Arial Narrow" w:hAnsi="Arial Narrow" w:cs="Calibri"/>
                <w:b/>
                <w:bCs/>
                <w:color w:val="000000"/>
                <w:sz w:val="20"/>
                <w:lang w:val="en-AU"/>
              </w:rPr>
              <w:t>medium (&lt;75%, using 10X scoring) (pre</w:t>
            </w:r>
            <w:r w:rsidR="00A46D2B">
              <w:rPr>
                <w:rFonts w:ascii="Arial Narrow" w:hAnsi="Arial Narrow" w:cs="Calibri"/>
                <w:b/>
                <w:bCs/>
                <w:color w:val="000000"/>
                <w:sz w:val="20"/>
                <w:lang w:val="en-AU"/>
              </w:rPr>
              <w:noBreakHyphen/>
            </w:r>
            <w:r w:rsidRPr="00EF2E8A">
              <w:rPr>
                <w:rFonts w:ascii="Arial Narrow" w:hAnsi="Arial Narrow" w:cs="Calibri"/>
                <w:b/>
                <w:bCs/>
                <w:color w:val="000000"/>
                <w:sz w:val="20"/>
                <w:lang w:val="en-AU"/>
              </w:rPr>
              <w:t>specified)</w:t>
            </w:r>
          </w:p>
        </w:tc>
      </w:tr>
      <w:tr w:rsidR="00FF1433" w:rsidRPr="00EF2E8A" w14:paraId="643FBC1A" w14:textId="77777777" w:rsidTr="00530CB7">
        <w:trPr>
          <w:gridAfter w:val="1"/>
          <w:wAfter w:w="11" w:type="dxa"/>
          <w:tblHeader/>
        </w:trPr>
        <w:tc>
          <w:tcPr>
            <w:tcW w:w="1271" w:type="dxa"/>
            <w:tcBorders>
              <w:top w:val="single" w:sz="4" w:space="0" w:color="auto"/>
              <w:bottom w:val="single" w:sz="4" w:space="0" w:color="auto"/>
              <w:right w:val="single" w:sz="4" w:space="0" w:color="auto"/>
            </w:tcBorders>
            <w:shd w:val="clear" w:color="auto" w:fill="auto"/>
          </w:tcPr>
          <w:p w14:paraId="493EDE76" w14:textId="77777777" w:rsidR="00FF1433" w:rsidRPr="00EF2E8A" w:rsidRDefault="00FF1433" w:rsidP="00591C83">
            <w:pPr>
              <w:keepNext/>
              <w:spacing w:before="0"/>
              <w:rPr>
                <w:rFonts w:ascii="Arial Narrow" w:hAnsi="Arial Narrow" w:cs="Calibri"/>
                <w:b/>
                <w:bCs/>
                <w:sz w:val="20"/>
                <w:lang w:val="en-A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0BE92246" w14:textId="77777777" w:rsidR="00FF1433" w:rsidRPr="00EF2E8A" w:rsidRDefault="00FF1433" w:rsidP="00591C83">
            <w:pPr>
              <w:keepNext/>
              <w:spacing w:before="0"/>
              <w:jc w:val="left"/>
              <w:rPr>
                <w:rFonts w:ascii="Arial Narrow" w:hAnsi="Arial Narrow" w:cs="Calibri"/>
                <w:b/>
                <w:bCs/>
                <w:sz w:val="20"/>
                <w:lang w:val="en-AU"/>
              </w:rPr>
            </w:pPr>
            <w:r w:rsidRPr="00EF2E8A">
              <w:rPr>
                <w:rFonts w:ascii="Arial Narrow" w:hAnsi="Arial Narrow" w:cs="Calibri"/>
                <w:b/>
                <w:bCs/>
                <w:sz w:val="20"/>
                <w:lang w:val="en-AU"/>
              </w:rPr>
              <w:t>MIRV (N=101)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09D47CE6" w14:textId="77777777" w:rsidR="00FF1433" w:rsidRPr="00EF2E8A" w:rsidRDefault="00FF1433" w:rsidP="00591C83">
            <w:pPr>
              <w:keepNext/>
              <w:spacing w:before="0"/>
              <w:jc w:val="left"/>
              <w:rPr>
                <w:rFonts w:ascii="Arial Narrow" w:hAnsi="Arial Narrow" w:cs="Calibri"/>
                <w:b/>
                <w:bCs/>
                <w:sz w:val="20"/>
                <w:lang w:val="en-AU"/>
              </w:rPr>
            </w:pPr>
            <w:r w:rsidRPr="00EF2E8A">
              <w:rPr>
                <w:rFonts w:ascii="Arial Narrow" w:hAnsi="Arial Narrow" w:cs="Calibri"/>
                <w:b/>
                <w:bCs/>
                <w:sz w:val="20"/>
                <w:lang w:val="en-AU"/>
              </w:rPr>
              <w:t>ICC (N=46)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C83023" w14:textId="77777777" w:rsidR="00FF1433" w:rsidRPr="00EF2E8A" w:rsidRDefault="00FF1433" w:rsidP="00591C83">
            <w:pPr>
              <w:keepNext/>
              <w:spacing w:before="0"/>
              <w:jc w:val="center"/>
              <w:rPr>
                <w:rFonts w:ascii="Arial Narrow" w:hAnsi="Arial Narrow" w:cs="Calibri"/>
                <w:b/>
                <w:bCs/>
                <w:sz w:val="20"/>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EB8B7B" w14:textId="77777777" w:rsidR="00FF1433" w:rsidRPr="00EF2E8A" w:rsidRDefault="00FF1433" w:rsidP="00591C83">
            <w:pPr>
              <w:keepNext/>
              <w:spacing w:before="0"/>
              <w:jc w:val="center"/>
              <w:rPr>
                <w:rFonts w:ascii="Arial Narrow" w:hAnsi="Arial Narrow" w:cs="Calibri"/>
                <w:b/>
                <w:bCs/>
                <w:sz w:val="20"/>
                <w:lang w:val="en-AU"/>
              </w:rPr>
            </w:pPr>
          </w:p>
        </w:tc>
        <w:tc>
          <w:tcPr>
            <w:tcW w:w="1085" w:type="dxa"/>
            <w:tcBorders>
              <w:top w:val="single" w:sz="4" w:space="0" w:color="auto"/>
              <w:left w:val="single" w:sz="4" w:space="0" w:color="auto"/>
              <w:bottom w:val="single" w:sz="4" w:space="0" w:color="auto"/>
            </w:tcBorders>
            <w:shd w:val="clear" w:color="auto" w:fill="auto"/>
          </w:tcPr>
          <w:p w14:paraId="08529C38" w14:textId="77777777" w:rsidR="00FF1433" w:rsidRPr="00EF2E8A" w:rsidRDefault="00FF1433" w:rsidP="00591C83">
            <w:pPr>
              <w:keepNext/>
              <w:spacing w:before="0"/>
              <w:jc w:val="center"/>
              <w:rPr>
                <w:rFonts w:ascii="Arial Narrow" w:hAnsi="Arial Narrow" w:cs="Calibri"/>
                <w:b/>
                <w:bCs/>
                <w:sz w:val="20"/>
                <w:lang w:val="en-AU"/>
              </w:rPr>
            </w:pPr>
          </w:p>
        </w:tc>
      </w:tr>
      <w:tr w:rsidR="00FF1433" w:rsidRPr="00EF2E8A" w14:paraId="582C2076" w14:textId="77777777" w:rsidTr="00530CB7">
        <w:trPr>
          <w:gridAfter w:val="1"/>
          <w:wAfter w:w="11" w:type="dxa"/>
        </w:trPr>
        <w:tc>
          <w:tcPr>
            <w:tcW w:w="1271" w:type="dxa"/>
            <w:tcBorders>
              <w:bottom w:val="single" w:sz="4" w:space="0" w:color="auto"/>
            </w:tcBorders>
            <w:hideMark/>
          </w:tcPr>
          <w:p w14:paraId="7C200E47" w14:textId="3D1AE693" w:rsidR="00FF1433" w:rsidRPr="00EF2E8A" w:rsidRDefault="00FF1433" w:rsidP="00591C83">
            <w:pPr>
              <w:spacing w:before="0"/>
              <w:rPr>
                <w:rFonts w:ascii="Arial Narrow" w:hAnsi="Arial Narrow" w:cs="Calibri"/>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medium</w:t>
            </w:r>
            <w:r w:rsidRPr="00EF2E8A">
              <w:rPr>
                <w:rFonts w:ascii="Arial Narrow" w:hAnsi="Arial Narrow"/>
                <w:sz w:val="20"/>
                <w:lang w:val="en-AU"/>
              </w:rPr>
              <w:br/>
            </w:r>
            <w:r w:rsidRPr="00EF2E8A">
              <w:rPr>
                <w:rFonts w:ascii="Arial Narrow" w:hAnsi="Arial Narrow" w:cs="Calibri"/>
                <w:sz w:val="20"/>
                <w:lang w:val="en-AU"/>
              </w:rPr>
              <w:t>February 2019</w:t>
            </w:r>
          </w:p>
        </w:tc>
        <w:tc>
          <w:tcPr>
            <w:tcW w:w="1134" w:type="dxa"/>
          </w:tcPr>
          <w:p w14:paraId="7870D1E4"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46/101 </w:t>
            </w:r>
          </w:p>
          <w:p w14:paraId="74D0BC04" w14:textId="00E8A78F"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(46)</w:t>
            </w:r>
          </w:p>
        </w:tc>
        <w:tc>
          <w:tcPr>
            <w:tcW w:w="1276" w:type="dxa"/>
          </w:tcPr>
          <w:p w14:paraId="06C9D9F8"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14.36 </w:t>
            </w:r>
            <w:r w:rsidRPr="00EF2E8A">
              <w:rPr>
                <w:rFonts w:ascii="Arial Narrow" w:hAnsi="Arial Narrow" w:cs="Calibri"/>
                <w:sz w:val="20"/>
                <w:lang w:val="en-AU"/>
              </w:rPr>
              <w:br/>
              <w:t xml:space="preserve">(12.06, 20.50) </w:t>
            </w:r>
          </w:p>
        </w:tc>
        <w:tc>
          <w:tcPr>
            <w:tcW w:w="1134" w:type="dxa"/>
            <w:tcBorders>
              <w:bottom w:val="single" w:sz="4" w:space="0" w:color="auto"/>
            </w:tcBorders>
          </w:tcPr>
          <w:p w14:paraId="0D746A64"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17/46 </w:t>
            </w:r>
          </w:p>
          <w:p w14:paraId="08BBC3F5" w14:textId="100E3E30"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(37)</w:t>
            </w:r>
          </w:p>
        </w:tc>
        <w:tc>
          <w:tcPr>
            <w:tcW w:w="1276" w:type="dxa"/>
            <w:tcBorders>
              <w:bottom w:val="single" w:sz="4" w:space="0" w:color="auto"/>
            </w:tcBorders>
          </w:tcPr>
          <w:p w14:paraId="26593EB6" w14:textId="6651ADD5"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15.18 </w:t>
            </w:r>
            <w:r w:rsidRPr="00EF2E8A">
              <w:rPr>
                <w:rFonts w:ascii="Arial Narrow" w:hAnsi="Arial Narrow" w:cs="Calibri"/>
                <w:sz w:val="20"/>
                <w:lang w:val="en-AU"/>
              </w:rPr>
              <w:br/>
              <w:t xml:space="preserve">(11.43, </w:t>
            </w:r>
            <w:r w:rsidR="00A46D2B">
              <w:rPr>
                <w:rFonts w:ascii="Arial Narrow" w:hAnsi="Arial Narrow" w:cs="Calibri"/>
                <w:sz w:val="20"/>
                <w:lang w:val="en-AU"/>
              </w:rPr>
              <w:noBreakHyphen/>
            </w:r>
            <w:r w:rsidR="00A46D2B">
              <w:rPr>
                <w:rFonts w:ascii="Arial Narrow" w:hAnsi="Arial Narrow" w:cs="Calibri"/>
                <w:sz w:val="20"/>
                <w:lang w:val="en-AU"/>
              </w:rPr>
              <w:noBreakHyphen/>
            </w:r>
            <w:r w:rsidR="00A46D2B">
              <w:rPr>
                <w:rFonts w:ascii="Arial Narrow" w:hAnsi="Arial Narrow" w:cs="Calibri"/>
                <w:sz w:val="20"/>
                <w:lang w:val="en-AU"/>
              </w:rPr>
              <w:noBreakHyphen/>
            </w:r>
            <w:r w:rsidRPr="00EF2E8A">
              <w:rPr>
                <w:rFonts w:ascii="Arial Narrow" w:hAnsi="Arial Narrow" w:cs="Calibri"/>
                <w:sz w:val="20"/>
                <w:lang w:val="en-AU"/>
              </w:rPr>
              <w:t xml:space="preserve"> )</w:t>
            </w:r>
          </w:p>
        </w:tc>
        <w:tc>
          <w:tcPr>
            <w:tcW w:w="1134" w:type="dxa"/>
          </w:tcPr>
          <w:p w14:paraId="48C78224" w14:textId="5AB1DF7D" w:rsidR="00FF1433" w:rsidRPr="00EF2E8A" w:rsidRDefault="00A46D2B" w:rsidP="00591C83">
            <w:pPr>
              <w:spacing w:before="0"/>
              <w:jc w:val="center"/>
              <w:rPr>
                <w:rFonts w:ascii="Arial Narrow" w:hAnsi="Arial Narrow" w:cs="Calibri"/>
                <w:sz w:val="20"/>
                <w:lang w:val="en-AU"/>
              </w:rPr>
            </w:pPr>
            <w:r>
              <w:rPr>
                <w:rFonts w:ascii="Arial Narrow" w:hAnsi="Arial Narrow" w:cs="Calibri"/>
                <w:sz w:val="20"/>
                <w:lang w:val="en-AU"/>
              </w:rPr>
              <w:noBreakHyphen/>
            </w:r>
            <w:r w:rsidR="00FF1433" w:rsidRPr="00EF2E8A">
              <w:rPr>
                <w:rFonts w:ascii="Arial Narrow" w:hAnsi="Arial Narrow" w:cs="Calibri"/>
                <w:sz w:val="20"/>
                <w:lang w:val="en-AU"/>
              </w:rPr>
              <w:t>0.82</w:t>
            </w:r>
          </w:p>
        </w:tc>
        <w:tc>
          <w:tcPr>
            <w:tcW w:w="850" w:type="dxa"/>
          </w:tcPr>
          <w:p w14:paraId="28D8777F"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0.521</w:t>
            </w:r>
          </w:p>
        </w:tc>
        <w:tc>
          <w:tcPr>
            <w:tcW w:w="1085" w:type="dxa"/>
            <w:tcBorders>
              <w:bottom w:val="single" w:sz="4" w:space="0" w:color="auto"/>
            </w:tcBorders>
          </w:tcPr>
          <w:p w14:paraId="136D0381" w14:textId="77777777" w:rsidR="00FF1433" w:rsidRPr="00EF2E8A" w:rsidRDefault="00FF1433" w:rsidP="00591C83">
            <w:pPr>
              <w:autoSpaceDE w:val="0"/>
              <w:autoSpaceDN w:val="0"/>
              <w:adjustRightInd w:val="0"/>
              <w:spacing w:before="0"/>
              <w:contextualSpacing/>
              <w:jc w:val="center"/>
              <w:rPr>
                <w:rFonts w:ascii="Arial Narrow" w:hAnsi="Arial Narrow" w:cs="Calibri"/>
                <w:color w:val="000000"/>
                <w:sz w:val="20"/>
                <w:lang w:val="en-AU"/>
              </w:rPr>
            </w:pPr>
            <w:r w:rsidRPr="00EF2E8A">
              <w:rPr>
                <w:rFonts w:ascii="Arial Narrow" w:hAnsi="Arial Narrow" w:cs="Calibri"/>
                <w:color w:val="000000"/>
                <w:sz w:val="20"/>
                <w:lang w:val="en-AU"/>
              </w:rPr>
              <w:t xml:space="preserve">1.203 </w:t>
            </w:r>
            <w:r w:rsidRPr="00EF2E8A">
              <w:rPr>
                <w:rFonts w:ascii="Arial Narrow" w:hAnsi="Arial Narrow" w:cs="Calibri"/>
                <w:color w:val="000000"/>
                <w:sz w:val="20"/>
                <w:lang w:val="en-AU"/>
              </w:rPr>
              <w:br/>
              <w:t>(0.683, 2.120)</w:t>
            </w:r>
          </w:p>
        </w:tc>
      </w:tr>
      <w:tr w:rsidR="00FF1433" w:rsidRPr="00EF2E8A" w14:paraId="446F957E" w14:textId="77777777" w:rsidTr="00530CB7">
        <w:trPr>
          <w:gridAfter w:val="1"/>
          <w:wAfter w:w="11" w:type="dxa"/>
        </w:trPr>
        <w:tc>
          <w:tcPr>
            <w:tcW w:w="1271" w:type="dxa"/>
            <w:tcBorders>
              <w:bottom w:val="single" w:sz="4" w:space="0" w:color="auto"/>
            </w:tcBorders>
          </w:tcPr>
          <w:p w14:paraId="2FE63C57" w14:textId="1214B197" w:rsidR="00FF1433" w:rsidRPr="00EF2E8A" w:rsidRDefault="00FF1433" w:rsidP="00591C83">
            <w:pPr>
              <w:spacing w:before="0"/>
              <w:rPr>
                <w:rFonts w:ascii="Arial Narrow" w:hAnsi="Arial Narrow"/>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medium</w:t>
            </w:r>
            <w:r w:rsidRPr="00EF2E8A">
              <w:rPr>
                <w:rFonts w:ascii="Arial Narrow" w:hAnsi="Arial Narrow"/>
                <w:sz w:val="20"/>
                <w:lang w:val="en-AU"/>
              </w:rPr>
              <w:br/>
            </w:r>
            <w:r w:rsidRPr="00EF2E8A">
              <w:rPr>
                <w:rFonts w:ascii="Arial Narrow" w:hAnsi="Arial Narrow" w:cs="Calibri"/>
                <w:sz w:val="20"/>
                <w:lang w:val="en-AU"/>
              </w:rPr>
              <w:t>March 2020</w:t>
            </w:r>
          </w:p>
        </w:tc>
        <w:tc>
          <w:tcPr>
            <w:tcW w:w="1134" w:type="dxa"/>
          </w:tcPr>
          <w:p w14:paraId="2EA5978B"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1276" w:type="dxa"/>
          </w:tcPr>
          <w:p w14:paraId="21B38358"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1134" w:type="dxa"/>
            <w:tcBorders>
              <w:bottom w:val="single" w:sz="4" w:space="0" w:color="auto"/>
            </w:tcBorders>
          </w:tcPr>
          <w:p w14:paraId="7EC28442"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1276" w:type="dxa"/>
            <w:tcBorders>
              <w:bottom w:val="single" w:sz="4" w:space="0" w:color="auto"/>
            </w:tcBorders>
          </w:tcPr>
          <w:p w14:paraId="0758C826"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1134" w:type="dxa"/>
          </w:tcPr>
          <w:p w14:paraId="74030A21"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850" w:type="dxa"/>
          </w:tcPr>
          <w:p w14:paraId="33A89A43"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NR</w:t>
            </w:r>
          </w:p>
        </w:tc>
        <w:tc>
          <w:tcPr>
            <w:tcW w:w="1085" w:type="dxa"/>
            <w:tcBorders>
              <w:bottom w:val="single" w:sz="4" w:space="0" w:color="auto"/>
            </w:tcBorders>
          </w:tcPr>
          <w:p w14:paraId="6632C2FF" w14:textId="77777777" w:rsidR="00FF1433" w:rsidRPr="00EF2E8A" w:rsidRDefault="00FF1433" w:rsidP="00591C83">
            <w:pPr>
              <w:autoSpaceDE w:val="0"/>
              <w:autoSpaceDN w:val="0"/>
              <w:adjustRightInd w:val="0"/>
              <w:spacing w:before="0"/>
              <w:contextualSpacing/>
              <w:jc w:val="center"/>
              <w:rPr>
                <w:rFonts w:ascii="Arial Narrow" w:hAnsi="Arial Narrow" w:cs="Calibri"/>
                <w:sz w:val="20"/>
                <w:lang w:val="en-AU"/>
              </w:rPr>
            </w:pPr>
            <w:r w:rsidRPr="00EF2E8A">
              <w:rPr>
                <w:rFonts w:ascii="Arial Narrow" w:hAnsi="Arial Narrow" w:cs="Calibri"/>
                <w:sz w:val="20"/>
                <w:lang w:val="en-AU"/>
              </w:rPr>
              <w:t>NR</w:t>
            </w:r>
          </w:p>
        </w:tc>
      </w:tr>
      <w:tr w:rsidR="00FF1433" w:rsidRPr="00EF2E8A" w14:paraId="70192696" w14:textId="77777777" w:rsidTr="00530CB7">
        <w:tc>
          <w:tcPr>
            <w:tcW w:w="9171" w:type="dxa"/>
            <w:gridSpan w:val="9"/>
            <w:tcBorders>
              <w:top w:val="single" w:sz="4" w:space="0" w:color="auto"/>
              <w:bottom w:val="single" w:sz="4" w:space="0" w:color="auto"/>
            </w:tcBorders>
            <w:shd w:val="clear" w:color="auto" w:fill="F2F2F2" w:themeFill="background1" w:themeFillShade="F2"/>
          </w:tcPr>
          <w:p w14:paraId="07C6C8FC" w14:textId="1A769004" w:rsidR="00FF1433" w:rsidRPr="00EF2E8A" w:rsidRDefault="00FF1433" w:rsidP="00591C83">
            <w:pPr>
              <w:autoSpaceDE w:val="0"/>
              <w:autoSpaceDN w:val="0"/>
              <w:adjustRightInd w:val="0"/>
              <w:spacing w:before="0"/>
              <w:jc w:val="left"/>
              <w:rPr>
                <w:rFonts w:ascii="Arial Narrow" w:hAnsi="Arial Narrow" w:cs="Calibri"/>
                <w:b/>
                <w:color w:val="000000"/>
                <w:sz w:val="20"/>
                <w:lang w:val="en-AU"/>
              </w:rPr>
            </w:pPr>
            <w:r w:rsidRPr="00EF2E8A">
              <w:rPr>
                <w:rFonts w:ascii="Arial Narrow" w:hAnsi="Arial Narrow" w:cs="Calibri"/>
                <w:b/>
                <w:color w:val="000000"/>
                <w:sz w:val="20"/>
                <w:lang w:val="en-AU"/>
              </w:rPr>
              <w:t>OS – FRα</w:t>
            </w:r>
            <w:r w:rsidR="00A46D2B">
              <w:rPr>
                <w:rFonts w:ascii="Arial Narrow" w:hAnsi="Arial Narrow" w:cs="Calibri"/>
                <w:b/>
                <w:color w:val="000000"/>
                <w:sz w:val="20"/>
                <w:lang w:val="en-AU"/>
              </w:rPr>
              <w:noBreakHyphen/>
            </w:r>
            <w:r w:rsidRPr="00EF2E8A">
              <w:rPr>
                <w:rFonts w:ascii="Arial Narrow" w:hAnsi="Arial Narrow" w:cs="Calibri"/>
                <w:b/>
                <w:color w:val="000000"/>
                <w:sz w:val="20"/>
                <w:lang w:val="en-AU"/>
              </w:rPr>
              <w:t xml:space="preserve"> expression groups (≥75%, using PS2+ scoring) (post</w:t>
            </w:r>
            <w:r w:rsidR="00A46D2B">
              <w:rPr>
                <w:rFonts w:ascii="Arial Narrow" w:hAnsi="Arial Narrow" w:cs="Calibri"/>
                <w:b/>
                <w:color w:val="000000"/>
                <w:sz w:val="20"/>
                <w:lang w:val="en-AU"/>
              </w:rPr>
              <w:noBreakHyphen/>
            </w:r>
            <w:r w:rsidRPr="00EF2E8A">
              <w:rPr>
                <w:rFonts w:ascii="Arial Narrow" w:hAnsi="Arial Narrow" w:cs="Calibri"/>
                <w:b/>
                <w:color w:val="000000"/>
                <w:sz w:val="20"/>
                <w:lang w:val="en-AU"/>
              </w:rPr>
              <w:t>hoc)</w:t>
            </w:r>
          </w:p>
        </w:tc>
      </w:tr>
      <w:tr w:rsidR="00FF1433" w:rsidRPr="00EF2E8A" w14:paraId="3557638C" w14:textId="77777777" w:rsidTr="00530CB7">
        <w:trPr>
          <w:gridAfter w:val="1"/>
          <w:wAfter w:w="11" w:type="dxa"/>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0FEA4DCB" w14:textId="2804A483" w:rsidR="00FF1433" w:rsidRPr="00EF2E8A" w:rsidRDefault="00FF1433" w:rsidP="00591C83">
            <w:pPr>
              <w:spacing w:before="0"/>
              <w:rPr>
                <w:rFonts w:ascii="Arial Narrow" w:hAnsi="Arial Narrow" w:cs="Calibri"/>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high</w:t>
            </w:r>
          </w:p>
        </w:tc>
        <w:tc>
          <w:tcPr>
            <w:tcW w:w="1134" w:type="dxa"/>
          </w:tcPr>
          <w:p w14:paraId="45B8C517"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34/82 </w:t>
            </w:r>
          </w:p>
          <w:p w14:paraId="2AB71D9E" w14:textId="1B3119D5"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(41%)</w:t>
            </w:r>
          </w:p>
        </w:tc>
        <w:tc>
          <w:tcPr>
            <w:tcW w:w="1276" w:type="dxa"/>
          </w:tcPr>
          <w:p w14:paraId="0AB99576"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16.43 </w:t>
            </w:r>
          </w:p>
          <w:p w14:paraId="4DF80B11" w14:textId="7CC801EC"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(11.27, </w:t>
            </w:r>
            <w:r w:rsidR="00A46D2B">
              <w:rPr>
                <w:rFonts w:ascii="Arial Narrow" w:hAnsi="Arial Narrow" w:cs="Calibri"/>
                <w:sz w:val="20"/>
                <w:lang w:val="en-AU"/>
              </w:rPr>
              <w:noBreakHyphen/>
            </w:r>
            <w:r w:rsidRPr="00EF2E8A">
              <w:rPr>
                <w:rFonts w:ascii="Arial Narrow" w:hAnsi="Arial Narrow" w:cs="Calibri"/>
                <w:sz w:val="20"/>
                <w:lang w:val="en-AU"/>
              </w:rPr>
              <w:t>)</w:t>
            </w:r>
          </w:p>
        </w:tc>
        <w:tc>
          <w:tcPr>
            <w:tcW w:w="1134" w:type="dxa"/>
          </w:tcPr>
          <w:p w14:paraId="2BD45B5E"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17/34 </w:t>
            </w:r>
          </w:p>
          <w:p w14:paraId="3FCD6EC1" w14:textId="46224596"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(50%)</w:t>
            </w:r>
          </w:p>
        </w:tc>
        <w:tc>
          <w:tcPr>
            <w:tcW w:w="1276" w:type="dxa"/>
          </w:tcPr>
          <w:p w14:paraId="754CE8BE"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13.47 </w:t>
            </w:r>
          </w:p>
          <w:p w14:paraId="471ECB50" w14:textId="0AB256CD"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(6.11, </w:t>
            </w:r>
            <w:r w:rsidR="00A46D2B">
              <w:rPr>
                <w:rFonts w:ascii="Arial Narrow" w:hAnsi="Arial Narrow" w:cs="Calibri"/>
                <w:sz w:val="20"/>
                <w:lang w:val="en-AU"/>
              </w:rPr>
              <w:noBreakHyphen/>
            </w:r>
            <w:r w:rsidRPr="00EF2E8A">
              <w:rPr>
                <w:rFonts w:ascii="Arial Narrow" w:hAnsi="Arial Narrow" w:cs="Calibri"/>
                <w:sz w:val="20"/>
                <w:lang w:val="en-AU"/>
              </w:rPr>
              <w:t>)</w:t>
            </w:r>
          </w:p>
        </w:tc>
        <w:tc>
          <w:tcPr>
            <w:tcW w:w="1134" w:type="dxa"/>
          </w:tcPr>
          <w:p w14:paraId="036A96CE"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3.0</w:t>
            </w:r>
          </w:p>
        </w:tc>
        <w:tc>
          <w:tcPr>
            <w:tcW w:w="850" w:type="dxa"/>
          </w:tcPr>
          <w:p w14:paraId="2B280F0A"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0.187</w:t>
            </w:r>
          </w:p>
        </w:tc>
        <w:tc>
          <w:tcPr>
            <w:tcW w:w="1085" w:type="dxa"/>
          </w:tcPr>
          <w:p w14:paraId="3AD5C0EF"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sz w:val="20"/>
                <w:lang w:val="en-AU"/>
              </w:rPr>
              <w:t xml:space="preserve">0.675 </w:t>
            </w:r>
            <w:r w:rsidRPr="00EF2E8A">
              <w:rPr>
                <w:rFonts w:ascii="Arial Narrow" w:hAnsi="Arial Narrow"/>
                <w:sz w:val="20"/>
                <w:lang w:val="en-AU"/>
              </w:rPr>
              <w:br/>
              <w:t>(0.375, 1.214)</w:t>
            </w:r>
          </w:p>
        </w:tc>
      </w:tr>
      <w:tr w:rsidR="00FF1433" w:rsidRPr="00EF2E8A" w14:paraId="3AD5491B" w14:textId="77777777" w:rsidTr="00530CB7">
        <w:trPr>
          <w:gridAfter w:val="1"/>
          <w:wAfter w:w="11" w:type="dxa"/>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92B9B6" w14:textId="23D2D2AB" w:rsidR="00FF1433" w:rsidRPr="00EF2E8A" w:rsidRDefault="00FF1433" w:rsidP="00591C83">
            <w:pPr>
              <w:spacing w:before="0"/>
              <w:rPr>
                <w:rFonts w:ascii="Arial Narrow" w:hAnsi="Arial Narrow"/>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medium</w:t>
            </w:r>
          </w:p>
        </w:tc>
        <w:tc>
          <w:tcPr>
            <w:tcW w:w="1134" w:type="dxa"/>
          </w:tcPr>
          <w:p w14:paraId="7B4A95AC"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27/69 </w:t>
            </w:r>
          </w:p>
          <w:p w14:paraId="3BEB82BD" w14:textId="5C6DCC7C"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(39%)</w:t>
            </w:r>
          </w:p>
        </w:tc>
        <w:tc>
          <w:tcPr>
            <w:tcW w:w="1276" w:type="dxa"/>
          </w:tcPr>
          <w:p w14:paraId="1F21DD6A"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14.23</w:t>
            </w:r>
          </w:p>
          <w:p w14:paraId="55035DCE" w14:textId="20035971"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 (12.16, </w:t>
            </w:r>
            <w:r w:rsidR="00A46D2B">
              <w:rPr>
                <w:rFonts w:ascii="Arial Narrow" w:hAnsi="Arial Narrow" w:cs="Calibri"/>
                <w:sz w:val="20"/>
                <w:lang w:val="en-AU"/>
              </w:rPr>
              <w:noBreakHyphen/>
            </w:r>
            <w:r w:rsidRPr="00EF2E8A">
              <w:rPr>
                <w:rFonts w:ascii="Arial Narrow" w:hAnsi="Arial Narrow" w:cs="Calibri"/>
                <w:sz w:val="20"/>
                <w:lang w:val="en-AU"/>
              </w:rPr>
              <w:t xml:space="preserve">) </w:t>
            </w:r>
          </w:p>
        </w:tc>
        <w:tc>
          <w:tcPr>
            <w:tcW w:w="1134" w:type="dxa"/>
          </w:tcPr>
          <w:p w14:paraId="073DDA28"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13/34 </w:t>
            </w:r>
          </w:p>
          <w:p w14:paraId="7D329D2C" w14:textId="0CC1F0C1"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(38%)</w:t>
            </w:r>
          </w:p>
        </w:tc>
        <w:tc>
          <w:tcPr>
            <w:tcW w:w="1276" w:type="dxa"/>
          </w:tcPr>
          <w:p w14:paraId="04E94D6E" w14:textId="77777777" w:rsidR="002832A1"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NC </w:t>
            </w:r>
          </w:p>
          <w:p w14:paraId="19C48C0F" w14:textId="5DDC40FD"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(11.76, </w:t>
            </w:r>
            <w:r w:rsidR="00A46D2B">
              <w:rPr>
                <w:rFonts w:ascii="Arial Narrow" w:hAnsi="Arial Narrow" w:cs="Calibri"/>
                <w:sz w:val="20"/>
                <w:lang w:val="en-AU"/>
              </w:rPr>
              <w:noBreakHyphen/>
            </w:r>
            <w:r w:rsidRPr="00EF2E8A">
              <w:rPr>
                <w:rFonts w:ascii="Arial Narrow" w:hAnsi="Arial Narrow" w:cs="Calibri"/>
                <w:sz w:val="20"/>
                <w:lang w:val="en-AU"/>
              </w:rPr>
              <w:t>)</w:t>
            </w:r>
          </w:p>
        </w:tc>
        <w:tc>
          <w:tcPr>
            <w:tcW w:w="1134" w:type="dxa"/>
          </w:tcPr>
          <w:p w14:paraId="243DE4A8"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NC</w:t>
            </w:r>
          </w:p>
        </w:tc>
        <w:tc>
          <w:tcPr>
            <w:tcW w:w="850" w:type="dxa"/>
          </w:tcPr>
          <w:p w14:paraId="7579C643"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0.7637</w:t>
            </w:r>
          </w:p>
        </w:tc>
        <w:tc>
          <w:tcPr>
            <w:tcW w:w="1085" w:type="dxa"/>
          </w:tcPr>
          <w:p w14:paraId="5BB7F23F"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sz w:val="20"/>
                <w:lang w:val="en-AU"/>
              </w:rPr>
              <w:t xml:space="preserve">1.108 </w:t>
            </w:r>
            <w:r w:rsidRPr="00EF2E8A">
              <w:rPr>
                <w:rFonts w:ascii="Arial Narrow" w:hAnsi="Arial Narrow"/>
                <w:sz w:val="20"/>
                <w:lang w:val="en-AU"/>
              </w:rPr>
              <w:br/>
              <w:t>(0.569, 2.156)</w:t>
            </w:r>
          </w:p>
        </w:tc>
      </w:tr>
      <w:tr w:rsidR="00FF1433" w:rsidRPr="00EF2E8A" w14:paraId="528EC4CF" w14:textId="77777777" w:rsidTr="00530CB7">
        <w:trPr>
          <w:gridAfter w:val="1"/>
          <w:wAfter w:w="11" w:type="dxa"/>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627211" w14:textId="150AD3C9" w:rsidR="00FF1433" w:rsidRPr="00EF2E8A" w:rsidRDefault="00FF1433" w:rsidP="00591C83">
            <w:pPr>
              <w:spacing w:before="0"/>
              <w:rPr>
                <w:rFonts w:ascii="Arial Narrow" w:hAnsi="Arial Narrow"/>
                <w:sz w:val="20"/>
                <w:lang w:val="en-AU"/>
              </w:rPr>
            </w:pPr>
            <w:r w:rsidRPr="00EF2E8A">
              <w:rPr>
                <w:rFonts w:ascii="Arial Narrow" w:hAnsi="Arial Narrow"/>
                <w:sz w:val="20"/>
                <w:lang w:val="en-AU"/>
              </w:rPr>
              <w:t>FRα</w:t>
            </w:r>
            <w:r w:rsidR="00A46D2B">
              <w:rPr>
                <w:rFonts w:ascii="Arial Narrow" w:hAnsi="Arial Narrow"/>
                <w:sz w:val="20"/>
                <w:lang w:val="en-AU"/>
              </w:rPr>
              <w:noBreakHyphen/>
            </w:r>
            <w:r w:rsidRPr="00EF2E8A">
              <w:rPr>
                <w:rFonts w:ascii="Arial Narrow" w:hAnsi="Arial Narrow"/>
                <w:sz w:val="20"/>
                <w:lang w:val="en-AU"/>
              </w:rPr>
              <w:t>low</w:t>
            </w:r>
          </w:p>
        </w:tc>
        <w:tc>
          <w:tcPr>
            <w:tcW w:w="1134" w:type="dxa"/>
          </w:tcPr>
          <w:p w14:paraId="41DDC083"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30/76 </w:t>
            </w:r>
          </w:p>
          <w:p w14:paraId="12BEC72D" w14:textId="775CE583"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(39%)</w:t>
            </w:r>
          </w:p>
        </w:tc>
        <w:tc>
          <w:tcPr>
            <w:tcW w:w="1276" w:type="dxa"/>
          </w:tcPr>
          <w:p w14:paraId="72F9DFCF"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16.99 </w:t>
            </w:r>
          </w:p>
          <w:p w14:paraId="3BEBCA63" w14:textId="4451D81F"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(12.25, </w:t>
            </w:r>
            <w:r w:rsidR="00A46D2B">
              <w:rPr>
                <w:rFonts w:ascii="Arial Narrow" w:hAnsi="Arial Narrow" w:cs="Calibri"/>
                <w:sz w:val="20"/>
                <w:lang w:val="en-AU"/>
              </w:rPr>
              <w:noBreakHyphen/>
            </w:r>
            <w:r w:rsidRPr="00EF2E8A">
              <w:rPr>
                <w:rFonts w:ascii="Arial Narrow" w:hAnsi="Arial Narrow" w:cs="Calibri"/>
                <w:sz w:val="20"/>
                <w:lang w:val="en-AU"/>
              </w:rPr>
              <w:t>)</w:t>
            </w:r>
          </w:p>
        </w:tc>
        <w:tc>
          <w:tcPr>
            <w:tcW w:w="1134" w:type="dxa"/>
            <w:tcBorders>
              <w:bottom w:val="single" w:sz="4" w:space="0" w:color="auto"/>
            </w:tcBorders>
          </w:tcPr>
          <w:p w14:paraId="39105804" w14:textId="77777777" w:rsidR="00633A27"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18/38 </w:t>
            </w:r>
          </w:p>
          <w:p w14:paraId="5FC004EA" w14:textId="6AE6F34A"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(47%)</w:t>
            </w:r>
          </w:p>
        </w:tc>
        <w:tc>
          <w:tcPr>
            <w:tcW w:w="1276" w:type="dxa"/>
            <w:tcBorders>
              <w:bottom w:val="single" w:sz="4" w:space="0" w:color="auto"/>
            </w:tcBorders>
          </w:tcPr>
          <w:p w14:paraId="576A2ED4" w14:textId="77777777" w:rsidR="002832A1"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11.43 </w:t>
            </w:r>
          </w:p>
          <w:p w14:paraId="648973C0" w14:textId="4068447B"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 xml:space="preserve">(8.28, </w:t>
            </w:r>
            <w:r w:rsidR="00A46D2B">
              <w:rPr>
                <w:rFonts w:ascii="Arial Narrow" w:hAnsi="Arial Narrow" w:cs="Calibri"/>
                <w:sz w:val="20"/>
                <w:lang w:val="en-AU"/>
              </w:rPr>
              <w:noBreakHyphen/>
            </w:r>
            <w:r w:rsidRPr="00EF2E8A">
              <w:rPr>
                <w:rFonts w:ascii="Arial Narrow" w:hAnsi="Arial Narrow" w:cs="Calibri"/>
                <w:sz w:val="20"/>
                <w:lang w:val="en-AU"/>
              </w:rPr>
              <w:t>)</w:t>
            </w:r>
          </w:p>
        </w:tc>
        <w:tc>
          <w:tcPr>
            <w:tcW w:w="1134" w:type="dxa"/>
          </w:tcPr>
          <w:p w14:paraId="082A786D"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5.6</w:t>
            </w:r>
          </w:p>
        </w:tc>
        <w:tc>
          <w:tcPr>
            <w:tcW w:w="850" w:type="dxa"/>
          </w:tcPr>
          <w:p w14:paraId="605AA1BF"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cs="Calibri"/>
                <w:sz w:val="20"/>
                <w:lang w:val="en-AU"/>
              </w:rPr>
              <w:t>0.2357</w:t>
            </w:r>
          </w:p>
        </w:tc>
        <w:tc>
          <w:tcPr>
            <w:tcW w:w="1085" w:type="dxa"/>
            <w:tcBorders>
              <w:bottom w:val="single" w:sz="4" w:space="0" w:color="auto"/>
            </w:tcBorders>
          </w:tcPr>
          <w:p w14:paraId="0FFC066A" w14:textId="77777777" w:rsidR="00FF1433" w:rsidRPr="00EF2E8A" w:rsidRDefault="00FF1433" w:rsidP="00591C83">
            <w:pPr>
              <w:spacing w:before="0"/>
              <w:jc w:val="center"/>
              <w:rPr>
                <w:rFonts w:ascii="Arial Narrow" w:hAnsi="Arial Narrow" w:cs="Calibri"/>
                <w:sz w:val="20"/>
                <w:lang w:val="en-AU"/>
              </w:rPr>
            </w:pPr>
            <w:r w:rsidRPr="00EF2E8A">
              <w:rPr>
                <w:rFonts w:ascii="Arial Narrow" w:hAnsi="Arial Narrow"/>
                <w:sz w:val="20"/>
                <w:lang w:val="en-AU"/>
              </w:rPr>
              <w:t xml:space="preserve">0.702 </w:t>
            </w:r>
            <w:r w:rsidRPr="00EF2E8A">
              <w:rPr>
                <w:rFonts w:ascii="Arial Narrow" w:hAnsi="Arial Narrow"/>
                <w:sz w:val="20"/>
                <w:lang w:val="en-AU"/>
              </w:rPr>
              <w:br/>
              <w:t>(0.390, 1.263)</w:t>
            </w:r>
          </w:p>
        </w:tc>
      </w:tr>
    </w:tbl>
    <w:p w14:paraId="4A210ACC"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compiled during the evaluation from:</w:t>
      </w:r>
    </w:p>
    <w:p w14:paraId="70A80687" w14:textId="63A3E250"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9 Primary and secondary endpoint results for the ITT population and the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high population, p18 of submission Appendix A; </w:t>
      </w:r>
    </w:p>
    <w:p w14:paraId="790F61C0" w14:textId="6D7FF090"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10 Post hoc analysis of FORWARD I: primary and secondary endpoints results for the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high,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medium and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low population, p19 of submission Appendix A; </w:t>
      </w:r>
    </w:p>
    <w:p w14:paraId="5E25F491" w14:textId="25BF74F3"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25: Overall Survival – ITT Population, pp106</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107, FORWARD</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I CSR, </w:t>
      </w:r>
    </w:p>
    <w:p w14:paraId="71243537" w14:textId="76937658"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26: Overall Survival –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high Population, pp109</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110, FORWARD</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I CSR. </w:t>
      </w:r>
    </w:p>
    <w:p w14:paraId="151A7751" w14:textId="1EEF62CC"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1: Overall Survival – ITT Population, pp2917</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2919, FORWARD</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I CSR addendum; </w:t>
      </w:r>
    </w:p>
    <w:p w14:paraId="33602D7A" w14:textId="700497AC"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2: Overall Survival – FRα</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high Population, pp2920</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2921, FORWARD</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I CSR addendum.</w:t>
      </w:r>
    </w:p>
    <w:p w14:paraId="0BBD6D00" w14:textId="72DD5463"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Table 14.2.3.3: Overall Survival </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 FR A Medium Level ITT Population, p712, FORWARD</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I CSR</w:t>
      </w:r>
    </w:p>
    <w:p w14:paraId="7D0B5E01"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Slide 9, 12 FORWARD I 10X SCORING COMPARED WITH EXPLORATORY PS2+ SCORING, Moore et al, (2019). </w:t>
      </w:r>
    </w:p>
    <w:p w14:paraId="382257BB" w14:textId="576BC4A1"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Table 65, Table 66 and Table 67, pp1</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6 of Corrected Attachment 2.7 to the submission.</w:t>
      </w:r>
    </w:p>
    <w:p w14:paraId="7AC405B6" w14:textId="341ADD12" w:rsidR="00633A27"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BICR</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blinded independent central review; CI</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confidence interval; CSR</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clinical study report; FRα</w:t>
      </w:r>
      <w:r w:rsidR="00633A27" w:rsidRPr="00EF2E8A">
        <w:rPr>
          <w:rFonts w:ascii="Arial Narrow" w:eastAsia="Times New Roman" w:hAnsi="Arial Narrow" w:cs="Arial"/>
          <w:snapToGrid w:val="0"/>
          <w:sz w:val="18"/>
          <w:lang w:eastAsia="en-AU"/>
        </w:rPr>
        <w:t>= folate receptor alpha</w:t>
      </w:r>
      <w:r w:rsidRPr="00EF2E8A">
        <w:rPr>
          <w:rFonts w:ascii="Arial Narrow" w:eastAsia="Times New Roman" w:hAnsi="Arial Narrow" w:cs="Arial"/>
          <w:snapToGrid w:val="0"/>
          <w:sz w:val="18"/>
          <w:lang w:eastAsia="en-AU"/>
        </w:rPr>
        <w:t>; HR</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hazard ratio; ICC</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investigator’s choice of chemotherapy; ITT</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intention to treat analysis; MIRV</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mirvetuximab soravtansine; mo</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months; NC</w:t>
      </w:r>
      <w:r w:rsidR="002832A1"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not calculated; </w:t>
      </w:r>
      <w:r w:rsidR="002C0C63" w:rsidRPr="00EF2E8A">
        <w:rPr>
          <w:rFonts w:ascii="Arial Narrow" w:eastAsia="Times New Roman" w:hAnsi="Arial Narrow" w:cs="Arial"/>
          <w:snapToGrid w:val="0"/>
          <w:sz w:val="18"/>
          <w:lang w:eastAsia="en-AU"/>
        </w:rPr>
        <w:t xml:space="preserve">n= number of events; N= number of patients; </w:t>
      </w:r>
      <w:r w:rsidRPr="00EF2E8A">
        <w:rPr>
          <w:rFonts w:ascii="Arial Narrow" w:eastAsia="Times New Roman" w:hAnsi="Arial Narrow" w:cs="Arial"/>
          <w:snapToGrid w:val="0"/>
          <w:sz w:val="18"/>
          <w:lang w:eastAsia="en-AU"/>
        </w:rPr>
        <w:t>NR</w:t>
      </w:r>
      <w:r w:rsidR="00633A27"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not reported</w:t>
      </w:r>
      <w:r w:rsidR="00633A27" w:rsidRPr="00EF2E8A">
        <w:rPr>
          <w:rFonts w:ascii="Arial Narrow" w:eastAsia="Times New Roman" w:hAnsi="Arial Narrow" w:cs="Arial"/>
          <w:snapToGrid w:val="0"/>
          <w:sz w:val="18"/>
          <w:lang w:eastAsia="en-AU"/>
        </w:rPr>
        <w:t xml:space="preserve">; </w:t>
      </w:r>
      <w:r w:rsidR="002832A1" w:rsidRPr="00EF2E8A">
        <w:rPr>
          <w:rFonts w:ascii="Arial Narrow" w:eastAsia="Times New Roman" w:hAnsi="Arial Narrow" w:cs="Arial"/>
          <w:snapToGrid w:val="0"/>
          <w:sz w:val="18"/>
          <w:lang w:eastAsia="en-AU"/>
        </w:rPr>
        <w:t>OS</w:t>
      </w:r>
      <w:r w:rsidR="00633A27" w:rsidRPr="00EF2E8A">
        <w:rPr>
          <w:rFonts w:ascii="Arial Narrow" w:eastAsia="Times New Roman" w:hAnsi="Arial Narrow" w:cs="Arial"/>
          <w:snapToGrid w:val="0"/>
          <w:sz w:val="18"/>
          <w:lang w:eastAsia="en-AU"/>
        </w:rPr>
        <w:t xml:space="preserve">= </w:t>
      </w:r>
      <w:r w:rsidR="002832A1" w:rsidRPr="00EF2E8A">
        <w:rPr>
          <w:rFonts w:ascii="Arial Narrow" w:eastAsia="Times New Roman" w:hAnsi="Arial Narrow" w:cs="Arial"/>
          <w:snapToGrid w:val="0"/>
          <w:sz w:val="18"/>
          <w:lang w:eastAsia="en-AU"/>
        </w:rPr>
        <w:t>overall</w:t>
      </w:r>
      <w:r w:rsidRPr="00EF2E8A">
        <w:rPr>
          <w:rFonts w:ascii="Arial Narrow" w:eastAsia="Times New Roman" w:hAnsi="Arial Narrow" w:cs="Arial"/>
          <w:snapToGrid w:val="0"/>
          <w:sz w:val="18"/>
          <w:lang w:eastAsia="en-AU"/>
        </w:rPr>
        <w:t xml:space="preserve"> survival.</w:t>
      </w:r>
    </w:p>
    <w:p w14:paraId="4F0BFC9F" w14:textId="34BCE32A" w:rsidR="001544A2" w:rsidRPr="00EF2E8A" w:rsidRDefault="001544A2" w:rsidP="00591C83">
      <w:pPr>
        <w:pStyle w:val="TableFigureFooter"/>
      </w:pPr>
      <w:r w:rsidRPr="00EF2E8A">
        <w:t>Note: the conference presentation (Moore 2019) (slides 13</w:t>
      </w:r>
      <w:r w:rsidR="00A46D2B">
        <w:noBreakHyphen/>
      </w:r>
      <w:r w:rsidRPr="00EF2E8A">
        <w:t>14) which presented the FORWARD</w:t>
      </w:r>
      <w:r w:rsidR="00A46D2B">
        <w:noBreakHyphen/>
      </w:r>
      <w:r w:rsidRPr="00EF2E8A">
        <w:t>I post hoc analysis did not match the submission OS values for the HRs or the K</w:t>
      </w:r>
      <w:r w:rsidR="00A46D2B">
        <w:noBreakHyphen/>
      </w:r>
      <w:r w:rsidRPr="00EF2E8A">
        <w:t xml:space="preserve">M plot and appeared to have been </w:t>
      </w:r>
      <w:r w:rsidR="007E5C5D" w:rsidRPr="00EF2E8A">
        <w:t>results</w:t>
      </w:r>
      <w:r w:rsidRPr="00EF2E8A">
        <w:t xml:space="preserve"> from a different data cutoff.</w:t>
      </w:r>
    </w:p>
    <w:p w14:paraId="188C7515" w14:textId="79342E70"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p>
    <w:p w14:paraId="1975C72F" w14:textId="58F3F830" w:rsidR="00FF1433" w:rsidRPr="00EF2E8A" w:rsidRDefault="00FF1433" w:rsidP="00591C83">
      <w:pPr>
        <w:pStyle w:val="ListParagraph"/>
      </w:pPr>
      <w:r w:rsidRPr="00EF2E8A">
        <w:t>The difference in OS for MIRV versus ICC for the pre</w:t>
      </w:r>
      <w:r w:rsidR="00A46D2B">
        <w:noBreakHyphen/>
      </w:r>
      <w:r w:rsidRPr="00EF2E8A">
        <w:t>specified FRα</w:t>
      </w:r>
      <w:r w:rsidR="00A46D2B">
        <w:noBreakHyphen/>
      </w:r>
      <w:r w:rsidRPr="00EF2E8A">
        <w:t xml:space="preserve">high expression group was not statistically significant for the three analyses presented. For the </w:t>
      </w:r>
      <w:r w:rsidR="00591C83">
        <w:br/>
      </w:r>
      <w:r w:rsidRPr="00EF2E8A">
        <w:t>re</w:t>
      </w:r>
      <w:r w:rsidR="00A46D2B">
        <w:noBreakHyphen/>
      </w:r>
      <w:r w:rsidRPr="00EF2E8A">
        <w:t>scored FRα</w:t>
      </w:r>
      <w:r w:rsidR="00A46D2B">
        <w:noBreakHyphen/>
      </w:r>
      <w:r w:rsidRPr="00EF2E8A">
        <w:t xml:space="preserve">high expression group, the median OS was 16.4 months in the MIRV arm versus </w:t>
      </w:r>
      <w:r w:rsidR="000E0AC7" w:rsidRPr="00EF2E8A">
        <w:t>13.5</w:t>
      </w:r>
      <w:r w:rsidRPr="00EF2E8A">
        <w:t xml:space="preserve"> months in the ICC arm, but the results were not statistically significant </w:t>
      </w:r>
      <w:r w:rsidRPr="00EF2E8A">
        <w:lastRenderedPageBreak/>
        <w:t>(HR=0.675, p=0.187).</w:t>
      </w:r>
      <w:r w:rsidR="005D2A8E" w:rsidRPr="00EF2E8A">
        <w:t xml:space="preserve"> The ESCs noted that the median </w:t>
      </w:r>
      <w:r w:rsidR="00812997" w:rsidRPr="00EF2E8A">
        <w:t>is the widest point between the curves</w:t>
      </w:r>
      <w:r w:rsidR="0021736F" w:rsidRPr="00EF2E8A">
        <w:t xml:space="preserve">, raising questions around the reliability of the </w:t>
      </w:r>
      <w:r w:rsidR="00CE65C5" w:rsidRPr="00EF2E8A">
        <w:t xml:space="preserve">difference, but noted that </w:t>
      </w:r>
      <w:r w:rsidR="005C153F" w:rsidRPr="00EF2E8A">
        <w:t xml:space="preserve">approximately 3 months improvement in </w:t>
      </w:r>
      <w:r w:rsidR="0025430D" w:rsidRPr="00EF2E8A">
        <w:t xml:space="preserve">median PFS is consistent with the MIRASOL trial. </w:t>
      </w:r>
    </w:p>
    <w:p w14:paraId="56671AA2" w14:textId="1F5178D2" w:rsidR="00FF1433" w:rsidRPr="00EF2E8A" w:rsidRDefault="00FF1433" w:rsidP="00591C83">
      <w:pPr>
        <w:pStyle w:val="ListParagraph"/>
      </w:pPr>
      <w:bookmarkStart w:id="51" w:name="_Ref204779053"/>
      <w:r w:rsidRPr="00EF2E8A">
        <w:t>The predictive value of FRα level on the primary endpoint of PFS from FORWARD</w:t>
      </w:r>
      <w:r w:rsidR="00A46D2B">
        <w:noBreakHyphen/>
      </w:r>
      <w:r w:rsidRPr="00EF2E8A">
        <w:t>I was examined by comparing outcomes for the pre</w:t>
      </w:r>
      <w:r w:rsidR="00A46D2B">
        <w:noBreakHyphen/>
      </w:r>
      <w:r w:rsidRPr="00EF2E8A">
        <w:t>specified FRα</w:t>
      </w:r>
      <w:r w:rsidR="00A46D2B">
        <w:noBreakHyphen/>
      </w:r>
      <w:r w:rsidRPr="00EF2E8A">
        <w:t>high and FRα</w:t>
      </w:r>
      <w:r w:rsidR="00A46D2B">
        <w:noBreakHyphen/>
      </w:r>
      <w:r w:rsidRPr="00EF2E8A">
        <w:t>medium subgroups (</w:t>
      </w:r>
      <w:r w:rsidR="00490677">
        <w:fldChar w:fldCharType="begin" w:fldLock="1"/>
      </w:r>
      <w:r w:rsidR="00490677">
        <w:instrText xml:space="preserve"> REF _Ref205198293 \h </w:instrText>
      </w:r>
      <w:r w:rsidR="00490677">
        <w:fldChar w:fldCharType="separate"/>
      </w:r>
      <w:r w:rsidR="00CC5CAD">
        <w:t xml:space="preserve">Table </w:t>
      </w:r>
      <w:r w:rsidR="00CC5CAD">
        <w:rPr>
          <w:noProof/>
        </w:rPr>
        <w:t>13</w:t>
      </w:r>
      <w:r w:rsidR="00490677">
        <w:fldChar w:fldCharType="end"/>
      </w:r>
      <w:r w:rsidRPr="00EF2E8A">
        <w:t>).</w:t>
      </w:r>
      <w:bookmarkEnd w:id="51"/>
    </w:p>
    <w:p w14:paraId="45FC4C1C" w14:textId="2ADAC3CD" w:rsidR="00490677" w:rsidRDefault="00490677" w:rsidP="00591C83">
      <w:pPr>
        <w:pStyle w:val="Caption"/>
      </w:pPr>
      <w:bookmarkStart w:id="52" w:name="_Ref205198293"/>
      <w:r>
        <w:t xml:space="preserve">Table </w:t>
      </w:r>
      <w:r w:rsidR="00CC5CAD">
        <w:fldChar w:fldCharType="begin" w:fldLock="1"/>
      </w:r>
      <w:r w:rsidR="00CC5CAD">
        <w:instrText xml:space="preserve"> SEQ Table \* ARABIC </w:instrText>
      </w:r>
      <w:r w:rsidR="00CC5CAD">
        <w:fldChar w:fldCharType="separate"/>
      </w:r>
      <w:r w:rsidR="00CC5CAD">
        <w:rPr>
          <w:noProof/>
        </w:rPr>
        <w:t>13</w:t>
      </w:r>
      <w:r w:rsidR="00CC5CAD">
        <w:rPr>
          <w:noProof/>
        </w:rPr>
        <w:fldChar w:fldCharType="end"/>
      </w:r>
      <w:bookmarkEnd w:id="52"/>
      <w:r>
        <w:t xml:space="preserve">: </w:t>
      </w:r>
      <w:r w:rsidRPr="00680782">
        <w:t>Predictive value of FRα level on PFS per BICR – ITT Population (December 2019 data)</w:t>
      </w:r>
    </w:p>
    <w:tbl>
      <w:tblPr>
        <w:tblStyle w:val="ACE"/>
        <w:tblW w:w="5000" w:type="pct"/>
        <w:tblCellMar>
          <w:left w:w="28" w:type="dxa"/>
          <w:right w:w="28" w:type="dxa"/>
        </w:tblCellMar>
        <w:tblLook w:val="04A0" w:firstRow="1" w:lastRow="0" w:firstColumn="1" w:lastColumn="0" w:noHBand="0" w:noVBand="1"/>
        <w:tblCaption w:val="Table 13: Predictive value of FRα level on PFS per BICR – ITT Population (December 2019 data)"/>
      </w:tblPr>
      <w:tblGrid>
        <w:gridCol w:w="1555"/>
        <w:gridCol w:w="488"/>
        <w:gridCol w:w="959"/>
        <w:gridCol w:w="1516"/>
        <w:gridCol w:w="402"/>
        <w:gridCol w:w="959"/>
        <w:gridCol w:w="1684"/>
        <w:gridCol w:w="1453"/>
      </w:tblGrid>
      <w:tr w:rsidR="00EA161D" w:rsidRPr="00EF2E8A" w14:paraId="4F023942" w14:textId="77777777" w:rsidTr="00490677">
        <w:trPr>
          <w:cnfStyle w:val="100000000000" w:firstRow="1" w:lastRow="0" w:firstColumn="0" w:lastColumn="0" w:oddVBand="0" w:evenVBand="0" w:oddHBand="0" w:evenHBand="0" w:firstRowFirstColumn="0" w:firstRowLastColumn="0" w:lastRowFirstColumn="0" w:lastRowLastColumn="0"/>
          <w:tblHeader/>
        </w:trPr>
        <w:tc>
          <w:tcPr>
            <w:tcW w:w="1132" w:type="pct"/>
            <w:gridSpan w:val="2"/>
            <w:tcBorders>
              <w:top w:val="single" w:sz="4" w:space="0" w:color="auto"/>
              <w:bottom w:val="single" w:sz="4" w:space="0" w:color="auto"/>
              <w:right w:val="single" w:sz="4" w:space="0" w:color="auto"/>
            </w:tcBorders>
            <w:shd w:val="clear" w:color="auto" w:fill="auto"/>
          </w:tcPr>
          <w:p w14:paraId="12436A09" w14:textId="77777777" w:rsidR="00D1077D" w:rsidRPr="00EF2E8A" w:rsidRDefault="00D1077D" w:rsidP="00591C83">
            <w:pPr>
              <w:spacing w:before="0"/>
              <w:jc w:val="left"/>
              <w:rPr>
                <w:rFonts w:ascii="Arial Narrow" w:hAnsi="Arial Narrow" w:cs="Calibri"/>
                <w:bCs/>
                <w:sz w:val="20"/>
                <w:szCs w:val="18"/>
                <w:lang w:val="en-AU"/>
              </w:rPr>
            </w:pPr>
          </w:p>
        </w:tc>
        <w:tc>
          <w:tcPr>
            <w:tcW w:w="1373" w:type="pct"/>
            <w:gridSpan w:val="2"/>
            <w:tcBorders>
              <w:top w:val="single" w:sz="4" w:space="0" w:color="auto"/>
              <w:left w:val="single" w:sz="4" w:space="0" w:color="auto"/>
              <w:bottom w:val="single" w:sz="4" w:space="0" w:color="auto"/>
              <w:right w:val="single" w:sz="4" w:space="0" w:color="auto"/>
            </w:tcBorders>
            <w:shd w:val="clear" w:color="auto" w:fill="auto"/>
          </w:tcPr>
          <w:p w14:paraId="3F478754" w14:textId="77777777" w:rsidR="00D1077D" w:rsidRPr="00EF2E8A" w:rsidRDefault="00D1077D" w:rsidP="00591C83">
            <w:pPr>
              <w:spacing w:before="0"/>
              <w:rPr>
                <w:rFonts w:ascii="Arial Narrow" w:hAnsi="Arial Narrow" w:cs="Calibri"/>
                <w:bCs/>
                <w:kern w:val="24"/>
                <w:sz w:val="20"/>
                <w:szCs w:val="18"/>
                <w:lang w:val="en-AU"/>
              </w:rPr>
            </w:pPr>
            <w:r w:rsidRPr="00EF2E8A">
              <w:rPr>
                <w:rFonts w:ascii="Arial Narrow" w:hAnsi="Arial Narrow" w:cs="Calibri"/>
                <w:bCs/>
                <w:kern w:val="24"/>
                <w:sz w:val="20"/>
                <w:szCs w:val="18"/>
                <w:lang w:val="en-AU"/>
              </w:rPr>
              <w:t>MIRV</w:t>
            </w:r>
          </w:p>
        </w:tc>
        <w:tc>
          <w:tcPr>
            <w:tcW w:w="755" w:type="pct"/>
            <w:gridSpan w:val="2"/>
            <w:tcBorders>
              <w:top w:val="single" w:sz="4" w:space="0" w:color="auto"/>
              <w:left w:val="single" w:sz="4" w:space="0" w:color="auto"/>
              <w:bottom w:val="single" w:sz="4" w:space="0" w:color="auto"/>
              <w:right w:val="single" w:sz="4" w:space="0" w:color="auto"/>
            </w:tcBorders>
            <w:shd w:val="clear" w:color="auto" w:fill="auto"/>
          </w:tcPr>
          <w:p w14:paraId="361F73DD" w14:textId="77777777" w:rsidR="00D1077D" w:rsidRPr="00EF2E8A" w:rsidRDefault="00D1077D" w:rsidP="00591C83">
            <w:pPr>
              <w:spacing w:before="0"/>
              <w:rPr>
                <w:rFonts w:ascii="Arial Narrow" w:hAnsi="Arial Narrow" w:cs="Calibri"/>
                <w:bCs/>
                <w:sz w:val="20"/>
                <w:szCs w:val="18"/>
                <w:lang w:val="en-AU"/>
              </w:rPr>
            </w:pPr>
            <w:r w:rsidRPr="00EF2E8A">
              <w:rPr>
                <w:rFonts w:ascii="Arial Narrow" w:hAnsi="Arial Narrow" w:cs="Calibri"/>
                <w:bCs/>
                <w:sz w:val="20"/>
                <w:szCs w:val="18"/>
                <w:lang w:val="en-AU"/>
              </w:rPr>
              <w:t>ICC</w:t>
            </w:r>
          </w:p>
        </w:tc>
        <w:tc>
          <w:tcPr>
            <w:tcW w:w="1741" w:type="pct"/>
            <w:gridSpan w:val="2"/>
            <w:tcBorders>
              <w:top w:val="single" w:sz="4" w:space="0" w:color="auto"/>
              <w:left w:val="single" w:sz="4" w:space="0" w:color="auto"/>
              <w:bottom w:val="single" w:sz="4" w:space="0" w:color="auto"/>
              <w:right w:val="single" w:sz="4" w:space="0" w:color="auto"/>
            </w:tcBorders>
            <w:shd w:val="clear" w:color="auto" w:fill="auto"/>
          </w:tcPr>
          <w:p w14:paraId="16B444AD" w14:textId="77777777" w:rsidR="00D1077D" w:rsidRPr="00EF2E8A" w:rsidRDefault="00D1077D" w:rsidP="00591C83">
            <w:pPr>
              <w:spacing w:before="0"/>
              <w:jc w:val="center"/>
              <w:rPr>
                <w:rFonts w:ascii="Arial Narrow" w:hAnsi="Arial Narrow" w:cs="Calibri"/>
                <w:b w:val="0"/>
                <w:sz w:val="20"/>
                <w:szCs w:val="18"/>
                <w:lang w:val="en-AU"/>
              </w:rPr>
            </w:pPr>
          </w:p>
        </w:tc>
      </w:tr>
      <w:tr w:rsidR="00EA161D" w:rsidRPr="00EF2E8A" w14:paraId="6EC11137" w14:textId="77777777" w:rsidTr="00490677">
        <w:trPr>
          <w:cnfStyle w:val="100000000000" w:firstRow="1" w:lastRow="0" w:firstColumn="0" w:lastColumn="0" w:oddVBand="0" w:evenVBand="0" w:oddHBand="0" w:evenHBand="0" w:firstRowFirstColumn="0" w:firstRowLastColumn="0" w:lastRowFirstColumn="0" w:lastRowLastColumn="0"/>
          <w:tblHeader/>
        </w:trPr>
        <w:tc>
          <w:tcPr>
            <w:tcW w:w="862" w:type="pct"/>
            <w:tcBorders>
              <w:top w:val="single" w:sz="4" w:space="0" w:color="auto"/>
              <w:bottom w:val="single" w:sz="4" w:space="0" w:color="auto"/>
              <w:right w:val="single" w:sz="4" w:space="0" w:color="auto"/>
            </w:tcBorders>
            <w:shd w:val="clear" w:color="auto" w:fill="auto"/>
          </w:tcPr>
          <w:p w14:paraId="235B682E" w14:textId="77777777" w:rsidR="00D1077D" w:rsidRPr="00EF2E8A" w:rsidRDefault="00D1077D" w:rsidP="00591C83">
            <w:pPr>
              <w:spacing w:before="0"/>
              <w:jc w:val="left"/>
              <w:rPr>
                <w:rFonts w:ascii="Arial Narrow" w:hAnsi="Arial Narrow"/>
                <w:sz w:val="20"/>
                <w:szCs w:val="18"/>
                <w:lang w:val="en-AU"/>
              </w:rPr>
            </w:pPr>
            <w:r w:rsidRPr="00EF2E8A">
              <w:rPr>
                <w:rFonts w:ascii="Arial Narrow" w:hAnsi="Arial Narrow"/>
                <w:sz w:val="20"/>
                <w:szCs w:val="18"/>
                <w:lang w:val="en-AU"/>
              </w:rPr>
              <w:t>Type of Analysis FRα Level</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4B85FF7" w14:textId="77777777" w:rsidR="00D1077D" w:rsidRPr="00EF2E8A" w:rsidRDefault="00D1077D" w:rsidP="00591C83">
            <w:pPr>
              <w:spacing w:before="0"/>
              <w:jc w:val="left"/>
              <w:rPr>
                <w:rFonts w:ascii="Arial Narrow" w:hAnsi="Arial Narrow"/>
                <w:sz w:val="20"/>
                <w:szCs w:val="18"/>
                <w:lang w:val="en-AU"/>
              </w:rPr>
            </w:pPr>
            <w:r w:rsidRPr="00EF2E8A">
              <w:rPr>
                <w:rFonts w:ascii="Arial Narrow" w:hAnsi="Arial Narrow"/>
                <w:sz w:val="20"/>
                <w:szCs w:val="18"/>
                <w:lang w:val="en-AU"/>
              </w:rPr>
              <w:t>N</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0464380" w14:textId="77777777" w:rsidR="00D1077D" w:rsidRPr="00EF2E8A" w:rsidRDefault="00D1077D" w:rsidP="00591C83">
            <w:pPr>
              <w:spacing w:before="0"/>
              <w:jc w:val="left"/>
              <w:rPr>
                <w:rFonts w:ascii="Arial Narrow" w:eastAsia="Times New Roman" w:hAnsi="Arial Narrow" w:cs="Times New Roman"/>
                <w:sz w:val="20"/>
                <w:szCs w:val="18"/>
                <w:lang w:val="en-AU"/>
              </w:rPr>
            </w:pPr>
            <w:r w:rsidRPr="00EF2E8A">
              <w:rPr>
                <w:rFonts w:ascii="Arial Narrow" w:eastAsia="Times New Roman" w:hAnsi="Arial Narrow" w:cs="Times New Roman"/>
                <w:sz w:val="20"/>
                <w:szCs w:val="18"/>
                <w:lang w:val="en-AU"/>
              </w:rPr>
              <w:t>Events (%)</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129844E4" w14:textId="77777777" w:rsidR="00D1077D" w:rsidRPr="00EF2E8A" w:rsidRDefault="00D1077D" w:rsidP="00591C83">
            <w:pPr>
              <w:spacing w:before="0"/>
              <w:jc w:val="left"/>
              <w:rPr>
                <w:rFonts w:ascii="Arial Narrow" w:hAnsi="Arial Narrow"/>
                <w:sz w:val="20"/>
                <w:szCs w:val="18"/>
                <w:lang w:val="en-AU"/>
              </w:rPr>
            </w:pPr>
            <w:r w:rsidRPr="00EF2E8A">
              <w:rPr>
                <w:rFonts w:ascii="Arial Narrow" w:hAnsi="Arial Narrow"/>
                <w:sz w:val="20"/>
                <w:szCs w:val="18"/>
                <w:lang w:val="en-AU"/>
              </w:rPr>
              <w:t>Median (95% CI) (Months)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697ABED" w14:textId="77777777" w:rsidR="00D1077D" w:rsidRPr="00EF2E8A" w:rsidRDefault="00D1077D" w:rsidP="00591C83">
            <w:pPr>
              <w:spacing w:before="0"/>
              <w:jc w:val="left"/>
              <w:rPr>
                <w:rFonts w:ascii="Arial Narrow" w:hAnsi="Arial Narrow"/>
                <w:sz w:val="20"/>
                <w:szCs w:val="18"/>
                <w:lang w:val="en-AU"/>
              </w:rPr>
            </w:pPr>
            <w:r w:rsidRPr="00EF2E8A">
              <w:rPr>
                <w:rFonts w:ascii="Arial Narrow" w:hAnsi="Arial Narrow"/>
                <w:sz w:val="20"/>
                <w:szCs w:val="18"/>
                <w:lang w:val="en-AU"/>
              </w:rPr>
              <w:t>N</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3AB9FC8" w14:textId="77777777" w:rsidR="00D1077D" w:rsidRPr="00EF2E8A" w:rsidRDefault="00D1077D" w:rsidP="00591C83">
            <w:pPr>
              <w:spacing w:before="0"/>
              <w:jc w:val="left"/>
              <w:rPr>
                <w:rFonts w:ascii="Arial Narrow" w:hAnsi="Arial Narrow"/>
                <w:sz w:val="20"/>
                <w:szCs w:val="18"/>
                <w:lang w:val="en-AU"/>
              </w:rPr>
            </w:pPr>
            <w:r w:rsidRPr="00EF2E8A">
              <w:rPr>
                <w:rFonts w:ascii="Arial Narrow" w:hAnsi="Arial Narrow"/>
                <w:sz w:val="20"/>
                <w:szCs w:val="18"/>
                <w:lang w:val="en-AU"/>
              </w:rPr>
              <w:t>Events (%)</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5A1D78B9" w14:textId="77777777" w:rsidR="00D1077D" w:rsidRPr="00EF2E8A" w:rsidRDefault="00D1077D" w:rsidP="00591C83">
            <w:pPr>
              <w:spacing w:before="0"/>
              <w:jc w:val="left"/>
              <w:rPr>
                <w:rFonts w:ascii="Arial Narrow" w:hAnsi="Arial Narrow"/>
                <w:sz w:val="20"/>
                <w:szCs w:val="18"/>
                <w:lang w:val="en-AU"/>
              </w:rPr>
            </w:pPr>
            <w:r w:rsidRPr="00EF2E8A">
              <w:rPr>
                <w:rFonts w:ascii="Arial Narrow" w:hAnsi="Arial Narrow"/>
                <w:sz w:val="20"/>
                <w:szCs w:val="18"/>
                <w:lang w:val="en-AU"/>
              </w:rPr>
              <w:t>Median (95% CI) (Months)</w:t>
            </w:r>
          </w:p>
        </w:tc>
        <w:tc>
          <w:tcPr>
            <w:tcW w:w="807" w:type="pct"/>
            <w:tcBorders>
              <w:top w:val="single" w:sz="4" w:space="0" w:color="auto"/>
              <w:left w:val="single" w:sz="4" w:space="0" w:color="auto"/>
              <w:bottom w:val="single" w:sz="4" w:space="0" w:color="auto"/>
              <w:right w:val="single" w:sz="4" w:space="0" w:color="auto"/>
            </w:tcBorders>
            <w:shd w:val="clear" w:color="auto" w:fill="auto"/>
          </w:tcPr>
          <w:p w14:paraId="37AD2C78" w14:textId="77777777" w:rsidR="00D1077D" w:rsidRPr="00EF2E8A" w:rsidRDefault="00D1077D" w:rsidP="00591C83">
            <w:pPr>
              <w:spacing w:before="0"/>
              <w:jc w:val="left"/>
              <w:rPr>
                <w:rFonts w:ascii="Arial Narrow" w:hAnsi="Arial Narrow"/>
                <w:sz w:val="20"/>
                <w:szCs w:val="18"/>
                <w:lang w:val="en-AU"/>
              </w:rPr>
            </w:pPr>
            <w:r w:rsidRPr="00EF2E8A">
              <w:rPr>
                <w:rFonts w:ascii="Arial Narrow" w:hAnsi="Arial Narrow"/>
                <w:sz w:val="20"/>
                <w:szCs w:val="18"/>
                <w:lang w:val="en-AU"/>
              </w:rPr>
              <w:t>HR (95% CI)</w:t>
            </w:r>
          </w:p>
        </w:tc>
      </w:tr>
      <w:tr w:rsidR="00EA161D" w:rsidRPr="00EF2E8A" w14:paraId="6FE5D74D" w14:textId="77777777" w:rsidTr="00490677">
        <w:tc>
          <w:tcPr>
            <w:tcW w:w="862" w:type="pct"/>
            <w:hideMark/>
          </w:tcPr>
          <w:p w14:paraId="7FBE66AF" w14:textId="28C69F91" w:rsidR="00D1077D" w:rsidRPr="00EF2E8A" w:rsidRDefault="00D1077D" w:rsidP="00591C83">
            <w:pPr>
              <w:keepNext/>
              <w:spacing w:before="0"/>
              <w:rPr>
                <w:rFonts w:ascii="Arial Narrow" w:hAnsi="Arial Narrow" w:cs="Calibri"/>
                <w:sz w:val="20"/>
                <w:lang w:val="en-AU"/>
              </w:rPr>
            </w:pPr>
            <w:r w:rsidRPr="00EF2E8A">
              <w:rPr>
                <w:rFonts w:ascii="Arial Narrow" w:hAnsi="Arial Narrow" w:cs="Calibri"/>
                <w:sz w:val="20"/>
                <w:lang w:val="en-AU"/>
              </w:rPr>
              <w:t>FRα</w:t>
            </w:r>
            <w:r w:rsidR="00A46D2B">
              <w:rPr>
                <w:rFonts w:ascii="Arial Narrow" w:hAnsi="Arial Narrow" w:cs="Calibri"/>
                <w:sz w:val="20"/>
                <w:lang w:val="en-AU"/>
              </w:rPr>
              <w:noBreakHyphen/>
            </w:r>
            <w:proofErr w:type="spellStart"/>
            <w:r w:rsidRPr="00EF2E8A">
              <w:rPr>
                <w:rFonts w:ascii="Arial Narrow" w:hAnsi="Arial Narrow" w:cs="Calibri"/>
                <w:sz w:val="20"/>
                <w:lang w:val="en-AU"/>
              </w:rPr>
              <w:t>high</w:t>
            </w:r>
            <w:r w:rsidRPr="00EF2E8A">
              <w:rPr>
                <w:rFonts w:ascii="Arial Narrow" w:hAnsi="Arial Narrow" w:cs="Calibri"/>
                <w:sz w:val="20"/>
                <w:vertAlign w:val="superscript"/>
                <w:lang w:val="en-AU"/>
              </w:rPr>
              <w:t>a</w:t>
            </w:r>
            <w:proofErr w:type="spellEnd"/>
          </w:p>
        </w:tc>
        <w:tc>
          <w:tcPr>
            <w:tcW w:w="270" w:type="pct"/>
          </w:tcPr>
          <w:p w14:paraId="46764395" w14:textId="77777777"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147</w:t>
            </w:r>
          </w:p>
        </w:tc>
        <w:tc>
          <w:tcPr>
            <w:tcW w:w="532" w:type="pct"/>
          </w:tcPr>
          <w:p w14:paraId="4CC5891D" w14:textId="702A840D"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 xml:space="preserve">93 (63) </w:t>
            </w:r>
          </w:p>
        </w:tc>
        <w:tc>
          <w:tcPr>
            <w:tcW w:w="841" w:type="pct"/>
          </w:tcPr>
          <w:p w14:paraId="52432CB3" w14:textId="037170B6"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4.8 (4.11, 5.68)</w:t>
            </w:r>
          </w:p>
        </w:tc>
        <w:tc>
          <w:tcPr>
            <w:tcW w:w="223" w:type="pct"/>
          </w:tcPr>
          <w:p w14:paraId="7616C0D7" w14:textId="77777777"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71</w:t>
            </w:r>
          </w:p>
        </w:tc>
        <w:tc>
          <w:tcPr>
            <w:tcW w:w="532" w:type="pct"/>
          </w:tcPr>
          <w:p w14:paraId="73F16656" w14:textId="220120E4"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 xml:space="preserve">45 (63) </w:t>
            </w:r>
          </w:p>
        </w:tc>
        <w:tc>
          <w:tcPr>
            <w:tcW w:w="934" w:type="pct"/>
          </w:tcPr>
          <w:p w14:paraId="271F87F4" w14:textId="1F95606C"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3.3 (1.97, 5.59)</w:t>
            </w:r>
          </w:p>
        </w:tc>
        <w:tc>
          <w:tcPr>
            <w:tcW w:w="807" w:type="pct"/>
          </w:tcPr>
          <w:p w14:paraId="7FAF54BC" w14:textId="20578A72"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0.7 (0.48, 0.98)</w:t>
            </w:r>
          </w:p>
        </w:tc>
      </w:tr>
      <w:tr w:rsidR="00EA161D" w:rsidRPr="00EF2E8A" w14:paraId="062B186D" w14:textId="77777777" w:rsidTr="00490677">
        <w:tc>
          <w:tcPr>
            <w:tcW w:w="862" w:type="pct"/>
          </w:tcPr>
          <w:p w14:paraId="5F819643" w14:textId="5C18ED02" w:rsidR="00D1077D" w:rsidRPr="00EF2E8A" w:rsidRDefault="00D1077D" w:rsidP="00591C83">
            <w:pPr>
              <w:keepNext/>
              <w:spacing w:before="0"/>
              <w:rPr>
                <w:rFonts w:ascii="Arial Narrow" w:hAnsi="Arial Narrow"/>
                <w:sz w:val="20"/>
                <w:lang w:val="en-AU"/>
              </w:rPr>
            </w:pPr>
            <w:r w:rsidRPr="00EF2E8A">
              <w:rPr>
                <w:rFonts w:ascii="Arial Narrow" w:hAnsi="Arial Narrow"/>
                <w:sz w:val="20"/>
                <w:lang w:val="en-AU"/>
              </w:rPr>
              <w:t>FRα</w:t>
            </w:r>
            <w:r w:rsidR="00A46D2B">
              <w:rPr>
                <w:rFonts w:ascii="Arial Narrow" w:hAnsi="Arial Narrow"/>
                <w:sz w:val="20"/>
                <w:lang w:val="en-AU"/>
              </w:rPr>
              <w:noBreakHyphen/>
            </w:r>
            <w:proofErr w:type="spellStart"/>
            <w:r w:rsidRPr="00EF2E8A">
              <w:rPr>
                <w:rFonts w:ascii="Arial Narrow" w:hAnsi="Arial Narrow"/>
                <w:sz w:val="20"/>
                <w:lang w:val="en-AU"/>
              </w:rPr>
              <w:t>medium</w:t>
            </w:r>
            <w:r w:rsidRPr="00EF2E8A">
              <w:rPr>
                <w:rFonts w:ascii="Arial Narrow" w:hAnsi="Arial Narrow"/>
                <w:sz w:val="20"/>
                <w:vertAlign w:val="superscript"/>
                <w:lang w:val="en-AU"/>
              </w:rPr>
              <w:t>a</w:t>
            </w:r>
            <w:proofErr w:type="spellEnd"/>
          </w:p>
        </w:tc>
        <w:tc>
          <w:tcPr>
            <w:tcW w:w="270" w:type="pct"/>
            <w:tcBorders>
              <w:bottom w:val="single" w:sz="4" w:space="0" w:color="auto"/>
            </w:tcBorders>
          </w:tcPr>
          <w:p w14:paraId="096E7AC2" w14:textId="77777777"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101</w:t>
            </w:r>
          </w:p>
        </w:tc>
        <w:tc>
          <w:tcPr>
            <w:tcW w:w="532" w:type="pct"/>
            <w:tcBorders>
              <w:bottom w:val="single" w:sz="4" w:space="0" w:color="auto"/>
            </w:tcBorders>
          </w:tcPr>
          <w:p w14:paraId="2C854521" w14:textId="2B2463F9"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81 (80)</w:t>
            </w:r>
          </w:p>
        </w:tc>
        <w:tc>
          <w:tcPr>
            <w:tcW w:w="841" w:type="pct"/>
            <w:tcBorders>
              <w:bottom w:val="single" w:sz="4" w:space="0" w:color="auto"/>
            </w:tcBorders>
          </w:tcPr>
          <w:p w14:paraId="67C9C927" w14:textId="0B358A8A"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2.9 (2.76, 4.14)</w:t>
            </w:r>
          </w:p>
        </w:tc>
        <w:tc>
          <w:tcPr>
            <w:tcW w:w="223" w:type="pct"/>
            <w:tcBorders>
              <w:bottom w:val="single" w:sz="4" w:space="0" w:color="auto"/>
            </w:tcBorders>
          </w:tcPr>
          <w:p w14:paraId="4336C4CB" w14:textId="77777777"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46</w:t>
            </w:r>
          </w:p>
        </w:tc>
        <w:tc>
          <w:tcPr>
            <w:tcW w:w="532" w:type="pct"/>
            <w:tcBorders>
              <w:bottom w:val="single" w:sz="4" w:space="0" w:color="auto"/>
            </w:tcBorders>
          </w:tcPr>
          <w:p w14:paraId="5800D353" w14:textId="14A556E3"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25 (54)</w:t>
            </w:r>
          </w:p>
        </w:tc>
        <w:tc>
          <w:tcPr>
            <w:tcW w:w="934" w:type="pct"/>
            <w:tcBorders>
              <w:bottom w:val="single" w:sz="4" w:space="0" w:color="auto"/>
            </w:tcBorders>
          </w:tcPr>
          <w:p w14:paraId="587C513A" w14:textId="3697BCF2"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5.6 (2.73, 8.34)</w:t>
            </w:r>
          </w:p>
        </w:tc>
        <w:tc>
          <w:tcPr>
            <w:tcW w:w="807" w:type="pct"/>
          </w:tcPr>
          <w:p w14:paraId="3444F0A4" w14:textId="26030959" w:rsidR="00D1077D" w:rsidRPr="00EF2E8A" w:rsidRDefault="00D1077D" w:rsidP="00591C83">
            <w:pPr>
              <w:keepNext/>
              <w:spacing w:before="0"/>
              <w:jc w:val="center"/>
              <w:rPr>
                <w:rFonts w:ascii="Arial Narrow" w:hAnsi="Arial Narrow" w:cs="Calibri"/>
                <w:sz w:val="20"/>
                <w:lang w:val="en-AU"/>
              </w:rPr>
            </w:pPr>
            <w:r w:rsidRPr="00EF2E8A">
              <w:rPr>
                <w:rFonts w:ascii="Arial Narrow" w:hAnsi="Arial Narrow" w:cs="Calibri"/>
                <w:sz w:val="20"/>
                <w:lang w:val="en-AU"/>
              </w:rPr>
              <w:t>1.6 (0.99, 2.45)</w:t>
            </w:r>
          </w:p>
        </w:tc>
      </w:tr>
      <w:tr w:rsidR="00EA161D" w:rsidRPr="00EF2E8A" w14:paraId="3AD41CC0" w14:textId="77777777" w:rsidTr="00490677">
        <w:tc>
          <w:tcPr>
            <w:tcW w:w="862" w:type="pct"/>
          </w:tcPr>
          <w:p w14:paraId="7705105F" w14:textId="77777777" w:rsidR="00705CBC" w:rsidRPr="00EF2E8A" w:rsidRDefault="00705CBC" w:rsidP="00591C83">
            <w:pPr>
              <w:keepNext/>
              <w:spacing w:before="0"/>
              <w:rPr>
                <w:rFonts w:ascii="Arial Narrow" w:hAnsi="Arial Narrow"/>
                <w:sz w:val="20"/>
                <w:lang w:val="en-AU"/>
              </w:rPr>
            </w:pPr>
            <w:proofErr w:type="spellStart"/>
            <w:r w:rsidRPr="00EF2E8A">
              <w:rPr>
                <w:rFonts w:ascii="Arial Narrow" w:hAnsi="Arial Narrow"/>
                <w:sz w:val="20"/>
                <w:lang w:val="en-AU"/>
              </w:rPr>
              <w:t>Interaction</w:t>
            </w:r>
            <w:r w:rsidRPr="00EF2E8A">
              <w:rPr>
                <w:rFonts w:ascii="Arial Narrow" w:hAnsi="Arial Narrow"/>
                <w:sz w:val="20"/>
                <w:vertAlign w:val="superscript"/>
                <w:lang w:val="en-AU"/>
              </w:rPr>
              <w:t>b</w:t>
            </w:r>
            <w:proofErr w:type="spellEnd"/>
          </w:p>
        </w:tc>
        <w:tc>
          <w:tcPr>
            <w:tcW w:w="3331" w:type="pct"/>
            <w:gridSpan w:val="6"/>
            <w:tcBorders>
              <w:bottom w:val="single" w:sz="4" w:space="0" w:color="auto"/>
            </w:tcBorders>
          </w:tcPr>
          <w:p w14:paraId="185215C8" w14:textId="77777777" w:rsidR="00705CBC" w:rsidRPr="00EF2E8A" w:rsidRDefault="00705CBC" w:rsidP="00591C83">
            <w:pPr>
              <w:keepNext/>
              <w:spacing w:before="0"/>
              <w:jc w:val="center"/>
              <w:rPr>
                <w:rFonts w:ascii="Arial Narrow" w:hAnsi="Arial Narrow" w:cs="Calibri"/>
                <w:sz w:val="20"/>
                <w:lang w:val="en-AU"/>
              </w:rPr>
            </w:pPr>
          </w:p>
        </w:tc>
        <w:tc>
          <w:tcPr>
            <w:tcW w:w="807" w:type="pct"/>
          </w:tcPr>
          <w:p w14:paraId="3074B054" w14:textId="3C3875D3" w:rsidR="00705CBC" w:rsidRPr="00EF2E8A" w:rsidRDefault="00705CBC" w:rsidP="00591C83">
            <w:pPr>
              <w:keepNext/>
              <w:spacing w:before="0"/>
              <w:ind w:left="-144" w:right="-144"/>
              <w:jc w:val="center"/>
              <w:rPr>
                <w:rFonts w:ascii="Arial Narrow" w:hAnsi="Arial Narrow" w:cs="Calibri"/>
                <w:b/>
                <w:sz w:val="20"/>
                <w:lang w:val="en-AU"/>
              </w:rPr>
            </w:pPr>
            <w:r w:rsidRPr="00EF2E8A">
              <w:rPr>
                <w:rFonts w:ascii="Arial Narrow" w:hAnsi="Arial Narrow" w:cs="Calibri"/>
                <w:b/>
                <w:sz w:val="20"/>
                <w:lang w:val="en-AU"/>
              </w:rPr>
              <w:t>0.4</w:t>
            </w:r>
            <w:r w:rsidR="005F60F3" w:rsidRPr="00EF2E8A">
              <w:rPr>
                <w:rFonts w:ascii="Arial Narrow" w:hAnsi="Arial Narrow" w:cs="Calibri"/>
                <w:b/>
                <w:sz w:val="20"/>
                <w:lang w:val="en-AU"/>
              </w:rPr>
              <w:t xml:space="preserve"> </w:t>
            </w:r>
            <w:r w:rsidRPr="00EF2E8A">
              <w:rPr>
                <w:rFonts w:ascii="Arial Narrow" w:hAnsi="Arial Narrow" w:cs="Calibri"/>
                <w:b/>
                <w:sz w:val="20"/>
                <w:lang w:val="en-AU"/>
              </w:rPr>
              <w:t>(0.24, 0.76)</w:t>
            </w:r>
          </w:p>
          <w:p w14:paraId="079D5BB6" w14:textId="77777777" w:rsidR="00705CBC" w:rsidRPr="00EF2E8A" w:rsidRDefault="00705CBC" w:rsidP="00591C83">
            <w:pPr>
              <w:keepNext/>
              <w:spacing w:before="0"/>
              <w:ind w:left="-144" w:right="-144"/>
              <w:jc w:val="center"/>
              <w:rPr>
                <w:rFonts w:ascii="Arial Narrow" w:hAnsi="Arial Narrow" w:cs="Calibri"/>
                <w:sz w:val="20"/>
                <w:lang w:val="en-AU"/>
              </w:rPr>
            </w:pPr>
            <w:r w:rsidRPr="00EF2E8A">
              <w:rPr>
                <w:rFonts w:ascii="Arial Narrow" w:hAnsi="Arial Narrow" w:cs="Calibri"/>
                <w:b/>
                <w:sz w:val="20"/>
                <w:lang w:val="en-AU"/>
              </w:rPr>
              <w:t>p=0.004</w:t>
            </w:r>
          </w:p>
        </w:tc>
      </w:tr>
    </w:tbl>
    <w:p w14:paraId="7F4703D7" w14:textId="0093F714"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Table 32: Predictive Value of FRα Level on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 per BIRC – ITT Population, p117, FORWARD</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 xml:space="preserve">I CSR. </w:t>
      </w:r>
    </w:p>
    <w:p w14:paraId="626B4B7C" w14:textId="3F40FEA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BICR= blinded independent central review; CI= confidence interval; FRα= folate receptor alpha; HR= hazard ratio; ICC= investigator’s choice of chemotherapy; ITT= intent to treat; MIRV= mirvetuximab soravtansine; N= number of patients; PFS=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w:t>
      </w:r>
    </w:p>
    <w:p w14:paraId="493BC1F7"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vertAlign w:val="superscript"/>
          <w:lang w:eastAsia="en-AU"/>
        </w:rPr>
        <w:t>a</w:t>
      </w:r>
      <w:r w:rsidRPr="00EF2E8A">
        <w:rPr>
          <w:rFonts w:ascii="Arial Narrow" w:eastAsia="Times New Roman" w:hAnsi="Arial Narrow" w:cs="Arial"/>
          <w:snapToGrid w:val="0"/>
          <w:sz w:val="18"/>
          <w:lang w:eastAsia="en-AU"/>
        </w:rPr>
        <w:t xml:space="preserve"> Hazard ratio is MIRV to ICC within each subgroup (high or medium). A hazard ratio &lt; 1 indicates a reduction in hazard rate in favour of MIRV.</w:t>
      </w:r>
    </w:p>
    <w:p w14:paraId="148D0C7B"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vertAlign w:val="superscript"/>
          <w:lang w:eastAsia="en-AU"/>
        </w:rPr>
        <w:t>b</w:t>
      </w:r>
      <w:r w:rsidRPr="00EF2E8A">
        <w:rPr>
          <w:rFonts w:ascii="Arial Narrow" w:eastAsia="Times New Roman" w:hAnsi="Arial Narrow" w:cs="Arial"/>
          <w:snapToGrid w:val="0"/>
          <w:sz w:val="18"/>
          <w:lang w:eastAsia="en-AU"/>
        </w:rPr>
        <w:t xml:space="preserve"> Hazard ratio is for interaction between treatment group and FRα subgroup.</w:t>
      </w:r>
    </w:p>
    <w:p w14:paraId="18C929C1" w14:textId="0062DD49" w:rsidR="00265AEF" w:rsidRDefault="00FF1433" w:rsidP="00591C83">
      <w:pPr>
        <w:pStyle w:val="ListParagraph"/>
      </w:pPr>
      <w:bookmarkStart w:id="53" w:name="_Ref204779051"/>
      <w:bookmarkStart w:id="54" w:name="_Ref205275528"/>
      <w:r w:rsidRPr="00EF2E8A">
        <w:t>Th</w:t>
      </w:r>
      <w:r w:rsidR="00160084" w:rsidRPr="00EF2E8A">
        <w:t>e</w:t>
      </w:r>
      <w:r w:rsidR="003B4D78" w:rsidRPr="00EF2E8A">
        <w:t xml:space="preserve"> comparison of PFS from the pre</w:t>
      </w:r>
      <w:r w:rsidR="00A46D2B">
        <w:noBreakHyphen/>
      </w:r>
      <w:r w:rsidR="003B4D78" w:rsidRPr="00EF2E8A">
        <w:t>specified analysis of FRα</w:t>
      </w:r>
      <w:r w:rsidR="00A46D2B">
        <w:noBreakHyphen/>
      </w:r>
      <w:r w:rsidR="003B4D78" w:rsidRPr="00EF2E8A">
        <w:t>high and FRα</w:t>
      </w:r>
      <w:r w:rsidR="00A46D2B">
        <w:noBreakHyphen/>
      </w:r>
      <w:r w:rsidR="003B4D78" w:rsidRPr="00EF2E8A">
        <w:t>medium groups (</w:t>
      </w:r>
      <w:r w:rsidR="00D62EC8">
        <w:fldChar w:fldCharType="begin" w:fldLock="1"/>
      </w:r>
      <w:r w:rsidR="00D62EC8">
        <w:instrText xml:space="preserve"> REF _Ref205198293 \h </w:instrText>
      </w:r>
      <w:r w:rsidR="00D62EC8">
        <w:fldChar w:fldCharType="separate"/>
      </w:r>
      <w:r w:rsidR="00CC5CAD">
        <w:t xml:space="preserve">Table </w:t>
      </w:r>
      <w:r w:rsidR="00CC5CAD">
        <w:rPr>
          <w:noProof/>
        </w:rPr>
        <w:t>13</w:t>
      </w:r>
      <w:r w:rsidR="00D62EC8">
        <w:fldChar w:fldCharType="end"/>
      </w:r>
      <w:r w:rsidR="003B4D78" w:rsidRPr="00EF2E8A">
        <w:t>)</w:t>
      </w:r>
      <w:r w:rsidRPr="00EF2E8A">
        <w:t xml:space="preserve"> indicates an interaction between treatment with MIRV and FRα expression level (nominal p</w:t>
      </w:r>
      <w:r w:rsidR="00A46D2B">
        <w:noBreakHyphen/>
      </w:r>
      <w:r w:rsidRPr="00EF2E8A">
        <w:t xml:space="preserve">value for interaction = 0.004). </w:t>
      </w:r>
      <w:r w:rsidR="00E97E3C" w:rsidRPr="00EF2E8A">
        <w:t>The evaluation considered that s</w:t>
      </w:r>
      <w:r w:rsidRPr="00EF2E8A">
        <w:t>ince the FRα</w:t>
      </w:r>
      <w:r w:rsidR="00A46D2B">
        <w:noBreakHyphen/>
      </w:r>
      <w:r w:rsidRPr="00EF2E8A">
        <w:t xml:space="preserve">high group as defined in the trial included a subset of </w:t>
      </w:r>
      <w:r w:rsidR="00676DD6" w:rsidRPr="00EF2E8A">
        <w:t xml:space="preserve">patients who would be considered biomarker negative </w:t>
      </w:r>
      <w:r w:rsidRPr="00EF2E8A">
        <w:t>for this outcome, a more compelling approach would have been to conduct this analysis with the re</w:t>
      </w:r>
      <w:r w:rsidR="00A46D2B">
        <w:noBreakHyphen/>
      </w:r>
      <w:r w:rsidRPr="00EF2E8A">
        <w:t>scored FRα</w:t>
      </w:r>
      <w:r w:rsidR="00A46D2B">
        <w:noBreakHyphen/>
      </w:r>
      <w:r w:rsidRPr="00EF2E8A">
        <w:t>high versus FRα</w:t>
      </w:r>
      <w:r w:rsidR="00A46D2B">
        <w:noBreakHyphen/>
      </w:r>
      <w:r w:rsidRPr="00EF2E8A">
        <w:t>medium + FRα</w:t>
      </w:r>
      <w:r w:rsidR="00A46D2B">
        <w:noBreakHyphen/>
      </w:r>
      <w:r w:rsidRPr="00EF2E8A">
        <w:t xml:space="preserve">low groups to focus on the groups being proposed as test positive and test negative for this biomarker. </w:t>
      </w:r>
      <w:bookmarkEnd w:id="53"/>
      <w:r w:rsidR="00FB56F2" w:rsidRPr="00AF7C70">
        <w:t>The Pre</w:t>
      </w:r>
      <w:r w:rsidR="00A46D2B">
        <w:noBreakHyphen/>
      </w:r>
      <w:r w:rsidR="00FB56F2" w:rsidRPr="00AF7C70">
        <w:t xml:space="preserve">PBAC response </w:t>
      </w:r>
      <w:r w:rsidR="005B3391" w:rsidRPr="00AF7C70">
        <w:t>provided</w:t>
      </w:r>
      <w:r w:rsidR="009873CE" w:rsidRPr="00AF7C70">
        <w:t xml:space="preserve"> </w:t>
      </w:r>
      <w:r w:rsidR="00BA78DE" w:rsidRPr="00BA78DE">
        <w:t xml:space="preserve">analysis of </w:t>
      </w:r>
      <w:r w:rsidR="00591C83">
        <w:br/>
      </w:r>
      <w:r w:rsidR="00BA78DE" w:rsidRPr="00BA78DE">
        <w:t>re</w:t>
      </w:r>
      <w:r w:rsidR="00A46D2B">
        <w:noBreakHyphen/>
      </w:r>
      <w:r w:rsidR="00BA78DE" w:rsidRPr="00BA78DE">
        <w:t xml:space="preserve">scored </w:t>
      </w:r>
      <w:r w:rsidR="00155D9A">
        <w:t>(post</w:t>
      </w:r>
      <w:r w:rsidR="00A46D2B">
        <w:noBreakHyphen/>
      </w:r>
      <w:r w:rsidR="00155D9A">
        <w:t xml:space="preserve">hoc) </w:t>
      </w:r>
      <w:r w:rsidR="00BA78DE" w:rsidRPr="00BA78DE">
        <w:t>FRα high expression subgroup v</w:t>
      </w:r>
      <w:r w:rsidR="00155D9A">
        <w:t>ersu</w:t>
      </w:r>
      <w:r w:rsidR="00BA78DE" w:rsidRPr="00BA78DE">
        <w:t>s the complement of the trial population</w:t>
      </w:r>
      <w:r w:rsidR="005B3391" w:rsidRPr="00AF7C70">
        <w:t xml:space="preserve"> </w:t>
      </w:r>
      <w:r w:rsidR="0040761E" w:rsidRPr="00AF7C70">
        <w:t>(</w:t>
      </w:r>
      <w:r w:rsidR="00FF5B86" w:rsidRPr="00AF7C70">
        <w:fldChar w:fldCharType="begin" w:fldLock="1"/>
      </w:r>
      <w:r w:rsidR="00FF5B86" w:rsidRPr="00AF7C70">
        <w:instrText xml:space="preserve"> REF _Ref205198390 \h </w:instrText>
      </w:r>
      <w:r w:rsidR="00AF7C70">
        <w:instrText xml:space="preserve"> \* MERGEFORMAT </w:instrText>
      </w:r>
      <w:r w:rsidR="00FF5B86" w:rsidRPr="00AF7C70">
        <w:fldChar w:fldCharType="separate"/>
      </w:r>
      <w:r w:rsidR="00CC5CAD">
        <w:t xml:space="preserve">Table </w:t>
      </w:r>
      <w:r w:rsidR="00CC5CAD">
        <w:rPr>
          <w:noProof/>
        </w:rPr>
        <w:t>14</w:t>
      </w:r>
      <w:r w:rsidR="00FF5B86" w:rsidRPr="00AF7C70">
        <w:fldChar w:fldCharType="end"/>
      </w:r>
      <w:r w:rsidR="0040761E" w:rsidRPr="00AF7C70">
        <w:t>)</w:t>
      </w:r>
      <w:r w:rsidR="008E327C" w:rsidRPr="00AF7C70">
        <w:t>.</w:t>
      </w:r>
      <w:r w:rsidR="008E327C">
        <w:t xml:space="preserve"> The </w:t>
      </w:r>
      <w:r w:rsidR="008E327C" w:rsidRPr="00AF7C70">
        <w:t>Pre</w:t>
      </w:r>
      <w:r w:rsidR="00A46D2B">
        <w:noBreakHyphen/>
      </w:r>
      <w:r w:rsidR="008E327C" w:rsidRPr="00AF7C70">
        <w:t>PBAC response</w:t>
      </w:r>
      <w:r w:rsidR="00B65B3F">
        <w:t xml:space="preserve"> </w:t>
      </w:r>
      <w:r w:rsidR="008E327C">
        <w:t>noted that “</w:t>
      </w:r>
      <w:r w:rsidR="00515F62" w:rsidRPr="00515F62">
        <w:t xml:space="preserve">Patients not in this </w:t>
      </w:r>
      <w:r w:rsidR="00AF7C70" w:rsidRPr="00AF7C70">
        <w:t xml:space="preserve">[FRα high] </w:t>
      </w:r>
      <w:r w:rsidR="00515F62" w:rsidRPr="00515F62">
        <w:t>subgroup showed no significant benefit from MIRV, with PFS (0.91) and OS (0.95) hazard ratios near 1.0, and 95% confidence intervals crossing 1.0.</w:t>
      </w:r>
      <w:r w:rsidR="00515F62">
        <w:t>”</w:t>
      </w:r>
      <w:bookmarkEnd w:id="54"/>
    </w:p>
    <w:p w14:paraId="57664A01" w14:textId="76987EDA" w:rsidR="00490677" w:rsidRDefault="00490677" w:rsidP="00591C83">
      <w:pPr>
        <w:pStyle w:val="Caption"/>
      </w:pPr>
      <w:bookmarkStart w:id="55" w:name="_Ref205198390"/>
      <w:r>
        <w:t xml:space="preserve">Table </w:t>
      </w:r>
      <w:r w:rsidR="00CC5CAD">
        <w:fldChar w:fldCharType="begin" w:fldLock="1"/>
      </w:r>
      <w:r w:rsidR="00CC5CAD">
        <w:instrText xml:space="preserve"> SEQ Table \* ARABIC </w:instrText>
      </w:r>
      <w:r w:rsidR="00CC5CAD">
        <w:fldChar w:fldCharType="separate"/>
      </w:r>
      <w:r w:rsidR="00CC5CAD">
        <w:rPr>
          <w:noProof/>
        </w:rPr>
        <w:t>14</w:t>
      </w:r>
      <w:r w:rsidR="00CC5CAD">
        <w:rPr>
          <w:noProof/>
        </w:rPr>
        <w:fldChar w:fldCharType="end"/>
      </w:r>
      <w:bookmarkEnd w:id="55"/>
      <w:r>
        <w:t xml:space="preserve">: </w:t>
      </w:r>
      <w:r w:rsidRPr="009D3F95">
        <w:t>PFS and OS by FRα expression: Requested analysis of FORWARD</w:t>
      </w:r>
      <w:r w:rsidR="00A46D2B">
        <w:noBreakHyphen/>
      </w:r>
      <w:r w:rsidRPr="009D3F95">
        <w:t>1 and primary analysis of MIRASOL</w:t>
      </w:r>
    </w:p>
    <w:tbl>
      <w:tblPr>
        <w:tblW w:w="4988"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top w:w="29" w:type="dxa"/>
          <w:bottom w:w="29" w:type="dxa"/>
        </w:tblCellMar>
        <w:tblLook w:val="04A0" w:firstRow="1" w:lastRow="0" w:firstColumn="1" w:lastColumn="0" w:noHBand="0" w:noVBand="1"/>
        <w:tblCaption w:val="Table 14: PFS and OS by FRα expression: Requested analysis of FORWARD 1 and primary analysis of MIRASOL"/>
      </w:tblPr>
      <w:tblGrid>
        <w:gridCol w:w="4555"/>
        <w:gridCol w:w="1921"/>
        <w:gridCol w:w="2518"/>
      </w:tblGrid>
      <w:tr w:rsidR="00E13005" w:rsidRPr="00EF2E8A" w14:paraId="2E9226CE" w14:textId="77777777" w:rsidTr="00880DE2">
        <w:trPr>
          <w:tblHeader/>
        </w:trPr>
        <w:tc>
          <w:tcPr>
            <w:tcW w:w="2532" w:type="pct"/>
            <w:tcBorders>
              <w:top w:val="single" w:sz="4" w:space="0" w:color="auto"/>
              <w:left w:val="single" w:sz="4" w:space="0" w:color="auto"/>
              <w:bottom w:val="single" w:sz="4" w:space="0" w:color="auto"/>
              <w:right w:val="single" w:sz="4" w:space="0" w:color="auto"/>
            </w:tcBorders>
          </w:tcPr>
          <w:p w14:paraId="1C39B3E2" w14:textId="14A4A02D" w:rsidR="00E13005" w:rsidRPr="00E13005" w:rsidRDefault="00E13005" w:rsidP="00591C83">
            <w:pPr>
              <w:pStyle w:val="TableText"/>
              <w:keepNext/>
              <w:keepLines/>
              <w:widowControl/>
              <w:rPr>
                <w:b/>
                <w:bCs/>
              </w:rPr>
            </w:pPr>
            <w:r w:rsidRPr="00E13005">
              <w:rPr>
                <w:b/>
                <w:bCs/>
              </w:rPr>
              <w:t>Analysis</w:t>
            </w:r>
          </w:p>
        </w:tc>
        <w:tc>
          <w:tcPr>
            <w:tcW w:w="1068" w:type="pct"/>
            <w:tcBorders>
              <w:top w:val="single" w:sz="4" w:space="0" w:color="auto"/>
              <w:left w:val="single" w:sz="4" w:space="0" w:color="auto"/>
              <w:bottom w:val="single" w:sz="4" w:space="0" w:color="auto"/>
              <w:right w:val="single" w:sz="4" w:space="0" w:color="auto"/>
            </w:tcBorders>
          </w:tcPr>
          <w:p w14:paraId="6CB6B0A0" w14:textId="0AA18CE2" w:rsidR="00E13005" w:rsidRPr="00E13005" w:rsidRDefault="00E13005" w:rsidP="00591C83">
            <w:pPr>
              <w:pStyle w:val="TableText"/>
              <w:keepNext/>
              <w:keepLines/>
              <w:widowControl/>
              <w:rPr>
                <w:b/>
                <w:bCs/>
              </w:rPr>
            </w:pPr>
            <w:r w:rsidRPr="00E13005">
              <w:rPr>
                <w:b/>
                <w:bCs/>
              </w:rPr>
              <w:t>Hazard ratio (95% CI)</w:t>
            </w:r>
          </w:p>
        </w:tc>
        <w:tc>
          <w:tcPr>
            <w:tcW w:w="1400" w:type="pct"/>
            <w:tcBorders>
              <w:top w:val="single" w:sz="4" w:space="0" w:color="auto"/>
              <w:left w:val="single" w:sz="4" w:space="0" w:color="auto"/>
              <w:bottom w:val="single" w:sz="4" w:space="0" w:color="auto"/>
              <w:right w:val="single" w:sz="4" w:space="0" w:color="auto"/>
            </w:tcBorders>
          </w:tcPr>
          <w:p w14:paraId="533EE2DD" w14:textId="72A665DB" w:rsidR="00E13005" w:rsidRPr="00E13005" w:rsidRDefault="00E13005" w:rsidP="00591C83">
            <w:pPr>
              <w:pStyle w:val="TableText"/>
              <w:keepNext/>
              <w:keepLines/>
              <w:widowControl/>
              <w:rPr>
                <w:b/>
                <w:bCs/>
              </w:rPr>
            </w:pPr>
            <w:r w:rsidRPr="00E13005">
              <w:rPr>
                <w:b/>
                <w:bCs/>
              </w:rPr>
              <w:t>Data source</w:t>
            </w:r>
          </w:p>
        </w:tc>
      </w:tr>
      <w:tr w:rsidR="00E13005" w:rsidRPr="00EF2E8A" w14:paraId="687AEABF" w14:textId="77777777" w:rsidTr="00E13005">
        <w:trPr>
          <w:trHeight w:val="189"/>
        </w:trPr>
        <w:tc>
          <w:tcPr>
            <w:tcW w:w="5000" w:type="pct"/>
            <w:gridSpan w:val="3"/>
            <w:tcBorders>
              <w:top w:val="single" w:sz="4" w:space="0" w:color="auto"/>
              <w:right w:val="single" w:sz="4" w:space="0" w:color="auto"/>
            </w:tcBorders>
          </w:tcPr>
          <w:p w14:paraId="5C69F8CE" w14:textId="749E85C1" w:rsidR="00E13005" w:rsidRPr="00E13005" w:rsidRDefault="00E13005" w:rsidP="00591C83">
            <w:pPr>
              <w:pStyle w:val="TableText"/>
              <w:keepNext/>
              <w:keepLines/>
              <w:widowControl/>
              <w:rPr>
                <w:b/>
                <w:bCs/>
                <w:color w:val="000000"/>
              </w:rPr>
            </w:pPr>
            <w:r w:rsidRPr="00E13005">
              <w:rPr>
                <w:b/>
                <w:bCs/>
              </w:rPr>
              <w:t>Progression free survival</w:t>
            </w:r>
          </w:p>
        </w:tc>
      </w:tr>
      <w:tr w:rsidR="00E13005" w:rsidRPr="00EF2E8A" w14:paraId="3D570E86" w14:textId="77777777" w:rsidTr="00880DE2">
        <w:trPr>
          <w:trHeight w:val="189"/>
        </w:trPr>
        <w:tc>
          <w:tcPr>
            <w:tcW w:w="2532" w:type="pct"/>
          </w:tcPr>
          <w:p w14:paraId="4E8CA183" w14:textId="75F311F1" w:rsidR="00E13005" w:rsidRPr="00EF2E8A" w:rsidRDefault="00E13005" w:rsidP="00591C83">
            <w:pPr>
              <w:pStyle w:val="TableText"/>
              <w:keepNext/>
              <w:keepLines/>
              <w:widowControl/>
              <w:rPr>
                <w:color w:val="000000"/>
              </w:rPr>
            </w:pPr>
            <w:r w:rsidRPr="001A338D">
              <w:t>MIRV vs ICC: FRα</w:t>
            </w:r>
            <w:r w:rsidR="00A46D2B">
              <w:noBreakHyphen/>
            </w:r>
            <w:r w:rsidRPr="001A338D">
              <w:t>high (≥75% with ≥2+ staining)</w:t>
            </w:r>
          </w:p>
        </w:tc>
        <w:tc>
          <w:tcPr>
            <w:tcW w:w="1068" w:type="pct"/>
          </w:tcPr>
          <w:p w14:paraId="69EE7D8A" w14:textId="06539A8E" w:rsidR="00E13005" w:rsidRPr="00EF2E8A" w:rsidRDefault="00E13005" w:rsidP="00591C83">
            <w:pPr>
              <w:pStyle w:val="TableText"/>
              <w:keepNext/>
              <w:keepLines/>
              <w:widowControl/>
              <w:rPr>
                <w:color w:val="000000"/>
              </w:rPr>
            </w:pPr>
            <w:r w:rsidRPr="001A338D">
              <w:t>0.65 (0.52, 0.81)</w:t>
            </w:r>
          </w:p>
        </w:tc>
        <w:tc>
          <w:tcPr>
            <w:tcW w:w="1400" w:type="pct"/>
          </w:tcPr>
          <w:p w14:paraId="673D7FA7" w14:textId="505CF348" w:rsidR="00E13005" w:rsidRPr="00EF2E8A" w:rsidRDefault="00E13005" w:rsidP="00591C83">
            <w:pPr>
              <w:pStyle w:val="TableText"/>
              <w:keepNext/>
              <w:keepLines/>
              <w:widowControl/>
              <w:rPr>
                <w:bCs/>
                <w:color w:val="000000"/>
              </w:rPr>
            </w:pPr>
            <w:r w:rsidRPr="001A338D">
              <w:t>MIRASOL, ITT population</w:t>
            </w:r>
          </w:p>
        </w:tc>
      </w:tr>
      <w:tr w:rsidR="00880DE2" w:rsidRPr="00EF2E8A" w14:paraId="2159346D" w14:textId="77777777" w:rsidTr="00880DE2">
        <w:trPr>
          <w:trHeight w:val="261"/>
        </w:trPr>
        <w:tc>
          <w:tcPr>
            <w:tcW w:w="2532" w:type="pct"/>
          </w:tcPr>
          <w:p w14:paraId="7EACE467" w14:textId="01AF62BA" w:rsidR="00880DE2" w:rsidRPr="00EF2E8A" w:rsidRDefault="00880DE2" w:rsidP="00591C83">
            <w:pPr>
              <w:pStyle w:val="TableText"/>
              <w:keepNext/>
              <w:keepLines/>
              <w:widowControl/>
              <w:rPr>
                <w:color w:val="000000"/>
              </w:rPr>
            </w:pPr>
            <w:r w:rsidRPr="001A338D">
              <w:t>MIRV vs ICC: FRα</w:t>
            </w:r>
            <w:r w:rsidR="00A46D2B">
              <w:noBreakHyphen/>
            </w:r>
            <w:r w:rsidRPr="001A338D">
              <w:t>high (≥75% with ≥2+ staining)</w:t>
            </w:r>
          </w:p>
        </w:tc>
        <w:tc>
          <w:tcPr>
            <w:tcW w:w="1068" w:type="pct"/>
          </w:tcPr>
          <w:p w14:paraId="49C33815" w14:textId="7B4CE18A" w:rsidR="00880DE2" w:rsidRPr="00EF2E8A" w:rsidRDefault="00880DE2" w:rsidP="00591C83">
            <w:pPr>
              <w:pStyle w:val="TableText"/>
              <w:keepNext/>
              <w:keepLines/>
              <w:widowControl/>
              <w:rPr>
                <w:color w:val="000000"/>
              </w:rPr>
            </w:pPr>
            <w:r w:rsidRPr="001A338D">
              <w:t>0.63 (0.41, 0.97)</w:t>
            </w:r>
          </w:p>
        </w:tc>
        <w:tc>
          <w:tcPr>
            <w:tcW w:w="1400" w:type="pct"/>
            <w:vMerge w:val="restart"/>
          </w:tcPr>
          <w:p w14:paraId="614B506C" w14:textId="2AA8BEF6" w:rsidR="00880DE2" w:rsidRPr="00EF2E8A" w:rsidRDefault="00880DE2" w:rsidP="00591C83">
            <w:pPr>
              <w:pStyle w:val="TableText"/>
              <w:keepNext/>
              <w:keepLines/>
              <w:widowControl/>
              <w:rPr>
                <w:bCs/>
                <w:color w:val="000000"/>
              </w:rPr>
            </w:pPr>
            <w:r w:rsidRPr="001A338D">
              <w:t>FORWARD</w:t>
            </w:r>
            <w:r w:rsidR="00A46D2B">
              <w:noBreakHyphen/>
            </w:r>
            <w:r w:rsidRPr="001A338D">
              <w:t>1 requested post</w:t>
            </w:r>
            <w:r w:rsidR="00A46D2B">
              <w:noBreakHyphen/>
            </w:r>
            <w:r w:rsidRPr="001A338D">
              <w:t>hoc analysis</w:t>
            </w:r>
          </w:p>
        </w:tc>
      </w:tr>
      <w:tr w:rsidR="00880DE2" w:rsidRPr="00EF2E8A" w14:paraId="1A613DA3" w14:textId="77777777" w:rsidTr="00880DE2">
        <w:trPr>
          <w:trHeight w:val="81"/>
        </w:trPr>
        <w:tc>
          <w:tcPr>
            <w:tcW w:w="2532" w:type="pct"/>
          </w:tcPr>
          <w:p w14:paraId="763CF05E" w14:textId="3DAB7045" w:rsidR="00880DE2" w:rsidRPr="00EF2E8A" w:rsidRDefault="00880DE2" w:rsidP="00591C83">
            <w:pPr>
              <w:pStyle w:val="TableText"/>
              <w:keepNext/>
              <w:keepLines/>
              <w:widowControl/>
              <w:rPr>
                <w:color w:val="000000"/>
              </w:rPr>
            </w:pPr>
            <w:r w:rsidRPr="001A338D">
              <w:t>MIRV vs ICC: FRα</w:t>
            </w:r>
            <w:r w:rsidR="00A46D2B">
              <w:noBreakHyphen/>
            </w:r>
            <w:r w:rsidRPr="001A338D">
              <w:t>Low/Medium (complement of FRα</w:t>
            </w:r>
            <w:r w:rsidR="00A46D2B">
              <w:noBreakHyphen/>
            </w:r>
            <w:r w:rsidRPr="001A338D">
              <w:t>high)</w:t>
            </w:r>
          </w:p>
        </w:tc>
        <w:tc>
          <w:tcPr>
            <w:tcW w:w="1068" w:type="pct"/>
          </w:tcPr>
          <w:p w14:paraId="1ADE3DE3" w14:textId="7D94ACAA" w:rsidR="00880DE2" w:rsidRPr="00EF2E8A" w:rsidRDefault="00880DE2" w:rsidP="00591C83">
            <w:pPr>
              <w:pStyle w:val="TableText"/>
              <w:keepNext/>
              <w:keepLines/>
              <w:widowControl/>
              <w:rPr>
                <w:color w:val="000000"/>
              </w:rPr>
            </w:pPr>
            <w:r w:rsidRPr="001A338D">
              <w:t>0.91 (0.67, 1.24)</w:t>
            </w:r>
          </w:p>
        </w:tc>
        <w:tc>
          <w:tcPr>
            <w:tcW w:w="1400" w:type="pct"/>
            <w:vMerge/>
          </w:tcPr>
          <w:p w14:paraId="5AF8EB21" w14:textId="77777777" w:rsidR="00880DE2" w:rsidRPr="00EF2E8A" w:rsidRDefault="00880DE2" w:rsidP="00591C83">
            <w:pPr>
              <w:pStyle w:val="TableText"/>
              <w:keepNext/>
              <w:keepLines/>
              <w:widowControl/>
              <w:rPr>
                <w:bCs/>
                <w:color w:val="000000"/>
              </w:rPr>
            </w:pPr>
          </w:p>
        </w:tc>
      </w:tr>
      <w:tr w:rsidR="00E13005" w:rsidRPr="00EF2E8A" w14:paraId="6616BB77" w14:textId="77777777" w:rsidTr="00E13005">
        <w:trPr>
          <w:trHeight w:val="33"/>
        </w:trPr>
        <w:tc>
          <w:tcPr>
            <w:tcW w:w="5000" w:type="pct"/>
            <w:gridSpan w:val="3"/>
          </w:tcPr>
          <w:p w14:paraId="3C1754A3" w14:textId="4BB0E2C7" w:rsidR="00E13005" w:rsidRPr="00E13005" w:rsidRDefault="00E13005" w:rsidP="00591C83">
            <w:pPr>
              <w:pStyle w:val="TableText"/>
              <w:keepNext/>
              <w:keepLines/>
              <w:widowControl/>
              <w:rPr>
                <w:b/>
                <w:bCs/>
                <w:color w:val="000000"/>
              </w:rPr>
            </w:pPr>
            <w:r w:rsidRPr="00E13005">
              <w:rPr>
                <w:b/>
                <w:bCs/>
              </w:rPr>
              <w:t>Overall survival</w:t>
            </w:r>
          </w:p>
        </w:tc>
      </w:tr>
      <w:tr w:rsidR="00E13005" w:rsidRPr="00EF2E8A" w14:paraId="1940CF47" w14:textId="77777777" w:rsidTr="00880DE2">
        <w:trPr>
          <w:trHeight w:val="81"/>
        </w:trPr>
        <w:tc>
          <w:tcPr>
            <w:tcW w:w="2532" w:type="pct"/>
          </w:tcPr>
          <w:p w14:paraId="4E74FC6E" w14:textId="72A20375" w:rsidR="00E13005" w:rsidRPr="00EF2E8A" w:rsidRDefault="00E13005" w:rsidP="00591C83">
            <w:pPr>
              <w:pStyle w:val="TableText"/>
              <w:keepNext/>
              <w:keepLines/>
              <w:widowControl/>
              <w:rPr>
                <w:color w:val="000000"/>
              </w:rPr>
            </w:pPr>
            <w:r w:rsidRPr="001A338D">
              <w:t>MIRV vs ICC: FRα</w:t>
            </w:r>
            <w:r w:rsidR="00A46D2B">
              <w:noBreakHyphen/>
            </w:r>
            <w:r w:rsidRPr="001A338D">
              <w:t>high (≥75% with ≥2+ staining)</w:t>
            </w:r>
          </w:p>
        </w:tc>
        <w:tc>
          <w:tcPr>
            <w:tcW w:w="1068" w:type="pct"/>
          </w:tcPr>
          <w:p w14:paraId="7904F14F" w14:textId="737F44E1" w:rsidR="00E13005" w:rsidRPr="00EF2E8A" w:rsidRDefault="00E13005" w:rsidP="00591C83">
            <w:pPr>
              <w:pStyle w:val="TableText"/>
              <w:keepNext/>
              <w:keepLines/>
              <w:widowControl/>
              <w:rPr>
                <w:color w:val="000000"/>
              </w:rPr>
            </w:pPr>
            <w:r w:rsidRPr="001A338D">
              <w:t>0.67 (0.50, 0.89)</w:t>
            </w:r>
          </w:p>
        </w:tc>
        <w:tc>
          <w:tcPr>
            <w:tcW w:w="1400" w:type="pct"/>
          </w:tcPr>
          <w:p w14:paraId="4DAA4C60" w14:textId="74826F62" w:rsidR="00E13005" w:rsidRPr="00EF2E8A" w:rsidRDefault="00E13005" w:rsidP="00591C83">
            <w:pPr>
              <w:pStyle w:val="TableText"/>
              <w:keepNext/>
              <w:keepLines/>
              <w:widowControl/>
              <w:rPr>
                <w:bCs/>
                <w:color w:val="000000"/>
              </w:rPr>
            </w:pPr>
            <w:r w:rsidRPr="001A338D">
              <w:t>MIRASOL, ITT population</w:t>
            </w:r>
          </w:p>
        </w:tc>
      </w:tr>
      <w:tr w:rsidR="00880DE2" w:rsidRPr="00EF2E8A" w14:paraId="2CACDC9C" w14:textId="77777777" w:rsidTr="00880DE2">
        <w:trPr>
          <w:trHeight w:val="29"/>
        </w:trPr>
        <w:tc>
          <w:tcPr>
            <w:tcW w:w="2532" w:type="pct"/>
          </w:tcPr>
          <w:p w14:paraId="665C8672" w14:textId="55B88D12" w:rsidR="00880DE2" w:rsidRPr="00EF2E8A" w:rsidRDefault="00880DE2" w:rsidP="00591C83">
            <w:pPr>
              <w:pStyle w:val="TableText"/>
              <w:keepNext/>
              <w:keepLines/>
              <w:widowControl/>
              <w:rPr>
                <w:color w:val="000000"/>
              </w:rPr>
            </w:pPr>
            <w:r w:rsidRPr="001A338D">
              <w:t>MIRV vs ICC: FRα</w:t>
            </w:r>
            <w:r w:rsidR="00A46D2B">
              <w:noBreakHyphen/>
            </w:r>
            <w:r w:rsidRPr="001A338D">
              <w:t>high (≥75% with ≥2+ staining)</w:t>
            </w:r>
          </w:p>
        </w:tc>
        <w:tc>
          <w:tcPr>
            <w:tcW w:w="1068" w:type="pct"/>
          </w:tcPr>
          <w:p w14:paraId="069EB156" w14:textId="28652104" w:rsidR="00880DE2" w:rsidRPr="00EF2E8A" w:rsidRDefault="00880DE2" w:rsidP="00591C83">
            <w:pPr>
              <w:pStyle w:val="TableText"/>
              <w:keepNext/>
              <w:keepLines/>
              <w:widowControl/>
              <w:rPr>
                <w:color w:val="000000"/>
              </w:rPr>
            </w:pPr>
            <w:r w:rsidRPr="001A338D">
              <w:t>0.65 (0.40, 1.05)</w:t>
            </w:r>
          </w:p>
        </w:tc>
        <w:tc>
          <w:tcPr>
            <w:tcW w:w="1400" w:type="pct"/>
            <w:vMerge w:val="restart"/>
          </w:tcPr>
          <w:p w14:paraId="1105F5A1" w14:textId="7308EAB7" w:rsidR="00880DE2" w:rsidRPr="00EF2E8A" w:rsidRDefault="00880DE2" w:rsidP="00591C83">
            <w:pPr>
              <w:pStyle w:val="TableText"/>
              <w:keepNext/>
              <w:keepLines/>
              <w:widowControl/>
              <w:rPr>
                <w:bCs/>
                <w:color w:val="000000"/>
              </w:rPr>
            </w:pPr>
            <w:r w:rsidRPr="001A338D">
              <w:t>FORWARD</w:t>
            </w:r>
            <w:r w:rsidR="00A46D2B">
              <w:noBreakHyphen/>
            </w:r>
            <w:r w:rsidRPr="001A338D">
              <w:t>1 requested post</w:t>
            </w:r>
            <w:r w:rsidR="00A46D2B">
              <w:noBreakHyphen/>
            </w:r>
            <w:r w:rsidRPr="001A338D">
              <w:t xml:space="preserve">hoc analysis </w:t>
            </w:r>
          </w:p>
        </w:tc>
      </w:tr>
      <w:tr w:rsidR="00880DE2" w:rsidRPr="00EF2E8A" w14:paraId="09963CDD" w14:textId="77777777" w:rsidTr="00880DE2">
        <w:trPr>
          <w:trHeight w:val="29"/>
        </w:trPr>
        <w:tc>
          <w:tcPr>
            <w:tcW w:w="2532" w:type="pct"/>
          </w:tcPr>
          <w:p w14:paraId="7E980C35" w14:textId="350B83D1" w:rsidR="00880DE2" w:rsidRPr="00EF2E8A" w:rsidRDefault="00880DE2" w:rsidP="00591C83">
            <w:pPr>
              <w:pStyle w:val="TableText"/>
              <w:keepNext/>
              <w:keepLines/>
              <w:widowControl/>
              <w:rPr>
                <w:color w:val="000000"/>
              </w:rPr>
            </w:pPr>
            <w:r w:rsidRPr="001A338D">
              <w:t>MIRV vs ICC: FRα</w:t>
            </w:r>
            <w:r w:rsidR="00A46D2B">
              <w:noBreakHyphen/>
            </w:r>
            <w:r w:rsidRPr="001A338D">
              <w:t>Low/Medium (complement of FRα</w:t>
            </w:r>
            <w:r w:rsidR="00A46D2B">
              <w:noBreakHyphen/>
            </w:r>
            <w:r w:rsidRPr="001A338D">
              <w:t>high)</w:t>
            </w:r>
          </w:p>
        </w:tc>
        <w:tc>
          <w:tcPr>
            <w:tcW w:w="1068" w:type="pct"/>
          </w:tcPr>
          <w:p w14:paraId="2A194EA8" w14:textId="1C7A0C63" w:rsidR="00880DE2" w:rsidRPr="00EF2E8A" w:rsidRDefault="00880DE2" w:rsidP="00591C83">
            <w:pPr>
              <w:pStyle w:val="TableText"/>
              <w:keepNext/>
              <w:keepLines/>
              <w:widowControl/>
              <w:rPr>
                <w:color w:val="000000"/>
              </w:rPr>
            </w:pPr>
            <w:r w:rsidRPr="001A338D">
              <w:t>0.95 (0.67, 1.35)</w:t>
            </w:r>
          </w:p>
        </w:tc>
        <w:tc>
          <w:tcPr>
            <w:tcW w:w="1400" w:type="pct"/>
            <w:vMerge/>
          </w:tcPr>
          <w:p w14:paraId="27EB512F" w14:textId="77777777" w:rsidR="00880DE2" w:rsidRPr="00EF2E8A" w:rsidRDefault="00880DE2" w:rsidP="00591C83">
            <w:pPr>
              <w:pStyle w:val="TableText"/>
              <w:keepNext/>
              <w:keepLines/>
              <w:widowControl/>
              <w:rPr>
                <w:bCs/>
                <w:color w:val="000000"/>
              </w:rPr>
            </w:pPr>
          </w:p>
        </w:tc>
      </w:tr>
    </w:tbl>
    <w:p w14:paraId="0F27EDF0" w14:textId="68536DA9" w:rsidR="00356FA6" w:rsidRPr="00EF2E8A" w:rsidRDefault="00880DE2" w:rsidP="00591C83">
      <w:pPr>
        <w:pStyle w:val="TableFigureFooter"/>
      </w:pPr>
      <w:r>
        <w:t>Source: Pre</w:t>
      </w:r>
      <w:r w:rsidR="00A46D2B">
        <w:noBreakHyphen/>
      </w:r>
      <w:r>
        <w:t>PBAC response, table 2</w:t>
      </w:r>
    </w:p>
    <w:p w14:paraId="7CF9B21C" w14:textId="62855681" w:rsidR="00FF1433" w:rsidRPr="00EF2E8A" w:rsidRDefault="00FF1433" w:rsidP="00591C83">
      <w:pPr>
        <w:keepNext/>
        <w:rPr>
          <w:b/>
          <w:sz w:val="22"/>
          <w:szCs w:val="20"/>
        </w:rPr>
      </w:pPr>
      <w:r w:rsidRPr="00EF2E8A">
        <w:rPr>
          <w:b/>
          <w:sz w:val="22"/>
          <w:szCs w:val="20"/>
        </w:rPr>
        <w:t>INDIRECT COMPARISON (MIRASOL vs AURELIA)</w:t>
      </w:r>
    </w:p>
    <w:p w14:paraId="2D836FB9" w14:textId="7CB7E6C6" w:rsidR="00971C2C" w:rsidRPr="007067D1" w:rsidRDefault="00FF1433" w:rsidP="00591C83">
      <w:pPr>
        <w:pStyle w:val="ListParagraph"/>
      </w:pPr>
      <w:r w:rsidRPr="00EF2E8A">
        <w:t>The submission conducted an anchor</w:t>
      </w:r>
      <w:r w:rsidR="00A46D2B">
        <w:noBreakHyphen/>
      </w:r>
      <w:r w:rsidRPr="00EF2E8A">
        <w:t>based MAIC using individual</w:t>
      </w:r>
      <w:r w:rsidR="00A46D2B">
        <w:noBreakHyphen/>
      </w:r>
      <w:r w:rsidRPr="00EF2E8A">
        <w:t xml:space="preserve">level patient data from MIRASOL and published aggregate data from AURELIA using the common </w:t>
      </w:r>
      <w:r w:rsidRPr="00EF2E8A">
        <w:lastRenderedPageBreak/>
        <w:t xml:space="preserve">comparator ICC to support the claim of superior safety and efficacy of MIRV versus </w:t>
      </w:r>
      <w:r w:rsidR="00F71695" w:rsidRPr="00EF2E8A">
        <w:t>BEVA</w:t>
      </w:r>
      <w:r w:rsidRPr="00EF2E8A">
        <w:t xml:space="preserve"> + ICC. The results of the MAIC are summarised in</w:t>
      </w:r>
      <w:r w:rsidR="005F3B17">
        <w:t xml:space="preserve"> </w:t>
      </w:r>
      <w:r w:rsidR="005F3B17">
        <w:fldChar w:fldCharType="begin" w:fldLock="1"/>
      </w:r>
      <w:r w:rsidR="005F3B17">
        <w:instrText xml:space="preserve"> REF _Ref205198413 \h </w:instrText>
      </w:r>
      <w:r w:rsidR="005F3B17">
        <w:fldChar w:fldCharType="separate"/>
      </w:r>
      <w:r w:rsidR="00CC5CAD">
        <w:t xml:space="preserve">Table </w:t>
      </w:r>
      <w:r w:rsidR="00CC5CAD">
        <w:rPr>
          <w:noProof/>
        </w:rPr>
        <w:t>15</w:t>
      </w:r>
      <w:r w:rsidR="005F3B17">
        <w:fldChar w:fldCharType="end"/>
      </w:r>
      <w:r w:rsidRPr="00EF2E8A">
        <w:t>.</w:t>
      </w:r>
    </w:p>
    <w:p w14:paraId="00F16EE4" w14:textId="2C20A0DB" w:rsidR="00FF5B86" w:rsidRDefault="00FF5B86" w:rsidP="00591C83">
      <w:pPr>
        <w:pStyle w:val="Caption"/>
      </w:pPr>
      <w:bookmarkStart w:id="56" w:name="_Ref205198413"/>
      <w:r>
        <w:t xml:space="preserve">Table </w:t>
      </w:r>
      <w:r w:rsidR="00CC5CAD">
        <w:fldChar w:fldCharType="begin" w:fldLock="1"/>
      </w:r>
      <w:r w:rsidR="00CC5CAD">
        <w:instrText xml:space="preserve"> SEQ Table \* ARABIC </w:instrText>
      </w:r>
      <w:r w:rsidR="00CC5CAD">
        <w:fldChar w:fldCharType="separate"/>
      </w:r>
      <w:r w:rsidR="00CC5CAD">
        <w:rPr>
          <w:noProof/>
        </w:rPr>
        <w:t>15</w:t>
      </w:r>
      <w:r w:rsidR="00CC5CAD">
        <w:rPr>
          <w:noProof/>
        </w:rPr>
        <w:fldChar w:fldCharType="end"/>
      </w:r>
      <w:bookmarkEnd w:id="56"/>
      <w:r>
        <w:t xml:space="preserve">: </w:t>
      </w:r>
      <w:r w:rsidRPr="000516F8">
        <w:t>Summary of the adjusted outcomes for the MAIC (MIRV vs BEV+ICC)</w:t>
      </w:r>
    </w:p>
    <w:tbl>
      <w:tblPr>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top w:w="29" w:type="dxa"/>
          <w:bottom w:w="29" w:type="dxa"/>
        </w:tblCellMar>
        <w:tblLook w:val="04A0" w:firstRow="1" w:lastRow="0" w:firstColumn="1" w:lastColumn="0" w:noHBand="0" w:noVBand="1"/>
        <w:tblCaption w:val="Table 15: Summary of the adjusted outcomes for the MAIC (MIRV vs BEV+ICC)"/>
      </w:tblPr>
      <w:tblGrid>
        <w:gridCol w:w="1795"/>
        <w:gridCol w:w="2407"/>
        <w:gridCol w:w="2407"/>
        <w:gridCol w:w="2407"/>
      </w:tblGrid>
      <w:tr w:rsidR="00FF1433" w:rsidRPr="00EF2E8A" w14:paraId="4415CE7E" w14:textId="77777777" w:rsidTr="00D875B2">
        <w:trPr>
          <w:tblHeader/>
        </w:trPr>
        <w:tc>
          <w:tcPr>
            <w:tcW w:w="995" w:type="pct"/>
            <w:tcBorders>
              <w:top w:val="single" w:sz="4" w:space="0" w:color="auto"/>
              <w:left w:val="single" w:sz="4" w:space="0" w:color="auto"/>
              <w:bottom w:val="single" w:sz="4" w:space="0" w:color="auto"/>
              <w:right w:val="single" w:sz="4" w:space="0" w:color="auto"/>
            </w:tcBorders>
          </w:tcPr>
          <w:p w14:paraId="7F8ACD6B" w14:textId="77777777" w:rsidR="00FF1433" w:rsidRPr="00EF2E8A" w:rsidRDefault="00FF1433" w:rsidP="00591C83">
            <w:pPr>
              <w:keepNext/>
              <w:spacing w:before="0" w:after="0"/>
              <w:jc w:val="left"/>
              <w:rPr>
                <w:rFonts w:ascii="Arial Narrow" w:hAnsi="Arial Narrow" w:cs="Calibri"/>
                <w:b/>
                <w:sz w:val="20"/>
                <w:szCs w:val="20"/>
              </w:rPr>
            </w:pPr>
            <w:r w:rsidRPr="00EF2E8A">
              <w:rPr>
                <w:rFonts w:ascii="Arial Narrow" w:hAnsi="Arial Narrow" w:cs="Calibri"/>
                <w:b/>
                <w:sz w:val="20"/>
                <w:szCs w:val="20"/>
              </w:rPr>
              <w:t>Outcome</w:t>
            </w:r>
          </w:p>
        </w:tc>
        <w:tc>
          <w:tcPr>
            <w:tcW w:w="1335" w:type="pct"/>
            <w:tcBorders>
              <w:top w:val="single" w:sz="4" w:space="0" w:color="auto"/>
              <w:left w:val="single" w:sz="4" w:space="0" w:color="auto"/>
              <w:bottom w:val="single" w:sz="4" w:space="0" w:color="auto"/>
              <w:right w:val="single" w:sz="4" w:space="0" w:color="auto"/>
            </w:tcBorders>
            <w:hideMark/>
          </w:tcPr>
          <w:p w14:paraId="0AF78CDE" w14:textId="77777777" w:rsidR="00FF1433" w:rsidRPr="00EF2E8A" w:rsidRDefault="00FF1433" w:rsidP="00591C83">
            <w:pPr>
              <w:keepNext/>
              <w:spacing w:before="0" w:after="0"/>
              <w:jc w:val="left"/>
              <w:rPr>
                <w:rFonts w:ascii="Arial Narrow" w:hAnsi="Arial Narrow" w:cs="Calibri"/>
                <w:b/>
                <w:bCs/>
                <w:sz w:val="20"/>
                <w:szCs w:val="20"/>
              </w:rPr>
            </w:pPr>
            <w:r w:rsidRPr="00EF2E8A">
              <w:rPr>
                <w:rFonts w:ascii="Arial Narrow" w:hAnsi="Arial Narrow" w:cs="Calibri"/>
                <w:b/>
                <w:sz w:val="20"/>
                <w:szCs w:val="20"/>
              </w:rPr>
              <w:t> Parameter</w:t>
            </w:r>
          </w:p>
        </w:tc>
        <w:tc>
          <w:tcPr>
            <w:tcW w:w="1335" w:type="pct"/>
            <w:tcBorders>
              <w:top w:val="single" w:sz="4" w:space="0" w:color="auto"/>
              <w:left w:val="single" w:sz="4" w:space="0" w:color="auto"/>
              <w:bottom w:val="single" w:sz="4" w:space="0" w:color="auto"/>
              <w:right w:val="single" w:sz="4" w:space="0" w:color="auto"/>
            </w:tcBorders>
            <w:hideMark/>
          </w:tcPr>
          <w:p w14:paraId="55E3D206" w14:textId="77777777" w:rsidR="00FF1433" w:rsidRPr="00EF2E8A" w:rsidRDefault="00FF1433" w:rsidP="00591C83">
            <w:pPr>
              <w:keepNext/>
              <w:spacing w:before="0" w:after="0"/>
              <w:jc w:val="left"/>
              <w:rPr>
                <w:rFonts w:ascii="Arial Narrow" w:hAnsi="Arial Narrow" w:cs="Calibri"/>
                <w:b/>
                <w:sz w:val="20"/>
                <w:szCs w:val="20"/>
              </w:rPr>
            </w:pPr>
            <w:r w:rsidRPr="00EF2E8A">
              <w:rPr>
                <w:rFonts w:ascii="Arial Narrow" w:hAnsi="Arial Narrow" w:cs="Calibri"/>
                <w:b/>
                <w:sz w:val="20"/>
                <w:szCs w:val="20"/>
              </w:rPr>
              <w:t xml:space="preserve">Before matching  </w:t>
            </w:r>
          </w:p>
          <w:p w14:paraId="1FFD24EC" w14:textId="77777777" w:rsidR="00FF1433" w:rsidRPr="00EF2E8A" w:rsidRDefault="00FF1433" w:rsidP="00591C83">
            <w:pPr>
              <w:keepNext/>
              <w:spacing w:before="0" w:after="0"/>
              <w:jc w:val="left"/>
              <w:rPr>
                <w:rFonts w:ascii="Arial Narrow" w:hAnsi="Arial Narrow" w:cs="Calibri"/>
                <w:b/>
                <w:sz w:val="20"/>
                <w:szCs w:val="20"/>
              </w:rPr>
            </w:pPr>
            <w:r w:rsidRPr="00EF2E8A">
              <w:rPr>
                <w:rFonts w:ascii="Arial Narrow" w:hAnsi="Arial Narrow" w:cs="Calibri"/>
                <w:b/>
                <w:sz w:val="20"/>
                <w:szCs w:val="20"/>
              </w:rPr>
              <w:t>(MIRV vs BEV+ICC)</w:t>
            </w:r>
          </w:p>
        </w:tc>
        <w:tc>
          <w:tcPr>
            <w:tcW w:w="1335" w:type="pct"/>
            <w:tcBorders>
              <w:top w:val="single" w:sz="4" w:space="0" w:color="auto"/>
              <w:left w:val="single" w:sz="4" w:space="0" w:color="auto"/>
              <w:bottom w:val="single" w:sz="4" w:space="0" w:color="auto"/>
              <w:right w:val="single" w:sz="4" w:space="0" w:color="auto"/>
            </w:tcBorders>
            <w:hideMark/>
          </w:tcPr>
          <w:p w14:paraId="4D7E250F" w14:textId="77777777" w:rsidR="00FF1433" w:rsidRPr="00EF2E8A" w:rsidRDefault="00FF1433" w:rsidP="00591C83">
            <w:pPr>
              <w:keepNext/>
              <w:spacing w:before="0" w:after="0"/>
              <w:jc w:val="left"/>
              <w:rPr>
                <w:rFonts w:ascii="Arial Narrow" w:hAnsi="Arial Narrow" w:cs="Calibri"/>
                <w:b/>
                <w:bCs/>
                <w:sz w:val="20"/>
                <w:szCs w:val="20"/>
              </w:rPr>
            </w:pPr>
            <w:r w:rsidRPr="00EF2E8A">
              <w:rPr>
                <w:rFonts w:ascii="Arial Narrow" w:hAnsi="Arial Narrow" w:cs="Calibri"/>
                <w:b/>
                <w:bCs/>
                <w:sz w:val="20"/>
                <w:szCs w:val="20"/>
              </w:rPr>
              <w:t xml:space="preserve">After matching </w:t>
            </w:r>
          </w:p>
          <w:p w14:paraId="7B609A8B" w14:textId="77777777" w:rsidR="00FF1433" w:rsidRPr="00EF2E8A" w:rsidRDefault="00FF1433" w:rsidP="00591C83">
            <w:pPr>
              <w:keepNext/>
              <w:spacing w:before="0" w:after="0"/>
              <w:jc w:val="left"/>
              <w:rPr>
                <w:rFonts w:ascii="Arial Narrow" w:hAnsi="Arial Narrow" w:cs="Calibri"/>
                <w:b/>
                <w:sz w:val="20"/>
                <w:szCs w:val="20"/>
              </w:rPr>
            </w:pPr>
            <w:r w:rsidRPr="00EF2E8A">
              <w:rPr>
                <w:rFonts w:ascii="Arial Narrow" w:hAnsi="Arial Narrow" w:cs="Calibri"/>
                <w:b/>
                <w:sz w:val="20"/>
                <w:szCs w:val="20"/>
              </w:rPr>
              <w:t>(MIRV vs BEV+ICC)</w:t>
            </w:r>
          </w:p>
        </w:tc>
      </w:tr>
      <w:tr w:rsidR="00FF1433" w:rsidRPr="00EF2E8A" w14:paraId="73A1065F" w14:textId="77777777" w:rsidTr="00D875B2">
        <w:trPr>
          <w:trHeight w:val="566"/>
        </w:trPr>
        <w:tc>
          <w:tcPr>
            <w:tcW w:w="995" w:type="pct"/>
            <w:tcBorders>
              <w:top w:val="single" w:sz="4" w:space="0" w:color="auto"/>
            </w:tcBorders>
          </w:tcPr>
          <w:p w14:paraId="139F8554" w14:textId="77777777"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PFS</w:t>
            </w:r>
          </w:p>
        </w:tc>
        <w:tc>
          <w:tcPr>
            <w:tcW w:w="1335" w:type="pct"/>
            <w:tcBorders>
              <w:top w:val="single" w:sz="4" w:space="0" w:color="auto"/>
            </w:tcBorders>
            <w:vAlign w:val="center"/>
          </w:tcPr>
          <w:p w14:paraId="1CA5F414" w14:textId="496A5B76"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HR</w:t>
            </w:r>
            <w:r w:rsidR="009E3D69" w:rsidRPr="00EF2E8A">
              <w:rPr>
                <w:rFonts w:ascii="Arial Narrow" w:hAnsi="Arial Narrow" w:cs="Calibri"/>
                <w:color w:val="000000"/>
                <w:sz w:val="20"/>
                <w:szCs w:val="20"/>
              </w:rPr>
              <w:t xml:space="preserve"> </w:t>
            </w:r>
            <w:r w:rsidRPr="00EF2E8A">
              <w:rPr>
                <w:rFonts w:ascii="Arial Narrow" w:hAnsi="Arial Narrow" w:cs="Calibri"/>
                <w:color w:val="000000"/>
                <w:sz w:val="20"/>
                <w:szCs w:val="20"/>
              </w:rPr>
              <w:t>[95% CI]</w:t>
            </w:r>
          </w:p>
          <w:p w14:paraId="25915A6A" w14:textId="16EDA2E6"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p</w:t>
            </w:r>
            <w:r w:rsidR="00A46D2B">
              <w:rPr>
                <w:rFonts w:ascii="Arial Narrow" w:hAnsi="Arial Narrow" w:cs="Calibri"/>
                <w:color w:val="000000"/>
                <w:sz w:val="20"/>
                <w:szCs w:val="20"/>
              </w:rPr>
              <w:noBreakHyphen/>
            </w:r>
            <w:r w:rsidRPr="00EF2E8A">
              <w:rPr>
                <w:rFonts w:ascii="Arial Narrow" w:hAnsi="Arial Narrow" w:cs="Calibri"/>
                <w:color w:val="000000"/>
                <w:sz w:val="20"/>
                <w:szCs w:val="20"/>
              </w:rPr>
              <w:t>value</w:t>
            </w:r>
          </w:p>
        </w:tc>
        <w:tc>
          <w:tcPr>
            <w:tcW w:w="1335" w:type="pct"/>
            <w:tcBorders>
              <w:top w:val="single" w:sz="4" w:space="0" w:color="auto"/>
            </w:tcBorders>
            <w:vAlign w:val="center"/>
          </w:tcPr>
          <w:p w14:paraId="2B3832B3" w14:textId="276C9984"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1.38</w:t>
            </w:r>
            <w:r w:rsidR="009E3D69" w:rsidRPr="00EF2E8A">
              <w:rPr>
                <w:rFonts w:ascii="Arial Narrow" w:hAnsi="Arial Narrow" w:cs="Calibri"/>
                <w:color w:val="000000"/>
                <w:sz w:val="20"/>
                <w:szCs w:val="20"/>
              </w:rPr>
              <w:t xml:space="preserve"> </w:t>
            </w:r>
            <w:r w:rsidR="000C3638" w:rsidRPr="00EF2E8A">
              <w:rPr>
                <w:rFonts w:ascii="Arial Narrow" w:hAnsi="Arial Narrow" w:cs="Calibri"/>
                <w:color w:val="000000"/>
                <w:sz w:val="20"/>
                <w:szCs w:val="20"/>
              </w:rPr>
              <w:t>[</w:t>
            </w:r>
            <w:r w:rsidRPr="00EF2E8A">
              <w:rPr>
                <w:rFonts w:ascii="Arial Narrow" w:hAnsi="Arial Narrow" w:cs="Calibri"/>
                <w:color w:val="000000"/>
                <w:sz w:val="20"/>
                <w:szCs w:val="20"/>
              </w:rPr>
              <w:t>1.01, 1.90</w:t>
            </w:r>
            <w:r w:rsidR="000C3638" w:rsidRPr="00EF2E8A">
              <w:rPr>
                <w:rFonts w:ascii="Arial Narrow" w:hAnsi="Arial Narrow" w:cs="Calibri"/>
                <w:color w:val="000000"/>
                <w:sz w:val="20"/>
                <w:szCs w:val="20"/>
              </w:rPr>
              <w:t>]</w:t>
            </w:r>
          </w:p>
          <w:p w14:paraId="25FDB740" w14:textId="77777777"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P=0.0444</w:t>
            </w:r>
          </w:p>
        </w:tc>
        <w:tc>
          <w:tcPr>
            <w:tcW w:w="1335" w:type="pct"/>
            <w:tcBorders>
              <w:top w:val="single" w:sz="4" w:space="0" w:color="auto"/>
              <w:right w:val="single" w:sz="4" w:space="0" w:color="auto"/>
            </w:tcBorders>
            <w:vAlign w:val="center"/>
          </w:tcPr>
          <w:p w14:paraId="6F539951" w14:textId="62B730CA" w:rsidR="00FF1433" w:rsidRPr="00EF2E8A" w:rsidRDefault="00FF1433" w:rsidP="00591C83">
            <w:pPr>
              <w:keepNext/>
              <w:spacing w:before="0" w:after="0"/>
              <w:rPr>
                <w:rFonts w:ascii="Arial Narrow" w:hAnsi="Arial Narrow" w:cs="Calibri"/>
                <w:bCs/>
                <w:color w:val="000000"/>
                <w:sz w:val="20"/>
                <w:szCs w:val="20"/>
              </w:rPr>
            </w:pPr>
            <w:r w:rsidRPr="00EF2E8A">
              <w:rPr>
                <w:rFonts w:ascii="Arial Narrow" w:hAnsi="Arial Narrow" w:cs="Calibri"/>
                <w:bCs/>
                <w:color w:val="000000"/>
                <w:sz w:val="20"/>
                <w:szCs w:val="20"/>
              </w:rPr>
              <w:t xml:space="preserve">1.11 </w:t>
            </w:r>
            <w:r w:rsidR="000C3638" w:rsidRPr="00EF2E8A">
              <w:rPr>
                <w:rFonts w:ascii="Arial Narrow" w:hAnsi="Arial Narrow" w:cs="Calibri"/>
                <w:bCs/>
                <w:color w:val="000000"/>
                <w:sz w:val="20"/>
                <w:szCs w:val="20"/>
              </w:rPr>
              <w:t>[</w:t>
            </w:r>
            <w:r w:rsidRPr="00EF2E8A">
              <w:rPr>
                <w:rFonts w:ascii="Arial Narrow" w:hAnsi="Arial Narrow" w:cs="Calibri"/>
                <w:bCs/>
                <w:color w:val="000000"/>
                <w:sz w:val="20"/>
                <w:szCs w:val="20"/>
              </w:rPr>
              <w:t>0.64, 1.91</w:t>
            </w:r>
            <w:r w:rsidR="000C3638" w:rsidRPr="00EF2E8A">
              <w:rPr>
                <w:rFonts w:ascii="Arial Narrow" w:hAnsi="Arial Narrow" w:cs="Calibri"/>
                <w:bCs/>
                <w:color w:val="000000"/>
                <w:sz w:val="20"/>
                <w:szCs w:val="20"/>
              </w:rPr>
              <w:t>]</w:t>
            </w:r>
          </w:p>
          <w:p w14:paraId="752DA85E" w14:textId="77777777" w:rsidR="00FF1433" w:rsidRPr="00EF2E8A" w:rsidRDefault="00FF1433" w:rsidP="00591C83">
            <w:pPr>
              <w:keepNext/>
              <w:spacing w:before="0" w:after="0"/>
              <w:rPr>
                <w:rFonts w:ascii="Arial Narrow" w:hAnsi="Arial Narrow" w:cs="Calibri"/>
                <w:bCs/>
                <w:color w:val="000000"/>
                <w:sz w:val="20"/>
                <w:szCs w:val="20"/>
              </w:rPr>
            </w:pPr>
            <w:r w:rsidRPr="00EF2E8A">
              <w:rPr>
                <w:rFonts w:ascii="Arial Narrow" w:hAnsi="Arial Narrow" w:cs="Calibri"/>
                <w:bCs/>
                <w:color w:val="000000"/>
                <w:sz w:val="20"/>
                <w:szCs w:val="20"/>
              </w:rPr>
              <w:t>0.7179</w:t>
            </w:r>
          </w:p>
        </w:tc>
      </w:tr>
      <w:tr w:rsidR="00FF1433" w:rsidRPr="00EF2E8A" w14:paraId="60D54392" w14:textId="77777777" w:rsidTr="00D875B2">
        <w:trPr>
          <w:trHeight w:val="590"/>
        </w:trPr>
        <w:tc>
          <w:tcPr>
            <w:tcW w:w="995" w:type="pct"/>
          </w:tcPr>
          <w:p w14:paraId="037E5DD5" w14:textId="77777777"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OS</w:t>
            </w:r>
          </w:p>
        </w:tc>
        <w:tc>
          <w:tcPr>
            <w:tcW w:w="1335" w:type="pct"/>
            <w:vAlign w:val="center"/>
            <w:hideMark/>
          </w:tcPr>
          <w:p w14:paraId="031C2C3D" w14:textId="45377DD7"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HR</w:t>
            </w:r>
            <w:r w:rsidR="009E3D69" w:rsidRPr="00EF2E8A">
              <w:rPr>
                <w:rFonts w:ascii="Arial Narrow" w:hAnsi="Arial Narrow" w:cs="Calibri"/>
                <w:color w:val="000000"/>
                <w:sz w:val="20"/>
                <w:szCs w:val="20"/>
              </w:rPr>
              <w:t xml:space="preserve"> </w:t>
            </w:r>
            <w:r w:rsidRPr="00EF2E8A">
              <w:rPr>
                <w:rFonts w:ascii="Arial Narrow" w:hAnsi="Arial Narrow" w:cs="Calibri"/>
                <w:color w:val="000000"/>
                <w:sz w:val="20"/>
                <w:szCs w:val="20"/>
              </w:rPr>
              <w:t>[95% CI]</w:t>
            </w:r>
          </w:p>
          <w:p w14:paraId="6AD9D030" w14:textId="4D085B53"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p</w:t>
            </w:r>
            <w:r w:rsidR="00A46D2B">
              <w:rPr>
                <w:rFonts w:ascii="Arial Narrow" w:hAnsi="Arial Narrow" w:cs="Calibri"/>
                <w:color w:val="000000"/>
                <w:sz w:val="20"/>
                <w:szCs w:val="20"/>
              </w:rPr>
              <w:noBreakHyphen/>
            </w:r>
            <w:r w:rsidRPr="00EF2E8A">
              <w:rPr>
                <w:rFonts w:ascii="Arial Narrow" w:hAnsi="Arial Narrow" w:cs="Calibri"/>
                <w:color w:val="000000"/>
                <w:sz w:val="20"/>
                <w:szCs w:val="20"/>
              </w:rPr>
              <w:t>value</w:t>
            </w:r>
          </w:p>
        </w:tc>
        <w:tc>
          <w:tcPr>
            <w:tcW w:w="1335" w:type="pct"/>
            <w:vAlign w:val="center"/>
            <w:hideMark/>
          </w:tcPr>
          <w:p w14:paraId="51111EF6" w14:textId="06FAE253" w:rsidR="00FF1433" w:rsidRPr="00EF2E8A" w:rsidRDefault="00FF1433" w:rsidP="00591C83">
            <w:pPr>
              <w:spacing w:before="0" w:after="0"/>
              <w:rPr>
                <w:rFonts w:ascii="Arial Narrow" w:hAnsi="Arial Narrow" w:cs="Calibri"/>
                <w:color w:val="000000"/>
                <w:sz w:val="20"/>
                <w:szCs w:val="20"/>
              </w:rPr>
            </w:pPr>
            <w:r w:rsidRPr="00EF2E8A">
              <w:rPr>
                <w:rFonts w:ascii="Arial Narrow" w:hAnsi="Arial Narrow" w:cs="Calibri"/>
                <w:color w:val="333333"/>
                <w:sz w:val="20"/>
                <w:szCs w:val="20"/>
              </w:rPr>
              <w:t>0.78</w:t>
            </w:r>
            <w:r w:rsidR="009E3D69" w:rsidRPr="00EF2E8A">
              <w:rPr>
                <w:rFonts w:ascii="Arial Narrow" w:hAnsi="Arial Narrow" w:cs="Calibri"/>
                <w:color w:val="333333"/>
                <w:sz w:val="20"/>
                <w:szCs w:val="20"/>
              </w:rPr>
              <w:t xml:space="preserve"> </w:t>
            </w:r>
            <w:r w:rsidR="000C3638" w:rsidRPr="00EF2E8A">
              <w:rPr>
                <w:rFonts w:ascii="Arial Narrow" w:hAnsi="Arial Narrow" w:cs="Calibri"/>
                <w:color w:val="000000"/>
                <w:sz w:val="20"/>
                <w:szCs w:val="20"/>
              </w:rPr>
              <w:t>[</w:t>
            </w:r>
            <w:r w:rsidRPr="00EF2E8A">
              <w:rPr>
                <w:rFonts w:ascii="Arial Narrow" w:hAnsi="Arial Narrow" w:cs="Calibri"/>
                <w:color w:val="000000"/>
                <w:sz w:val="20"/>
                <w:szCs w:val="20"/>
              </w:rPr>
              <w:t>0.54, 1.12</w:t>
            </w:r>
            <w:r w:rsidR="000C3638" w:rsidRPr="00EF2E8A">
              <w:rPr>
                <w:rFonts w:ascii="Arial Narrow" w:hAnsi="Arial Narrow" w:cs="Calibri"/>
                <w:color w:val="000000"/>
                <w:sz w:val="20"/>
                <w:szCs w:val="20"/>
              </w:rPr>
              <w:t>]</w:t>
            </w:r>
          </w:p>
          <w:p w14:paraId="18DDA4A0" w14:textId="77777777" w:rsidR="00FF1433" w:rsidRPr="00EF2E8A" w:rsidRDefault="00FF1433" w:rsidP="00591C83">
            <w:pPr>
              <w:keepNext/>
              <w:spacing w:before="0" w:after="0"/>
              <w:rPr>
                <w:rFonts w:ascii="Arial Narrow" w:hAnsi="Arial Narrow" w:cs="Calibri"/>
                <w:color w:val="000000"/>
                <w:sz w:val="20"/>
                <w:szCs w:val="20"/>
              </w:rPr>
            </w:pPr>
            <w:r w:rsidRPr="00EF2E8A">
              <w:rPr>
                <w:rFonts w:ascii="Arial Narrow" w:hAnsi="Arial Narrow" w:cs="Calibri"/>
                <w:color w:val="000000"/>
                <w:sz w:val="20"/>
                <w:szCs w:val="20"/>
              </w:rPr>
              <w:t>0.1787</w:t>
            </w:r>
          </w:p>
        </w:tc>
        <w:tc>
          <w:tcPr>
            <w:tcW w:w="1335" w:type="pct"/>
            <w:vAlign w:val="center"/>
            <w:hideMark/>
          </w:tcPr>
          <w:p w14:paraId="71AB0FA9" w14:textId="0E92C3B3" w:rsidR="00FF1433" w:rsidRPr="00EF2E8A" w:rsidRDefault="00FF1433" w:rsidP="00591C83">
            <w:pPr>
              <w:keepNext/>
              <w:spacing w:before="0" w:after="0"/>
              <w:rPr>
                <w:rFonts w:ascii="Arial Narrow" w:hAnsi="Arial Narrow" w:cs="Calibri"/>
                <w:bCs/>
                <w:color w:val="000000"/>
                <w:sz w:val="20"/>
                <w:szCs w:val="20"/>
              </w:rPr>
            </w:pPr>
            <w:r w:rsidRPr="00EF2E8A">
              <w:rPr>
                <w:rFonts w:ascii="Arial Narrow" w:hAnsi="Arial Narrow" w:cs="Calibri"/>
                <w:bCs/>
                <w:color w:val="000000"/>
                <w:sz w:val="20"/>
                <w:szCs w:val="20"/>
              </w:rPr>
              <w:t>0.59</w:t>
            </w:r>
            <w:r w:rsidR="009E3D69" w:rsidRPr="00EF2E8A">
              <w:rPr>
                <w:rFonts w:ascii="Arial Narrow" w:hAnsi="Arial Narrow" w:cs="Calibri"/>
                <w:bCs/>
                <w:color w:val="000000"/>
                <w:sz w:val="20"/>
                <w:szCs w:val="20"/>
              </w:rPr>
              <w:t xml:space="preserve"> </w:t>
            </w:r>
            <w:r w:rsidR="000C3638" w:rsidRPr="00EF2E8A">
              <w:rPr>
                <w:rFonts w:ascii="Arial Narrow" w:hAnsi="Arial Narrow" w:cs="Calibri"/>
                <w:bCs/>
                <w:color w:val="000000"/>
                <w:sz w:val="20"/>
                <w:szCs w:val="20"/>
              </w:rPr>
              <w:t>[</w:t>
            </w:r>
            <w:r w:rsidRPr="00EF2E8A">
              <w:rPr>
                <w:rFonts w:ascii="Arial Narrow" w:hAnsi="Arial Narrow" w:cs="Calibri"/>
                <w:bCs/>
                <w:color w:val="000000"/>
                <w:sz w:val="20"/>
                <w:szCs w:val="20"/>
              </w:rPr>
              <w:t>0.32, 1.07</w:t>
            </w:r>
            <w:r w:rsidR="000C3638" w:rsidRPr="00EF2E8A">
              <w:rPr>
                <w:rFonts w:ascii="Arial Narrow" w:hAnsi="Arial Narrow" w:cs="Calibri"/>
                <w:bCs/>
                <w:color w:val="000000"/>
                <w:sz w:val="20"/>
                <w:szCs w:val="20"/>
              </w:rPr>
              <w:t>]</w:t>
            </w:r>
          </w:p>
          <w:p w14:paraId="4A84B9B5" w14:textId="77777777" w:rsidR="00FF1433" w:rsidRPr="00EF2E8A" w:rsidRDefault="00FF1433" w:rsidP="00591C83">
            <w:pPr>
              <w:keepNext/>
              <w:spacing w:before="0" w:after="0"/>
              <w:rPr>
                <w:rFonts w:ascii="Arial Narrow" w:hAnsi="Arial Narrow" w:cs="Calibri"/>
                <w:bCs/>
                <w:color w:val="000000"/>
                <w:sz w:val="20"/>
                <w:szCs w:val="20"/>
              </w:rPr>
            </w:pPr>
            <w:r w:rsidRPr="00EF2E8A">
              <w:rPr>
                <w:rFonts w:ascii="Arial Narrow" w:hAnsi="Arial Narrow" w:cs="Calibri"/>
                <w:bCs/>
                <w:color w:val="000000"/>
                <w:sz w:val="20"/>
                <w:szCs w:val="20"/>
              </w:rPr>
              <w:t>0.0819</w:t>
            </w:r>
          </w:p>
        </w:tc>
      </w:tr>
    </w:tbl>
    <w:p w14:paraId="0CC5D87E"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Table 2.6 2 Summary of the HR for PFS, OS, and Comparison for ORR, Grade 3+ TEAEs, and Discontinuation due to any TEAE (MIRV vs ICC+ BEV), p101 of the submission.</w:t>
      </w:r>
    </w:p>
    <w:p w14:paraId="1D0F0336" w14:textId="203461CC"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BEV</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bevacizumab; CI</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confidence interval; HR</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hazard ratio; ICC</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investigator’s choice of chemotherapy; MAIC</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matching adjusted indirect comparison; MIRV</w:t>
      </w:r>
      <w:r w:rsidR="004427D4" w:rsidRPr="00EF2E8A">
        <w:rPr>
          <w:rFonts w:ascii="Arial Narrow" w:eastAsia="Times New Roman" w:hAnsi="Arial Narrow" w:cs="Arial"/>
          <w:snapToGrid w:val="0"/>
          <w:sz w:val="18"/>
          <w:lang w:eastAsia="en-AU"/>
        </w:rPr>
        <w:t>=</w:t>
      </w:r>
      <w:r w:rsidR="00B65B3F">
        <w:rPr>
          <w:rFonts w:ascii="Arial Narrow" w:eastAsia="Times New Roman" w:hAnsi="Arial Narrow" w:cs="Arial"/>
          <w:snapToGrid w:val="0"/>
          <w:sz w:val="18"/>
          <w:lang w:eastAsia="en-AU"/>
        </w:rPr>
        <w:t xml:space="preserve"> </w:t>
      </w:r>
      <w:r w:rsidRPr="00EF2E8A">
        <w:rPr>
          <w:rFonts w:ascii="Arial Narrow" w:eastAsia="Times New Roman" w:hAnsi="Arial Narrow" w:cs="Arial"/>
          <w:snapToGrid w:val="0"/>
          <w:sz w:val="18"/>
          <w:lang w:eastAsia="en-AU"/>
        </w:rPr>
        <w:t>mirvetuximab soravtansine; PFS</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progression</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free survival; OR</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odds ratio; OS</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overall survival</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TEAE</w:t>
      </w:r>
      <w:r w:rsidR="004427D4"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treatment</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emergent adverse event.</w:t>
      </w:r>
    </w:p>
    <w:p w14:paraId="63FAF340" w14:textId="77777777" w:rsidR="00FF1433" w:rsidRPr="00EF2E8A" w:rsidRDefault="00FF1433"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*Statistically significant</w:t>
      </w:r>
    </w:p>
    <w:p w14:paraId="00F9B88E" w14:textId="32A72E74" w:rsidR="00FF1433" w:rsidRPr="00EF2E8A" w:rsidRDefault="00FF6173" w:rsidP="00591C83">
      <w:pPr>
        <w:pStyle w:val="ListParagraph"/>
      </w:pPr>
      <w:bookmarkStart w:id="57" w:name="_Ref196667577"/>
      <w:r w:rsidRPr="00EF2E8A">
        <w:t>The evaluation</w:t>
      </w:r>
      <w:r w:rsidR="00FC20CE" w:rsidRPr="00EF2E8A">
        <w:t xml:space="preserve"> and the ESCs</w:t>
      </w:r>
      <w:r w:rsidRPr="00EF2E8A">
        <w:t xml:space="preserve"> considered that t</w:t>
      </w:r>
      <w:r w:rsidR="00FF1433" w:rsidRPr="00EF2E8A">
        <w:t>ransitivity issues that may have limited the exchangeability of the two trials included</w:t>
      </w:r>
      <w:r w:rsidR="0085028E">
        <w:t>:</w:t>
      </w:r>
      <w:r w:rsidR="00FF1433" w:rsidRPr="00EF2E8A">
        <w:t xml:space="preserve"> differences in exposure to prior treatments (Poly (ADP</w:t>
      </w:r>
      <w:r w:rsidR="00A46D2B">
        <w:noBreakHyphen/>
      </w:r>
      <w:r w:rsidR="00FF1433" w:rsidRPr="00EF2E8A">
        <w:t xml:space="preserve">ribose) polymerase [PARP] inhibitors and </w:t>
      </w:r>
      <w:r w:rsidR="00F71695" w:rsidRPr="00EF2E8A">
        <w:t>BEVA</w:t>
      </w:r>
      <w:r w:rsidR="00FF1433" w:rsidRPr="00EF2E8A">
        <w:t xml:space="preserve"> in MIRASOL</w:t>
      </w:r>
      <w:r w:rsidR="00097399" w:rsidRPr="00EF2E8A">
        <w:t>;</w:t>
      </w:r>
      <w:r w:rsidR="00207798" w:rsidRPr="00EF2E8A">
        <w:t xml:space="preserve"> </w:t>
      </w:r>
      <w:r w:rsidR="0092525C" w:rsidRPr="00EF2E8A">
        <w:t xml:space="preserve">data </w:t>
      </w:r>
      <w:r w:rsidR="00207798" w:rsidRPr="00EF2E8A">
        <w:t>absent in AURELIA</w:t>
      </w:r>
      <w:r w:rsidR="00FF1433" w:rsidRPr="00EF2E8A">
        <w:t>), stage of disease and number of lines of prior treatment (both greater in MIRASOL</w:t>
      </w:r>
      <w:r w:rsidR="00954965" w:rsidRPr="00EF2E8A">
        <w:t>)</w:t>
      </w:r>
      <w:r w:rsidR="00FF1433" w:rsidRPr="00EF2E8A">
        <w:t xml:space="preserve">, as well as the time elapsed between the two trials </w:t>
      </w:r>
      <w:r w:rsidR="00FF1433" w:rsidRPr="00EF2E8A">
        <w:rPr>
          <w:rFonts w:eastAsia="Times New Roman" w:cs="Calibri"/>
          <w:lang w:eastAsia="en-CA"/>
        </w:rPr>
        <w:t>(the AURELIA trial commenced in October 2009 whereas MIRASOL commenced in December 2019).</w:t>
      </w:r>
      <w:bookmarkEnd w:id="57"/>
    </w:p>
    <w:p w14:paraId="0729D3AA" w14:textId="6719CA1C" w:rsidR="00FF1433" w:rsidRPr="00EF2E8A" w:rsidRDefault="00FF1433" w:rsidP="00591C83">
      <w:pPr>
        <w:pStyle w:val="ListParagraph"/>
      </w:pPr>
      <w:r w:rsidRPr="00EF2E8A">
        <w:t xml:space="preserve">For PFS, the unadjusted (before matching) HRs for MIRV versus </w:t>
      </w:r>
      <w:r w:rsidR="00F71695" w:rsidRPr="00EF2E8A">
        <w:t>BEVA</w:t>
      </w:r>
      <w:r w:rsidRPr="00EF2E8A">
        <w:t xml:space="preserve">+ICC gave a </w:t>
      </w:r>
      <w:r w:rsidR="00591C83">
        <w:br/>
      </w:r>
      <w:r w:rsidRPr="00EF2E8A">
        <w:t>non</w:t>
      </w:r>
      <w:r w:rsidR="00A46D2B">
        <w:noBreakHyphen/>
      </w:r>
      <w:r w:rsidRPr="00EF2E8A">
        <w:t xml:space="preserve">statistically significant point estimate and interval that favoured </w:t>
      </w:r>
      <w:r w:rsidR="00F71695" w:rsidRPr="00EF2E8A">
        <w:t>BEVA</w:t>
      </w:r>
      <w:r w:rsidRPr="00EF2E8A">
        <w:t xml:space="preserve">+ICC. For OS, the unadjusted point estimate favoured MIRV, but with wide confidence intervals. The </w:t>
      </w:r>
      <w:r w:rsidR="00FF6173" w:rsidRPr="00EF2E8A">
        <w:t xml:space="preserve">evaluation </w:t>
      </w:r>
      <w:r w:rsidR="001653E5" w:rsidRPr="00EF2E8A">
        <w:t xml:space="preserve">did not </w:t>
      </w:r>
      <w:r w:rsidR="00FF6173" w:rsidRPr="00EF2E8A">
        <w:t xml:space="preserve">consider the </w:t>
      </w:r>
      <w:r w:rsidRPr="00EF2E8A">
        <w:t>size of the matching adjusted median OS for the MIRASOL MIRV arm (</w:t>
      </w:r>
      <w:r w:rsidR="0086457B" w:rsidRPr="00EF2E8A">
        <w:t xml:space="preserve">adjusted from </w:t>
      </w:r>
      <w:r w:rsidRPr="00EF2E8A">
        <w:t>16.46 months to 24.57</w:t>
      </w:r>
      <w:r w:rsidR="0047474D" w:rsidRPr="00EF2E8A">
        <w:t xml:space="preserve"> months</w:t>
      </w:r>
      <w:r w:rsidRPr="00EF2E8A">
        <w:t>) plausible. With the pronounced increase in the median OS for MIRV after adjustment, the point estimate for the non</w:t>
      </w:r>
      <w:r w:rsidR="00A46D2B">
        <w:noBreakHyphen/>
      </w:r>
      <w:r w:rsidRPr="00EF2E8A">
        <w:t xml:space="preserve">significant HR favoured MIRV compared with </w:t>
      </w:r>
      <w:r w:rsidR="00F71695" w:rsidRPr="00EF2E8A">
        <w:t>BEVA</w:t>
      </w:r>
      <w:r w:rsidRPr="00EF2E8A">
        <w:t xml:space="preserve"> + ICC.</w:t>
      </w:r>
    </w:p>
    <w:p w14:paraId="6AA9DD73" w14:textId="459B2C0A" w:rsidR="00FF1433" w:rsidRPr="00EF2E8A" w:rsidRDefault="00FF1433" w:rsidP="00591C83">
      <w:pPr>
        <w:pStyle w:val="ListParagraph"/>
      </w:pPr>
      <w:bookmarkStart w:id="58" w:name="_Ref196906171"/>
      <w:r w:rsidRPr="00EF2E8A">
        <w:t xml:space="preserve">The effective sample size after matching was 58 from MIRASOL ICC and 48 from MIRV. This represents a reduction in sample size of 79.0% and 73.9%, respectively. </w:t>
      </w:r>
      <w:r w:rsidR="001653E5" w:rsidRPr="00EF2E8A">
        <w:t xml:space="preserve">The evaluation </w:t>
      </w:r>
      <w:r w:rsidR="00ED0B42" w:rsidRPr="00EF2E8A">
        <w:t>and the ESCs</w:t>
      </w:r>
      <w:r w:rsidR="001653E5" w:rsidRPr="00EF2E8A">
        <w:t xml:space="preserve"> considered that t</w:t>
      </w:r>
      <w:r w:rsidRPr="00EF2E8A">
        <w:t>hese relatively small sample sizes/large reductions may indicate that the weights were highly variable due to a lack of population overlap, and that the resulting estimate may be unstable (Phillippo et al, 2016). A plot of the distribution of weights provided in the submission indicated that the analysis relied on a small number of individuals (i.e. the individuals with larger weights), reflecting poor overlap between the underlying trial populations.</w:t>
      </w:r>
      <w:bookmarkEnd w:id="58"/>
    </w:p>
    <w:p w14:paraId="728BC13B" w14:textId="3EC18D85" w:rsidR="00FF1433" w:rsidRPr="00EF2E8A" w:rsidRDefault="00FF1433" w:rsidP="00591C83">
      <w:pPr>
        <w:pStyle w:val="ListParagraph"/>
      </w:pPr>
      <w:bookmarkStart w:id="59" w:name="_Ref198624641"/>
      <w:r w:rsidRPr="00EF2E8A">
        <w:rPr>
          <w:rFonts w:cs="Calibri"/>
          <w:lang w:eastAsia="en-CA"/>
        </w:rPr>
        <w:t>The submission concluded there</w:t>
      </w:r>
      <w:r w:rsidRPr="00EF2E8A">
        <w:rPr>
          <w:lang w:eastAsia="en-CA"/>
        </w:rPr>
        <w:t xml:space="preserve"> were limitations in the MAIC as the adjusted sample size after matching was small due to the differences in disease characteristics between trials. This result had little statistical power to detect differences between treatments and estimates of relative treatment effect may become uncertain due to the dependence on a small </w:t>
      </w:r>
      <w:r w:rsidR="00BF2EF4">
        <w:rPr>
          <w:lang w:eastAsia="en-CA"/>
        </w:rPr>
        <w:t xml:space="preserve">number of </w:t>
      </w:r>
      <w:r w:rsidRPr="00EF2E8A">
        <w:rPr>
          <w:lang w:eastAsia="en-CA"/>
        </w:rPr>
        <w:t>patient</w:t>
      </w:r>
      <w:r w:rsidR="00BF2EF4">
        <w:rPr>
          <w:lang w:eastAsia="en-CA"/>
        </w:rPr>
        <w:t>s</w:t>
      </w:r>
      <w:r w:rsidRPr="00EF2E8A">
        <w:rPr>
          <w:lang w:eastAsia="en-CA"/>
        </w:rPr>
        <w:t>. Despite these conclusions, the submission</w:t>
      </w:r>
      <w:r w:rsidR="001A15AE" w:rsidRPr="00EF2E8A">
        <w:rPr>
          <w:lang w:eastAsia="en-CA"/>
        </w:rPr>
        <w:t xml:space="preserve"> and the PSCR</w:t>
      </w:r>
      <w:r w:rsidR="00B65B3F">
        <w:rPr>
          <w:lang w:eastAsia="en-CA"/>
        </w:rPr>
        <w:t xml:space="preserve"> </w:t>
      </w:r>
      <w:r w:rsidRPr="00EF2E8A">
        <w:rPr>
          <w:lang w:eastAsia="en-CA"/>
        </w:rPr>
        <w:t xml:space="preserve">maintained their claim of </w:t>
      </w:r>
      <w:r w:rsidRPr="00EF2E8A">
        <w:t xml:space="preserve">superior safety and efficacy of MIRV versus </w:t>
      </w:r>
      <w:r w:rsidR="00F71695" w:rsidRPr="00EF2E8A">
        <w:t>BEVA</w:t>
      </w:r>
      <w:r w:rsidRPr="00EF2E8A">
        <w:t xml:space="preserve"> + ICC</w:t>
      </w:r>
      <w:r w:rsidRPr="00EF2E8A">
        <w:rPr>
          <w:lang w:eastAsia="en-CA"/>
        </w:rPr>
        <w:t xml:space="preserve">. </w:t>
      </w:r>
      <w:r w:rsidR="00E356BC">
        <w:rPr>
          <w:lang w:eastAsia="en-CA"/>
        </w:rPr>
        <w:t>The pre</w:t>
      </w:r>
      <w:r w:rsidR="00A46D2B">
        <w:rPr>
          <w:lang w:eastAsia="en-CA"/>
        </w:rPr>
        <w:noBreakHyphen/>
      </w:r>
      <w:r w:rsidR="00E356BC">
        <w:rPr>
          <w:lang w:eastAsia="en-CA"/>
        </w:rPr>
        <w:t xml:space="preserve">PBAC response </w:t>
      </w:r>
      <w:r w:rsidR="000F34E4">
        <w:rPr>
          <w:lang w:eastAsia="en-CA"/>
        </w:rPr>
        <w:t xml:space="preserve">also </w:t>
      </w:r>
      <w:r w:rsidR="00E356BC">
        <w:rPr>
          <w:lang w:eastAsia="en-CA"/>
        </w:rPr>
        <w:t xml:space="preserve">noted that </w:t>
      </w:r>
      <w:r w:rsidR="000F34E4">
        <w:t>AURELIA did not show a statistically significant difference in OS, whereas the MIRASOL trial achieved a statistically significant OS benefit compared to non</w:t>
      </w:r>
      <w:r w:rsidR="00A46D2B">
        <w:noBreakHyphen/>
      </w:r>
      <w:r w:rsidR="000F34E4">
        <w:t xml:space="preserve">platinum chemotherapy. </w:t>
      </w:r>
      <w:r w:rsidRPr="00EF2E8A">
        <w:rPr>
          <w:lang w:eastAsia="en-CA"/>
        </w:rPr>
        <w:t>The</w:t>
      </w:r>
      <w:r w:rsidR="00E83840" w:rsidRPr="00EF2E8A">
        <w:rPr>
          <w:lang w:eastAsia="en-CA"/>
        </w:rPr>
        <w:t xml:space="preserve"> </w:t>
      </w:r>
      <w:r w:rsidR="00E83840" w:rsidRPr="00EF2E8A">
        <w:rPr>
          <w:lang w:eastAsia="en-CA"/>
        </w:rPr>
        <w:lastRenderedPageBreak/>
        <w:t xml:space="preserve">evaluation </w:t>
      </w:r>
      <w:r w:rsidR="00381B5A" w:rsidRPr="00EF2E8A">
        <w:rPr>
          <w:lang w:eastAsia="en-CA"/>
        </w:rPr>
        <w:t>and the ESCs</w:t>
      </w:r>
      <w:r w:rsidR="00E83840" w:rsidRPr="00EF2E8A">
        <w:rPr>
          <w:lang w:eastAsia="en-CA"/>
        </w:rPr>
        <w:t xml:space="preserve"> considered that the</w:t>
      </w:r>
      <w:r w:rsidRPr="00EF2E8A">
        <w:rPr>
          <w:lang w:eastAsia="en-CA"/>
        </w:rPr>
        <w:t xml:space="preserve"> MAIC offered limited support for the claim of superior efficacy and safety for MIRV compared to </w:t>
      </w:r>
      <w:r w:rsidR="00F71695" w:rsidRPr="00EF2E8A">
        <w:rPr>
          <w:lang w:eastAsia="en-CA"/>
        </w:rPr>
        <w:t>BEVA</w:t>
      </w:r>
      <w:r w:rsidRPr="00EF2E8A">
        <w:rPr>
          <w:lang w:eastAsia="en-CA"/>
        </w:rPr>
        <w:t xml:space="preserve"> + ICC. </w:t>
      </w:r>
      <w:r w:rsidR="00381B5A" w:rsidRPr="00EF2E8A">
        <w:rPr>
          <w:lang w:eastAsia="en-CA"/>
        </w:rPr>
        <w:t xml:space="preserve">The ESCs considered that the results indicate that MIRV is </w:t>
      </w:r>
      <w:r w:rsidR="00AD073A" w:rsidRPr="00EF2E8A">
        <w:rPr>
          <w:lang w:eastAsia="en-CA"/>
        </w:rPr>
        <w:t>likely to be</w:t>
      </w:r>
      <w:r w:rsidR="00381B5A" w:rsidRPr="00EF2E8A">
        <w:rPr>
          <w:lang w:eastAsia="en-CA"/>
        </w:rPr>
        <w:t xml:space="preserve"> no worse in effectiveness compared to BEVA + ICC</w:t>
      </w:r>
      <w:r w:rsidRPr="00EF2E8A">
        <w:rPr>
          <w:lang w:eastAsia="en-CA"/>
        </w:rPr>
        <w:t xml:space="preserve">. </w:t>
      </w:r>
      <w:r w:rsidR="00E83840" w:rsidRPr="00EF2E8A">
        <w:rPr>
          <w:lang w:eastAsia="en-CA"/>
        </w:rPr>
        <w:t xml:space="preserve">The evaluation </w:t>
      </w:r>
      <w:r w:rsidR="00710FA8" w:rsidRPr="00EF2E8A">
        <w:rPr>
          <w:lang w:eastAsia="en-CA"/>
        </w:rPr>
        <w:t>and the ESCs</w:t>
      </w:r>
      <w:r w:rsidR="00E83840" w:rsidRPr="00EF2E8A">
        <w:rPr>
          <w:lang w:eastAsia="en-CA"/>
        </w:rPr>
        <w:t xml:space="preserve"> considered that o</w:t>
      </w:r>
      <w:r w:rsidRPr="00EF2E8A">
        <w:rPr>
          <w:szCs w:val="24"/>
          <w:lang w:eastAsia="en-CA"/>
        </w:rPr>
        <w:t>verall, these results should be interpreted with caution given the transitivity issues described above, and the concerns relating to the stability of the estimates given the small sample size used to inform the analysis after matching.</w:t>
      </w:r>
      <w:bookmarkEnd w:id="59"/>
      <w:r w:rsidR="00710FA8" w:rsidRPr="00EF2E8A">
        <w:t xml:space="preserve"> </w:t>
      </w:r>
    </w:p>
    <w:p w14:paraId="1047C650" w14:textId="77777777" w:rsidR="007D5CA8" w:rsidRPr="00EF2E8A" w:rsidRDefault="00623454" w:rsidP="00591C83">
      <w:pPr>
        <w:pStyle w:val="OutlineHeading2"/>
        <w:rPr>
          <w:rFonts w:ascii="Calibri" w:hAnsi="Calibri" w:cs="Calibri"/>
          <w:i w:val="0"/>
        </w:rPr>
      </w:pPr>
      <w:r w:rsidRPr="00EF2E8A">
        <w:rPr>
          <w:rFonts w:ascii="Calibri" w:hAnsi="Calibri" w:cs="Calibri"/>
          <w:i w:val="0"/>
        </w:rPr>
        <w:t>Comparative harms</w:t>
      </w:r>
    </w:p>
    <w:p w14:paraId="3A407D23" w14:textId="7F143018" w:rsidR="00075009" w:rsidRPr="00EF2E8A" w:rsidRDefault="00075009" w:rsidP="00591C83">
      <w:pPr>
        <w:pStyle w:val="ListParagraph"/>
      </w:pPr>
      <w:r w:rsidRPr="00EF2E8A">
        <w:t xml:space="preserve">A summary of the treatment emergent adverse events (TEAEs) for MIRV versus ICC in the MIRASOL trial </w:t>
      </w:r>
      <w:r w:rsidR="00F36555" w:rsidRPr="00EF2E8A">
        <w:t>is</w:t>
      </w:r>
      <w:r w:rsidRPr="00EF2E8A">
        <w:t xml:space="preserve"> presented in</w:t>
      </w:r>
      <w:r w:rsidR="00EF6E37" w:rsidRPr="00EF2E8A">
        <w:t xml:space="preserve"> </w:t>
      </w:r>
      <w:r w:rsidR="00FF5B86">
        <w:fldChar w:fldCharType="begin" w:fldLock="1"/>
      </w:r>
      <w:r w:rsidR="00FF5B86">
        <w:instrText xml:space="preserve"> REF _Ref205198441 \h </w:instrText>
      </w:r>
      <w:r w:rsidR="00FF5B86">
        <w:fldChar w:fldCharType="separate"/>
      </w:r>
      <w:r w:rsidR="00CC5CAD">
        <w:t xml:space="preserve">Table </w:t>
      </w:r>
      <w:r w:rsidR="00CC5CAD">
        <w:rPr>
          <w:noProof/>
        </w:rPr>
        <w:t>16</w:t>
      </w:r>
      <w:r w:rsidR="00FF5B86">
        <w:fldChar w:fldCharType="end"/>
      </w:r>
      <w:r w:rsidRPr="00EF2E8A">
        <w:t>.</w:t>
      </w:r>
    </w:p>
    <w:p w14:paraId="71BBA507" w14:textId="56CF8929" w:rsidR="00FF5B86" w:rsidRDefault="00FF5B86" w:rsidP="00591C83">
      <w:pPr>
        <w:pStyle w:val="Caption"/>
      </w:pPr>
      <w:bookmarkStart w:id="60" w:name="_Ref205198441"/>
      <w:r>
        <w:t xml:space="preserve">Table </w:t>
      </w:r>
      <w:r w:rsidR="00CC5CAD">
        <w:fldChar w:fldCharType="begin" w:fldLock="1"/>
      </w:r>
      <w:r w:rsidR="00CC5CAD">
        <w:instrText xml:space="preserve"> SEQ Table \* ARABIC </w:instrText>
      </w:r>
      <w:r w:rsidR="00CC5CAD">
        <w:fldChar w:fldCharType="separate"/>
      </w:r>
      <w:r w:rsidR="00CC5CAD">
        <w:rPr>
          <w:noProof/>
        </w:rPr>
        <w:t>16</w:t>
      </w:r>
      <w:r w:rsidR="00CC5CAD">
        <w:rPr>
          <w:noProof/>
        </w:rPr>
        <w:fldChar w:fldCharType="end"/>
      </w:r>
      <w:bookmarkEnd w:id="60"/>
      <w:r>
        <w:t xml:space="preserve">: </w:t>
      </w:r>
      <w:r w:rsidRPr="00FD023A">
        <w:t>Overview of TEAEs – Safety Population (MIRASOL September 2024)</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29" w:type="dxa"/>
          <w:bottom w:w="29" w:type="dxa"/>
        </w:tblCellMar>
        <w:tblLook w:val="04A0" w:firstRow="1" w:lastRow="0" w:firstColumn="1" w:lastColumn="0" w:noHBand="0" w:noVBand="1"/>
        <w:tblCaption w:val="Table 16: Overview of TEAEs – Safety Population (MIRASOL September 2024)"/>
      </w:tblPr>
      <w:tblGrid>
        <w:gridCol w:w="3238"/>
        <w:gridCol w:w="959"/>
        <w:gridCol w:w="961"/>
        <w:gridCol w:w="1920"/>
        <w:gridCol w:w="1938"/>
      </w:tblGrid>
      <w:tr w:rsidR="00005E99" w:rsidRPr="00EF2E8A" w14:paraId="43B4329E" w14:textId="77777777" w:rsidTr="00AF7588">
        <w:trPr>
          <w:cnfStyle w:val="100000000000" w:firstRow="1" w:lastRow="0" w:firstColumn="0" w:lastColumn="0" w:oddVBand="0" w:evenVBand="0" w:oddHBand="0" w:evenHBand="0" w:firstRowFirstColumn="0" w:firstRowLastColumn="0" w:lastRowFirstColumn="0" w:lastRowLastColumn="0"/>
          <w:trHeight w:val="557"/>
          <w:tblHeader/>
        </w:trPr>
        <w:tc>
          <w:tcPr>
            <w:tcW w:w="1795" w:type="pct"/>
            <w:shd w:val="clear" w:color="auto" w:fill="FFFFFF" w:themeFill="background1"/>
          </w:tcPr>
          <w:p w14:paraId="3DEEB1A2" w14:textId="77777777" w:rsidR="00075009" w:rsidRPr="00EF2E8A" w:rsidRDefault="00075009" w:rsidP="00591C83">
            <w:pPr>
              <w:spacing w:before="0"/>
              <w:contextualSpacing/>
              <w:jc w:val="left"/>
              <w:rPr>
                <w:rFonts w:ascii="Arial Narrow" w:eastAsia="Times New Roman" w:hAnsi="Arial Narrow" w:cs="Arial"/>
                <w:snapToGrid w:val="0"/>
                <w:sz w:val="20"/>
                <w:szCs w:val="20"/>
                <w:lang w:val="en-AU"/>
              </w:rPr>
            </w:pPr>
            <w:r w:rsidRPr="00EF2E8A">
              <w:rPr>
                <w:rFonts w:ascii="Arial Narrow" w:eastAsia="Times New Roman" w:hAnsi="Arial Narrow" w:cs="Arial"/>
                <w:snapToGrid w:val="0"/>
                <w:sz w:val="20"/>
                <w:szCs w:val="20"/>
                <w:lang w:val="en-AU"/>
              </w:rPr>
              <w:t>Number of subjects (%)</w:t>
            </w:r>
          </w:p>
        </w:tc>
        <w:tc>
          <w:tcPr>
            <w:tcW w:w="532" w:type="pct"/>
            <w:shd w:val="clear" w:color="auto" w:fill="FFFFFF" w:themeFill="background1"/>
          </w:tcPr>
          <w:p w14:paraId="0921641A" w14:textId="77777777" w:rsidR="00075009" w:rsidRPr="00EF2E8A" w:rsidRDefault="00075009" w:rsidP="00591C83">
            <w:pPr>
              <w:spacing w:before="0"/>
              <w:contextualSpacing/>
              <w:jc w:val="left"/>
              <w:rPr>
                <w:rFonts w:ascii="Arial Narrow" w:eastAsia="Times New Roman" w:hAnsi="Arial Narrow" w:cs="Arial"/>
                <w:snapToGrid w:val="0"/>
                <w:sz w:val="20"/>
                <w:szCs w:val="20"/>
                <w:lang w:val="en-AU"/>
              </w:rPr>
            </w:pPr>
            <w:r w:rsidRPr="00EF2E8A">
              <w:rPr>
                <w:rFonts w:ascii="Arial Narrow" w:eastAsia="Times New Roman" w:hAnsi="Arial Narrow" w:cs="Arial"/>
                <w:snapToGrid w:val="0"/>
                <w:sz w:val="20"/>
                <w:szCs w:val="20"/>
                <w:lang w:val="en-AU"/>
              </w:rPr>
              <w:t>MIRV</w:t>
            </w:r>
          </w:p>
          <w:p w14:paraId="610A0186" w14:textId="77777777" w:rsidR="00075009" w:rsidRPr="00EF2E8A" w:rsidRDefault="00075009" w:rsidP="00591C83">
            <w:pPr>
              <w:spacing w:before="0"/>
              <w:contextualSpacing/>
              <w:jc w:val="left"/>
              <w:rPr>
                <w:rFonts w:ascii="Arial Narrow" w:eastAsia="Times New Roman" w:hAnsi="Arial Narrow" w:cs="Arial"/>
                <w:snapToGrid w:val="0"/>
                <w:sz w:val="20"/>
                <w:szCs w:val="20"/>
                <w:lang w:val="en-AU"/>
              </w:rPr>
            </w:pPr>
            <w:r w:rsidRPr="00EF2E8A">
              <w:rPr>
                <w:rFonts w:ascii="Arial Narrow" w:eastAsia="Times New Roman" w:hAnsi="Arial Narrow" w:cs="Arial"/>
                <w:snapToGrid w:val="0"/>
                <w:sz w:val="20"/>
                <w:szCs w:val="20"/>
                <w:lang w:val="en-AU"/>
              </w:rPr>
              <w:t>(N=218)</w:t>
            </w:r>
          </w:p>
        </w:tc>
        <w:tc>
          <w:tcPr>
            <w:tcW w:w="533" w:type="pct"/>
            <w:shd w:val="clear" w:color="auto" w:fill="FFFFFF" w:themeFill="background1"/>
          </w:tcPr>
          <w:p w14:paraId="57E967D7" w14:textId="2D1A44CE" w:rsidR="00075009" w:rsidRPr="00EF2E8A" w:rsidRDefault="00075009" w:rsidP="00591C83">
            <w:pPr>
              <w:spacing w:before="0"/>
              <w:contextualSpacing/>
              <w:jc w:val="left"/>
              <w:rPr>
                <w:rFonts w:ascii="Arial Narrow" w:eastAsia="Times New Roman" w:hAnsi="Arial Narrow" w:cs="Arial"/>
                <w:snapToGrid w:val="0"/>
                <w:sz w:val="20"/>
                <w:szCs w:val="20"/>
                <w:lang w:val="en-AU"/>
              </w:rPr>
            </w:pPr>
            <w:r w:rsidRPr="00EF2E8A">
              <w:rPr>
                <w:rFonts w:ascii="Arial Narrow" w:eastAsia="Times New Roman" w:hAnsi="Arial Narrow" w:cs="Arial"/>
                <w:snapToGrid w:val="0"/>
                <w:sz w:val="20"/>
                <w:szCs w:val="20"/>
                <w:lang w:val="en-AU"/>
              </w:rPr>
              <w:t>ICC</w:t>
            </w:r>
          </w:p>
          <w:p w14:paraId="30418E1B" w14:textId="77777777" w:rsidR="00075009" w:rsidRPr="00EF2E8A" w:rsidRDefault="00075009" w:rsidP="00591C83">
            <w:pPr>
              <w:spacing w:before="0"/>
              <w:contextualSpacing/>
              <w:jc w:val="left"/>
              <w:rPr>
                <w:rFonts w:ascii="Arial Narrow" w:eastAsia="Times New Roman" w:hAnsi="Arial Narrow" w:cs="Arial"/>
                <w:snapToGrid w:val="0"/>
                <w:sz w:val="20"/>
                <w:szCs w:val="20"/>
                <w:lang w:val="en-AU"/>
              </w:rPr>
            </w:pPr>
            <w:r w:rsidRPr="00EF2E8A">
              <w:rPr>
                <w:rFonts w:ascii="Arial Narrow" w:eastAsia="Times New Roman" w:hAnsi="Arial Narrow" w:cs="Arial"/>
                <w:snapToGrid w:val="0"/>
                <w:sz w:val="20"/>
                <w:szCs w:val="20"/>
                <w:lang w:val="en-AU"/>
              </w:rPr>
              <w:t>(N=207)</w:t>
            </w:r>
          </w:p>
        </w:tc>
        <w:tc>
          <w:tcPr>
            <w:tcW w:w="1065" w:type="pct"/>
            <w:shd w:val="clear" w:color="auto" w:fill="FFFFFF" w:themeFill="background1"/>
          </w:tcPr>
          <w:p w14:paraId="5DF563F8" w14:textId="0FD0A129" w:rsidR="00075009" w:rsidRPr="00EF2E8A" w:rsidRDefault="00075009" w:rsidP="00591C83">
            <w:pPr>
              <w:spacing w:before="0"/>
              <w:contextualSpacing/>
              <w:jc w:val="left"/>
              <w:rPr>
                <w:rFonts w:ascii="Arial Narrow" w:eastAsia="Times New Roman" w:hAnsi="Arial Narrow" w:cs="Arial"/>
                <w:b w:val="0"/>
                <w:snapToGrid w:val="0"/>
                <w:sz w:val="20"/>
                <w:szCs w:val="20"/>
                <w:lang w:val="en-AU"/>
              </w:rPr>
            </w:pPr>
            <w:r w:rsidRPr="00EF2E8A">
              <w:rPr>
                <w:rFonts w:ascii="Arial Narrow" w:eastAsia="Times New Roman" w:hAnsi="Arial Narrow" w:cs="Arial"/>
                <w:snapToGrid w:val="0"/>
                <w:sz w:val="20"/>
                <w:szCs w:val="20"/>
                <w:lang w:val="en-AU"/>
              </w:rPr>
              <w:t xml:space="preserve">RR </w:t>
            </w:r>
          </w:p>
          <w:p w14:paraId="2A0909D8" w14:textId="77777777" w:rsidR="00075009" w:rsidRPr="00EF2E8A" w:rsidRDefault="00075009" w:rsidP="00591C83">
            <w:pPr>
              <w:spacing w:before="0"/>
              <w:contextualSpacing/>
              <w:jc w:val="left"/>
              <w:rPr>
                <w:rFonts w:ascii="Arial Narrow" w:eastAsia="Times New Roman" w:hAnsi="Arial Narrow" w:cs="Arial"/>
                <w:snapToGrid w:val="0"/>
                <w:sz w:val="20"/>
                <w:szCs w:val="20"/>
                <w:lang w:val="en-AU"/>
              </w:rPr>
            </w:pPr>
            <w:r w:rsidRPr="00EF2E8A">
              <w:rPr>
                <w:rFonts w:ascii="Arial Narrow" w:eastAsia="Times New Roman" w:hAnsi="Arial Narrow" w:cs="Arial"/>
                <w:snapToGrid w:val="0"/>
                <w:sz w:val="20"/>
                <w:szCs w:val="20"/>
                <w:lang w:val="en-AU"/>
              </w:rPr>
              <w:t>(95% CI)</w:t>
            </w:r>
          </w:p>
        </w:tc>
        <w:tc>
          <w:tcPr>
            <w:tcW w:w="1076" w:type="pct"/>
            <w:shd w:val="clear" w:color="auto" w:fill="FFFFFF" w:themeFill="background1"/>
          </w:tcPr>
          <w:p w14:paraId="37CB7AC3" w14:textId="77777777" w:rsidR="00075009" w:rsidRPr="00EF2E8A" w:rsidRDefault="00075009" w:rsidP="00591C83">
            <w:pPr>
              <w:spacing w:before="0"/>
              <w:contextualSpacing/>
              <w:jc w:val="left"/>
              <w:rPr>
                <w:rFonts w:ascii="Arial Narrow" w:eastAsia="Times New Roman" w:hAnsi="Arial Narrow" w:cs="Arial"/>
                <w:b w:val="0"/>
                <w:snapToGrid w:val="0"/>
                <w:sz w:val="20"/>
                <w:szCs w:val="20"/>
                <w:lang w:val="en-AU"/>
              </w:rPr>
            </w:pPr>
            <w:r w:rsidRPr="00EF2E8A">
              <w:rPr>
                <w:rFonts w:ascii="Arial Narrow" w:eastAsia="Times New Roman" w:hAnsi="Arial Narrow" w:cs="Arial"/>
                <w:snapToGrid w:val="0"/>
                <w:sz w:val="20"/>
                <w:szCs w:val="20"/>
                <w:lang w:val="en-AU"/>
              </w:rPr>
              <w:t xml:space="preserve">RD </w:t>
            </w:r>
          </w:p>
          <w:p w14:paraId="143155C5" w14:textId="77777777" w:rsidR="00075009" w:rsidRPr="00EF2E8A" w:rsidRDefault="00075009" w:rsidP="00591C83">
            <w:pPr>
              <w:spacing w:before="0"/>
              <w:contextualSpacing/>
              <w:jc w:val="left"/>
              <w:rPr>
                <w:rFonts w:ascii="Arial Narrow" w:eastAsia="Times New Roman" w:hAnsi="Arial Narrow" w:cs="Arial"/>
                <w:b w:val="0"/>
                <w:snapToGrid w:val="0"/>
                <w:sz w:val="20"/>
                <w:szCs w:val="20"/>
                <w:lang w:val="en-AU"/>
              </w:rPr>
            </w:pPr>
            <w:r w:rsidRPr="00EF2E8A">
              <w:rPr>
                <w:rFonts w:ascii="Arial Narrow" w:eastAsia="Times New Roman" w:hAnsi="Arial Narrow" w:cs="Arial"/>
                <w:snapToGrid w:val="0"/>
                <w:sz w:val="20"/>
                <w:szCs w:val="20"/>
                <w:lang w:val="en-AU"/>
              </w:rPr>
              <w:t>(95% CI)</w:t>
            </w:r>
          </w:p>
        </w:tc>
      </w:tr>
      <w:tr w:rsidR="00005E99" w:rsidRPr="00EF2E8A" w14:paraId="1F2C0630"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7306BF3F" w14:textId="77777777"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TEAEs, all grades</w:t>
            </w:r>
          </w:p>
        </w:tc>
        <w:tc>
          <w:tcPr>
            <w:tcW w:w="532" w:type="pct"/>
            <w:shd w:val="clear" w:color="auto" w:fill="FFFFFF" w:themeFill="background1"/>
          </w:tcPr>
          <w:p w14:paraId="64E3CAA5"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211 (97)</w:t>
            </w:r>
          </w:p>
        </w:tc>
        <w:tc>
          <w:tcPr>
            <w:tcW w:w="533" w:type="pct"/>
            <w:shd w:val="clear" w:color="auto" w:fill="FFFFFF" w:themeFill="background1"/>
          </w:tcPr>
          <w:p w14:paraId="11E21867"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194 (94)</w:t>
            </w:r>
          </w:p>
        </w:tc>
        <w:tc>
          <w:tcPr>
            <w:tcW w:w="1065" w:type="pct"/>
            <w:shd w:val="clear" w:color="auto" w:fill="FFFFFF" w:themeFill="background1"/>
          </w:tcPr>
          <w:p w14:paraId="29CECF95" w14:textId="2D8CF09F"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1.033 (0.99, 1.078)</w:t>
            </w:r>
          </w:p>
        </w:tc>
        <w:tc>
          <w:tcPr>
            <w:tcW w:w="1076" w:type="pct"/>
            <w:shd w:val="clear" w:color="auto" w:fill="FFFFFF" w:themeFill="background1"/>
          </w:tcPr>
          <w:p w14:paraId="7DFE4863" w14:textId="5B0D6329" w:rsidR="00B9055D" w:rsidRPr="00EF2E8A" w:rsidRDefault="00B9055D" w:rsidP="00591C83">
            <w:pPr>
              <w:pStyle w:val="TableText"/>
              <w:widowControl/>
              <w:jc w:val="center"/>
              <w:rPr>
                <w:b w:val="0"/>
                <w:highlight w:val="yellow"/>
                <w:lang w:val="en-AU"/>
              </w:rPr>
            </w:pPr>
            <w:r w:rsidRPr="00EF2E8A">
              <w:rPr>
                <w:b w:val="0"/>
                <w:lang w:val="en-AU"/>
              </w:rPr>
              <w:t>0.031 (</w:t>
            </w:r>
            <w:r w:rsidR="00A46D2B">
              <w:rPr>
                <w:b w:val="0"/>
                <w:lang w:val="en-AU"/>
              </w:rPr>
              <w:noBreakHyphen/>
            </w:r>
            <w:r w:rsidRPr="00EF2E8A">
              <w:rPr>
                <w:b w:val="0"/>
                <w:lang w:val="en-AU"/>
              </w:rPr>
              <w:t>0.010, 0.075)</w:t>
            </w:r>
          </w:p>
        </w:tc>
      </w:tr>
      <w:tr w:rsidR="00005E99" w:rsidRPr="00EF2E8A" w14:paraId="4F0A4144"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76F61B9A" w14:textId="77777777"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TEAEs, Grade 3+</w:t>
            </w:r>
          </w:p>
        </w:tc>
        <w:tc>
          <w:tcPr>
            <w:tcW w:w="532" w:type="pct"/>
            <w:shd w:val="clear" w:color="auto" w:fill="FFFFFF" w:themeFill="background1"/>
          </w:tcPr>
          <w:p w14:paraId="5A8DDDAD"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97 (44)</w:t>
            </w:r>
          </w:p>
        </w:tc>
        <w:tc>
          <w:tcPr>
            <w:tcW w:w="533" w:type="pct"/>
            <w:shd w:val="clear" w:color="auto" w:fill="FFFFFF" w:themeFill="background1"/>
          </w:tcPr>
          <w:p w14:paraId="0F7E2412"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113 (55)</w:t>
            </w:r>
          </w:p>
        </w:tc>
        <w:tc>
          <w:tcPr>
            <w:tcW w:w="1065" w:type="pct"/>
            <w:shd w:val="clear" w:color="auto" w:fill="FFFFFF" w:themeFill="background1"/>
          </w:tcPr>
          <w:p w14:paraId="753A816E"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0.815 (0.672, 0.989)</w:t>
            </w:r>
          </w:p>
        </w:tc>
        <w:tc>
          <w:tcPr>
            <w:tcW w:w="1076" w:type="pct"/>
            <w:shd w:val="clear" w:color="auto" w:fill="FFFFFF" w:themeFill="background1"/>
          </w:tcPr>
          <w:p w14:paraId="60845052" w14:textId="0ED25108"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0.101 (</w:t>
            </w:r>
            <w:r>
              <w:rPr>
                <w:b w:val="0"/>
                <w:lang w:val="en-AU"/>
              </w:rPr>
              <w:noBreakHyphen/>
            </w:r>
            <w:r w:rsidR="00B9055D" w:rsidRPr="00EF2E8A">
              <w:rPr>
                <w:b w:val="0"/>
                <w:lang w:val="en-AU"/>
              </w:rPr>
              <w:t xml:space="preserve">0.195, </w:t>
            </w:r>
            <w:r>
              <w:rPr>
                <w:b w:val="0"/>
                <w:lang w:val="en-AU"/>
              </w:rPr>
              <w:noBreakHyphen/>
            </w:r>
            <w:r w:rsidR="00B9055D" w:rsidRPr="00EF2E8A">
              <w:rPr>
                <w:b w:val="0"/>
                <w:lang w:val="en-AU"/>
              </w:rPr>
              <w:t>0.006)</w:t>
            </w:r>
          </w:p>
        </w:tc>
      </w:tr>
      <w:tr w:rsidR="00005E99" w:rsidRPr="00EF2E8A" w14:paraId="29B752DD"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5776A19F" w14:textId="579F43BF"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Drug</w:t>
            </w:r>
            <w:r w:rsidR="00A46D2B">
              <w:rPr>
                <w:rFonts w:ascii="Arial Narrow" w:hAnsi="Arial Narrow"/>
                <w:b w:val="0"/>
                <w:sz w:val="20"/>
                <w:lang w:val="en-AU"/>
              </w:rPr>
              <w:noBreakHyphen/>
            </w:r>
            <w:r w:rsidRPr="00EF2E8A">
              <w:rPr>
                <w:rFonts w:ascii="Arial Narrow" w:hAnsi="Arial Narrow"/>
                <w:b w:val="0"/>
                <w:sz w:val="20"/>
                <w:lang w:val="en-AU"/>
              </w:rPr>
              <w:t>related TEAEs, all grades</w:t>
            </w:r>
          </w:p>
        </w:tc>
        <w:tc>
          <w:tcPr>
            <w:tcW w:w="532" w:type="pct"/>
            <w:shd w:val="clear" w:color="auto" w:fill="FFFFFF" w:themeFill="background1"/>
          </w:tcPr>
          <w:p w14:paraId="7D233B62" w14:textId="76724CE5"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191 (88)</w:t>
            </w:r>
          </w:p>
        </w:tc>
        <w:tc>
          <w:tcPr>
            <w:tcW w:w="533" w:type="pct"/>
            <w:shd w:val="clear" w:color="auto" w:fill="FFFFFF" w:themeFill="background1"/>
          </w:tcPr>
          <w:p w14:paraId="4BAA0AA6" w14:textId="7777777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167 (81)</w:t>
            </w:r>
          </w:p>
        </w:tc>
        <w:tc>
          <w:tcPr>
            <w:tcW w:w="1065" w:type="pct"/>
            <w:shd w:val="clear" w:color="auto" w:fill="FFFFFF" w:themeFill="background1"/>
          </w:tcPr>
          <w:p w14:paraId="55675972"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1.086 (0.999, 1.18)</w:t>
            </w:r>
          </w:p>
        </w:tc>
        <w:tc>
          <w:tcPr>
            <w:tcW w:w="1076" w:type="pct"/>
            <w:shd w:val="clear" w:color="auto" w:fill="FFFFFF" w:themeFill="background1"/>
          </w:tcPr>
          <w:p w14:paraId="78DF4DC4" w14:textId="2AB02C03" w:rsidR="00B9055D" w:rsidRPr="00EF2E8A" w:rsidRDefault="00B9055D" w:rsidP="00591C83">
            <w:pPr>
              <w:pStyle w:val="TableText"/>
              <w:widowControl/>
              <w:jc w:val="center"/>
              <w:rPr>
                <w:b w:val="0"/>
                <w:highlight w:val="yellow"/>
                <w:lang w:val="en-AU"/>
              </w:rPr>
            </w:pPr>
            <w:r w:rsidRPr="00EF2E8A">
              <w:rPr>
                <w:b w:val="0"/>
                <w:lang w:val="en-AU"/>
              </w:rPr>
              <w:t>0.070 (0.000, 0.140)</w:t>
            </w:r>
          </w:p>
        </w:tc>
      </w:tr>
      <w:tr w:rsidR="00005E99" w:rsidRPr="00EF2E8A" w14:paraId="38FDE1E1"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78F2A918" w14:textId="7FEF639C"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Drug</w:t>
            </w:r>
            <w:r w:rsidR="00A46D2B">
              <w:rPr>
                <w:rFonts w:ascii="Arial Narrow" w:hAnsi="Arial Narrow"/>
                <w:b w:val="0"/>
                <w:sz w:val="20"/>
                <w:lang w:val="en-AU"/>
              </w:rPr>
              <w:noBreakHyphen/>
            </w:r>
            <w:r w:rsidRPr="00EF2E8A">
              <w:rPr>
                <w:rFonts w:ascii="Arial Narrow" w:hAnsi="Arial Narrow"/>
                <w:b w:val="0"/>
                <w:sz w:val="20"/>
                <w:lang w:val="en-AU"/>
              </w:rPr>
              <w:t>related TEAEs, grade 3+</w:t>
            </w:r>
          </w:p>
        </w:tc>
        <w:tc>
          <w:tcPr>
            <w:tcW w:w="532" w:type="pct"/>
            <w:shd w:val="clear" w:color="auto" w:fill="FFFFFF" w:themeFill="background1"/>
          </w:tcPr>
          <w:p w14:paraId="104E027F" w14:textId="19FCD98A"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b w:val="0"/>
                <w:sz w:val="20"/>
                <w:lang w:val="en-AU"/>
              </w:rPr>
              <w:t>59 (27)</w:t>
            </w:r>
          </w:p>
        </w:tc>
        <w:tc>
          <w:tcPr>
            <w:tcW w:w="533" w:type="pct"/>
            <w:shd w:val="clear" w:color="auto" w:fill="FFFFFF" w:themeFill="background1"/>
          </w:tcPr>
          <w:p w14:paraId="1BC27085" w14:textId="7777777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b w:val="0"/>
                <w:sz w:val="20"/>
                <w:lang w:val="en-AU"/>
              </w:rPr>
              <w:t>77 (37)</w:t>
            </w:r>
          </w:p>
        </w:tc>
        <w:tc>
          <w:tcPr>
            <w:tcW w:w="1065" w:type="pct"/>
            <w:shd w:val="clear" w:color="auto" w:fill="FFFFFF" w:themeFill="background1"/>
          </w:tcPr>
          <w:p w14:paraId="0D636281"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0.728 (0.549, 0.963)</w:t>
            </w:r>
          </w:p>
        </w:tc>
        <w:tc>
          <w:tcPr>
            <w:tcW w:w="1076" w:type="pct"/>
            <w:shd w:val="clear" w:color="auto" w:fill="FFFFFF" w:themeFill="background1"/>
          </w:tcPr>
          <w:p w14:paraId="38C6AD94" w14:textId="69DCDEE7"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0.101 (</w:t>
            </w:r>
            <w:r>
              <w:rPr>
                <w:b w:val="0"/>
                <w:lang w:val="en-AU"/>
              </w:rPr>
              <w:noBreakHyphen/>
            </w:r>
            <w:r w:rsidR="00B9055D" w:rsidRPr="00EF2E8A">
              <w:rPr>
                <w:b w:val="0"/>
                <w:lang w:val="en-AU"/>
              </w:rPr>
              <w:t xml:space="preserve">0.189, </w:t>
            </w:r>
            <w:r>
              <w:rPr>
                <w:b w:val="0"/>
                <w:lang w:val="en-AU"/>
              </w:rPr>
              <w:noBreakHyphen/>
            </w:r>
            <w:r w:rsidR="00B9055D" w:rsidRPr="00EF2E8A">
              <w:rPr>
                <w:b w:val="0"/>
                <w:lang w:val="en-AU"/>
              </w:rPr>
              <w:t>0.013)</w:t>
            </w:r>
          </w:p>
        </w:tc>
      </w:tr>
      <w:tr w:rsidR="00005E99" w:rsidRPr="00EF2E8A" w14:paraId="58E2B44E"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7ECF49C7" w14:textId="77777777"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Serious TEAEs, all grades</w:t>
            </w:r>
          </w:p>
        </w:tc>
        <w:tc>
          <w:tcPr>
            <w:tcW w:w="532" w:type="pct"/>
            <w:shd w:val="clear" w:color="auto" w:fill="FFFFFF" w:themeFill="background1"/>
          </w:tcPr>
          <w:p w14:paraId="714E5DB6"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55 (25)</w:t>
            </w:r>
          </w:p>
        </w:tc>
        <w:tc>
          <w:tcPr>
            <w:tcW w:w="533" w:type="pct"/>
            <w:shd w:val="clear" w:color="auto" w:fill="FFFFFF" w:themeFill="background1"/>
          </w:tcPr>
          <w:p w14:paraId="666E0A39"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69 (33)</w:t>
            </w:r>
          </w:p>
        </w:tc>
        <w:tc>
          <w:tcPr>
            <w:tcW w:w="1065" w:type="pct"/>
            <w:shd w:val="clear" w:color="auto" w:fill="FFFFFF" w:themeFill="background1"/>
          </w:tcPr>
          <w:p w14:paraId="268B1755"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0.757 (0.561, 1.021)</w:t>
            </w:r>
          </w:p>
        </w:tc>
        <w:tc>
          <w:tcPr>
            <w:tcW w:w="1076" w:type="pct"/>
            <w:shd w:val="clear" w:color="auto" w:fill="FFFFFF" w:themeFill="background1"/>
          </w:tcPr>
          <w:p w14:paraId="410ADD90" w14:textId="4CE8CF73"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0.081 (</w:t>
            </w:r>
            <w:r>
              <w:rPr>
                <w:b w:val="0"/>
                <w:lang w:val="en-AU"/>
              </w:rPr>
              <w:noBreakHyphen/>
            </w:r>
            <w:r w:rsidR="00B9055D" w:rsidRPr="00EF2E8A">
              <w:rPr>
                <w:b w:val="0"/>
                <w:lang w:val="en-AU"/>
              </w:rPr>
              <w:t>0.167, 0.006)</w:t>
            </w:r>
          </w:p>
        </w:tc>
      </w:tr>
      <w:tr w:rsidR="00005E99" w:rsidRPr="00EF2E8A" w14:paraId="04F7F50F"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0C2BE9C2" w14:textId="77777777"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Serious TEAEs, grade 3+</w:t>
            </w:r>
          </w:p>
        </w:tc>
        <w:tc>
          <w:tcPr>
            <w:tcW w:w="532" w:type="pct"/>
            <w:shd w:val="clear" w:color="auto" w:fill="FFFFFF" w:themeFill="background1"/>
          </w:tcPr>
          <w:p w14:paraId="0BB36DA7"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47 (22)</w:t>
            </w:r>
          </w:p>
        </w:tc>
        <w:tc>
          <w:tcPr>
            <w:tcW w:w="533" w:type="pct"/>
            <w:shd w:val="clear" w:color="auto" w:fill="FFFFFF" w:themeFill="background1"/>
          </w:tcPr>
          <w:p w14:paraId="7D825FA7"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60 (29)</w:t>
            </w:r>
          </w:p>
        </w:tc>
        <w:tc>
          <w:tcPr>
            <w:tcW w:w="1065" w:type="pct"/>
            <w:shd w:val="clear" w:color="auto" w:fill="FFFFFF" w:themeFill="background1"/>
          </w:tcPr>
          <w:p w14:paraId="0D9C8E85"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0.744 (0.534, 1.036)</w:t>
            </w:r>
          </w:p>
        </w:tc>
        <w:tc>
          <w:tcPr>
            <w:tcW w:w="1076" w:type="pct"/>
            <w:shd w:val="clear" w:color="auto" w:fill="FFFFFF" w:themeFill="background1"/>
          </w:tcPr>
          <w:p w14:paraId="4A1439BD" w14:textId="7E58DF9B"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0.074 (</w:t>
            </w:r>
            <w:r>
              <w:rPr>
                <w:b w:val="0"/>
                <w:lang w:val="en-AU"/>
              </w:rPr>
              <w:noBreakHyphen/>
            </w:r>
            <w:r w:rsidR="00B9055D" w:rsidRPr="00EF2E8A">
              <w:rPr>
                <w:b w:val="0"/>
                <w:lang w:val="en-AU"/>
              </w:rPr>
              <w:t>0.157, 0.009)</w:t>
            </w:r>
          </w:p>
        </w:tc>
      </w:tr>
      <w:tr w:rsidR="00005E99" w:rsidRPr="00EF2E8A" w14:paraId="32E7F60F"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3780FB6B" w14:textId="06F9C2C7"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Drug</w:t>
            </w:r>
            <w:r w:rsidR="00A46D2B">
              <w:rPr>
                <w:rFonts w:ascii="Arial Narrow" w:hAnsi="Arial Narrow"/>
                <w:b w:val="0"/>
                <w:sz w:val="20"/>
                <w:lang w:val="en-AU"/>
              </w:rPr>
              <w:noBreakHyphen/>
            </w:r>
            <w:r w:rsidRPr="00EF2E8A">
              <w:rPr>
                <w:rFonts w:ascii="Arial Narrow" w:hAnsi="Arial Narrow"/>
                <w:b w:val="0"/>
                <w:sz w:val="20"/>
                <w:lang w:val="en-AU"/>
              </w:rPr>
              <w:t>related Serious TEAEs, all grades</w:t>
            </w:r>
          </w:p>
        </w:tc>
        <w:tc>
          <w:tcPr>
            <w:tcW w:w="532" w:type="pct"/>
            <w:shd w:val="clear" w:color="auto" w:fill="FFFFFF" w:themeFill="background1"/>
          </w:tcPr>
          <w:p w14:paraId="6A3A0FD6" w14:textId="14324FCA"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21 (10)</w:t>
            </w:r>
          </w:p>
        </w:tc>
        <w:tc>
          <w:tcPr>
            <w:tcW w:w="533" w:type="pct"/>
            <w:shd w:val="clear" w:color="auto" w:fill="FFFFFF" w:themeFill="background1"/>
          </w:tcPr>
          <w:p w14:paraId="507E6806" w14:textId="7777777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16 (8)</w:t>
            </w:r>
          </w:p>
        </w:tc>
        <w:tc>
          <w:tcPr>
            <w:tcW w:w="1065" w:type="pct"/>
            <w:shd w:val="clear" w:color="auto" w:fill="FFFFFF" w:themeFill="background1"/>
          </w:tcPr>
          <w:p w14:paraId="1C697B82"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1.246 (0.669, 2.321)</w:t>
            </w:r>
          </w:p>
        </w:tc>
        <w:tc>
          <w:tcPr>
            <w:tcW w:w="1076" w:type="pct"/>
            <w:shd w:val="clear" w:color="auto" w:fill="FFFFFF" w:themeFill="background1"/>
          </w:tcPr>
          <w:p w14:paraId="15B3EF17" w14:textId="6879BA09" w:rsidR="00B9055D" w:rsidRPr="00EF2E8A" w:rsidRDefault="00B9055D" w:rsidP="00591C83">
            <w:pPr>
              <w:pStyle w:val="TableText"/>
              <w:widowControl/>
              <w:jc w:val="center"/>
              <w:rPr>
                <w:b w:val="0"/>
                <w:highlight w:val="yellow"/>
                <w:lang w:val="en-AU"/>
              </w:rPr>
            </w:pPr>
            <w:r w:rsidRPr="00EF2E8A">
              <w:rPr>
                <w:b w:val="0"/>
                <w:lang w:val="en-AU"/>
              </w:rPr>
              <w:t>0.019 (</w:t>
            </w:r>
            <w:r w:rsidR="00A46D2B">
              <w:rPr>
                <w:b w:val="0"/>
                <w:lang w:val="en-AU"/>
              </w:rPr>
              <w:noBreakHyphen/>
            </w:r>
            <w:r w:rsidRPr="00EF2E8A">
              <w:rPr>
                <w:b w:val="0"/>
                <w:lang w:val="en-AU"/>
              </w:rPr>
              <w:t>0.036, 0.074)</w:t>
            </w:r>
          </w:p>
        </w:tc>
      </w:tr>
      <w:tr w:rsidR="00005E99" w:rsidRPr="00EF2E8A" w14:paraId="45970939"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07D779D7" w14:textId="381224F0"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Drug</w:t>
            </w:r>
            <w:r w:rsidR="00A46D2B">
              <w:rPr>
                <w:rFonts w:ascii="Arial Narrow" w:hAnsi="Arial Narrow"/>
                <w:b w:val="0"/>
                <w:sz w:val="20"/>
                <w:lang w:val="en-AU"/>
              </w:rPr>
              <w:noBreakHyphen/>
            </w:r>
            <w:r w:rsidRPr="00EF2E8A">
              <w:rPr>
                <w:rFonts w:ascii="Arial Narrow" w:hAnsi="Arial Narrow"/>
                <w:b w:val="0"/>
                <w:sz w:val="20"/>
                <w:lang w:val="en-AU"/>
              </w:rPr>
              <w:t>related Serious TEAEs, grade 3+</w:t>
            </w:r>
          </w:p>
        </w:tc>
        <w:tc>
          <w:tcPr>
            <w:tcW w:w="532" w:type="pct"/>
            <w:shd w:val="clear" w:color="auto" w:fill="FFFFFF" w:themeFill="background1"/>
          </w:tcPr>
          <w:p w14:paraId="7069DF28" w14:textId="692BA4E3"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17 (8)</w:t>
            </w:r>
          </w:p>
        </w:tc>
        <w:tc>
          <w:tcPr>
            <w:tcW w:w="533" w:type="pct"/>
            <w:shd w:val="clear" w:color="auto" w:fill="FFFFFF" w:themeFill="background1"/>
          </w:tcPr>
          <w:p w14:paraId="28A2E842" w14:textId="7777777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16 (8)</w:t>
            </w:r>
          </w:p>
        </w:tc>
        <w:tc>
          <w:tcPr>
            <w:tcW w:w="1065" w:type="pct"/>
            <w:shd w:val="clear" w:color="auto" w:fill="FFFFFF" w:themeFill="background1"/>
          </w:tcPr>
          <w:p w14:paraId="0CB50705"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1.009 (0.524, 1.944)</w:t>
            </w:r>
          </w:p>
        </w:tc>
        <w:tc>
          <w:tcPr>
            <w:tcW w:w="1076" w:type="pct"/>
            <w:shd w:val="clear" w:color="auto" w:fill="FFFFFF" w:themeFill="background1"/>
          </w:tcPr>
          <w:p w14:paraId="17DAF288" w14:textId="00577E17" w:rsidR="00B9055D" w:rsidRPr="00EF2E8A" w:rsidRDefault="00B9055D" w:rsidP="00591C83">
            <w:pPr>
              <w:pStyle w:val="TableText"/>
              <w:widowControl/>
              <w:jc w:val="center"/>
              <w:rPr>
                <w:b w:val="0"/>
                <w:highlight w:val="yellow"/>
                <w:lang w:val="en-AU"/>
              </w:rPr>
            </w:pPr>
            <w:r w:rsidRPr="00EF2E8A">
              <w:rPr>
                <w:b w:val="0"/>
                <w:lang w:val="en-AU"/>
              </w:rPr>
              <w:t>0.001 (</w:t>
            </w:r>
            <w:r w:rsidR="00A46D2B">
              <w:rPr>
                <w:b w:val="0"/>
                <w:lang w:val="en-AU"/>
              </w:rPr>
              <w:noBreakHyphen/>
            </w:r>
            <w:r w:rsidRPr="00EF2E8A">
              <w:rPr>
                <w:b w:val="0"/>
                <w:lang w:val="en-AU"/>
              </w:rPr>
              <w:t>0.052, 0.053)</w:t>
            </w:r>
          </w:p>
        </w:tc>
      </w:tr>
      <w:tr w:rsidR="00005E99" w:rsidRPr="00EF2E8A" w14:paraId="5FCFF569"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4E49A3ED" w14:textId="77777777"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TEAEs Leading to Study Drug Discontinuation, all grades</w:t>
            </w:r>
          </w:p>
        </w:tc>
        <w:tc>
          <w:tcPr>
            <w:tcW w:w="532" w:type="pct"/>
            <w:shd w:val="clear" w:color="auto" w:fill="FFFFFF" w:themeFill="background1"/>
          </w:tcPr>
          <w:p w14:paraId="7A229B3A"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25 (11)</w:t>
            </w:r>
          </w:p>
        </w:tc>
        <w:tc>
          <w:tcPr>
            <w:tcW w:w="533" w:type="pct"/>
            <w:shd w:val="clear" w:color="auto" w:fill="FFFFFF" w:themeFill="background1"/>
          </w:tcPr>
          <w:p w14:paraId="1CAA0200"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31 (15)</w:t>
            </w:r>
          </w:p>
        </w:tc>
        <w:tc>
          <w:tcPr>
            <w:tcW w:w="1065" w:type="pct"/>
            <w:shd w:val="clear" w:color="auto" w:fill="FFFFFF" w:themeFill="background1"/>
          </w:tcPr>
          <w:p w14:paraId="411B6C47"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0.766 (0.469, 1.252)</w:t>
            </w:r>
          </w:p>
        </w:tc>
        <w:tc>
          <w:tcPr>
            <w:tcW w:w="1076" w:type="pct"/>
            <w:shd w:val="clear" w:color="auto" w:fill="FFFFFF" w:themeFill="background1"/>
          </w:tcPr>
          <w:p w14:paraId="5415B50F" w14:textId="240DF96A"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0.035 (</w:t>
            </w:r>
            <w:r>
              <w:rPr>
                <w:b w:val="0"/>
                <w:lang w:val="en-AU"/>
              </w:rPr>
              <w:noBreakHyphen/>
            </w:r>
            <w:r w:rsidR="00B9055D" w:rsidRPr="00EF2E8A">
              <w:rPr>
                <w:b w:val="0"/>
                <w:lang w:val="en-AU"/>
              </w:rPr>
              <w:t>0.101, 0.030)</w:t>
            </w:r>
          </w:p>
        </w:tc>
      </w:tr>
      <w:tr w:rsidR="00005E99" w:rsidRPr="00EF2E8A" w14:paraId="54453162"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4806ABBD" w14:textId="77777777"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TEAEs Leading to Study Drug Discontinuation, Grade 3+</w:t>
            </w:r>
          </w:p>
        </w:tc>
        <w:tc>
          <w:tcPr>
            <w:tcW w:w="532" w:type="pct"/>
            <w:shd w:val="clear" w:color="auto" w:fill="FFFFFF" w:themeFill="background1"/>
          </w:tcPr>
          <w:p w14:paraId="42F74F65"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12 (6)</w:t>
            </w:r>
          </w:p>
        </w:tc>
        <w:tc>
          <w:tcPr>
            <w:tcW w:w="533" w:type="pct"/>
            <w:shd w:val="clear" w:color="auto" w:fill="FFFFFF" w:themeFill="background1"/>
          </w:tcPr>
          <w:p w14:paraId="24ADB873"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22 (11)</w:t>
            </w:r>
          </w:p>
        </w:tc>
        <w:tc>
          <w:tcPr>
            <w:tcW w:w="1065" w:type="pct"/>
            <w:shd w:val="clear" w:color="auto" w:fill="FFFFFF" w:themeFill="background1"/>
          </w:tcPr>
          <w:p w14:paraId="3789D6B0"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0.518 (0.263, 1.019)</w:t>
            </w:r>
          </w:p>
        </w:tc>
        <w:tc>
          <w:tcPr>
            <w:tcW w:w="1076" w:type="pct"/>
            <w:shd w:val="clear" w:color="auto" w:fill="FFFFFF" w:themeFill="background1"/>
          </w:tcPr>
          <w:p w14:paraId="3DFDFFA5" w14:textId="0C7BF4AA"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0.051 (</w:t>
            </w:r>
            <w:r>
              <w:rPr>
                <w:b w:val="0"/>
                <w:lang w:val="en-AU"/>
              </w:rPr>
              <w:noBreakHyphen/>
            </w:r>
            <w:r w:rsidR="00B9055D" w:rsidRPr="00EF2E8A">
              <w:rPr>
                <w:b w:val="0"/>
                <w:lang w:val="en-AU"/>
              </w:rPr>
              <w:t>0.106, 0.001)</w:t>
            </w:r>
          </w:p>
        </w:tc>
      </w:tr>
      <w:tr w:rsidR="00005E99" w:rsidRPr="00EF2E8A" w14:paraId="5E7626DB"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7D8471A3" w14:textId="0043AF06"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Drug</w:t>
            </w:r>
            <w:r w:rsidR="00A46D2B">
              <w:rPr>
                <w:rFonts w:ascii="Arial Narrow" w:hAnsi="Arial Narrow"/>
                <w:b w:val="0"/>
                <w:sz w:val="20"/>
                <w:lang w:val="en-AU"/>
              </w:rPr>
              <w:noBreakHyphen/>
            </w:r>
            <w:r w:rsidRPr="00EF2E8A">
              <w:rPr>
                <w:rFonts w:ascii="Arial Narrow" w:hAnsi="Arial Narrow"/>
                <w:b w:val="0"/>
                <w:sz w:val="20"/>
                <w:lang w:val="en-AU"/>
              </w:rPr>
              <w:t>related TEAEs Leading to Study Drug Discontinuation, all grades</w:t>
            </w:r>
          </w:p>
        </w:tc>
        <w:tc>
          <w:tcPr>
            <w:tcW w:w="532" w:type="pct"/>
            <w:shd w:val="clear" w:color="auto" w:fill="FFFFFF" w:themeFill="background1"/>
          </w:tcPr>
          <w:p w14:paraId="5D086FC7" w14:textId="4A61949F"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19 (9)</w:t>
            </w:r>
          </w:p>
        </w:tc>
        <w:tc>
          <w:tcPr>
            <w:tcW w:w="533" w:type="pct"/>
            <w:shd w:val="clear" w:color="auto" w:fill="FFFFFF" w:themeFill="background1"/>
          </w:tcPr>
          <w:p w14:paraId="27B4FEFC" w14:textId="7777777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17 (8)</w:t>
            </w:r>
          </w:p>
        </w:tc>
        <w:tc>
          <w:tcPr>
            <w:tcW w:w="1065" w:type="pct"/>
            <w:shd w:val="clear" w:color="auto" w:fill="FFFFFF" w:themeFill="background1"/>
          </w:tcPr>
          <w:p w14:paraId="65A6CD48"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1.061 (0.567, 1.985)</w:t>
            </w:r>
          </w:p>
        </w:tc>
        <w:tc>
          <w:tcPr>
            <w:tcW w:w="1076" w:type="pct"/>
            <w:shd w:val="clear" w:color="auto" w:fill="FFFFFF" w:themeFill="background1"/>
          </w:tcPr>
          <w:p w14:paraId="4B1E24CA" w14:textId="3115C6DD" w:rsidR="00B9055D" w:rsidRPr="00EF2E8A" w:rsidRDefault="00B9055D" w:rsidP="00591C83">
            <w:pPr>
              <w:pStyle w:val="TableText"/>
              <w:widowControl/>
              <w:jc w:val="center"/>
              <w:rPr>
                <w:b w:val="0"/>
                <w:highlight w:val="yellow"/>
                <w:lang w:val="en-AU"/>
              </w:rPr>
            </w:pPr>
            <w:r w:rsidRPr="00EF2E8A">
              <w:rPr>
                <w:b w:val="0"/>
                <w:lang w:val="en-AU"/>
              </w:rPr>
              <w:t>0.005 (</w:t>
            </w:r>
            <w:r w:rsidR="00A46D2B">
              <w:rPr>
                <w:b w:val="0"/>
                <w:lang w:val="en-AU"/>
              </w:rPr>
              <w:noBreakHyphen/>
            </w:r>
            <w:r w:rsidRPr="00EF2E8A">
              <w:rPr>
                <w:b w:val="0"/>
                <w:lang w:val="en-AU"/>
              </w:rPr>
              <w:t>0.050, 0.059)</w:t>
            </w:r>
          </w:p>
        </w:tc>
      </w:tr>
      <w:tr w:rsidR="00005E99" w:rsidRPr="00EF2E8A" w14:paraId="23397F54"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75BD98B7" w14:textId="21C1CEFE"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Drug</w:t>
            </w:r>
            <w:r w:rsidR="00A46D2B">
              <w:rPr>
                <w:rFonts w:ascii="Arial Narrow" w:hAnsi="Arial Narrow"/>
                <w:b w:val="0"/>
                <w:sz w:val="20"/>
                <w:lang w:val="en-AU"/>
              </w:rPr>
              <w:noBreakHyphen/>
            </w:r>
            <w:r w:rsidRPr="00EF2E8A">
              <w:rPr>
                <w:rFonts w:ascii="Arial Narrow" w:hAnsi="Arial Narrow"/>
                <w:b w:val="0"/>
                <w:sz w:val="20"/>
                <w:lang w:val="en-AU"/>
              </w:rPr>
              <w:t>related TEAEs Leading to Study Drug Discontinuation, Grade 3+</w:t>
            </w:r>
          </w:p>
        </w:tc>
        <w:tc>
          <w:tcPr>
            <w:tcW w:w="532" w:type="pct"/>
            <w:shd w:val="clear" w:color="auto" w:fill="FFFFFF" w:themeFill="background1"/>
          </w:tcPr>
          <w:p w14:paraId="059899AC" w14:textId="1C8F70C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7 (3)</w:t>
            </w:r>
          </w:p>
        </w:tc>
        <w:tc>
          <w:tcPr>
            <w:tcW w:w="533" w:type="pct"/>
            <w:shd w:val="clear" w:color="auto" w:fill="FFFFFF" w:themeFill="background1"/>
          </w:tcPr>
          <w:p w14:paraId="4A4C1242" w14:textId="7777777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11 (5)</w:t>
            </w:r>
          </w:p>
        </w:tc>
        <w:tc>
          <w:tcPr>
            <w:tcW w:w="1065" w:type="pct"/>
            <w:shd w:val="clear" w:color="auto" w:fill="FFFFFF" w:themeFill="background1"/>
          </w:tcPr>
          <w:p w14:paraId="63653F59"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0.604 (0.239, 1.529)</w:t>
            </w:r>
          </w:p>
        </w:tc>
        <w:tc>
          <w:tcPr>
            <w:tcW w:w="1076" w:type="pct"/>
            <w:shd w:val="clear" w:color="auto" w:fill="FFFFFF" w:themeFill="background1"/>
          </w:tcPr>
          <w:p w14:paraId="3E3C1D36" w14:textId="5AA25E73"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0.021 (</w:t>
            </w:r>
            <w:r>
              <w:rPr>
                <w:b w:val="0"/>
                <w:lang w:val="en-AU"/>
              </w:rPr>
              <w:noBreakHyphen/>
            </w:r>
            <w:r w:rsidR="00B9055D" w:rsidRPr="00EF2E8A">
              <w:rPr>
                <w:b w:val="0"/>
                <w:lang w:val="en-AU"/>
              </w:rPr>
              <w:t>0.063, 0.018)</w:t>
            </w:r>
          </w:p>
        </w:tc>
      </w:tr>
      <w:tr w:rsidR="00005E99" w:rsidRPr="00EF2E8A" w14:paraId="7195781D"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6FD683C4" w14:textId="77777777"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 xml:space="preserve">Patients with any TEAE Leading to Death </w:t>
            </w:r>
          </w:p>
        </w:tc>
        <w:tc>
          <w:tcPr>
            <w:tcW w:w="532" w:type="pct"/>
            <w:shd w:val="clear" w:color="auto" w:fill="FFFFFF" w:themeFill="background1"/>
          </w:tcPr>
          <w:p w14:paraId="1389F6A2"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4 (2)</w:t>
            </w:r>
          </w:p>
        </w:tc>
        <w:tc>
          <w:tcPr>
            <w:tcW w:w="533" w:type="pct"/>
            <w:shd w:val="clear" w:color="auto" w:fill="FFFFFF" w:themeFill="background1"/>
          </w:tcPr>
          <w:p w14:paraId="2EC76537" w14:textId="77777777" w:rsidR="00B9055D" w:rsidRPr="00EF2E8A" w:rsidRDefault="00B9055D" w:rsidP="00591C83">
            <w:pPr>
              <w:spacing w:before="0"/>
              <w:jc w:val="center"/>
              <w:rPr>
                <w:rFonts w:ascii="Arial Narrow" w:hAnsi="Arial Narrow"/>
                <w:b w:val="0"/>
                <w:sz w:val="20"/>
                <w:lang w:val="en-AU"/>
              </w:rPr>
            </w:pPr>
            <w:r w:rsidRPr="00EF2E8A">
              <w:rPr>
                <w:rFonts w:ascii="Arial Narrow" w:hAnsi="Arial Narrow" w:cstheme="minorHAnsi"/>
                <w:b w:val="0"/>
                <w:sz w:val="20"/>
                <w:lang w:val="en-AU"/>
              </w:rPr>
              <w:t>5 (2)</w:t>
            </w:r>
          </w:p>
        </w:tc>
        <w:tc>
          <w:tcPr>
            <w:tcW w:w="1065" w:type="pct"/>
            <w:shd w:val="clear" w:color="auto" w:fill="FFFFFF" w:themeFill="background1"/>
          </w:tcPr>
          <w:p w14:paraId="3282C9F2"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0.76 (0.207, 2.79)</w:t>
            </w:r>
          </w:p>
        </w:tc>
        <w:tc>
          <w:tcPr>
            <w:tcW w:w="1076" w:type="pct"/>
            <w:shd w:val="clear" w:color="auto" w:fill="FFFFFF" w:themeFill="background1"/>
          </w:tcPr>
          <w:p w14:paraId="5E8A1005" w14:textId="542B3F16"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0.006 (</w:t>
            </w:r>
            <w:r>
              <w:rPr>
                <w:b w:val="0"/>
                <w:lang w:val="en-AU"/>
              </w:rPr>
              <w:noBreakHyphen/>
            </w:r>
            <w:r w:rsidR="00B9055D" w:rsidRPr="00EF2E8A">
              <w:rPr>
                <w:b w:val="0"/>
                <w:lang w:val="en-AU"/>
              </w:rPr>
              <w:t>0.038, 0.024)</w:t>
            </w:r>
          </w:p>
        </w:tc>
      </w:tr>
      <w:tr w:rsidR="00005E99" w:rsidRPr="00EF2E8A" w14:paraId="3ED08ED5" w14:textId="77777777" w:rsidTr="00AF7588">
        <w:trPr>
          <w:cnfStyle w:val="100000000000" w:firstRow="1" w:lastRow="0" w:firstColumn="0" w:lastColumn="0" w:oddVBand="0" w:evenVBand="0" w:oddHBand="0" w:evenHBand="0" w:firstRowFirstColumn="0" w:firstRowLastColumn="0" w:lastRowFirstColumn="0" w:lastRowLastColumn="0"/>
          <w:trHeight w:val="53"/>
          <w:tblHeader/>
        </w:trPr>
        <w:tc>
          <w:tcPr>
            <w:tcW w:w="1795" w:type="pct"/>
            <w:shd w:val="clear" w:color="auto" w:fill="FFFFFF" w:themeFill="background1"/>
          </w:tcPr>
          <w:p w14:paraId="0E2DEABF" w14:textId="1D58800C" w:rsidR="00B9055D" w:rsidRPr="00EF2E8A" w:rsidRDefault="00B9055D" w:rsidP="00591C83">
            <w:pPr>
              <w:spacing w:before="0"/>
              <w:jc w:val="left"/>
              <w:rPr>
                <w:rFonts w:ascii="Arial Narrow" w:hAnsi="Arial Narrow"/>
                <w:b w:val="0"/>
                <w:sz w:val="20"/>
                <w:lang w:val="en-AU"/>
              </w:rPr>
            </w:pPr>
            <w:r w:rsidRPr="00EF2E8A">
              <w:rPr>
                <w:rFonts w:ascii="Arial Narrow" w:hAnsi="Arial Narrow"/>
                <w:b w:val="0"/>
                <w:sz w:val="20"/>
                <w:lang w:val="en-AU"/>
              </w:rPr>
              <w:t>Drug–Related TEAE Leading to Death</w:t>
            </w:r>
          </w:p>
        </w:tc>
        <w:tc>
          <w:tcPr>
            <w:tcW w:w="532" w:type="pct"/>
            <w:shd w:val="clear" w:color="auto" w:fill="FFFFFF" w:themeFill="background1"/>
          </w:tcPr>
          <w:p w14:paraId="12935EC2" w14:textId="7777777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0</w:t>
            </w:r>
          </w:p>
        </w:tc>
        <w:tc>
          <w:tcPr>
            <w:tcW w:w="533" w:type="pct"/>
            <w:shd w:val="clear" w:color="auto" w:fill="FFFFFF" w:themeFill="background1"/>
          </w:tcPr>
          <w:p w14:paraId="3AA6E2E3" w14:textId="77777777" w:rsidR="00B9055D" w:rsidRPr="00EF2E8A" w:rsidRDefault="00B9055D" w:rsidP="00591C83">
            <w:pPr>
              <w:spacing w:before="0"/>
              <w:jc w:val="center"/>
              <w:rPr>
                <w:rFonts w:ascii="Arial Narrow" w:hAnsi="Arial Narrow" w:cstheme="minorHAnsi"/>
                <w:b w:val="0"/>
                <w:sz w:val="20"/>
                <w:lang w:val="en-AU"/>
              </w:rPr>
            </w:pPr>
            <w:r w:rsidRPr="00EF2E8A">
              <w:rPr>
                <w:rFonts w:ascii="Arial Narrow" w:hAnsi="Arial Narrow" w:cstheme="minorHAnsi"/>
                <w:b w:val="0"/>
                <w:sz w:val="20"/>
                <w:lang w:val="en-AU"/>
              </w:rPr>
              <w:t>1 (&lt;1)</w:t>
            </w:r>
          </w:p>
        </w:tc>
        <w:tc>
          <w:tcPr>
            <w:tcW w:w="1065" w:type="pct"/>
            <w:shd w:val="clear" w:color="auto" w:fill="FFFFFF" w:themeFill="background1"/>
          </w:tcPr>
          <w:p w14:paraId="2F5AF0F6" w14:textId="77777777" w:rsidR="00B9055D" w:rsidRPr="00EF2E8A" w:rsidRDefault="00B9055D" w:rsidP="00591C83">
            <w:pPr>
              <w:spacing w:before="0"/>
              <w:jc w:val="center"/>
              <w:rPr>
                <w:rFonts w:ascii="Arial Narrow" w:hAnsi="Arial Narrow"/>
                <w:b w:val="0"/>
                <w:sz w:val="20"/>
                <w:highlight w:val="yellow"/>
                <w:lang w:val="en-AU"/>
              </w:rPr>
            </w:pPr>
            <w:r w:rsidRPr="00EF2E8A">
              <w:rPr>
                <w:rFonts w:ascii="Arial Narrow" w:hAnsi="Arial Narrow"/>
                <w:b w:val="0"/>
                <w:sz w:val="20"/>
                <w:lang w:val="en-AU"/>
              </w:rPr>
              <w:t>0 (0, 0)</w:t>
            </w:r>
          </w:p>
        </w:tc>
        <w:tc>
          <w:tcPr>
            <w:tcW w:w="1076" w:type="pct"/>
            <w:shd w:val="clear" w:color="auto" w:fill="FFFFFF" w:themeFill="background1"/>
          </w:tcPr>
          <w:p w14:paraId="4EDAE6AE" w14:textId="4AAB5988" w:rsidR="00B9055D" w:rsidRPr="00EF2E8A" w:rsidRDefault="00A46D2B" w:rsidP="00591C83">
            <w:pPr>
              <w:pStyle w:val="TableText"/>
              <w:widowControl/>
              <w:jc w:val="center"/>
              <w:rPr>
                <w:b w:val="0"/>
                <w:highlight w:val="yellow"/>
                <w:lang w:val="en-AU"/>
              </w:rPr>
            </w:pPr>
            <w:r>
              <w:rPr>
                <w:b w:val="0"/>
                <w:lang w:val="en-AU"/>
              </w:rPr>
              <w:noBreakHyphen/>
            </w:r>
            <w:r w:rsidR="00B9055D" w:rsidRPr="00EF2E8A">
              <w:rPr>
                <w:b w:val="0"/>
                <w:lang w:val="en-AU"/>
              </w:rPr>
              <w:t>0.006 (</w:t>
            </w:r>
            <w:r>
              <w:rPr>
                <w:b w:val="0"/>
                <w:lang w:val="en-AU"/>
              </w:rPr>
              <w:noBreakHyphen/>
            </w:r>
            <w:r w:rsidR="00B9055D" w:rsidRPr="00EF2E8A">
              <w:rPr>
                <w:b w:val="0"/>
                <w:lang w:val="en-AU"/>
              </w:rPr>
              <w:t>0.023, 0.010)</w:t>
            </w:r>
          </w:p>
        </w:tc>
      </w:tr>
    </w:tbl>
    <w:p w14:paraId="62045140" w14:textId="56006884" w:rsidR="00075009" w:rsidRPr="00EF2E8A" w:rsidRDefault="00075009"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Source: Table 2.5 19. Overview of TEAEs – Safety Population; September 2024, pp83</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84 of the submission; Table 33: Overview of Treatment Emergent Adverse Events – Safety Population, p142</w:t>
      </w:r>
      <w:r w:rsidR="00A46D2B">
        <w:rPr>
          <w:rFonts w:ascii="Arial Narrow" w:eastAsia="Times New Roman" w:hAnsi="Arial Narrow" w:cs="Arial"/>
          <w:snapToGrid w:val="0"/>
          <w:sz w:val="18"/>
          <w:lang w:eastAsia="en-AU"/>
        </w:rPr>
        <w:noBreakHyphen/>
      </w:r>
      <w:r w:rsidRPr="00EF2E8A">
        <w:rPr>
          <w:rFonts w:ascii="Arial Narrow" w:eastAsia="Times New Roman" w:hAnsi="Arial Narrow" w:cs="Arial"/>
          <w:snapToGrid w:val="0"/>
          <w:sz w:val="18"/>
          <w:lang w:eastAsia="en-AU"/>
        </w:rPr>
        <w:t>143, MIRASOL CSR, September 2024.</w:t>
      </w:r>
    </w:p>
    <w:p w14:paraId="5AADF637" w14:textId="1C0B3EBB" w:rsidR="00075009" w:rsidRPr="00EF2E8A" w:rsidRDefault="00075009"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CI</w:t>
      </w:r>
      <w:r w:rsidR="00226018"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confidence interval; ICC</w:t>
      </w:r>
      <w:r w:rsidR="007625CA"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investigator choice chemotherapy; MIRV</w:t>
      </w:r>
      <w:r w:rsidR="007625CA"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mirvetuximab soravtansine; RD</w:t>
      </w:r>
      <w:r w:rsidR="007625CA"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risk difference; RR</w:t>
      </w:r>
      <w:r w:rsidR="00A31A43"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risk ratio; TEAE</w:t>
      </w:r>
      <w:r w:rsidR="00A31A43" w:rsidRPr="00EF2E8A">
        <w:rPr>
          <w:rFonts w:ascii="Arial Narrow" w:eastAsia="Times New Roman" w:hAnsi="Arial Narrow" w:cs="Arial"/>
          <w:snapToGrid w:val="0"/>
          <w:sz w:val="18"/>
          <w:lang w:eastAsia="en-AU"/>
        </w:rPr>
        <w:t>=</w:t>
      </w:r>
      <w:r w:rsidRPr="00EF2E8A">
        <w:rPr>
          <w:rFonts w:ascii="Arial Narrow" w:eastAsia="Times New Roman" w:hAnsi="Arial Narrow" w:cs="Arial"/>
          <w:snapToGrid w:val="0"/>
          <w:sz w:val="18"/>
          <w:lang w:eastAsia="en-AU"/>
        </w:rPr>
        <w:t xml:space="preserve"> treatment emergent adverse event.</w:t>
      </w:r>
    </w:p>
    <w:p w14:paraId="1B32B847" w14:textId="69622423" w:rsidR="00CA6841" w:rsidRPr="00EF2E8A" w:rsidRDefault="00874E06"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A </w:t>
      </w:r>
      <w:r w:rsidR="00CF69EA" w:rsidRPr="00EF2E8A">
        <w:rPr>
          <w:rFonts w:ascii="Arial Narrow" w:eastAsia="Times New Roman" w:hAnsi="Arial Narrow" w:cs="Arial"/>
          <w:snapToGrid w:val="0"/>
          <w:sz w:val="18"/>
          <w:lang w:eastAsia="en-AU"/>
        </w:rPr>
        <w:t>positive</w:t>
      </w:r>
      <w:r w:rsidRPr="00EF2E8A">
        <w:rPr>
          <w:rFonts w:ascii="Arial Narrow" w:eastAsia="Times New Roman" w:hAnsi="Arial Narrow" w:cs="Arial"/>
          <w:snapToGrid w:val="0"/>
          <w:sz w:val="18"/>
          <w:lang w:eastAsia="en-AU"/>
        </w:rPr>
        <w:t xml:space="preserve"> RD indicates higher </w:t>
      </w:r>
      <w:r w:rsidR="002D6155" w:rsidRPr="00EF2E8A">
        <w:rPr>
          <w:rFonts w:ascii="Arial Narrow" w:eastAsia="Times New Roman" w:hAnsi="Arial Narrow" w:cs="Arial"/>
          <w:snapToGrid w:val="0"/>
          <w:sz w:val="18"/>
          <w:lang w:eastAsia="en-AU"/>
        </w:rPr>
        <w:t>TE</w:t>
      </w:r>
      <w:r w:rsidRPr="00EF2E8A">
        <w:rPr>
          <w:rFonts w:ascii="Arial Narrow" w:eastAsia="Times New Roman" w:hAnsi="Arial Narrow" w:cs="Arial"/>
          <w:snapToGrid w:val="0"/>
          <w:sz w:val="18"/>
          <w:lang w:eastAsia="en-AU"/>
        </w:rPr>
        <w:t xml:space="preserve">AE frequency in </w:t>
      </w:r>
      <w:r w:rsidR="006E6BEF" w:rsidRPr="00EF2E8A">
        <w:rPr>
          <w:rFonts w:ascii="Arial Narrow" w:eastAsia="Times New Roman" w:hAnsi="Arial Narrow" w:cs="Arial"/>
          <w:snapToGrid w:val="0"/>
          <w:sz w:val="18"/>
          <w:lang w:eastAsia="en-AU"/>
        </w:rPr>
        <w:t>MIRV</w:t>
      </w:r>
      <w:r w:rsidRPr="00EF2E8A">
        <w:rPr>
          <w:rFonts w:ascii="Arial Narrow" w:eastAsia="Times New Roman" w:hAnsi="Arial Narrow" w:cs="Arial"/>
          <w:snapToGrid w:val="0"/>
          <w:sz w:val="18"/>
          <w:lang w:eastAsia="en-AU"/>
        </w:rPr>
        <w:t xml:space="preserve">. A RR &gt; 1 indicates that </w:t>
      </w:r>
      <w:r w:rsidR="006E6BEF" w:rsidRPr="00EF2E8A">
        <w:rPr>
          <w:rFonts w:ascii="Arial Narrow" w:eastAsia="Times New Roman" w:hAnsi="Arial Narrow" w:cs="Arial"/>
          <w:snapToGrid w:val="0"/>
          <w:sz w:val="18"/>
          <w:lang w:eastAsia="en-AU"/>
        </w:rPr>
        <w:t>MIRV</w:t>
      </w:r>
      <w:r w:rsidRPr="00EF2E8A">
        <w:rPr>
          <w:rFonts w:ascii="Arial Narrow" w:eastAsia="Times New Roman" w:hAnsi="Arial Narrow" w:cs="Arial"/>
          <w:snapToGrid w:val="0"/>
          <w:sz w:val="18"/>
          <w:lang w:eastAsia="en-AU"/>
        </w:rPr>
        <w:t xml:space="preserve"> was associated with higher rate of </w:t>
      </w:r>
      <w:r w:rsidR="002D6155" w:rsidRPr="00EF2E8A">
        <w:rPr>
          <w:rFonts w:ascii="Arial Narrow" w:eastAsia="Times New Roman" w:hAnsi="Arial Narrow" w:cs="Arial"/>
          <w:snapToGrid w:val="0"/>
          <w:sz w:val="18"/>
          <w:lang w:eastAsia="en-AU"/>
        </w:rPr>
        <w:t>TE</w:t>
      </w:r>
      <w:r w:rsidRPr="00EF2E8A">
        <w:rPr>
          <w:rFonts w:ascii="Arial Narrow" w:eastAsia="Times New Roman" w:hAnsi="Arial Narrow" w:cs="Arial"/>
          <w:snapToGrid w:val="0"/>
          <w:sz w:val="18"/>
          <w:lang w:eastAsia="en-AU"/>
        </w:rPr>
        <w:t>AE.</w:t>
      </w:r>
    </w:p>
    <w:p w14:paraId="5E01BDEE" w14:textId="3CDC7630" w:rsidR="00075009" w:rsidRPr="00EF2E8A" w:rsidRDefault="00075009" w:rsidP="00591C83">
      <w:pPr>
        <w:pStyle w:val="ListParagraph"/>
        <w:rPr>
          <w:color w:val="auto"/>
        </w:rPr>
      </w:pPr>
      <w:r w:rsidRPr="00EF2E8A">
        <w:t>In the MIRASOL trial, the incidence of study drug</w:t>
      </w:r>
      <w:r w:rsidR="00A46D2B">
        <w:noBreakHyphen/>
      </w:r>
      <w:r w:rsidRPr="00EF2E8A">
        <w:t xml:space="preserve">related TEAEs </w:t>
      </w:r>
      <w:r w:rsidR="000A3053" w:rsidRPr="00EF2E8A">
        <w:t xml:space="preserve">was </w:t>
      </w:r>
      <w:r w:rsidRPr="00EF2E8A">
        <w:t xml:space="preserve">similar across the two treatment arms (88% vs 81% for MIRV and ICC, respectively), except the </w:t>
      </w:r>
      <w:r w:rsidRPr="00EF2E8A">
        <w:rPr>
          <w:color w:val="auto"/>
        </w:rPr>
        <w:t>following events:</w:t>
      </w:r>
    </w:p>
    <w:p w14:paraId="03E045BB" w14:textId="553CD25F" w:rsidR="00075009" w:rsidRPr="00EF2E8A" w:rsidRDefault="00075009" w:rsidP="00591C83">
      <w:pPr>
        <w:pStyle w:val="InstructionBulletpoint"/>
        <w:ind w:left="1080"/>
        <w:rPr>
          <w:color w:val="auto"/>
        </w:rPr>
      </w:pPr>
      <w:r w:rsidRPr="00EF2E8A">
        <w:rPr>
          <w:color w:val="auto"/>
        </w:rPr>
        <w:t xml:space="preserve">Eye disorders, which occurred more frequently in those treated with MIRV (52% vs 2%). These were consistent with the known </w:t>
      </w:r>
      <w:r w:rsidR="002D6155" w:rsidRPr="00EF2E8A">
        <w:rPr>
          <w:color w:val="auto"/>
        </w:rPr>
        <w:t>Adverse Event (</w:t>
      </w:r>
      <w:r w:rsidRPr="00EF2E8A">
        <w:rPr>
          <w:color w:val="auto"/>
        </w:rPr>
        <w:t>AE</w:t>
      </w:r>
      <w:r w:rsidR="002D6155" w:rsidRPr="00EF2E8A">
        <w:rPr>
          <w:color w:val="auto"/>
        </w:rPr>
        <w:t>)</w:t>
      </w:r>
      <w:r w:rsidRPr="00EF2E8A">
        <w:rPr>
          <w:color w:val="auto"/>
        </w:rPr>
        <w:t xml:space="preserve"> profile of MIRV. There were also small numbers of events of pneumonitis 7 (3%) which led to MIRV discontinuation.</w:t>
      </w:r>
    </w:p>
    <w:p w14:paraId="4DDFCA7C" w14:textId="5C16C416" w:rsidR="00075009" w:rsidRPr="00EF2E8A" w:rsidRDefault="00075009" w:rsidP="00591C83">
      <w:pPr>
        <w:pStyle w:val="InstructionBulletpoint"/>
        <w:ind w:left="1080"/>
        <w:rPr>
          <w:color w:val="auto"/>
        </w:rPr>
      </w:pPr>
      <w:r w:rsidRPr="00EF2E8A">
        <w:rPr>
          <w:color w:val="auto"/>
        </w:rPr>
        <w:lastRenderedPageBreak/>
        <w:t xml:space="preserve">Blood and lymphatic system disorders, which occurred more frequently in </w:t>
      </w:r>
      <w:r w:rsidR="00591C83">
        <w:rPr>
          <w:color w:val="auto"/>
        </w:rPr>
        <w:br/>
      </w:r>
      <w:r w:rsidRPr="00EF2E8A">
        <w:rPr>
          <w:color w:val="auto"/>
        </w:rPr>
        <w:t xml:space="preserve">ICC–treated patients (44% vs 19%). These were consistent with the known AE profiles of the ICC agents, paclitaxel and topotecan. </w:t>
      </w:r>
    </w:p>
    <w:p w14:paraId="1D67CFB1" w14:textId="1788966E" w:rsidR="00075009" w:rsidRPr="00EF2E8A" w:rsidRDefault="00075009" w:rsidP="00591C83">
      <w:pPr>
        <w:pStyle w:val="ListParagraph"/>
      </w:pPr>
      <w:r w:rsidRPr="00EF2E8A">
        <w:t xml:space="preserve">Fewer MIRASOL patients treated with MIRV experienced TEAEs leading to discontinuation compared to those treated with ICC (11% vs 15%). The most common TEAEs leading to treatment discontinuation were pneumonitis (3%) and blurred vision (2%). At the September 2024 cutoff, 5 (2%) patients were permanently discontinued from MIRV due to ocular TEAEs. Among patients treated with ICC, </w:t>
      </w:r>
      <w:r w:rsidR="0053020C" w:rsidRPr="00EF2E8A">
        <w:t>the</w:t>
      </w:r>
      <w:r w:rsidRPr="00EF2E8A">
        <w:t xml:space="preserve"> most common events </w:t>
      </w:r>
      <w:r w:rsidR="0053020C" w:rsidRPr="00EF2E8A">
        <w:t xml:space="preserve">that </w:t>
      </w:r>
      <w:r w:rsidRPr="00EF2E8A">
        <w:t>led to treatment discontinuation were gastrointestinal disorders (4%), peripheral neuropathy (2%) and thrombocytopenia (2%).</w:t>
      </w:r>
    </w:p>
    <w:p w14:paraId="63371BD8" w14:textId="31603158" w:rsidR="00B95744" w:rsidRPr="00EF2E8A" w:rsidRDefault="00B95744" w:rsidP="00591C83">
      <w:pPr>
        <w:pStyle w:val="ListParagraph"/>
      </w:pPr>
      <w:r w:rsidRPr="00EF2E8A">
        <w:t xml:space="preserve">The ESCs noted the increased corneal keratopathy adverse events in patients treated with MIRV (52%, compared with 2% for ICC), and considered that the toxicity profile may significantly affect quality of life, as vision changes can be quite distressing for patients. </w:t>
      </w:r>
      <w:r w:rsidR="00C02438" w:rsidRPr="00EF2E8A">
        <w:t xml:space="preserve">While the ESCs noted the higher discontinuation rate in the </w:t>
      </w:r>
      <w:r w:rsidR="008B46F0" w:rsidRPr="00EF2E8A">
        <w:t xml:space="preserve">ICC arm compared to MIRV, </w:t>
      </w:r>
      <w:r w:rsidR="00BC6CB4" w:rsidRPr="00EF2E8A">
        <w:t>the sub</w:t>
      </w:r>
      <w:r w:rsidR="00A46D2B">
        <w:noBreakHyphen/>
      </w:r>
      <w:r w:rsidR="00BC6CB4" w:rsidRPr="00EF2E8A">
        <w:t>committees</w:t>
      </w:r>
      <w:r w:rsidR="00E36C7D" w:rsidRPr="00EF2E8A">
        <w:t xml:space="preserve"> considered that this was likely due to increased motivation for patients to continue with the experimental drug in the open label trials. </w:t>
      </w:r>
      <w:r w:rsidR="00C71F4A">
        <w:t>The Pre</w:t>
      </w:r>
      <w:r w:rsidR="00A46D2B">
        <w:noBreakHyphen/>
      </w:r>
      <w:r w:rsidR="00C71F4A">
        <w:t>PBAC response</w:t>
      </w:r>
      <w:r w:rsidR="00B65B3F">
        <w:t xml:space="preserve"> </w:t>
      </w:r>
      <w:r w:rsidR="00CE37C4">
        <w:t>claimed that k</w:t>
      </w:r>
      <w:r w:rsidR="00CE37C4" w:rsidRPr="00CE37C4">
        <w:t xml:space="preserve">eratopathy </w:t>
      </w:r>
      <w:r w:rsidR="00CE37C4">
        <w:t>symptoms (</w:t>
      </w:r>
      <w:r w:rsidR="00E35670">
        <w:t>e.g.</w:t>
      </w:r>
      <w:r w:rsidR="00CE37C4" w:rsidRPr="00CE37C4">
        <w:t xml:space="preserve"> blurred vision, dryness, and irritation</w:t>
      </w:r>
      <w:r w:rsidR="00CE37C4">
        <w:t xml:space="preserve">) </w:t>
      </w:r>
      <w:r w:rsidR="003F282E">
        <w:t>“</w:t>
      </w:r>
      <w:r w:rsidR="00CE37C4" w:rsidRPr="00CE37C4">
        <w:t>typically resolve as the corneal epithelium regenerates every 1–2 weeks</w:t>
      </w:r>
      <w:r w:rsidR="003F282E">
        <w:t>”, and “[</w:t>
      </w:r>
      <w:r w:rsidR="00CE37C4" w:rsidRPr="00CE37C4">
        <w:t>I</w:t>
      </w:r>
      <w:r w:rsidR="003F282E">
        <w:t>]</w:t>
      </w:r>
      <w:r w:rsidR="00CE37C4" w:rsidRPr="00CE37C4">
        <w:t>n the MIRV pooled safety analysis, Grade 3 and 4 ocular adverse events occurred in only 5% of patients, with no instances of corneal ulcer or perforation, only temporary changes in visual acuity</w:t>
      </w:r>
      <w:r w:rsidR="003F282E">
        <w:t>’</w:t>
      </w:r>
      <w:r w:rsidR="0082708F">
        <w:t xml:space="preserve">, and that of the </w:t>
      </w:r>
      <w:r w:rsidR="00CE37C4" w:rsidRPr="00CE37C4">
        <w:t>52%</w:t>
      </w:r>
      <w:r w:rsidR="00704BA9">
        <w:t xml:space="preserve"> of patients with </w:t>
      </w:r>
      <w:r w:rsidR="0082708F">
        <w:t>ocular AEs reported for MIRV</w:t>
      </w:r>
      <w:r w:rsidR="00704BA9">
        <w:t xml:space="preserve"> </w:t>
      </w:r>
      <w:r w:rsidR="00CE37C4" w:rsidRPr="00CE37C4">
        <w:t>in the MIRASOL study</w:t>
      </w:r>
      <w:r w:rsidR="00704BA9">
        <w:t>, most (</w:t>
      </w:r>
      <w:r w:rsidR="00704BA9" w:rsidRPr="00CE37C4">
        <w:t>96%</w:t>
      </w:r>
      <w:r w:rsidR="00704BA9">
        <w:t xml:space="preserve">) </w:t>
      </w:r>
      <w:r w:rsidR="00CE37C4" w:rsidRPr="00CE37C4">
        <w:t>improv</w:t>
      </w:r>
      <w:r w:rsidR="00704BA9">
        <w:t>ed</w:t>
      </w:r>
      <w:r w:rsidR="00CE37C4" w:rsidRPr="00CE37C4">
        <w:t xml:space="preserve"> to Grade 1 or better.</w:t>
      </w:r>
    </w:p>
    <w:p w14:paraId="32976835" w14:textId="04B64580" w:rsidR="00075009" w:rsidRPr="00EF2E8A" w:rsidRDefault="00075009" w:rsidP="00591C83">
      <w:pPr>
        <w:pStyle w:val="ListParagraph"/>
      </w:pPr>
      <w:r w:rsidRPr="00EF2E8A">
        <w:t xml:space="preserve">Gastrointestinal disorders </w:t>
      </w:r>
      <w:r w:rsidR="00C0319B" w:rsidRPr="00EF2E8A">
        <w:t>i</w:t>
      </w:r>
      <w:r w:rsidRPr="00EF2E8A">
        <w:t>ncluding serious adverse events (SAEs) and Grade 3+ events were similar between the arms. There were no study drug</w:t>
      </w:r>
      <w:r w:rsidR="00A46D2B">
        <w:noBreakHyphen/>
      </w:r>
      <w:r w:rsidRPr="00EF2E8A">
        <w:t>related deaths due to MIRV in the trial</w:t>
      </w:r>
      <w:r w:rsidR="00203C51" w:rsidRPr="00EF2E8A">
        <w:t xml:space="preserve"> and one</w:t>
      </w:r>
      <w:r w:rsidR="001416A1" w:rsidRPr="00EF2E8A">
        <w:t xml:space="preserve"> death reported in the ICC arm</w:t>
      </w:r>
      <w:r w:rsidRPr="00EF2E8A">
        <w:t>. Grade 3+ ocular events occurred in 34 (16%) MIRV patients but were absent from ICC patients. MIRV patients experienced Grade 3+ gastrointestinal disorders at a similar rate to ICC patients (30 (14%) patients versus 31 (15%), respectively). Conversely,</w:t>
      </w:r>
      <w:r w:rsidR="001416A1" w:rsidRPr="00EF2E8A">
        <w:t xml:space="preserve"> </w:t>
      </w:r>
      <w:r w:rsidR="0000180D" w:rsidRPr="00EF2E8A">
        <w:t>Grade 3+</w:t>
      </w:r>
      <w:r w:rsidRPr="00EF2E8A">
        <w:t xml:space="preserve"> blood and lymphatic system disorders were experienced in 51 (25%) ICC patients compared to 6 (3%) in the MIRV arm</w:t>
      </w:r>
      <w:r w:rsidR="00600926" w:rsidRPr="00EF2E8A">
        <w:t>,</w:t>
      </w:r>
      <w:r w:rsidR="00810184" w:rsidRPr="00EF2E8A">
        <w:t xml:space="preserve"> consistent with the known toxicity profile of the ICC agents</w:t>
      </w:r>
      <w:r w:rsidRPr="00EF2E8A">
        <w:t>.</w:t>
      </w:r>
    </w:p>
    <w:p w14:paraId="758587DA" w14:textId="70B5CCEE" w:rsidR="00075009" w:rsidRPr="00EF2E8A" w:rsidRDefault="00075009" w:rsidP="00591C83">
      <w:pPr>
        <w:pStyle w:val="ListParagraph"/>
      </w:pPr>
      <w:r w:rsidRPr="00EF2E8A">
        <w:t xml:space="preserve">In the MIRV arm, 4 (2%) patients experienced TEAEs leading to death compared to 5 (2%) patients in the ICC arms. For deaths where </w:t>
      </w:r>
      <w:r w:rsidR="0000180D" w:rsidRPr="00EF2E8A">
        <w:t>TE</w:t>
      </w:r>
      <w:r w:rsidRPr="00EF2E8A">
        <w:t>AEs were the primary cause of death, 3 (1.4%) occurred in each trial arm. In the MIRV arm, these events were respiratory failure, intestinal obstruction and cardiopulmonary failure, in the ICC arm these were from Clostridioides difficile colitis, septic shock (also drug</w:t>
      </w:r>
      <w:r w:rsidR="00A46D2B">
        <w:noBreakHyphen/>
      </w:r>
      <w:r w:rsidRPr="00EF2E8A">
        <w:t>related due to topotecan) and intestinal occlusive syndrome.</w:t>
      </w:r>
    </w:p>
    <w:p w14:paraId="3D5F28F9" w14:textId="05C9BB6E" w:rsidR="00F65A47" w:rsidRPr="00EF2E8A" w:rsidRDefault="00075009" w:rsidP="00591C83">
      <w:pPr>
        <w:pStyle w:val="ListParagraph"/>
      </w:pPr>
      <w:r w:rsidRPr="00EF2E8A">
        <w:t xml:space="preserve">Looking at individual ICC agents, </w:t>
      </w:r>
      <w:r w:rsidR="00AD422C" w:rsidRPr="00EF2E8A">
        <w:t xml:space="preserve">TEAEs </w:t>
      </w:r>
      <w:r w:rsidRPr="00EF2E8A">
        <w:t xml:space="preserve">for paclitaxel were generally higher than MIRV (Grade 3+ TEAEs 63% vs 44%; discontinuations 18% vs 11%). </w:t>
      </w:r>
      <w:r w:rsidR="004D63CB" w:rsidRPr="00EF2E8A">
        <w:t>The evaluation noted that p</w:t>
      </w:r>
      <w:r w:rsidRPr="00EF2E8A">
        <w:t>atients who received PLD</w:t>
      </w:r>
      <w:r w:rsidR="001120B5" w:rsidRPr="00EF2E8A">
        <w:t xml:space="preserve"> </w:t>
      </w:r>
      <w:r w:rsidR="001463F7" w:rsidRPr="00EF2E8A">
        <w:t>(</w:t>
      </w:r>
      <w:r w:rsidR="001120B5" w:rsidRPr="00EF2E8A">
        <w:t xml:space="preserve">the dominant agent used in PROC reported </w:t>
      </w:r>
      <w:r w:rsidR="00E673A3" w:rsidRPr="00EF2E8A">
        <w:t>in CaSP registry data</w:t>
      </w:r>
      <w:r w:rsidR="001463F7" w:rsidRPr="00EF2E8A">
        <w:t xml:space="preserve">, </w:t>
      </w:r>
      <w:r w:rsidR="00E673A3" w:rsidRPr="00EF2E8A">
        <w:t xml:space="preserve">see </w:t>
      </w:r>
      <w:r w:rsidR="006A4D02" w:rsidRPr="00EF2E8A">
        <w:t xml:space="preserve">paragraph </w:t>
      </w:r>
      <w:r w:rsidR="006A4D02" w:rsidRPr="00EF2E8A">
        <w:fldChar w:fldCharType="begin" w:fldLock="1"/>
      </w:r>
      <w:r w:rsidR="006A4D02" w:rsidRPr="00EF2E8A">
        <w:instrText xml:space="preserve"> REF _Ref200972669 \r \h </w:instrText>
      </w:r>
      <w:r w:rsidR="00F46DFE" w:rsidRPr="00EF2E8A">
        <w:instrText xml:space="preserve"> \* MERGEFORMAT </w:instrText>
      </w:r>
      <w:r w:rsidR="006A4D02" w:rsidRPr="00EF2E8A">
        <w:fldChar w:fldCharType="separate"/>
      </w:r>
      <w:r w:rsidR="00CC5CAD">
        <w:t>5.3</w:t>
      </w:r>
      <w:r w:rsidR="006A4D02" w:rsidRPr="00EF2E8A">
        <w:fldChar w:fldCharType="end"/>
      </w:r>
      <w:r w:rsidR="001463F7" w:rsidRPr="00EF2E8A">
        <w:t>)</w:t>
      </w:r>
      <w:r w:rsidR="00D45338" w:rsidRPr="00EF2E8A">
        <w:t>,</w:t>
      </w:r>
      <w:r w:rsidRPr="00EF2E8A">
        <w:t xml:space="preserve"> experienced </w:t>
      </w:r>
      <w:r w:rsidR="001463F7" w:rsidRPr="00EF2E8A">
        <w:t xml:space="preserve">slightly </w:t>
      </w:r>
      <w:r w:rsidRPr="00EF2E8A">
        <w:t xml:space="preserve">fewer </w:t>
      </w:r>
      <w:r w:rsidR="00D929DD" w:rsidRPr="00EF2E8A">
        <w:t>TE</w:t>
      </w:r>
      <w:r w:rsidRPr="00EF2E8A">
        <w:t>AEs compared to MIRV (TEAEs 91% vs 97%; Grade</w:t>
      </w:r>
      <w:r w:rsidR="00484CCB" w:rsidRPr="00EF2E8A">
        <w:t xml:space="preserve"> </w:t>
      </w:r>
      <w:r w:rsidRPr="00EF2E8A">
        <w:t>3+ TEAEs 42% vs 44%; discontinuations due to study drug</w:t>
      </w:r>
      <w:r w:rsidR="00A46D2B">
        <w:noBreakHyphen/>
      </w:r>
      <w:r w:rsidRPr="00EF2E8A">
        <w:t xml:space="preserve">related TEAEs 0 vs 9%, respectively). </w:t>
      </w:r>
      <w:r w:rsidR="00744F89" w:rsidRPr="00EF2E8A">
        <w:t>The evaluation and the ESCs considered that real world adverse events may be milder for patients receiving non</w:t>
      </w:r>
      <w:r w:rsidR="00A46D2B">
        <w:noBreakHyphen/>
      </w:r>
      <w:r w:rsidR="00744F89" w:rsidRPr="00EF2E8A">
        <w:t xml:space="preserve">platinum chemotherapy </w:t>
      </w:r>
      <w:r w:rsidR="00744F89" w:rsidRPr="00EF2E8A">
        <w:lastRenderedPageBreak/>
        <w:t xml:space="preserve">compared to MIRV. </w:t>
      </w:r>
      <w:r w:rsidRPr="00EF2E8A">
        <w:t xml:space="preserve">For some events, rates for PLD were lower than either MIRV or ICC overall (fatigue, diarrhoea, neuropathy, thrombocytopenia). </w:t>
      </w:r>
    </w:p>
    <w:p w14:paraId="3BD660B8" w14:textId="6AC5B3B8" w:rsidR="00624315" w:rsidRPr="00EF2E8A" w:rsidRDefault="00624315" w:rsidP="00591C83">
      <w:pPr>
        <w:pStyle w:val="OutlineHeading2"/>
        <w:rPr>
          <w:rFonts w:ascii="Calibri" w:hAnsi="Calibri" w:cs="Calibri"/>
        </w:rPr>
      </w:pPr>
      <w:bookmarkStart w:id="61" w:name="_Toc413139281"/>
      <w:r w:rsidRPr="00EF2E8A">
        <w:rPr>
          <w:rFonts w:ascii="Calibri" w:hAnsi="Calibri" w:cs="Calibri"/>
        </w:rPr>
        <w:t>Benefits</w:t>
      </w:r>
      <w:r w:rsidR="00233714" w:rsidRPr="00EF2E8A">
        <w:rPr>
          <w:rFonts w:ascii="Calibri" w:hAnsi="Calibri" w:cs="Calibri"/>
        </w:rPr>
        <w:t>/</w:t>
      </w:r>
      <w:r w:rsidRPr="00EF2E8A">
        <w:rPr>
          <w:rFonts w:ascii="Calibri" w:hAnsi="Calibri" w:cs="Calibri"/>
        </w:rPr>
        <w:t xml:space="preserve"> harms</w:t>
      </w:r>
    </w:p>
    <w:p w14:paraId="1715DC15" w14:textId="1FE94CAD" w:rsidR="00075009" w:rsidRPr="00EF2E8A" w:rsidRDefault="00075009" w:rsidP="00591C83">
      <w:pPr>
        <w:pStyle w:val="ListParagraph"/>
      </w:pPr>
      <w:bookmarkStart w:id="62" w:name="_Toc413139282"/>
      <w:bookmarkEnd w:id="61"/>
      <w:r w:rsidRPr="00EF2E8A">
        <w:t xml:space="preserve">A summary of the comparative benefits and harms for MIRV versus ICC </w:t>
      </w:r>
      <w:r w:rsidR="00A12C7D">
        <w:t xml:space="preserve">for patients classified as biomarker positive </w:t>
      </w:r>
      <w:r w:rsidRPr="00EF2E8A">
        <w:t>is presented in</w:t>
      </w:r>
      <w:r w:rsidR="00037126">
        <w:t xml:space="preserve"> </w:t>
      </w:r>
      <w:r w:rsidR="00037126">
        <w:fldChar w:fldCharType="begin" w:fldLock="1"/>
      </w:r>
      <w:r w:rsidR="00037126">
        <w:instrText xml:space="preserve"> REF _Ref205198475 \h </w:instrText>
      </w:r>
      <w:r w:rsidR="00037126">
        <w:fldChar w:fldCharType="separate"/>
      </w:r>
      <w:r w:rsidR="00CC5CAD">
        <w:t xml:space="preserve">Table </w:t>
      </w:r>
      <w:r w:rsidR="00CC5CAD">
        <w:rPr>
          <w:noProof/>
        </w:rPr>
        <w:t>17</w:t>
      </w:r>
      <w:r w:rsidR="00037126">
        <w:fldChar w:fldCharType="end"/>
      </w:r>
      <w:r w:rsidRPr="00EF2E8A">
        <w:t xml:space="preserve">. </w:t>
      </w:r>
    </w:p>
    <w:p w14:paraId="4A4D4C91" w14:textId="77777777" w:rsidR="00075009" w:rsidRPr="00EF2E8A" w:rsidRDefault="00075009" w:rsidP="00591C83">
      <w:pPr>
        <w:spacing w:before="0" w:line="259" w:lineRule="auto"/>
        <w:jc w:val="left"/>
        <w:rPr>
          <w:color w:val="000000" w:themeColor="text1"/>
        </w:rPr>
      </w:pPr>
      <w:r w:rsidRPr="00EF2E8A">
        <w:br w:type="page"/>
      </w:r>
    </w:p>
    <w:p w14:paraId="2229DAC3" w14:textId="67EDD9A9" w:rsidR="00FF5B86" w:rsidRDefault="00FF5B86" w:rsidP="00591C83">
      <w:pPr>
        <w:pStyle w:val="Caption"/>
      </w:pPr>
      <w:bookmarkStart w:id="63" w:name="_Ref205198475"/>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17</w:t>
      </w:r>
      <w:r w:rsidR="00CC5CAD">
        <w:rPr>
          <w:noProof/>
        </w:rPr>
        <w:fldChar w:fldCharType="end"/>
      </w:r>
      <w:bookmarkEnd w:id="63"/>
      <w:r>
        <w:t xml:space="preserve">: </w:t>
      </w:r>
      <w:r w:rsidRPr="0025463B">
        <w:t>Summary of comparative benefits and harms for MIRV and ICC (MIRASOL)</w:t>
      </w:r>
    </w:p>
    <w:tbl>
      <w:tblPr>
        <w:tblStyle w:val="TableGrid"/>
        <w:tblW w:w="5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Summary of comparative benefits and harms for MIRV and ICC (MIRASOL)"/>
      </w:tblPr>
      <w:tblGrid>
        <w:gridCol w:w="2395"/>
        <w:gridCol w:w="1079"/>
        <w:gridCol w:w="634"/>
        <w:gridCol w:w="327"/>
        <w:gridCol w:w="1320"/>
        <w:gridCol w:w="57"/>
        <w:gridCol w:w="1024"/>
        <w:gridCol w:w="961"/>
        <w:gridCol w:w="1700"/>
      </w:tblGrid>
      <w:tr w:rsidR="00005E99" w:rsidRPr="00EF2E8A" w14:paraId="350D2DF3" w14:textId="77777777" w:rsidTr="00A12C7D">
        <w:trPr>
          <w:cnfStyle w:val="100000000000" w:firstRow="1" w:lastRow="0" w:firstColumn="0" w:lastColumn="0" w:oddVBand="0" w:evenVBand="0" w:oddHBand="0" w:evenHBand="0" w:firstRowFirstColumn="0" w:firstRowLastColumn="0" w:lastRowFirstColumn="0" w:lastRowLastColumn="0"/>
          <w:trHeight w:val="20"/>
        </w:trPr>
        <w:tc>
          <w:tcPr>
            <w:tcW w:w="1261" w:type="pct"/>
          </w:tcPr>
          <w:p w14:paraId="76269D36" w14:textId="77777777" w:rsidR="00FA6D9D" w:rsidRPr="00EF2E8A" w:rsidRDefault="00FA6D9D" w:rsidP="00591C83">
            <w:pPr>
              <w:pStyle w:val="In-tableHeading"/>
              <w:spacing w:after="40"/>
              <w:rPr>
                <w:b/>
                <w:szCs w:val="20"/>
                <w:lang w:val="en-AU"/>
              </w:rPr>
            </w:pPr>
            <w:r w:rsidRPr="00EF2E8A">
              <w:rPr>
                <w:b/>
                <w:szCs w:val="20"/>
                <w:lang w:val="en-AU"/>
              </w:rPr>
              <w:t>Outcome</w:t>
            </w:r>
          </w:p>
        </w:tc>
        <w:tc>
          <w:tcPr>
            <w:tcW w:w="902" w:type="pct"/>
            <w:gridSpan w:val="2"/>
            <w:vAlign w:val="center"/>
          </w:tcPr>
          <w:p w14:paraId="426A1C53" w14:textId="77777777" w:rsidR="00FA6D9D" w:rsidRPr="00EF2E8A" w:rsidRDefault="00FA6D9D" w:rsidP="00591C83">
            <w:pPr>
              <w:pStyle w:val="In-tableHeading"/>
              <w:spacing w:after="40"/>
              <w:jc w:val="center"/>
              <w:rPr>
                <w:b/>
                <w:szCs w:val="20"/>
                <w:lang w:val="en-AU"/>
              </w:rPr>
            </w:pPr>
            <w:r w:rsidRPr="00EF2E8A">
              <w:rPr>
                <w:rFonts w:cs="Calibri"/>
                <w:b/>
                <w:bCs/>
                <w:szCs w:val="20"/>
                <w:lang w:val="en-AU"/>
              </w:rPr>
              <w:t>MIRV (N=227)</w:t>
            </w:r>
          </w:p>
        </w:tc>
        <w:tc>
          <w:tcPr>
            <w:tcW w:w="897" w:type="pct"/>
            <w:gridSpan w:val="3"/>
            <w:vAlign w:val="center"/>
          </w:tcPr>
          <w:p w14:paraId="7BCD71CB" w14:textId="77777777" w:rsidR="00FA6D9D" w:rsidRPr="00EF2E8A" w:rsidRDefault="00FA6D9D" w:rsidP="00591C83">
            <w:pPr>
              <w:pStyle w:val="In-tableHeading"/>
              <w:spacing w:after="40"/>
              <w:jc w:val="center"/>
              <w:rPr>
                <w:b/>
                <w:szCs w:val="20"/>
                <w:lang w:val="en-AU"/>
              </w:rPr>
            </w:pPr>
            <w:r w:rsidRPr="00EF2E8A">
              <w:rPr>
                <w:rFonts w:cs="Calibri"/>
                <w:b/>
                <w:bCs/>
                <w:szCs w:val="20"/>
                <w:lang w:val="en-AU"/>
              </w:rPr>
              <w:t>ICC (N=226)</w:t>
            </w:r>
          </w:p>
        </w:tc>
        <w:tc>
          <w:tcPr>
            <w:tcW w:w="1045" w:type="pct"/>
            <w:gridSpan w:val="2"/>
          </w:tcPr>
          <w:p w14:paraId="13936A31" w14:textId="77777777" w:rsidR="00FA6D9D" w:rsidRPr="00EF2E8A" w:rsidRDefault="00FA6D9D" w:rsidP="00591C83">
            <w:pPr>
              <w:pStyle w:val="In-tableHeading"/>
              <w:spacing w:after="40"/>
              <w:jc w:val="center"/>
              <w:rPr>
                <w:b/>
                <w:szCs w:val="20"/>
                <w:lang w:val="en-AU"/>
              </w:rPr>
            </w:pPr>
            <w:r w:rsidRPr="00EF2E8A">
              <w:rPr>
                <w:b/>
                <w:szCs w:val="20"/>
                <w:lang w:val="en-AU"/>
              </w:rPr>
              <w:t>Absolute Difference</w:t>
            </w:r>
          </w:p>
        </w:tc>
        <w:tc>
          <w:tcPr>
            <w:tcW w:w="895" w:type="pct"/>
          </w:tcPr>
          <w:p w14:paraId="195D8D94" w14:textId="77777777" w:rsidR="00FA6D9D" w:rsidRPr="00EF2E8A" w:rsidRDefault="00FA6D9D" w:rsidP="00591C83">
            <w:pPr>
              <w:pStyle w:val="In-tableHeading"/>
              <w:spacing w:after="40"/>
              <w:jc w:val="center"/>
              <w:rPr>
                <w:b/>
                <w:szCs w:val="20"/>
                <w:lang w:val="en-AU"/>
              </w:rPr>
            </w:pPr>
            <w:r w:rsidRPr="00EF2E8A">
              <w:rPr>
                <w:b/>
                <w:szCs w:val="20"/>
                <w:lang w:val="en-AU"/>
              </w:rPr>
              <w:t>HR (95% CI)</w:t>
            </w:r>
          </w:p>
        </w:tc>
      </w:tr>
      <w:tr w:rsidR="00FA6D9D" w:rsidRPr="00EF2E8A" w14:paraId="3E16B6CC" w14:textId="77777777" w:rsidTr="00A12C7D">
        <w:trPr>
          <w:trHeight w:val="72"/>
        </w:trPr>
        <w:tc>
          <w:tcPr>
            <w:tcW w:w="5000" w:type="pct"/>
            <w:gridSpan w:val="9"/>
          </w:tcPr>
          <w:p w14:paraId="55A88C2E" w14:textId="77777777" w:rsidR="00FA6D9D" w:rsidRPr="00EF2E8A" w:rsidRDefault="00FA6D9D" w:rsidP="00591C83">
            <w:pPr>
              <w:pStyle w:val="In-tableHeading"/>
              <w:rPr>
                <w:szCs w:val="20"/>
                <w:lang w:val="en-AU"/>
              </w:rPr>
            </w:pPr>
            <w:r w:rsidRPr="00EF2E8A">
              <w:rPr>
                <w:szCs w:val="20"/>
                <w:lang w:val="en-AU"/>
              </w:rPr>
              <w:t>BENEFITS</w:t>
            </w:r>
          </w:p>
        </w:tc>
      </w:tr>
      <w:tr w:rsidR="00FA6D9D" w:rsidRPr="00EF2E8A" w14:paraId="3B92EF5D" w14:textId="77777777" w:rsidTr="00A12C7D">
        <w:trPr>
          <w:trHeight w:val="20"/>
        </w:trPr>
        <w:tc>
          <w:tcPr>
            <w:tcW w:w="5000" w:type="pct"/>
            <w:gridSpan w:val="9"/>
          </w:tcPr>
          <w:p w14:paraId="086F9424" w14:textId="7E524AC5" w:rsidR="00FA6D9D" w:rsidRPr="00EF2E8A" w:rsidRDefault="00FA6D9D" w:rsidP="00591C83">
            <w:pPr>
              <w:pStyle w:val="In-tableHeading"/>
              <w:spacing w:after="40"/>
              <w:rPr>
                <w:lang w:val="en-AU"/>
              </w:rPr>
            </w:pPr>
            <w:r w:rsidRPr="00EF2E8A">
              <w:rPr>
                <w:lang w:val="en-AU"/>
              </w:rPr>
              <w:t>PFS by investigator – September 2024 data cutoff (median follow</w:t>
            </w:r>
            <w:r w:rsidR="00A46D2B">
              <w:rPr>
                <w:lang w:val="en-AU"/>
              </w:rPr>
              <w:noBreakHyphen/>
            </w:r>
            <w:r w:rsidRPr="00EF2E8A">
              <w:rPr>
                <w:lang w:val="en-AU"/>
              </w:rPr>
              <w:t xml:space="preserve">up 28.35 mo; 95% CI 24.97, </w:t>
            </w:r>
            <w:r w:rsidR="00A46D2B">
              <w:rPr>
                <w:lang w:val="en-AU"/>
              </w:rPr>
              <w:noBreakHyphen/>
            </w:r>
            <w:r w:rsidR="00A46D2B">
              <w:rPr>
                <w:lang w:val="en-AU"/>
              </w:rPr>
              <w:noBreakHyphen/>
            </w:r>
            <w:r w:rsidRPr="00EF2E8A">
              <w:rPr>
                <w:lang w:val="en-AU"/>
              </w:rPr>
              <w:t>)</w:t>
            </w:r>
          </w:p>
        </w:tc>
      </w:tr>
      <w:tr w:rsidR="00CB6BEE" w:rsidRPr="00EF2E8A" w14:paraId="087BBE07" w14:textId="77777777" w:rsidTr="00BF6677">
        <w:trPr>
          <w:trHeight w:val="518"/>
        </w:trPr>
        <w:tc>
          <w:tcPr>
            <w:tcW w:w="1261" w:type="pct"/>
          </w:tcPr>
          <w:p w14:paraId="0EF584CD" w14:textId="12A03DFF" w:rsidR="00CB6BEE" w:rsidRPr="00EF2E8A" w:rsidRDefault="00CB6BEE" w:rsidP="00591C83">
            <w:pPr>
              <w:pStyle w:val="TableText"/>
              <w:keepLines/>
              <w:widowControl/>
              <w:rPr>
                <w:szCs w:val="20"/>
                <w:lang w:val="en-AU"/>
              </w:rPr>
            </w:pPr>
            <w:r w:rsidRPr="00EF2E8A">
              <w:rPr>
                <w:szCs w:val="20"/>
                <w:lang w:val="en-AU"/>
              </w:rPr>
              <w:t>Median PFS, months (95% CI)</w:t>
            </w:r>
          </w:p>
        </w:tc>
        <w:tc>
          <w:tcPr>
            <w:tcW w:w="902" w:type="pct"/>
            <w:gridSpan w:val="2"/>
          </w:tcPr>
          <w:p w14:paraId="69371D44" w14:textId="0320C853" w:rsidR="00CB6BEE" w:rsidRPr="00EF2E8A" w:rsidRDefault="00CB6BEE" w:rsidP="00591C83">
            <w:pPr>
              <w:pStyle w:val="TableText"/>
              <w:keepLines/>
              <w:widowControl/>
              <w:jc w:val="center"/>
              <w:rPr>
                <w:szCs w:val="20"/>
                <w:lang w:val="en-AU"/>
              </w:rPr>
            </w:pPr>
            <w:r w:rsidRPr="00EF2E8A">
              <w:rPr>
                <w:rFonts w:eastAsia="Calibri" w:cs="Calibri"/>
                <w:kern w:val="24"/>
                <w:lang w:val="en-AU"/>
              </w:rPr>
              <w:t>5.59</w:t>
            </w:r>
            <w:r w:rsidR="00BF6677">
              <w:rPr>
                <w:rFonts w:eastAsia="Calibri" w:cs="Calibri"/>
                <w:kern w:val="24"/>
                <w:szCs w:val="20"/>
                <w:lang w:val="en-AU"/>
              </w:rPr>
              <w:t xml:space="preserve"> </w:t>
            </w:r>
            <w:r w:rsidRPr="00EF2E8A">
              <w:rPr>
                <w:rFonts w:eastAsia="Calibri" w:cs="Calibri"/>
                <w:kern w:val="24"/>
                <w:szCs w:val="20"/>
                <w:lang w:val="en-AU"/>
              </w:rPr>
              <w:t>(4.34, 5.88)</w:t>
            </w:r>
          </w:p>
        </w:tc>
        <w:tc>
          <w:tcPr>
            <w:tcW w:w="897" w:type="pct"/>
            <w:gridSpan w:val="3"/>
          </w:tcPr>
          <w:p w14:paraId="5114E5DA" w14:textId="14D201A8" w:rsidR="00CB6BEE" w:rsidRPr="00EF2E8A" w:rsidRDefault="00CB6BEE" w:rsidP="00591C83">
            <w:pPr>
              <w:pStyle w:val="TableText"/>
              <w:keepLines/>
              <w:widowControl/>
              <w:jc w:val="center"/>
              <w:rPr>
                <w:szCs w:val="20"/>
                <w:lang w:val="en-AU"/>
              </w:rPr>
            </w:pPr>
            <w:r w:rsidRPr="00EF2E8A">
              <w:rPr>
                <w:rFonts w:eastAsia="Calibri" w:cs="Calibri"/>
                <w:kern w:val="24"/>
                <w:szCs w:val="20"/>
                <w:lang w:val="en-AU"/>
              </w:rPr>
              <w:t>3.98</w:t>
            </w:r>
            <w:r w:rsidR="00BF6677">
              <w:rPr>
                <w:rFonts w:eastAsia="Calibri" w:cs="Calibri"/>
                <w:kern w:val="24"/>
                <w:szCs w:val="20"/>
                <w:lang w:val="en-AU"/>
              </w:rPr>
              <w:t xml:space="preserve"> </w:t>
            </w:r>
            <w:r w:rsidRPr="00EF2E8A">
              <w:rPr>
                <w:rFonts w:eastAsia="Calibri" w:cs="Calibri"/>
                <w:kern w:val="24"/>
                <w:szCs w:val="20"/>
                <w:lang w:val="en-AU"/>
              </w:rPr>
              <w:t>(2.86, 4.47)</w:t>
            </w:r>
          </w:p>
        </w:tc>
        <w:tc>
          <w:tcPr>
            <w:tcW w:w="1045" w:type="pct"/>
            <w:gridSpan w:val="2"/>
          </w:tcPr>
          <w:p w14:paraId="29C2C2C7" w14:textId="3C6523AC" w:rsidR="00CB6BEE" w:rsidRPr="00EF2E8A" w:rsidRDefault="00CB6BEE" w:rsidP="00591C83">
            <w:pPr>
              <w:pStyle w:val="TableText"/>
              <w:keepLines/>
              <w:widowControl/>
              <w:jc w:val="center"/>
              <w:rPr>
                <w:szCs w:val="20"/>
                <w:lang w:val="en-AU"/>
              </w:rPr>
            </w:pPr>
            <w:r w:rsidRPr="00EF2E8A">
              <w:rPr>
                <w:rFonts w:eastAsia="Calibri" w:cs="Calibri"/>
                <w:kern w:val="24"/>
                <w:szCs w:val="20"/>
                <w:lang w:val="en-AU"/>
              </w:rPr>
              <w:t>1.61 mo</w:t>
            </w:r>
          </w:p>
        </w:tc>
        <w:tc>
          <w:tcPr>
            <w:tcW w:w="895" w:type="pct"/>
            <w:vAlign w:val="center"/>
          </w:tcPr>
          <w:p w14:paraId="1C05E8A7" w14:textId="5A21FCF0" w:rsidR="00CB6BEE" w:rsidRPr="00EF2E8A" w:rsidRDefault="00CB6BEE" w:rsidP="00591C83">
            <w:pPr>
              <w:pStyle w:val="NormalWeb"/>
              <w:spacing w:before="0" w:after="0"/>
              <w:jc w:val="center"/>
              <w:rPr>
                <w:rFonts w:eastAsia="Calibri" w:cs="Calibri"/>
                <w:b/>
                <w:bCs/>
                <w:kern w:val="24"/>
                <w:lang w:val="en-AU"/>
              </w:rPr>
            </w:pPr>
            <w:r w:rsidRPr="00EF2E8A">
              <w:rPr>
                <w:rFonts w:ascii="Arial Narrow" w:eastAsia="Calibri" w:hAnsi="Arial Narrow" w:cs="Calibri"/>
                <w:b/>
                <w:bCs/>
                <w:kern w:val="24"/>
                <w:sz w:val="20"/>
                <w:lang w:val="en-AU"/>
              </w:rPr>
              <w:t>0.63</w:t>
            </w:r>
            <w:r w:rsidR="00BF6677">
              <w:rPr>
                <w:rFonts w:eastAsia="Calibri" w:cs="Calibri"/>
                <w:b/>
                <w:bCs/>
                <w:kern w:val="24"/>
                <w:lang w:val="en-AU"/>
              </w:rPr>
              <w:t xml:space="preserve"> </w:t>
            </w:r>
            <w:r w:rsidRPr="00BF6677">
              <w:rPr>
                <w:rFonts w:ascii="Arial Narrow" w:eastAsia="Calibri" w:hAnsi="Arial Narrow" w:cs="Calibri"/>
                <w:b/>
                <w:bCs/>
                <w:kern w:val="24"/>
                <w:sz w:val="20"/>
                <w:lang w:val="en-AU"/>
              </w:rPr>
              <w:t>(0.513, 0.785)</w:t>
            </w:r>
          </w:p>
          <w:p w14:paraId="29BB10AE" w14:textId="77777777" w:rsidR="00CB6BEE" w:rsidRPr="00EF2E8A" w:rsidRDefault="00CB6BEE" w:rsidP="00591C83">
            <w:pPr>
              <w:pStyle w:val="TableText"/>
              <w:keepLines/>
              <w:widowControl/>
              <w:jc w:val="center"/>
              <w:rPr>
                <w:szCs w:val="20"/>
                <w:lang w:val="en-AU"/>
              </w:rPr>
            </w:pPr>
            <w:r w:rsidRPr="00EF2E8A">
              <w:rPr>
                <w:rFonts w:eastAsia="Calibri" w:cs="Calibri"/>
                <w:b/>
                <w:bCs/>
                <w:kern w:val="24"/>
                <w:szCs w:val="20"/>
                <w:lang w:val="en-AU"/>
              </w:rPr>
              <w:t>p&lt;0.0001</w:t>
            </w:r>
          </w:p>
        </w:tc>
      </w:tr>
      <w:tr w:rsidR="00FA6D9D" w:rsidRPr="00EF2E8A" w14:paraId="0A6E72EB" w14:textId="77777777" w:rsidTr="00A12C7D">
        <w:trPr>
          <w:trHeight w:val="20"/>
        </w:trPr>
        <w:tc>
          <w:tcPr>
            <w:tcW w:w="1261" w:type="pct"/>
          </w:tcPr>
          <w:p w14:paraId="2BC7A6BC" w14:textId="45BD83C4" w:rsidR="001158E8" w:rsidRPr="00EF2E8A" w:rsidRDefault="00D17689" w:rsidP="00591C83">
            <w:pPr>
              <w:pStyle w:val="TableText"/>
              <w:keepLines/>
              <w:widowControl/>
              <w:rPr>
                <w:lang w:val="en-AU"/>
              </w:rPr>
            </w:pPr>
            <w:r w:rsidRPr="00EF2E8A">
              <w:rPr>
                <w:lang w:val="en-AU"/>
              </w:rPr>
              <w:t>% not</w:t>
            </w:r>
            <w:r w:rsidR="005D2A73" w:rsidRPr="00EF2E8A">
              <w:rPr>
                <w:lang w:val="en-AU"/>
              </w:rPr>
              <w:t xml:space="preserve"> experienced PF</w:t>
            </w:r>
            <w:r w:rsidR="0056591B" w:rsidRPr="00EF2E8A">
              <w:rPr>
                <w:lang w:val="en-AU"/>
              </w:rPr>
              <w:t>S</w:t>
            </w:r>
            <w:r w:rsidR="005D2A73" w:rsidRPr="00EF2E8A">
              <w:rPr>
                <w:lang w:val="en-AU"/>
              </w:rPr>
              <w:t xml:space="preserve"> </w:t>
            </w:r>
            <w:proofErr w:type="spellStart"/>
            <w:r w:rsidR="005D2A73" w:rsidRPr="00EF2E8A">
              <w:rPr>
                <w:lang w:val="en-AU"/>
              </w:rPr>
              <w:t>event</w:t>
            </w:r>
            <w:r w:rsidR="00FA6D9D" w:rsidRPr="00EF2E8A">
              <w:rPr>
                <w:vertAlign w:val="superscript"/>
                <w:lang w:val="en-AU"/>
              </w:rPr>
              <w:t>a</w:t>
            </w:r>
            <w:proofErr w:type="spellEnd"/>
          </w:p>
          <w:p w14:paraId="542AB13F" w14:textId="1274BE5D" w:rsidR="00FA6D9D" w:rsidRPr="00EF2E8A" w:rsidRDefault="00FA6D9D" w:rsidP="00591C83">
            <w:pPr>
              <w:pStyle w:val="TableText"/>
              <w:keepLines/>
              <w:widowControl/>
              <w:rPr>
                <w:szCs w:val="20"/>
                <w:lang w:val="en-AU"/>
              </w:rPr>
            </w:pPr>
            <w:r w:rsidRPr="00EF2E8A">
              <w:rPr>
                <w:lang w:val="en-AU"/>
              </w:rPr>
              <w:t xml:space="preserve">   at 3 mo </w:t>
            </w:r>
          </w:p>
        </w:tc>
        <w:tc>
          <w:tcPr>
            <w:tcW w:w="902" w:type="pct"/>
            <w:gridSpan w:val="2"/>
          </w:tcPr>
          <w:p w14:paraId="31C60A33" w14:textId="1E664A83" w:rsidR="00042277" w:rsidRPr="00EF2E8A" w:rsidRDefault="00042277" w:rsidP="00591C83">
            <w:pPr>
              <w:pStyle w:val="NormalWeb"/>
              <w:spacing w:before="0" w:after="0"/>
              <w:jc w:val="center"/>
              <w:rPr>
                <w:rFonts w:ascii="Arial Narrow" w:eastAsia="Calibri" w:hAnsi="Arial Narrow" w:cs="Calibri"/>
                <w:kern w:val="24"/>
                <w:sz w:val="20"/>
                <w:lang w:val="en-AU"/>
              </w:rPr>
            </w:pPr>
          </w:p>
          <w:p w14:paraId="4801BEAD" w14:textId="307CF545" w:rsidR="00FA6D9D" w:rsidRPr="00EF2E8A" w:rsidRDefault="00F7036A" w:rsidP="00591C83">
            <w:pPr>
              <w:pStyle w:val="NormalWeb"/>
              <w:spacing w:before="0" w:after="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67%</w:t>
            </w:r>
          </w:p>
        </w:tc>
        <w:tc>
          <w:tcPr>
            <w:tcW w:w="897" w:type="pct"/>
            <w:gridSpan w:val="3"/>
          </w:tcPr>
          <w:p w14:paraId="04A17E97" w14:textId="4E41E03C" w:rsidR="00F7036A" w:rsidRPr="00EF2E8A" w:rsidRDefault="00F7036A" w:rsidP="00591C83">
            <w:pPr>
              <w:pStyle w:val="TableText"/>
              <w:keepLines/>
              <w:widowControl/>
              <w:jc w:val="center"/>
              <w:rPr>
                <w:rFonts w:eastAsia="Calibri" w:cs="Calibri"/>
                <w:kern w:val="24"/>
                <w:lang w:val="en-AU"/>
              </w:rPr>
            </w:pPr>
          </w:p>
          <w:p w14:paraId="18FCE1A7" w14:textId="647778F4" w:rsidR="00FA6D9D" w:rsidRPr="00EF2E8A" w:rsidRDefault="00F7036A" w:rsidP="00591C83">
            <w:pPr>
              <w:pStyle w:val="TableText"/>
              <w:keepLines/>
              <w:widowControl/>
              <w:jc w:val="center"/>
              <w:rPr>
                <w:rFonts w:eastAsia="Calibri" w:cs="Calibri"/>
                <w:kern w:val="24"/>
                <w:szCs w:val="20"/>
                <w:lang w:val="en-AU"/>
              </w:rPr>
            </w:pPr>
            <w:r w:rsidRPr="00EF2E8A">
              <w:rPr>
                <w:rFonts w:eastAsia="Calibri" w:cs="Calibri"/>
                <w:kern w:val="24"/>
                <w:lang w:val="en-AU"/>
              </w:rPr>
              <w:t>43%</w:t>
            </w:r>
          </w:p>
        </w:tc>
        <w:tc>
          <w:tcPr>
            <w:tcW w:w="1045" w:type="pct"/>
            <w:gridSpan w:val="2"/>
          </w:tcPr>
          <w:p w14:paraId="10C6B7E4" w14:textId="4867BC94" w:rsidR="00C75589" w:rsidRPr="00EF2E8A" w:rsidRDefault="00C75589" w:rsidP="00591C83">
            <w:pPr>
              <w:pStyle w:val="TableText"/>
              <w:keepLines/>
              <w:widowControl/>
              <w:jc w:val="center"/>
              <w:rPr>
                <w:rFonts w:cs="Arial"/>
                <w:color w:val="000000"/>
                <w:szCs w:val="20"/>
                <w:lang w:val="en-AU"/>
              </w:rPr>
            </w:pPr>
          </w:p>
          <w:p w14:paraId="4A6E45D9" w14:textId="576FE897" w:rsidR="00FA6D9D" w:rsidRPr="00EF2E8A" w:rsidRDefault="00C75589" w:rsidP="00591C83">
            <w:pPr>
              <w:pStyle w:val="TableText"/>
              <w:keepLines/>
              <w:widowControl/>
              <w:jc w:val="center"/>
              <w:rPr>
                <w:rFonts w:eastAsia="Calibri" w:cs="Calibri"/>
                <w:kern w:val="24"/>
                <w:szCs w:val="20"/>
                <w:lang w:val="en-AU"/>
              </w:rPr>
            </w:pPr>
            <w:r w:rsidRPr="00EF2E8A">
              <w:rPr>
                <w:rFonts w:cs="Arial"/>
                <w:color w:val="000000"/>
                <w:szCs w:val="20"/>
                <w:lang w:val="en-AU"/>
              </w:rPr>
              <w:t>23%</w:t>
            </w:r>
          </w:p>
        </w:tc>
        <w:tc>
          <w:tcPr>
            <w:tcW w:w="895" w:type="pct"/>
            <w:vMerge w:val="restart"/>
          </w:tcPr>
          <w:p w14:paraId="037A6B2E" w14:textId="24053E7B" w:rsidR="00FA6D9D" w:rsidRPr="00EF2E8A" w:rsidRDefault="00A46D2B" w:rsidP="00591C83">
            <w:pPr>
              <w:pStyle w:val="TableText"/>
              <w:keepLines/>
              <w:widowControl/>
              <w:jc w:val="center"/>
              <w:rPr>
                <w:szCs w:val="20"/>
                <w:lang w:val="en-AU"/>
              </w:rPr>
            </w:pPr>
            <w:r>
              <w:rPr>
                <w:szCs w:val="20"/>
                <w:lang w:val="en-AU"/>
              </w:rPr>
              <w:noBreakHyphen/>
            </w:r>
            <w:r>
              <w:rPr>
                <w:szCs w:val="20"/>
                <w:lang w:val="en-AU"/>
              </w:rPr>
              <w:noBreakHyphen/>
            </w:r>
          </w:p>
        </w:tc>
      </w:tr>
      <w:tr w:rsidR="00FA6D9D" w:rsidRPr="00EF2E8A" w14:paraId="35C4E321" w14:textId="77777777" w:rsidTr="00A12C7D">
        <w:trPr>
          <w:trHeight w:val="20"/>
        </w:trPr>
        <w:tc>
          <w:tcPr>
            <w:tcW w:w="1261" w:type="pct"/>
          </w:tcPr>
          <w:p w14:paraId="4A3B657B" w14:textId="7B3AC4A4" w:rsidR="00FA6D9D" w:rsidRPr="00EF2E8A" w:rsidRDefault="00FA6D9D" w:rsidP="00591C83">
            <w:pPr>
              <w:pStyle w:val="TableText"/>
              <w:keepLines/>
              <w:widowControl/>
              <w:rPr>
                <w:szCs w:val="20"/>
                <w:lang w:val="en-AU"/>
              </w:rPr>
            </w:pPr>
            <w:r w:rsidRPr="00EF2E8A">
              <w:rPr>
                <w:lang w:val="en-AU"/>
              </w:rPr>
              <w:t xml:space="preserve">   at 6 mo </w:t>
            </w:r>
          </w:p>
        </w:tc>
        <w:tc>
          <w:tcPr>
            <w:tcW w:w="902" w:type="pct"/>
            <w:gridSpan w:val="2"/>
          </w:tcPr>
          <w:p w14:paraId="63B0FDCB" w14:textId="1896B4FA" w:rsidR="00FA6D9D" w:rsidRPr="00EF2E8A" w:rsidRDefault="00F7036A" w:rsidP="00591C83">
            <w:pPr>
              <w:pStyle w:val="NormalWeb"/>
              <w:spacing w:before="0" w:after="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39%</w:t>
            </w:r>
          </w:p>
        </w:tc>
        <w:tc>
          <w:tcPr>
            <w:tcW w:w="897" w:type="pct"/>
            <w:gridSpan w:val="3"/>
          </w:tcPr>
          <w:p w14:paraId="180533FC" w14:textId="68A995C9" w:rsidR="00FA6D9D" w:rsidRPr="00EF2E8A" w:rsidRDefault="00F7036A" w:rsidP="00591C83">
            <w:pPr>
              <w:pStyle w:val="TableText"/>
              <w:keepLines/>
              <w:widowControl/>
              <w:jc w:val="center"/>
              <w:rPr>
                <w:rFonts w:eastAsia="Calibri" w:cs="Calibri"/>
                <w:kern w:val="24"/>
                <w:szCs w:val="20"/>
                <w:lang w:val="en-AU"/>
              </w:rPr>
            </w:pPr>
            <w:r w:rsidRPr="00EF2E8A">
              <w:rPr>
                <w:rFonts w:eastAsia="Calibri" w:cs="Calibri"/>
                <w:kern w:val="24"/>
                <w:lang w:val="en-AU"/>
              </w:rPr>
              <w:t>22%</w:t>
            </w:r>
          </w:p>
        </w:tc>
        <w:tc>
          <w:tcPr>
            <w:tcW w:w="1045" w:type="pct"/>
            <w:gridSpan w:val="2"/>
          </w:tcPr>
          <w:p w14:paraId="1AA7F8DB" w14:textId="4CE43E59" w:rsidR="00FA6D9D" w:rsidRPr="00EF2E8A" w:rsidRDefault="005D2A73" w:rsidP="00591C83">
            <w:pPr>
              <w:pStyle w:val="TableText"/>
              <w:keepLines/>
              <w:widowControl/>
              <w:jc w:val="center"/>
              <w:rPr>
                <w:rFonts w:eastAsia="Calibri" w:cs="Calibri"/>
                <w:kern w:val="24"/>
                <w:szCs w:val="20"/>
                <w:lang w:val="en-AU"/>
              </w:rPr>
            </w:pPr>
            <w:r w:rsidRPr="00EF2E8A">
              <w:rPr>
                <w:rFonts w:cs="Arial"/>
                <w:color w:val="000000"/>
                <w:szCs w:val="20"/>
                <w:lang w:val="en-AU"/>
              </w:rPr>
              <w:t>18%</w:t>
            </w:r>
          </w:p>
        </w:tc>
        <w:tc>
          <w:tcPr>
            <w:tcW w:w="895" w:type="pct"/>
            <w:vMerge/>
          </w:tcPr>
          <w:p w14:paraId="3902A6C7" w14:textId="77777777" w:rsidR="00FA6D9D" w:rsidRPr="00EF2E8A" w:rsidRDefault="00FA6D9D" w:rsidP="00591C83">
            <w:pPr>
              <w:pStyle w:val="TableText"/>
              <w:keepLines/>
              <w:widowControl/>
              <w:jc w:val="center"/>
              <w:rPr>
                <w:szCs w:val="20"/>
                <w:lang w:val="en-AU"/>
              </w:rPr>
            </w:pPr>
          </w:p>
        </w:tc>
      </w:tr>
      <w:tr w:rsidR="00FA6D9D" w:rsidRPr="00EF2E8A" w14:paraId="6912A625" w14:textId="77777777" w:rsidTr="00A12C7D">
        <w:trPr>
          <w:trHeight w:val="20"/>
        </w:trPr>
        <w:tc>
          <w:tcPr>
            <w:tcW w:w="1261" w:type="pct"/>
          </w:tcPr>
          <w:p w14:paraId="5D4A43BA" w14:textId="6B38BF9C" w:rsidR="00FA6D9D" w:rsidRPr="00EF2E8A" w:rsidRDefault="00FA6D9D" w:rsidP="00591C83">
            <w:pPr>
              <w:pStyle w:val="TableText"/>
              <w:keepLines/>
              <w:widowControl/>
              <w:rPr>
                <w:szCs w:val="20"/>
                <w:lang w:val="en-AU"/>
              </w:rPr>
            </w:pPr>
            <w:r w:rsidRPr="00EF2E8A">
              <w:rPr>
                <w:szCs w:val="20"/>
                <w:lang w:val="en-AU"/>
              </w:rPr>
              <w:t xml:space="preserve">   at 9 mo </w:t>
            </w:r>
          </w:p>
        </w:tc>
        <w:tc>
          <w:tcPr>
            <w:tcW w:w="902" w:type="pct"/>
            <w:gridSpan w:val="2"/>
          </w:tcPr>
          <w:p w14:paraId="05150F24" w14:textId="7B1BB75C" w:rsidR="00FA6D9D" w:rsidRPr="00EF2E8A" w:rsidRDefault="00F7036A" w:rsidP="00591C83">
            <w:pPr>
              <w:pStyle w:val="NormalWeb"/>
              <w:spacing w:before="0" w:after="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24%</w:t>
            </w:r>
          </w:p>
        </w:tc>
        <w:tc>
          <w:tcPr>
            <w:tcW w:w="897" w:type="pct"/>
            <w:gridSpan w:val="3"/>
          </w:tcPr>
          <w:p w14:paraId="13F28005" w14:textId="71562FA4" w:rsidR="00FA6D9D" w:rsidRPr="00EF2E8A" w:rsidRDefault="00F7036A" w:rsidP="00591C83">
            <w:pPr>
              <w:pStyle w:val="TableText"/>
              <w:keepLines/>
              <w:widowControl/>
              <w:jc w:val="center"/>
              <w:rPr>
                <w:rFonts w:eastAsia="Calibri" w:cs="Calibri"/>
                <w:kern w:val="24"/>
                <w:szCs w:val="20"/>
                <w:lang w:val="en-AU"/>
              </w:rPr>
            </w:pPr>
            <w:r w:rsidRPr="00EF2E8A">
              <w:rPr>
                <w:rFonts w:eastAsia="Calibri" w:cs="Calibri"/>
                <w:kern w:val="24"/>
                <w:lang w:val="en-AU"/>
              </w:rPr>
              <w:t>10%</w:t>
            </w:r>
          </w:p>
        </w:tc>
        <w:tc>
          <w:tcPr>
            <w:tcW w:w="1045" w:type="pct"/>
            <w:gridSpan w:val="2"/>
          </w:tcPr>
          <w:p w14:paraId="5925EC2C" w14:textId="126EA416" w:rsidR="00FA6D9D" w:rsidRPr="00EF2E8A" w:rsidRDefault="005D2A73" w:rsidP="00591C83">
            <w:pPr>
              <w:pStyle w:val="TableText"/>
              <w:keepLines/>
              <w:widowControl/>
              <w:jc w:val="center"/>
              <w:rPr>
                <w:rFonts w:eastAsia="Calibri" w:cs="Calibri"/>
                <w:kern w:val="24"/>
                <w:szCs w:val="20"/>
                <w:lang w:val="en-AU"/>
              </w:rPr>
            </w:pPr>
            <w:r w:rsidRPr="00EF2E8A">
              <w:rPr>
                <w:rFonts w:cs="Arial"/>
                <w:color w:val="000000"/>
                <w:szCs w:val="20"/>
                <w:lang w:val="en-AU"/>
              </w:rPr>
              <w:t>14%</w:t>
            </w:r>
          </w:p>
        </w:tc>
        <w:tc>
          <w:tcPr>
            <w:tcW w:w="895" w:type="pct"/>
            <w:vMerge/>
          </w:tcPr>
          <w:p w14:paraId="1EE24235" w14:textId="77777777" w:rsidR="00FA6D9D" w:rsidRPr="00EF2E8A" w:rsidRDefault="00FA6D9D" w:rsidP="00591C83">
            <w:pPr>
              <w:pStyle w:val="TableText"/>
              <w:keepLines/>
              <w:widowControl/>
              <w:jc w:val="center"/>
              <w:rPr>
                <w:szCs w:val="20"/>
                <w:lang w:val="en-AU"/>
              </w:rPr>
            </w:pPr>
          </w:p>
        </w:tc>
      </w:tr>
      <w:tr w:rsidR="00FA6D9D" w:rsidRPr="00EF2E8A" w14:paraId="23C9C7CD" w14:textId="77777777" w:rsidTr="00A12C7D">
        <w:trPr>
          <w:trHeight w:val="20"/>
        </w:trPr>
        <w:tc>
          <w:tcPr>
            <w:tcW w:w="1261" w:type="pct"/>
          </w:tcPr>
          <w:p w14:paraId="0B7CD0CE" w14:textId="39999D0F" w:rsidR="00FA6D9D" w:rsidRPr="00EF2E8A" w:rsidRDefault="00FA6D9D" w:rsidP="00591C83">
            <w:pPr>
              <w:pStyle w:val="TableText"/>
              <w:keepLines/>
              <w:widowControl/>
              <w:rPr>
                <w:szCs w:val="20"/>
                <w:lang w:val="en-AU"/>
              </w:rPr>
            </w:pPr>
            <w:r w:rsidRPr="00EF2E8A">
              <w:rPr>
                <w:lang w:val="en-AU"/>
              </w:rPr>
              <w:t xml:space="preserve">   at 12 mo </w:t>
            </w:r>
          </w:p>
        </w:tc>
        <w:tc>
          <w:tcPr>
            <w:tcW w:w="902" w:type="pct"/>
            <w:gridSpan w:val="2"/>
          </w:tcPr>
          <w:p w14:paraId="4E632FE0" w14:textId="552B23B6" w:rsidR="00FA6D9D" w:rsidRPr="00EF2E8A" w:rsidRDefault="00F7036A" w:rsidP="00591C83">
            <w:pPr>
              <w:pStyle w:val="NormalWeb"/>
              <w:spacing w:before="0" w:after="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16%</w:t>
            </w:r>
          </w:p>
        </w:tc>
        <w:tc>
          <w:tcPr>
            <w:tcW w:w="897" w:type="pct"/>
            <w:gridSpan w:val="3"/>
          </w:tcPr>
          <w:p w14:paraId="4E307153" w14:textId="7305E018" w:rsidR="00FA6D9D" w:rsidRPr="00EF2E8A" w:rsidRDefault="00F7036A" w:rsidP="00591C83">
            <w:pPr>
              <w:pStyle w:val="TableText"/>
              <w:keepLines/>
              <w:widowControl/>
              <w:jc w:val="center"/>
              <w:rPr>
                <w:rFonts w:eastAsia="Calibri" w:cs="Calibri"/>
                <w:kern w:val="24"/>
                <w:szCs w:val="20"/>
                <w:lang w:val="en-AU"/>
              </w:rPr>
            </w:pPr>
            <w:r w:rsidRPr="00EF2E8A">
              <w:rPr>
                <w:rFonts w:eastAsia="Calibri" w:cs="Calibri"/>
                <w:kern w:val="24"/>
                <w:lang w:val="en-AU"/>
              </w:rPr>
              <w:t>2%</w:t>
            </w:r>
          </w:p>
        </w:tc>
        <w:tc>
          <w:tcPr>
            <w:tcW w:w="1045" w:type="pct"/>
            <w:gridSpan w:val="2"/>
          </w:tcPr>
          <w:p w14:paraId="33786BE6" w14:textId="4372F6E6" w:rsidR="00FA6D9D" w:rsidRPr="00EF2E8A" w:rsidRDefault="005D2A73" w:rsidP="00591C83">
            <w:pPr>
              <w:pStyle w:val="TableText"/>
              <w:keepLines/>
              <w:widowControl/>
              <w:jc w:val="center"/>
              <w:rPr>
                <w:rFonts w:eastAsia="Calibri" w:cs="Calibri"/>
                <w:kern w:val="24"/>
                <w:szCs w:val="20"/>
                <w:lang w:val="en-AU"/>
              </w:rPr>
            </w:pPr>
            <w:r w:rsidRPr="00EF2E8A">
              <w:rPr>
                <w:rFonts w:cs="Arial"/>
                <w:color w:val="000000"/>
                <w:szCs w:val="20"/>
                <w:lang w:val="en-AU"/>
              </w:rPr>
              <w:t>14%</w:t>
            </w:r>
          </w:p>
        </w:tc>
        <w:tc>
          <w:tcPr>
            <w:tcW w:w="895" w:type="pct"/>
            <w:vMerge/>
          </w:tcPr>
          <w:p w14:paraId="2DD01BDD" w14:textId="77777777" w:rsidR="00FA6D9D" w:rsidRPr="00EF2E8A" w:rsidRDefault="00FA6D9D" w:rsidP="00591C83">
            <w:pPr>
              <w:pStyle w:val="TableText"/>
              <w:keepLines/>
              <w:widowControl/>
              <w:jc w:val="center"/>
              <w:rPr>
                <w:szCs w:val="20"/>
                <w:lang w:val="en-AU"/>
              </w:rPr>
            </w:pPr>
          </w:p>
        </w:tc>
      </w:tr>
      <w:tr w:rsidR="00FA6D9D" w:rsidRPr="00EF2E8A" w14:paraId="3C7EACD6" w14:textId="77777777" w:rsidTr="00A12C7D">
        <w:trPr>
          <w:trHeight w:val="20"/>
        </w:trPr>
        <w:tc>
          <w:tcPr>
            <w:tcW w:w="5000" w:type="pct"/>
            <w:gridSpan w:val="9"/>
          </w:tcPr>
          <w:p w14:paraId="29159841" w14:textId="7DA27AF1" w:rsidR="00FA6D9D" w:rsidRPr="00EF2E8A" w:rsidRDefault="00FA6D9D" w:rsidP="00591C83">
            <w:pPr>
              <w:pStyle w:val="In-tableHeading"/>
              <w:spacing w:after="40"/>
              <w:rPr>
                <w:szCs w:val="20"/>
                <w:lang w:val="en-AU"/>
              </w:rPr>
            </w:pPr>
            <w:r w:rsidRPr="00EF2E8A">
              <w:rPr>
                <w:szCs w:val="20"/>
                <w:lang w:val="en-AU"/>
              </w:rPr>
              <w:t>OS – September 2024 data cutoff (median follow</w:t>
            </w:r>
            <w:r w:rsidR="00A46D2B">
              <w:rPr>
                <w:szCs w:val="20"/>
                <w:lang w:val="en-AU"/>
              </w:rPr>
              <w:noBreakHyphen/>
            </w:r>
            <w:r w:rsidRPr="00EF2E8A">
              <w:rPr>
                <w:szCs w:val="20"/>
                <w:lang w:val="en-AU"/>
              </w:rPr>
              <w:t>up 30.49 mo; 95% 28.75, 33.68)</w:t>
            </w:r>
          </w:p>
        </w:tc>
      </w:tr>
      <w:tr w:rsidR="00FA6D9D" w:rsidRPr="00EF2E8A" w14:paraId="5BF05CE2" w14:textId="77777777" w:rsidTr="00A12C7D">
        <w:trPr>
          <w:trHeight w:val="20"/>
        </w:trPr>
        <w:tc>
          <w:tcPr>
            <w:tcW w:w="1261" w:type="pct"/>
          </w:tcPr>
          <w:p w14:paraId="62B9628F" w14:textId="3CCA9888" w:rsidR="00FA6D9D" w:rsidRPr="00EF2E8A" w:rsidRDefault="00FA6D9D" w:rsidP="00591C83">
            <w:pPr>
              <w:pStyle w:val="TableText"/>
              <w:keepLines/>
              <w:widowControl/>
              <w:spacing w:after="20"/>
              <w:rPr>
                <w:szCs w:val="20"/>
                <w:lang w:val="en-AU"/>
              </w:rPr>
            </w:pPr>
            <w:r w:rsidRPr="00EF2E8A">
              <w:rPr>
                <w:szCs w:val="20"/>
                <w:lang w:val="en-AU"/>
              </w:rPr>
              <w:t xml:space="preserve">Deaths, n/N (%) </w:t>
            </w:r>
          </w:p>
        </w:tc>
        <w:tc>
          <w:tcPr>
            <w:tcW w:w="902" w:type="pct"/>
            <w:gridSpan w:val="2"/>
          </w:tcPr>
          <w:p w14:paraId="0F9D2B31" w14:textId="73A4EC3F" w:rsidR="00FA6D9D" w:rsidRPr="00EF2E8A" w:rsidRDefault="00FA6D9D" w:rsidP="00591C83">
            <w:pPr>
              <w:pStyle w:val="TableText"/>
              <w:keepLines/>
              <w:widowControl/>
              <w:spacing w:after="20"/>
              <w:jc w:val="center"/>
              <w:rPr>
                <w:szCs w:val="20"/>
                <w:lang w:val="en-AU"/>
              </w:rPr>
            </w:pPr>
            <w:r w:rsidRPr="00EF2E8A">
              <w:rPr>
                <w:rFonts w:cs="Times New Roman"/>
                <w:szCs w:val="20"/>
                <w:lang w:val="en-AU"/>
              </w:rPr>
              <w:t>162/227 (71.4)</w:t>
            </w:r>
          </w:p>
        </w:tc>
        <w:tc>
          <w:tcPr>
            <w:tcW w:w="897" w:type="pct"/>
            <w:gridSpan w:val="3"/>
          </w:tcPr>
          <w:p w14:paraId="4B6C345C" w14:textId="6940DB3E" w:rsidR="00FA6D9D" w:rsidRPr="00EF2E8A" w:rsidRDefault="00FA6D9D" w:rsidP="00591C83">
            <w:pPr>
              <w:pStyle w:val="TableText"/>
              <w:keepLines/>
              <w:widowControl/>
              <w:spacing w:after="20"/>
              <w:jc w:val="center"/>
              <w:rPr>
                <w:szCs w:val="20"/>
                <w:lang w:val="en-AU"/>
              </w:rPr>
            </w:pPr>
            <w:r w:rsidRPr="00EF2E8A">
              <w:rPr>
                <w:rFonts w:eastAsia="Calibri" w:cs="Calibri"/>
                <w:kern w:val="24"/>
                <w:szCs w:val="20"/>
                <w:lang w:val="en-AU"/>
              </w:rPr>
              <w:t>177/226 (78.3)</w:t>
            </w:r>
          </w:p>
        </w:tc>
        <w:tc>
          <w:tcPr>
            <w:tcW w:w="1045" w:type="pct"/>
            <w:gridSpan w:val="2"/>
          </w:tcPr>
          <w:p w14:paraId="11219700" w14:textId="54141AA3" w:rsidR="00FA6D9D" w:rsidRPr="00EF2E8A" w:rsidRDefault="00A46D2B" w:rsidP="00591C83">
            <w:pPr>
              <w:pStyle w:val="TableText"/>
              <w:keepLines/>
              <w:widowControl/>
              <w:spacing w:after="20"/>
              <w:jc w:val="center"/>
              <w:rPr>
                <w:szCs w:val="20"/>
                <w:lang w:val="en-AU"/>
              </w:rPr>
            </w:pPr>
            <w:r>
              <w:rPr>
                <w:szCs w:val="20"/>
                <w:lang w:val="en-AU"/>
              </w:rPr>
              <w:noBreakHyphen/>
            </w:r>
            <w:r>
              <w:rPr>
                <w:szCs w:val="20"/>
                <w:lang w:val="en-AU"/>
              </w:rPr>
              <w:noBreakHyphen/>
            </w:r>
          </w:p>
        </w:tc>
        <w:tc>
          <w:tcPr>
            <w:tcW w:w="895" w:type="pct"/>
            <w:vMerge w:val="restart"/>
          </w:tcPr>
          <w:p w14:paraId="39C41485" w14:textId="15157282" w:rsidR="00FA6D9D" w:rsidRPr="00BF6677" w:rsidRDefault="00FA6D9D" w:rsidP="00591C83">
            <w:pPr>
              <w:pStyle w:val="NormalWeb"/>
              <w:spacing w:before="0" w:after="0"/>
              <w:jc w:val="center"/>
              <w:rPr>
                <w:rFonts w:ascii="Arial Narrow" w:eastAsia="Calibri" w:hAnsi="Arial Narrow" w:cs="Calibri"/>
                <w:b/>
                <w:kern w:val="24"/>
                <w:sz w:val="20"/>
                <w:lang w:val="en-AU"/>
              </w:rPr>
            </w:pPr>
            <w:r w:rsidRPr="00EF2E8A">
              <w:rPr>
                <w:rFonts w:ascii="Arial Narrow" w:eastAsia="Calibri" w:hAnsi="Arial Narrow" w:cs="Calibri"/>
                <w:b/>
                <w:kern w:val="24"/>
                <w:sz w:val="20"/>
                <w:lang w:val="en-AU"/>
              </w:rPr>
              <w:t xml:space="preserve">0.68 </w:t>
            </w:r>
            <w:r w:rsidRPr="00BF6677">
              <w:rPr>
                <w:rFonts w:ascii="Arial Narrow" w:eastAsia="Calibri" w:hAnsi="Arial Narrow" w:cs="Calibri"/>
                <w:b/>
                <w:kern w:val="24"/>
                <w:sz w:val="20"/>
                <w:lang w:val="en-AU"/>
              </w:rPr>
              <w:t>(0.543, 0.840)</w:t>
            </w:r>
          </w:p>
          <w:p w14:paraId="3254027E" w14:textId="77777777" w:rsidR="00FA6D9D" w:rsidRPr="00EF2E8A" w:rsidRDefault="00FA6D9D" w:rsidP="00591C83">
            <w:pPr>
              <w:pStyle w:val="TableText"/>
              <w:keepLines/>
              <w:widowControl/>
              <w:jc w:val="center"/>
              <w:rPr>
                <w:szCs w:val="20"/>
                <w:lang w:val="en-AU"/>
              </w:rPr>
            </w:pPr>
            <w:r w:rsidRPr="00BF6677">
              <w:rPr>
                <w:rFonts w:eastAsia="Calibri" w:cs="Calibri"/>
                <w:b/>
                <w:kern w:val="24"/>
                <w:szCs w:val="20"/>
                <w:lang w:val="en-AU"/>
              </w:rPr>
              <w:t>p=</w:t>
            </w:r>
            <w:r w:rsidRPr="00EF2E8A">
              <w:rPr>
                <w:rFonts w:eastAsia="Calibri" w:cs="Calibri"/>
                <w:b/>
                <w:kern w:val="24"/>
                <w:szCs w:val="20"/>
                <w:lang w:val="en-AU"/>
              </w:rPr>
              <w:t>0.0004</w:t>
            </w:r>
          </w:p>
        </w:tc>
      </w:tr>
      <w:tr w:rsidR="00FA6D9D" w:rsidRPr="00EF2E8A" w14:paraId="2255FAE2" w14:textId="77777777" w:rsidTr="00A12C7D">
        <w:trPr>
          <w:trHeight w:val="20"/>
        </w:trPr>
        <w:tc>
          <w:tcPr>
            <w:tcW w:w="1261" w:type="pct"/>
          </w:tcPr>
          <w:p w14:paraId="2F284463" w14:textId="00E1DF98" w:rsidR="00FA6D9D" w:rsidRPr="00EF2E8A" w:rsidRDefault="00FA6D9D" w:rsidP="00591C83">
            <w:pPr>
              <w:pStyle w:val="TableNumber"/>
              <w:widowControl/>
              <w:rPr>
                <w:lang w:val="en-AU"/>
              </w:rPr>
            </w:pPr>
            <w:r w:rsidRPr="00EF2E8A">
              <w:rPr>
                <w:lang w:val="en-AU"/>
              </w:rPr>
              <w:t>Median OS, months (95% CI)</w:t>
            </w:r>
          </w:p>
        </w:tc>
        <w:tc>
          <w:tcPr>
            <w:tcW w:w="902" w:type="pct"/>
            <w:gridSpan w:val="2"/>
          </w:tcPr>
          <w:p w14:paraId="09C9CCC2" w14:textId="33CA2435" w:rsidR="00FA6D9D" w:rsidRPr="00EF2E8A" w:rsidRDefault="00FA6D9D" w:rsidP="00591C83">
            <w:pPr>
              <w:pStyle w:val="TableNumber"/>
              <w:widowControl/>
              <w:rPr>
                <w:rFonts w:cs="Times New Roman"/>
                <w:highlight w:val="lightGray"/>
                <w:lang w:val="en-AU"/>
              </w:rPr>
            </w:pPr>
            <w:r w:rsidRPr="00EF2E8A">
              <w:rPr>
                <w:rFonts w:eastAsia="Calibri" w:cs="Calibri"/>
                <w:kern w:val="24"/>
                <w:lang w:val="en-AU"/>
              </w:rPr>
              <w:t>16.85 (14.36, 19.78)</w:t>
            </w:r>
          </w:p>
        </w:tc>
        <w:tc>
          <w:tcPr>
            <w:tcW w:w="897" w:type="pct"/>
            <w:gridSpan w:val="3"/>
          </w:tcPr>
          <w:p w14:paraId="0B3BE43B" w14:textId="5A883F2B" w:rsidR="00FA6D9D" w:rsidRPr="00EF2E8A" w:rsidRDefault="00FA6D9D" w:rsidP="00591C83">
            <w:pPr>
              <w:pStyle w:val="TableNumber"/>
              <w:widowControl/>
              <w:rPr>
                <w:rFonts w:cs="Times New Roman"/>
                <w:highlight w:val="lightGray"/>
                <w:lang w:val="en-AU"/>
              </w:rPr>
            </w:pPr>
            <w:r w:rsidRPr="00EF2E8A">
              <w:rPr>
                <w:rFonts w:eastAsia="Calibri" w:cs="Calibri"/>
                <w:kern w:val="24"/>
                <w:lang w:val="en-AU"/>
              </w:rPr>
              <w:t>13.34 (11.37, 15.15)</w:t>
            </w:r>
          </w:p>
        </w:tc>
        <w:tc>
          <w:tcPr>
            <w:tcW w:w="1045" w:type="pct"/>
            <w:gridSpan w:val="2"/>
          </w:tcPr>
          <w:p w14:paraId="13AF619C" w14:textId="322A0DE6" w:rsidR="00FA6D9D" w:rsidRPr="00EF2E8A" w:rsidRDefault="00FA6D9D" w:rsidP="00591C83">
            <w:pPr>
              <w:pStyle w:val="TableNumber"/>
              <w:widowControl/>
              <w:rPr>
                <w:highlight w:val="lightGray"/>
                <w:lang w:val="en-AU"/>
              </w:rPr>
            </w:pPr>
            <w:r w:rsidRPr="00EF2E8A">
              <w:rPr>
                <w:lang w:val="en-AU"/>
              </w:rPr>
              <w:t>3.51 mo</w:t>
            </w:r>
          </w:p>
        </w:tc>
        <w:tc>
          <w:tcPr>
            <w:tcW w:w="895" w:type="pct"/>
            <w:vMerge/>
          </w:tcPr>
          <w:p w14:paraId="4A405DA9" w14:textId="77777777" w:rsidR="00FA6D9D" w:rsidRPr="00EF2E8A" w:rsidRDefault="00FA6D9D" w:rsidP="00591C83">
            <w:pPr>
              <w:pStyle w:val="TableNumber"/>
              <w:widowControl/>
              <w:rPr>
                <w:highlight w:val="lightGray"/>
                <w:lang w:val="en-AU"/>
              </w:rPr>
            </w:pPr>
          </w:p>
        </w:tc>
      </w:tr>
      <w:tr w:rsidR="00FA6D9D" w:rsidRPr="00EF2E8A" w14:paraId="20AFCBD4" w14:textId="77777777" w:rsidTr="00A12C7D">
        <w:trPr>
          <w:trHeight w:val="20"/>
        </w:trPr>
        <w:tc>
          <w:tcPr>
            <w:tcW w:w="1261" w:type="pct"/>
          </w:tcPr>
          <w:p w14:paraId="57866573" w14:textId="5F870F1F" w:rsidR="00FA6D9D" w:rsidRPr="00EF2E8A" w:rsidRDefault="005D2A73" w:rsidP="00591C83">
            <w:pPr>
              <w:pStyle w:val="TableText"/>
              <w:keepLines/>
              <w:widowControl/>
              <w:rPr>
                <w:lang w:val="en-AU"/>
              </w:rPr>
            </w:pPr>
            <w:r w:rsidRPr="00EF2E8A">
              <w:rPr>
                <w:lang w:val="en-AU"/>
              </w:rPr>
              <w:t xml:space="preserve">% </w:t>
            </w:r>
            <w:proofErr w:type="spellStart"/>
            <w:r w:rsidR="00FA6D9D" w:rsidRPr="00EF2E8A">
              <w:rPr>
                <w:lang w:val="en-AU"/>
              </w:rPr>
              <w:t>survival</w:t>
            </w:r>
            <w:r w:rsidR="00FA6D9D" w:rsidRPr="00EF2E8A">
              <w:rPr>
                <w:vertAlign w:val="superscript"/>
                <w:lang w:val="en-AU"/>
              </w:rPr>
              <w:t>a</w:t>
            </w:r>
            <w:proofErr w:type="spellEnd"/>
            <w:r w:rsidR="00FA6D9D" w:rsidRPr="00EF2E8A">
              <w:rPr>
                <w:lang w:val="en-AU"/>
              </w:rPr>
              <w:t>:</w:t>
            </w:r>
          </w:p>
          <w:p w14:paraId="59EED334" w14:textId="73E1C467" w:rsidR="00FA6D9D" w:rsidRPr="00EF2E8A" w:rsidRDefault="00FA6D9D" w:rsidP="00591C83">
            <w:pPr>
              <w:pStyle w:val="TableText"/>
              <w:keepLines/>
              <w:widowControl/>
              <w:spacing w:after="20"/>
              <w:rPr>
                <w:szCs w:val="20"/>
                <w:lang w:val="en-AU"/>
              </w:rPr>
            </w:pPr>
            <w:r w:rsidRPr="00EF2E8A">
              <w:rPr>
                <w:lang w:val="en-AU"/>
              </w:rPr>
              <w:t xml:space="preserve">   at </w:t>
            </w:r>
            <w:r w:rsidR="00CE0952" w:rsidRPr="00EF2E8A">
              <w:rPr>
                <w:lang w:val="en-AU"/>
              </w:rPr>
              <w:t>3</w:t>
            </w:r>
            <w:r w:rsidRPr="00EF2E8A">
              <w:rPr>
                <w:lang w:val="en-AU"/>
              </w:rPr>
              <w:t xml:space="preserve"> mo </w:t>
            </w:r>
          </w:p>
        </w:tc>
        <w:tc>
          <w:tcPr>
            <w:tcW w:w="902" w:type="pct"/>
            <w:gridSpan w:val="2"/>
          </w:tcPr>
          <w:p w14:paraId="32EE6C1D" w14:textId="348B0FB7" w:rsidR="00FA6D9D" w:rsidRPr="00EF2E8A" w:rsidRDefault="00FA6D9D" w:rsidP="00591C83">
            <w:pPr>
              <w:pStyle w:val="NormalWeb"/>
              <w:spacing w:before="0" w:after="20"/>
              <w:jc w:val="center"/>
              <w:rPr>
                <w:rFonts w:ascii="Arial Narrow" w:eastAsia="Calibri" w:hAnsi="Arial Narrow" w:cs="Calibri"/>
                <w:kern w:val="24"/>
                <w:sz w:val="20"/>
                <w:lang w:val="en-AU"/>
              </w:rPr>
            </w:pPr>
          </w:p>
          <w:p w14:paraId="5F08A28F" w14:textId="64DD8FB2" w:rsidR="00CE0952" w:rsidRPr="00EF2E8A" w:rsidRDefault="00B91CE2" w:rsidP="00591C83">
            <w:pPr>
              <w:pStyle w:val="NormalWeb"/>
              <w:spacing w:before="0" w:after="2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90%</w:t>
            </w:r>
          </w:p>
        </w:tc>
        <w:tc>
          <w:tcPr>
            <w:tcW w:w="897" w:type="pct"/>
            <w:gridSpan w:val="3"/>
          </w:tcPr>
          <w:p w14:paraId="5E1A213F" w14:textId="1263EC33" w:rsidR="00B91CE2" w:rsidRPr="00EF2E8A" w:rsidRDefault="00B91CE2" w:rsidP="00591C83">
            <w:pPr>
              <w:pStyle w:val="NormalWeb"/>
              <w:spacing w:before="0" w:after="20"/>
              <w:jc w:val="center"/>
              <w:rPr>
                <w:rFonts w:ascii="Arial Narrow" w:eastAsia="Calibri" w:hAnsi="Arial Narrow" w:cs="Calibri"/>
                <w:kern w:val="24"/>
                <w:sz w:val="20"/>
                <w:lang w:val="en-AU"/>
              </w:rPr>
            </w:pPr>
          </w:p>
          <w:p w14:paraId="6A7B5DAE" w14:textId="312380CD" w:rsidR="00FA6D9D" w:rsidRPr="00EF2E8A" w:rsidRDefault="00B91CE2" w:rsidP="00591C83">
            <w:pPr>
              <w:pStyle w:val="NormalWeb"/>
              <w:spacing w:before="0" w:after="2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82%</w:t>
            </w:r>
          </w:p>
        </w:tc>
        <w:tc>
          <w:tcPr>
            <w:tcW w:w="1045" w:type="pct"/>
            <w:gridSpan w:val="2"/>
          </w:tcPr>
          <w:p w14:paraId="666D81EB" w14:textId="5BE7532B" w:rsidR="00B91CE2" w:rsidRPr="00EF2E8A" w:rsidRDefault="00B91CE2" w:rsidP="00591C83">
            <w:pPr>
              <w:pStyle w:val="TableText"/>
              <w:keepLines/>
              <w:widowControl/>
              <w:spacing w:after="20"/>
              <w:jc w:val="center"/>
              <w:rPr>
                <w:lang w:val="en-AU"/>
              </w:rPr>
            </w:pPr>
          </w:p>
          <w:p w14:paraId="5338E7A0" w14:textId="1A300958" w:rsidR="00FA6D9D" w:rsidRPr="00EF2E8A" w:rsidRDefault="00B91CE2" w:rsidP="00591C83">
            <w:pPr>
              <w:pStyle w:val="TableText"/>
              <w:keepLines/>
              <w:widowControl/>
              <w:spacing w:after="20"/>
              <w:jc w:val="center"/>
              <w:rPr>
                <w:szCs w:val="20"/>
                <w:lang w:val="en-AU"/>
              </w:rPr>
            </w:pPr>
            <w:r w:rsidRPr="00EF2E8A">
              <w:rPr>
                <w:lang w:val="en-AU"/>
              </w:rPr>
              <w:t>8%</w:t>
            </w:r>
          </w:p>
        </w:tc>
        <w:tc>
          <w:tcPr>
            <w:tcW w:w="895" w:type="pct"/>
            <w:vMerge w:val="restart"/>
          </w:tcPr>
          <w:p w14:paraId="491AB573" w14:textId="2D5C4002" w:rsidR="00FA6D9D" w:rsidRPr="00EF2E8A" w:rsidRDefault="00A46D2B" w:rsidP="00591C83">
            <w:pPr>
              <w:pStyle w:val="TableText"/>
              <w:keepLines/>
              <w:widowControl/>
              <w:jc w:val="center"/>
              <w:rPr>
                <w:szCs w:val="20"/>
                <w:highlight w:val="lightGray"/>
                <w:lang w:val="en-AU"/>
              </w:rPr>
            </w:pPr>
            <w:r>
              <w:rPr>
                <w:szCs w:val="20"/>
                <w:lang w:val="en-AU"/>
              </w:rPr>
              <w:noBreakHyphen/>
            </w:r>
            <w:r>
              <w:rPr>
                <w:szCs w:val="20"/>
                <w:lang w:val="en-AU"/>
              </w:rPr>
              <w:noBreakHyphen/>
            </w:r>
          </w:p>
        </w:tc>
      </w:tr>
      <w:tr w:rsidR="00CE0952" w:rsidRPr="00EF2E8A" w14:paraId="67C9476E" w14:textId="77777777" w:rsidTr="00A12C7D">
        <w:trPr>
          <w:trHeight w:val="20"/>
        </w:trPr>
        <w:tc>
          <w:tcPr>
            <w:tcW w:w="1261" w:type="pct"/>
          </w:tcPr>
          <w:p w14:paraId="132B4FB2" w14:textId="53B4155A" w:rsidR="00CE0952" w:rsidRPr="00EF2E8A" w:rsidRDefault="00CE0952" w:rsidP="00591C83">
            <w:pPr>
              <w:pStyle w:val="TableText"/>
              <w:keepLines/>
              <w:widowControl/>
              <w:spacing w:after="20"/>
              <w:rPr>
                <w:szCs w:val="20"/>
                <w:lang w:val="en-AU"/>
              </w:rPr>
            </w:pPr>
            <w:r w:rsidRPr="00EF2E8A">
              <w:rPr>
                <w:lang w:val="en-AU"/>
              </w:rPr>
              <w:t xml:space="preserve">   at 6 mo </w:t>
            </w:r>
          </w:p>
        </w:tc>
        <w:tc>
          <w:tcPr>
            <w:tcW w:w="902" w:type="pct"/>
            <w:gridSpan w:val="2"/>
          </w:tcPr>
          <w:p w14:paraId="7F9D24AB" w14:textId="3EA3F2E4" w:rsidR="00CE0952" w:rsidRPr="00EF2E8A" w:rsidRDefault="00B91CE2" w:rsidP="00591C83">
            <w:pPr>
              <w:pStyle w:val="NormalWeb"/>
              <w:spacing w:before="0" w:after="2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78%</w:t>
            </w:r>
          </w:p>
        </w:tc>
        <w:tc>
          <w:tcPr>
            <w:tcW w:w="897" w:type="pct"/>
            <w:gridSpan w:val="3"/>
          </w:tcPr>
          <w:p w14:paraId="4A94BF7D" w14:textId="32A9DC76" w:rsidR="00CE0952" w:rsidRPr="00EF2E8A" w:rsidRDefault="00B91CE2" w:rsidP="00591C83">
            <w:pPr>
              <w:pStyle w:val="NormalWeb"/>
              <w:spacing w:before="0" w:after="2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70%</w:t>
            </w:r>
          </w:p>
        </w:tc>
        <w:tc>
          <w:tcPr>
            <w:tcW w:w="1045" w:type="pct"/>
            <w:gridSpan w:val="2"/>
          </w:tcPr>
          <w:p w14:paraId="4782F28E" w14:textId="397B6738" w:rsidR="00CE0952" w:rsidRPr="00EF2E8A" w:rsidRDefault="00B91CE2" w:rsidP="00591C83">
            <w:pPr>
              <w:pStyle w:val="TableText"/>
              <w:keepLines/>
              <w:widowControl/>
              <w:spacing w:after="20"/>
              <w:jc w:val="center"/>
              <w:rPr>
                <w:szCs w:val="20"/>
                <w:lang w:val="en-AU"/>
              </w:rPr>
            </w:pPr>
            <w:r w:rsidRPr="00EF2E8A">
              <w:rPr>
                <w:lang w:val="en-AU"/>
              </w:rPr>
              <w:t>8%</w:t>
            </w:r>
          </w:p>
        </w:tc>
        <w:tc>
          <w:tcPr>
            <w:tcW w:w="895" w:type="pct"/>
            <w:vMerge/>
          </w:tcPr>
          <w:p w14:paraId="05A00AC1" w14:textId="77777777" w:rsidR="00CE0952" w:rsidRPr="00EF2E8A" w:rsidRDefault="00CE0952" w:rsidP="00591C83">
            <w:pPr>
              <w:pStyle w:val="TableText"/>
              <w:keepLines/>
              <w:widowControl/>
              <w:jc w:val="center"/>
              <w:rPr>
                <w:szCs w:val="20"/>
                <w:highlight w:val="lightGray"/>
                <w:lang w:val="en-AU"/>
              </w:rPr>
            </w:pPr>
          </w:p>
        </w:tc>
      </w:tr>
      <w:tr w:rsidR="00CE0952" w:rsidRPr="00EF2E8A" w14:paraId="3B8AAC0B" w14:textId="77777777" w:rsidTr="00A12C7D">
        <w:trPr>
          <w:trHeight w:val="20"/>
        </w:trPr>
        <w:tc>
          <w:tcPr>
            <w:tcW w:w="1261" w:type="pct"/>
          </w:tcPr>
          <w:p w14:paraId="2FC64571" w14:textId="2F755BAB" w:rsidR="00CE0952" w:rsidRPr="00EF2E8A" w:rsidRDefault="00CE0952" w:rsidP="00591C83">
            <w:pPr>
              <w:pStyle w:val="TableText"/>
              <w:keepLines/>
              <w:widowControl/>
              <w:spacing w:after="20"/>
              <w:rPr>
                <w:szCs w:val="20"/>
                <w:lang w:val="en-AU"/>
              </w:rPr>
            </w:pPr>
            <w:r w:rsidRPr="00EF2E8A">
              <w:rPr>
                <w:szCs w:val="20"/>
                <w:lang w:val="en-AU"/>
              </w:rPr>
              <w:t xml:space="preserve">   at 9 mo </w:t>
            </w:r>
          </w:p>
        </w:tc>
        <w:tc>
          <w:tcPr>
            <w:tcW w:w="902" w:type="pct"/>
            <w:gridSpan w:val="2"/>
          </w:tcPr>
          <w:p w14:paraId="6462CAE7" w14:textId="444A86A3" w:rsidR="00CE0952" w:rsidRPr="00EF2E8A" w:rsidRDefault="007971C5" w:rsidP="00591C83">
            <w:pPr>
              <w:pStyle w:val="NormalWeb"/>
              <w:spacing w:before="0" w:after="2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69%</w:t>
            </w:r>
          </w:p>
        </w:tc>
        <w:tc>
          <w:tcPr>
            <w:tcW w:w="897" w:type="pct"/>
            <w:gridSpan w:val="3"/>
          </w:tcPr>
          <w:p w14:paraId="3D0EEB5E" w14:textId="7A1BFB0B" w:rsidR="00CE0952" w:rsidRPr="00EF2E8A" w:rsidRDefault="007971C5" w:rsidP="00591C83">
            <w:pPr>
              <w:pStyle w:val="NormalWeb"/>
              <w:spacing w:before="0" w:after="2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59%</w:t>
            </w:r>
          </w:p>
        </w:tc>
        <w:tc>
          <w:tcPr>
            <w:tcW w:w="1045" w:type="pct"/>
            <w:gridSpan w:val="2"/>
          </w:tcPr>
          <w:p w14:paraId="00683AC3" w14:textId="1E7AE16A" w:rsidR="00CE0952" w:rsidRPr="00EF2E8A" w:rsidRDefault="007971C5" w:rsidP="00591C83">
            <w:pPr>
              <w:pStyle w:val="TableText"/>
              <w:keepLines/>
              <w:widowControl/>
              <w:spacing w:after="20"/>
              <w:jc w:val="center"/>
              <w:rPr>
                <w:szCs w:val="20"/>
                <w:lang w:val="en-AU"/>
              </w:rPr>
            </w:pPr>
            <w:r w:rsidRPr="00EF2E8A">
              <w:rPr>
                <w:lang w:val="en-AU"/>
              </w:rPr>
              <w:t>9%</w:t>
            </w:r>
          </w:p>
        </w:tc>
        <w:tc>
          <w:tcPr>
            <w:tcW w:w="895" w:type="pct"/>
            <w:vMerge/>
          </w:tcPr>
          <w:p w14:paraId="39A2F480" w14:textId="77777777" w:rsidR="00CE0952" w:rsidRPr="00EF2E8A" w:rsidRDefault="00CE0952" w:rsidP="00591C83">
            <w:pPr>
              <w:pStyle w:val="TableText"/>
              <w:keepLines/>
              <w:widowControl/>
              <w:jc w:val="center"/>
              <w:rPr>
                <w:szCs w:val="20"/>
                <w:highlight w:val="lightGray"/>
                <w:lang w:val="en-AU"/>
              </w:rPr>
            </w:pPr>
          </w:p>
        </w:tc>
      </w:tr>
      <w:tr w:rsidR="00CE0952" w:rsidRPr="00EF2E8A" w14:paraId="65F6BA29" w14:textId="77777777" w:rsidTr="00A12C7D">
        <w:trPr>
          <w:trHeight w:val="20"/>
        </w:trPr>
        <w:tc>
          <w:tcPr>
            <w:tcW w:w="1261" w:type="pct"/>
          </w:tcPr>
          <w:p w14:paraId="51F6E62E" w14:textId="314184E2" w:rsidR="00CE0952" w:rsidRPr="00EF2E8A" w:rsidRDefault="00CE0952" w:rsidP="00591C83">
            <w:pPr>
              <w:pStyle w:val="TableText"/>
              <w:keepLines/>
              <w:widowControl/>
              <w:spacing w:after="20"/>
              <w:rPr>
                <w:szCs w:val="20"/>
                <w:lang w:val="en-AU"/>
              </w:rPr>
            </w:pPr>
            <w:r w:rsidRPr="00EF2E8A">
              <w:rPr>
                <w:lang w:val="en-AU"/>
              </w:rPr>
              <w:t xml:space="preserve">   at 12 mo </w:t>
            </w:r>
          </w:p>
        </w:tc>
        <w:tc>
          <w:tcPr>
            <w:tcW w:w="902" w:type="pct"/>
            <w:gridSpan w:val="2"/>
          </w:tcPr>
          <w:p w14:paraId="07E957CB" w14:textId="3993B29C" w:rsidR="00CE0952" w:rsidRPr="00EF2E8A" w:rsidRDefault="007971C5" w:rsidP="00591C83">
            <w:pPr>
              <w:pStyle w:val="NormalWeb"/>
              <w:spacing w:before="0" w:after="2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59%</w:t>
            </w:r>
          </w:p>
        </w:tc>
        <w:tc>
          <w:tcPr>
            <w:tcW w:w="897" w:type="pct"/>
            <w:gridSpan w:val="3"/>
          </w:tcPr>
          <w:p w14:paraId="1DD9BB7F" w14:textId="7237E2B6" w:rsidR="00CE0952" w:rsidRPr="00EF2E8A" w:rsidRDefault="007971C5" w:rsidP="00591C83">
            <w:pPr>
              <w:pStyle w:val="NormalWeb"/>
              <w:spacing w:before="0" w:after="20"/>
              <w:jc w:val="center"/>
              <w:rPr>
                <w:rFonts w:ascii="Arial Narrow" w:eastAsia="Calibri" w:hAnsi="Arial Narrow" w:cs="Calibri"/>
                <w:kern w:val="24"/>
                <w:sz w:val="20"/>
                <w:lang w:val="en-AU"/>
              </w:rPr>
            </w:pPr>
            <w:r w:rsidRPr="00EF2E8A">
              <w:rPr>
                <w:rFonts w:ascii="Arial Narrow" w:eastAsia="Calibri" w:hAnsi="Arial Narrow" w:cs="Calibri"/>
                <w:kern w:val="24"/>
                <w:sz w:val="20"/>
                <w:lang w:val="en-AU"/>
              </w:rPr>
              <w:t>49%</w:t>
            </w:r>
          </w:p>
        </w:tc>
        <w:tc>
          <w:tcPr>
            <w:tcW w:w="1045" w:type="pct"/>
            <w:gridSpan w:val="2"/>
          </w:tcPr>
          <w:p w14:paraId="44FACC2E" w14:textId="65014A5D" w:rsidR="00CE0952" w:rsidRPr="00EF2E8A" w:rsidRDefault="007971C5" w:rsidP="00591C83">
            <w:pPr>
              <w:pStyle w:val="TableText"/>
              <w:keepLines/>
              <w:widowControl/>
              <w:spacing w:after="20"/>
              <w:jc w:val="center"/>
              <w:rPr>
                <w:szCs w:val="20"/>
                <w:lang w:val="en-AU"/>
              </w:rPr>
            </w:pPr>
            <w:r w:rsidRPr="00EF2E8A">
              <w:rPr>
                <w:lang w:val="en-AU"/>
              </w:rPr>
              <w:t>11%</w:t>
            </w:r>
          </w:p>
        </w:tc>
        <w:tc>
          <w:tcPr>
            <w:tcW w:w="895" w:type="pct"/>
            <w:vMerge/>
          </w:tcPr>
          <w:p w14:paraId="6477E0C4" w14:textId="77777777" w:rsidR="00CE0952" w:rsidRPr="00EF2E8A" w:rsidRDefault="00CE0952" w:rsidP="00591C83">
            <w:pPr>
              <w:pStyle w:val="TableText"/>
              <w:keepLines/>
              <w:widowControl/>
              <w:jc w:val="center"/>
              <w:rPr>
                <w:szCs w:val="20"/>
                <w:highlight w:val="lightGray"/>
                <w:lang w:val="en-AU"/>
              </w:rPr>
            </w:pPr>
          </w:p>
        </w:tc>
      </w:tr>
      <w:tr w:rsidR="00FA6D9D" w:rsidRPr="00EF2E8A" w14:paraId="3F37A92F" w14:textId="77777777" w:rsidTr="00A12C7D">
        <w:trPr>
          <w:trHeight w:val="72"/>
        </w:trPr>
        <w:tc>
          <w:tcPr>
            <w:tcW w:w="5000" w:type="pct"/>
            <w:gridSpan w:val="9"/>
          </w:tcPr>
          <w:p w14:paraId="45509382" w14:textId="1E692A7C" w:rsidR="00FA6D9D" w:rsidRPr="00EF2E8A" w:rsidRDefault="00FA6D9D" w:rsidP="00591C83">
            <w:pPr>
              <w:pStyle w:val="In-tableHeading"/>
              <w:rPr>
                <w:szCs w:val="20"/>
                <w:lang w:val="en-AU"/>
              </w:rPr>
            </w:pPr>
            <w:r w:rsidRPr="00EF2E8A">
              <w:rPr>
                <w:szCs w:val="20"/>
                <w:lang w:val="en-AU"/>
              </w:rPr>
              <w:t>HARMS</w:t>
            </w:r>
          </w:p>
        </w:tc>
      </w:tr>
      <w:tr w:rsidR="004965C8" w:rsidRPr="00EF2E8A" w14:paraId="421CF92C" w14:textId="77777777" w:rsidTr="00A12C7D">
        <w:trPr>
          <w:trHeight w:val="228"/>
        </w:trPr>
        <w:tc>
          <w:tcPr>
            <w:tcW w:w="1261" w:type="pct"/>
            <w:vMerge w:val="restart"/>
          </w:tcPr>
          <w:p w14:paraId="55624A70" w14:textId="438F953D" w:rsidR="00FA6D9D" w:rsidRPr="00EF2E8A" w:rsidRDefault="00FA6D9D" w:rsidP="00591C83">
            <w:pPr>
              <w:pStyle w:val="In-tableHeading"/>
              <w:rPr>
                <w:szCs w:val="20"/>
                <w:lang w:val="en-AU"/>
              </w:rPr>
            </w:pPr>
            <w:r w:rsidRPr="00EF2E8A">
              <w:rPr>
                <w:szCs w:val="20"/>
                <w:lang w:val="en-AU"/>
              </w:rPr>
              <w:t>Outcome</w:t>
            </w:r>
          </w:p>
        </w:tc>
        <w:tc>
          <w:tcPr>
            <w:tcW w:w="568" w:type="pct"/>
            <w:vMerge w:val="restart"/>
            <w:vAlign w:val="center"/>
          </w:tcPr>
          <w:p w14:paraId="36CE86C6" w14:textId="765D15DB" w:rsidR="00FA6D9D" w:rsidRPr="00EF2E8A" w:rsidRDefault="00FA6D9D" w:rsidP="00591C83">
            <w:pPr>
              <w:pStyle w:val="In-tableHeading"/>
              <w:jc w:val="center"/>
              <w:rPr>
                <w:rFonts w:eastAsia="Calibri" w:cs="Calibri"/>
                <w:kern w:val="24"/>
                <w:szCs w:val="20"/>
                <w:lang w:val="en-AU"/>
              </w:rPr>
            </w:pPr>
            <w:r w:rsidRPr="00EF2E8A">
              <w:rPr>
                <w:rFonts w:cs="Calibri"/>
                <w:szCs w:val="20"/>
                <w:lang w:val="en-AU"/>
              </w:rPr>
              <w:t>MIRV (N=218)</w:t>
            </w:r>
          </w:p>
        </w:tc>
        <w:tc>
          <w:tcPr>
            <w:tcW w:w="506" w:type="pct"/>
            <w:gridSpan w:val="2"/>
            <w:vMerge w:val="restart"/>
            <w:vAlign w:val="center"/>
          </w:tcPr>
          <w:p w14:paraId="2C153CD6" w14:textId="0E8C71DF" w:rsidR="00FA6D9D" w:rsidRPr="00EF2E8A" w:rsidRDefault="00FA6D9D" w:rsidP="00591C83">
            <w:pPr>
              <w:pStyle w:val="In-tableHeading"/>
              <w:jc w:val="center"/>
              <w:rPr>
                <w:rFonts w:eastAsia="Calibri" w:cs="Calibri"/>
                <w:kern w:val="24"/>
                <w:szCs w:val="20"/>
                <w:lang w:val="en-AU"/>
              </w:rPr>
            </w:pPr>
            <w:r w:rsidRPr="00EF2E8A">
              <w:rPr>
                <w:rFonts w:cs="Calibri"/>
                <w:szCs w:val="20"/>
                <w:lang w:val="en-AU"/>
              </w:rPr>
              <w:t>ICC (N=207)</w:t>
            </w:r>
          </w:p>
        </w:tc>
        <w:tc>
          <w:tcPr>
            <w:tcW w:w="695" w:type="pct"/>
            <w:vMerge w:val="restart"/>
          </w:tcPr>
          <w:p w14:paraId="45CBAE97" w14:textId="77777777" w:rsidR="00FA6D9D" w:rsidRPr="00EF2E8A" w:rsidRDefault="00FA6D9D" w:rsidP="00591C83">
            <w:pPr>
              <w:pStyle w:val="In-tableHeading"/>
              <w:jc w:val="center"/>
              <w:rPr>
                <w:szCs w:val="20"/>
                <w:lang w:val="en-AU"/>
              </w:rPr>
            </w:pPr>
            <w:r w:rsidRPr="00EF2E8A">
              <w:rPr>
                <w:szCs w:val="20"/>
                <w:lang w:val="en-AU"/>
              </w:rPr>
              <w:t>RR</w:t>
            </w:r>
          </w:p>
          <w:p w14:paraId="31F5B052" w14:textId="6C1C6472" w:rsidR="00FA6D9D" w:rsidRPr="00EF2E8A" w:rsidRDefault="00FA6D9D" w:rsidP="00591C83">
            <w:pPr>
              <w:pStyle w:val="In-tableHeading"/>
              <w:jc w:val="center"/>
              <w:rPr>
                <w:rFonts w:eastAsia="Calibri" w:cs="Calibri"/>
                <w:kern w:val="24"/>
                <w:szCs w:val="20"/>
                <w:lang w:val="en-AU"/>
              </w:rPr>
            </w:pPr>
            <w:r w:rsidRPr="00EF2E8A">
              <w:rPr>
                <w:szCs w:val="20"/>
                <w:lang w:val="en-AU"/>
              </w:rPr>
              <w:t>(95% CI)</w:t>
            </w:r>
          </w:p>
        </w:tc>
        <w:tc>
          <w:tcPr>
            <w:tcW w:w="1075" w:type="pct"/>
            <w:gridSpan w:val="3"/>
          </w:tcPr>
          <w:p w14:paraId="397A0EFC" w14:textId="77777777" w:rsidR="00FA6D9D" w:rsidRPr="00EF2E8A" w:rsidRDefault="00FA6D9D" w:rsidP="00591C83">
            <w:pPr>
              <w:pStyle w:val="In-tableHeading"/>
              <w:jc w:val="center"/>
              <w:rPr>
                <w:szCs w:val="20"/>
                <w:lang w:val="en-AU"/>
              </w:rPr>
            </w:pPr>
            <w:r w:rsidRPr="00EF2E8A">
              <w:rPr>
                <w:szCs w:val="20"/>
                <w:lang w:val="en-AU"/>
              </w:rPr>
              <w:t>Event rate/100 patients</w:t>
            </w:r>
          </w:p>
        </w:tc>
        <w:tc>
          <w:tcPr>
            <w:tcW w:w="895" w:type="pct"/>
            <w:vMerge w:val="restart"/>
          </w:tcPr>
          <w:p w14:paraId="1A9DA12E" w14:textId="77777777" w:rsidR="00FA6D9D" w:rsidRPr="00EF2E8A" w:rsidRDefault="00FA6D9D" w:rsidP="00591C83">
            <w:pPr>
              <w:pStyle w:val="In-tableHeading"/>
              <w:jc w:val="center"/>
              <w:rPr>
                <w:szCs w:val="20"/>
                <w:lang w:val="en-AU"/>
              </w:rPr>
            </w:pPr>
            <w:r w:rsidRPr="00EF2E8A">
              <w:rPr>
                <w:szCs w:val="20"/>
                <w:lang w:val="en-AU"/>
              </w:rPr>
              <w:t>RD</w:t>
            </w:r>
          </w:p>
          <w:p w14:paraId="2C3D2E10" w14:textId="77777777" w:rsidR="00FA6D9D" w:rsidRPr="00EF2E8A" w:rsidRDefault="00FA6D9D" w:rsidP="00591C83">
            <w:pPr>
              <w:pStyle w:val="In-tableHeading"/>
              <w:jc w:val="center"/>
              <w:rPr>
                <w:szCs w:val="20"/>
                <w:highlight w:val="lightGray"/>
                <w:lang w:val="en-AU"/>
              </w:rPr>
            </w:pPr>
            <w:r w:rsidRPr="00EF2E8A">
              <w:rPr>
                <w:szCs w:val="20"/>
                <w:lang w:val="en-AU"/>
              </w:rPr>
              <w:t>(95% CI)</w:t>
            </w:r>
          </w:p>
        </w:tc>
      </w:tr>
      <w:tr w:rsidR="004965C8" w:rsidRPr="00EF2E8A" w14:paraId="0AA35B07" w14:textId="77777777" w:rsidTr="00A12C7D">
        <w:trPr>
          <w:trHeight w:val="228"/>
        </w:trPr>
        <w:tc>
          <w:tcPr>
            <w:tcW w:w="1261" w:type="pct"/>
            <w:vMerge/>
          </w:tcPr>
          <w:p w14:paraId="6C8FF342" w14:textId="77777777" w:rsidR="00FA6D9D" w:rsidRPr="00EF2E8A" w:rsidRDefault="00FA6D9D" w:rsidP="00591C83">
            <w:pPr>
              <w:pStyle w:val="In-tableHeading"/>
              <w:rPr>
                <w:szCs w:val="20"/>
                <w:lang w:val="en-AU"/>
              </w:rPr>
            </w:pPr>
          </w:p>
        </w:tc>
        <w:tc>
          <w:tcPr>
            <w:tcW w:w="568" w:type="pct"/>
            <w:vMerge/>
            <w:vAlign w:val="center"/>
          </w:tcPr>
          <w:p w14:paraId="697428DB" w14:textId="77777777" w:rsidR="00FA6D9D" w:rsidRPr="00EF2E8A" w:rsidRDefault="00FA6D9D" w:rsidP="00591C83">
            <w:pPr>
              <w:pStyle w:val="In-tableHeading"/>
              <w:jc w:val="center"/>
              <w:rPr>
                <w:rFonts w:cs="Calibri"/>
                <w:szCs w:val="20"/>
                <w:lang w:val="en-AU"/>
              </w:rPr>
            </w:pPr>
          </w:p>
        </w:tc>
        <w:tc>
          <w:tcPr>
            <w:tcW w:w="506" w:type="pct"/>
            <w:gridSpan w:val="2"/>
            <w:vMerge/>
            <w:vAlign w:val="center"/>
          </w:tcPr>
          <w:p w14:paraId="28503965" w14:textId="77777777" w:rsidR="00FA6D9D" w:rsidRPr="00EF2E8A" w:rsidRDefault="00FA6D9D" w:rsidP="00591C83">
            <w:pPr>
              <w:pStyle w:val="In-tableHeading"/>
              <w:jc w:val="center"/>
              <w:rPr>
                <w:rFonts w:cs="Calibri"/>
                <w:szCs w:val="20"/>
                <w:lang w:val="en-AU"/>
              </w:rPr>
            </w:pPr>
          </w:p>
        </w:tc>
        <w:tc>
          <w:tcPr>
            <w:tcW w:w="695" w:type="pct"/>
            <w:vMerge/>
          </w:tcPr>
          <w:p w14:paraId="28B69762" w14:textId="77777777" w:rsidR="00FA6D9D" w:rsidRPr="00EF2E8A" w:rsidRDefault="00FA6D9D" w:rsidP="00591C83">
            <w:pPr>
              <w:pStyle w:val="In-tableHeading"/>
              <w:jc w:val="center"/>
              <w:rPr>
                <w:szCs w:val="20"/>
                <w:lang w:val="en-AU"/>
              </w:rPr>
            </w:pPr>
          </w:p>
        </w:tc>
        <w:tc>
          <w:tcPr>
            <w:tcW w:w="569" w:type="pct"/>
            <w:gridSpan w:val="2"/>
            <w:vAlign w:val="center"/>
          </w:tcPr>
          <w:p w14:paraId="7FDA4D36" w14:textId="77777777" w:rsidR="00FA6D9D" w:rsidRPr="00EF2E8A" w:rsidRDefault="00FA6D9D" w:rsidP="00591C83">
            <w:pPr>
              <w:pStyle w:val="In-tableHeading"/>
              <w:jc w:val="center"/>
              <w:rPr>
                <w:szCs w:val="20"/>
                <w:lang w:val="en-AU"/>
              </w:rPr>
            </w:pPr>
            <w:r w:rsidRPr="00EF2E8A">
              <w:rPr>
                <w:rFonts w:cs="Calibri"/>
                <w:szCs w:val="20"/>
                <w:lang w:val="en-AU"/>
              </w:rPr>
              <w:t xml:space="preserve">MIRV </w:t>
            </w:r>
          </w:p>
        </w:tc>
        <w:tc>
          <w:tcPr>
            <w:tcW w:w="506" w:type="pct"/>
            <w:vAlign w:val="center"/>
          </w:tcPr>
          <w:p w14:paraId="74D0FCD0" w14:textId="77777777" w:rsidR="00FA6D9D" w:rsidRPr="00EF2E8A" w:rsidRDefault="00FA6D9D" w:rsidP="00591C83">
            <w:pPr>
              <w:pStyle w:val="In-tableHeading"/>
              <w:jc w:val="center"/>
              <w:rPr>
                <w:szCs w:val="20"/>
                <w:lang w:val="en-AU"/>
              </w:rPr>
            </w:pPr>
            <w:r w:rsidRPr="00EF2E8A">
              <w:rPr>
                <w:rFonts w:cs="Calibri"/>
                <w:szCs w:val="20"/>
                <w:lang w:val="en-AU"/>
              </w:rPr>
              <w:t>ICC</w:t>
            </w:r>
          </w:p>
        </w:tc>
        <w:tc>
          <w:tcPr>
            <w:tcW w:w="895" w:type="pct"/>
            <w:vMerge/>
          </w:tcPr>
          <w:p w14:paraId="107F9C7F" w14:textId="77777777" w:rsidR="00FA6D9D" w:rsidRPr="00EF2E8A" w:rsidRDefault="00FA6D9D" w:rsidP="00591C83">
            <w:pPr>
              <w:pStyle w:val="In-tableHeading"/>
              <w:jc w:val="center"/>
              <w:rPr>
                <w:szCs w:val="20"/>
                <w:lang w:val="en-AU"/>
              </w:rPr>
            </w:pPr>
          </w:p>
        </w:tc>
      </w:tr>
      <w:tr w:rsidR="004965C8" w:rsidRPr="00EF2E8A" w14:paraId="69F45E5B" w14:textId="77777777" w:rsidTr="00A12C7D">
        <w:trPr>
          <w:trHeight w:val="20"/>
        </w:trPr>
        <w:tc>
          <w:tcPr>
            <w:tcW w:w="1261" w:type="pct"/>
          </w:tcPr>
          <w:p w14:paraId="37E7D96F" w14:textId="18466D37" w:rsidR="00FA6D9D" w:rsidRPr="00EF2E8A" w:rsidRDefault="00FA6D9D" w:rsidP="00591C83">
            <w:pPr>
              <w:pStyle w:val="TableText"/>
              <w:widowControl/>
              <w:rPr>
                <w:szCs w:val="20"/>
                <w:lang w:val="en-AU"/>
              </w:rPr>
            </w:pPr>
            <w:r w:rsidRPr="00EF2E8A">
              <w:rPr>
                <w:szCs w:val="20"/>
                <w:lang w:val="en-AU"/>
              </w:rPr>
              <w:t>TEAEs, Grade 3+</w:t>
            </w:r>
          </w:p>
        </w:tc>
        <w:tc>
          <w:tcPr>
            <w:tcW w:w="568" w:type="pct"/>
            <w:vAlign w:val="center"/>
          </w:tcPr>
          <w:p w14:paraId="548D5283" w14:textId="60D89DF0" w:rsidR="00FA6D9D" w:rsidRPr="00EF2E8A" w:rsidRDefault="00FA6D9D" w:rsidP="00591C83">
            <w:pPr>
              <w:pStyle w:val="TableText"/>
              <w:widowControl/>
              <w:jc w:val="center"/>
              <w:rPr>
                <w:rFonts w:cs="Calibri"/>
                <w:szCs w:val="20"/>
                <w:lang w:val="en-AU"/>
              </w:rPr>
            </w:pPr>
            <w:r w:rsidRPr="00EF2E8A">
              <w:rPr>
                <w:rFonts w:cstheme="minorHAnsi"/>
                <w:szCs w:val="20"/>
                <w:lang w:val="en-AU"/>
              </w:rPr>
              <w:t>97 (44)</w:t>
            </w:r>
          </w:p>
        </w:tc>
        <w:tc>
          <w:tcPr>
            <w:tcW w:w="506" w:type="pct"/>
            <w:gridSpan w:val="2"/>
            <w:vAlign w:val="center"/>
          </w:tcPr>
          <w:p w14:paraId="4CA3479A" w14:textId="712FDA8C" w:rsidR="00FA6D9D" w:rsidRPr="00EF2E8A" w:rsidRDefault="00FA6D9D" w:rsidP="00591C83">
            <w:pPr>
              <w:pStyle w:val="TableText"/>
              <w:widowControl/>
              <w:jc w:val="center"/>
              <w:rPr>
                <w:rFonts w:cs="Calibri"/>
                <w:szCs w:val="20"/>
                <w:lang w:val="en-AU"/>
              </w:rPr>
            </w:pPr>
            <w:r w:rsidRPr="00EF2E8A">
              <w:rPr>
                <w:rFonts w:cstheme="minorHAnsi"/>
                <w:szCs w:val="20"/>
                <w:lang w:val="en-AU"/>
              </w:rPr>
              <w:t>113 (55)</w:t>
            </w:r>
          </w:p>
        </w:tc>
        <w:tc>
          <w:tcPr>
            <w:tcW w:w="695" w:type="pct"/>
          </w:tcPr>
          <w:p w14:paraId="2EFEBAE2" w14:textId="53E02F4F" w:rsidR="00FA6D9D" w:rsidRPr="00EF2E8A" w:rsidRDefault="00FA6D9D" w:rsidP="00591C83">
            <w:pPr>
              <w:pStyle w:val="TableText"/>
              <w:widowControl/>
              <w:jc w:val="center"/>
              <w:rPr>
                <w:szCs w:val="20"/>
                <w:lang w:val="en-AU"/>
              </w:rPr>
            </w:pPr>
            <w:r w:rsidRPr="00EF2E8A">
              <w:rPr>
                <w:szCs w:val="20"/>
                <w:lang w:val="en-AU"/>
              </w:rPr>
              <w:t>0.82</w:t>
            </w:r>
          </w:p>
          <w:p w14:paraId="7D544511" w14:textId="017EC03C" w:rsidR="00FA6D9D" w:rsidRPr="00EF2E8A" w:rsidRDefault="00FA6D9D" w:rsidP="00591C83">
            <w:pPr>
              <w:pStyle w:val="TableText"/>
              <w:widowControl/>
              <w:jc w:val="center"/>
              <w:rPr>
                <w:rFonts w:cs="Calibri"/>
                <w:szCs w:val="20"/>
                <w:lang w:val="en-AU"/>
              </w:rPr>
            </w:pPr>
            <w:r w:rsidRPr="00EF2E8A">
              <w:rPr>
                <w:szCs w:val="20"/>
                <w:lang w:val="en-AU"/>
              </w:rPr>
              <w:t>(0.67, 0.99)</w:t>
            </w:r>
          </w:p>
        </w:tc>
        <w:tc>
          <w:tcPr>
            <w:tcW w:w="569" w:type="pct"/>
            <w:gridSpan w:val="2"/>
            <w:vAlign w:val="center"/>
          </w:tcPr>
          <w:p w14:paraId="24EA9CA1" w14:textId="77777777" w:rsidR="00FA6D9D" w:rsidRPr="00EF2E8A" w:rsidRDefault="00FA6D9D" w:rsidP="00591C83">
            <w:pPr>
              <w:pStyle w:val="TableText"/>
              <w:widowControl/>
              <w:jc w:val="center"/>
              <w:rPr>
                <w:szCs w:val="20"/>
                <w:lang w:val="en-AU"/>
              </w:rPr>
            </w:pPr>
            <w:r w:rsidRPr="00EF2E8A">
              <w:rPr>
                <w:rFonts w:cs="Arial"/>
                <w:color w:val="000000"/>
                <w:szCs w:val="20"/>
                <w:lang w:val="en-AU"/>
              </w:rPr>
              <w:t>44.5</w:t>
            </w:r>
          </w:p>
        </w:tc>
        <w:tc>
          <w:tcPr>
            <w:tcW w:w="506" w:type="pct"/>
            <w:vAlign w:val="center"/>
          </w:tcPr>
          <w:p w14:paraId="5787A547" w14:textId="19F43319" w:rsidR="00FA6D9D" w:rsidRPr="00EF2E8A" w:rsidRDefault="00FA6D9D" w:rsidP="00591C83">
            <w:pPr>
              <w:pStyle w:val="TableText"/>
              <w:widowControl/>
              <w:jc w:val="center"/>
              <w:rPr>
                <w:szCs w:val="20"/>
                <w:lang w:val="en-AU"/>
              </w:rPr>
            </w:pPr>
            <w:r w:rsidRPr="00EF2E8A">
              <w:rPr>
                <w:rFonts w:cs="Arial"/>
                <w:color w:val="000000"/>
                <w:szCs w:val="20"/>
                <w:lang w:val="en-AU"/>
              </w:rPr>
              <w:t>54.6</w:t>
            </w:r>
          </w:p>
        </w:tc>
        <w:tc>
          <w:tcPr>
            <w:tcW w:w="895" w:type="pct"/>
          </w:tcPr>
          <w:p w14:paraId="129BDA28" w14:textId="5ABFFFE8" w:rsidR="00B32CFB" w:rsidRPr="00EF2E8A" w:rsidRDefault="00A46D2B" w:rsidP="00591C83">
            <w:pPr>
              <w:pStyle w:val="TableText"/>
              <w:widowControl/>
              <w:jc w:val="center"/>
              <w:rPr>
                <w:szCs w:val="18"/>
                <w:lang w:val="en-AU"/>
              </w:rPr>
            </w:pPr>
            <w:r>
              <w:rPr>
                <w:szCs w:val="18"/>
                <w:lang w:val="en-AU"/>
              </w:rPr>
              <w:noBreakHyphen/>
            </w:r>
            <w:r w:rsidR="00B32CFB" w:rsidRPr="00EF2E8A">
              <w:rPr>
                <w:szCs w:val="18"/>
                <w:lang w:val="en-AU"/>
              </w:rPr>
              <w:t xml:space="preserve">0.101 </w:t>
            </w:r>
          </w:p>
          <w:p w14:paraId="09DC7800" w14:textId="113E2845" w:rsidR="00FA6D9D" w:rsidRPr="00EF2E8A" w:rsidRDefault="00B32CFB" w:rsidP="00591C83">
            <w:pPr>
              <w:pStyle w:val="TableText"/>
              <w:widowControl/>
              <w:jc w:val="center"/>
              <w:rPr>
                <w:szCs w:val="20"/>
                <w:lang w:val="en-AU"/>
              </w:rPr>
            </w:pPr>
            <w:r w:rsidRPr="00EF2E8A">
              <w:rPr>
                <w:szCs w:val="18"/>
                <w:lang w:val="en-AU"/>
              </w:rPr>
              <w:t>(</w:t>
            </w:r>
            <w:r w:rsidR="00A46D2B">
              <w:rPr>
                <w:szCs w:val="18"/>
                <w:lang w:val="en-AU"/>
              </w:rPr>
              <w:noBreakHyphen/>
            </w:r>
            <w:r w:rsidRPr="00EF2E8A">
              <w:rPr>
                <w:szCs w:val="18"/>
                <w:lang w:val="en-AU"/>
              </w:rPr>
              <w:t xml:space="preserve">0.195, </w:t>
            </w:r>
            <w:r w:rsidR="00A46D2B">
              <w:rPr>
                <w:szCs w:val="18"/>
                <w:lang w:val="en-AU"/>
              </w:rPr>
              <w:noBreakHyphen/>
            </w:r>
            <w:r w:rsidRPr="00EF2E8A">
              <w:rPr>
                <w:szCs w:val="18"/>
                <w:lang w:val="en-AU"/>
              </w:rPr>
              <w:t>0.006)</w:t>
            </w:r>
          </w:p>
        </w:tc>
      </w:tr>
      <w:tr w:rsidR="004965C8" w:rsidRPr="00EF2E8A" w14:paraId="4DF3BE6B" w14:textId="77777777" w:rsidTr="00A12C7D">
        <w:trPr>
          <w:trHeight w:val="20"/>
        </w:trPr>
        <w:tc>
          <w:tcPr>
            <w:tcW w:w="1261" w:type="pct"/>
          </w:tcPr>
          <w:p w14:paraId="5ED4B867" w14:textId="6EDF8427" w:rsidR="00FA6D9D" w:rsidRPr="00EF2E8A" w:rsidRDefault="00FA6D9D" w:rsidP="00591C83">
            <w:pPr>
              <w:pStyle w:val="TableText"/>
              <w:widowControl/>
              <w:rPr>
                <w:szCs w:val="20"/>
                <w:lang w:val="en-AU"/>
              </w:rPr>
            </w:pPr>
            <w:r w:rsidRPr="00EF2E8A">
              <w:rPr>
                <w:szCs w:val="20"/>
                <w:lang w:val="en-AU"/>
              </w:rPr>
              <w:t xml:space="preserve">TEAEs </w:t>
            </w:r>
            <w:r w:rsidR="00C15AEB" w:rsidRPr="00EF2E8A">
              <w:rPr>
                <w:szCs w:val="20"/>
                <w:lang w:val="en-AU"/>
              </w:rPr>
              <w:t>leading to study drug discontinuation</w:t>
            </w:r>
            <w:r w:rsidRPr="00EF2E8A">
              <w:rPr>
                <w:szCs w:val="20"/>
                <w:lang w:val="en-AU"/>
              </w:rPr>
              <w:t>, Grade 3+</w:t>
            </w:r>
          </w:p>
        </w:tc>
        <w:tc>
          <w:tcPr>
            <w:tcW w:w="568" w:type="pct"/>
            <w:vAlign w:val="center"/>
          </w:tcPr>
          <w:p w14:paraId="21B31E1D" w14:textId="5A83CCAE" w:rsidR="00FA6D9D" w:rsidRPr="00EF2E8A" w:rsidRDefault="00FA6D9D" w:rsidP="00591C83">
            <w:pPr>
              <w:pStyle w:val="TableText"/>
              <w:widowControl/>
              <w:jc w:val="center"/>
              <w:rPr>
                <w:rFonts w:cs="Calibri"/>
                <w:szCs w:val="20"/>
                <w:lang w:val="en-AU"/>
              </w:rPr>
            </w:pPr>
            <w:r w:rsidRPr="00EF2E8A">
              <w:rPr>
                <w:rFonts w:cstheme="minorHAnsi"/>
                <w:szCs w:val="20"/>
                <w:lang w:val="en-AU"/>
              </w:rPr>
              <w:t>12 (6)</w:t>
            </w:r>
          </w:p>
        </w:tc>
        <w:tc>
          <w:tcPr>
            <w:tcW w:w="506" w:type="pct"/>
            <w:gridSpan w:val="2"/>
            <w:vAlign w:val="center"/>
          </w:tcPr>
          <w:p w14:paraId="6F96F814" w14:textId="0D500708" w:rsidR="00FA6D9D" w:rsidRPr="00EF2E8A" w:rsidRDefault="00FA6D9D" w:rsidP="00591C83">
            <w:pPr>
              <w:pStyle w:val="TableText"/>
              <w:widowControl/>
              <w:jc w:val="center"/>
              <w:rPr>
                <w:rFonts w:cs="Calibri"/>
                <w:szCs w:val="20"/>
                <w:lang w:val="en-AU"/>
              </w:rPr>
            </w:pPr>
            <w:r w:rsidRPr="00EF2E8A">
              <w:rPr>
                <w:rFonts w:cstheme="minorHAnsi"/>
                <w:szCs w:val="20"/>
                <w:lang w:val="en-AU"/>
              </w:rPr>
              <w:t>22 (11)</w:t>
            </w:r>
          </w:p>
        </w:tc>
        <w:tc>
          <w:tcPr>
            <w:tcW w:w="695" w:type="pct"/>
          </w:tcPr>
          <w:p w14:paraId="0DB8044A" w14:textId="522A6CE3" w:rsidR="00FA6D9D" w:rsidRPr="00EF2E8A" w:rsidRDefault="00FA6D9D" w:rsidP="00591C83">
            <w:pPr>
              <w:pStyle w:val="TableText"/>
              <w:widowControl/>
              <w:jc w:val="center"/>
              <w:rPr>
                <w:szCs w:val="20"/>
                <w:lang w:val="en-AU"/>
              </w:rPr>
            </w:pPr>
            <w:r w:rsidRPr="00EF2E8A">
              <w:rPr>
                <w:szCs w:val="20"/>
                <w:lang w:val="en-AU"/>
              </w:rPr>
              <w:t xml:space="preserve">0.52 </w:t>
            </w:r>
          </w:p>
          <w:p w14:paraId="67894972" w14:textId="297B9342" w:rsidR="00FA6D9D" w:rsidRPr="00EF2E8A" w:rsidRDefault="00FA6D9D" w:rsidP="00591C83">
            <w:pPr>
              <w:pStyle w:val="TableText"/>
              <w:widowControl/>
              <w:jc w:val="center"/>
              <w:rPr>
                <w:rFonts w:cs="Calibri"/>
                <w:szCs w:val="20"/>
                <w:lang w:val="en-AU"/>
              </w:rPr>
            </w:pPr>
            <w:r w:rsidRPr="00EF2E8A">
              <w:rPr>
                <w:szCs w:val="20"/>
                <w:lang w:val="en-AU"/>
              </w:rPr>
              <w:t>(0.26, 1.02)</w:t>
            </w:r>
          </w:p>
        </w:tc>
        <w:tc>
          <w:tcPr>
            <w:tcW w:w="569" w:type="pct"/>
            <w:gridSpan w:val="2"/>
            <w:vAlign w:val="center"/>
          </w:tcPr>
          <w:p w14:paraId="18D38DF5" w14:textId="77777777" w:rsidR="00FA6D9D" w:rsidRPr="00EF2E8A" w:rsidRDefault="00FA6D9D" w:rsidP="00591C83">
            <w:pPr>
              <w:pStyle w:val="TableText"/>
              <w:widowControl/>
              <w:jc w:val="center"/>
              <w:rPr>
                <w:szCs w:val="20"/>
                <w:lang w:val="en-AU"/>
              </w:rPr>
            </w:pPr>
            <w:r w:rsidRPr="00EF2E8A">
              <w:rPr>
                <w:rFonts w:cs="Arial"/>
                <w:color w:val="000000"/>
                <w:szCs w:val="20"/>
                <w:lang w:val="en-AU"/>
              </w:rPr>
              <w:t>5.5</w:t>
            </w:r>
          </w:p>
        </w:tc>
        <w:tc>
          <w:tcPr>
            <w:tcW w:w="506" w:type="pct"/>
            <w:vAlign w:val="center"/>
          </w:tcPr>
          <w:p w14:paraId="06F9A6EE" w14:textId="77777777" w:rsidR="00FA6D9D" w:rsidRPr="00EF2E8A" w:rsidRDefault="00FA6D9D" w:rsidP="00591C83">
            <w:pPr>
              <w:pStyle w:val="TableText"/>
              <w:widowControl/>
              <w:jc w:val="center"/>
              <w:rPr>
                <w:szCs w:val="20"/>
                <w:lang w:val="en-AU"/>
              </w:rPr>
            </w:pPr>
            <w:r w:rsidRPr="00EF2E8A">
              <w:rPr>
                <w:rFonts w:cs="Arial"/>
                <w:color w:val="000000"/>
                <w:szCs w:val="20"/>
                <w:lang w:val="en-AU"/>
              </w:rPr>
              <w:t>10.6</w:t>
            </w:r>
          </w:p>
        </w:tc>
        <w:tc>
          <w:tcPr>
            <w:tcW w:w="895" w:type="pct"/>
          </w:tcPr>
          <w:p w14:paraId="2B204261" w14:textId="23CD4A9C" w:rsidR="00C15AEB" w:rsidRPr="00EF2E8A" w:rsidRDefault="00A46D2B" w:rsidP="00591C83">
            <w:pPr>
              <w:pStyle w:val="TableText"/>
              <w:widowControl/>
              <w:jc w:val="center"/>
              <w:rPr>
                <w:szCs w:val="18"/>
                <w:lang w:val="en-AU"/>
              </w:rPr>
            </w:pPr>
            <w:r>
              <w:rPr>
                <w:szCs w:val="18"/>
                <w:lang w:val="en-AU"/>
              </w:rPr>
              <w:noBreakHyphen/>
            </w:r>
            <w:r w:rsidR="00C15AEB" w:rsidRPr="00EF2E8A">
              <w:rPr>
                <w:szCs w:val="18"/>
                <w:lang w:val="en-AU"/>
              </w:rPr>
              <w:t xml:space="preserve">0.051 </w:t>
            </w:r>
          </w:p>
          <w:p w14:paraId="3285B168" w14:textId="36162909" w:rsidR="00FA6D9D" w:rsidRPr="00EF2E8A" w:rsidRDefault="00C15AEB" w:rsidP="00591C83">
            <w:pPr>
              <w:pStyle w:val="TableText"/>
              <w:widowControl/>
              <w:jc w:val="center"/>
              <w:rPr>
                <w:szCs w:val="20"/>
                <w:lang w:val="en-AU"/>
              </w:rPr>
            </w:pPr>
            <w:r w:rsidRPr="00EF2E8A">
              <w:rPr>
                <w:szCs w:val="18"/>
                <w:lang w:val="en-AU"/>
              </w:rPr>
              <w:t>(</w:t>
            </w:r>
            <w:r w:rsidR="00A46D2B">
              <w:rPr>
                <w:szCs w:val="18"/>
                <w:lang w:val="en-AU"/>
              </w:rPr>
              <w:noBreakHyphen/>
            </w:r>
            <w:r w:rsidRPr="00EF2E8A">
              <w:rPr>
                <w:szCs w:val="18"/>
                <w:lang w:val="en-AU"/>
              </w:rPr>
              <w:t>0.106, 0.001)</w:t>
            </w:r>
          </w:p>
        </w:tc>
      </w:tr>
      <w:tr w:rsidR="004965C8" w:rsidRPr="00EF2E8A" w14:paraId="446BF0BF" w14:textId="77777777" w:rsidTr="00A12C7D">
        <w:trPr>
          <w:trHeight w:val="20"/>
        </w:trPr>
        <w:tc>
          <w:tcPr>
            <w:tcW w:w="1261" w:type="pct"/>
          </w:tcPr>
          <w:p w14:paraId="1ADCEE55" w14:textId="47F0ED1F" w:rsidR="00FA6D9D" w:rsidRPr="00EF2E8A" w:rsidRDefault="00FA6D9D" w:rsidP="00591C83">
            <w:pPr>
              <w:pStyle w:val="TableText"/>
              <w:widowControl/>
              <w:rPr>
                <w:szCs w:val="20"/>
                <w:lang w:val="en-AU"/>
              </w:rPr>
            </w:pPr>
            <w:r w:rsidRPr="00EF2E8A">
              <w:rPr>
                <w:szCs w:val="20"/>
                <w:lang w:val="en-AU"/>
              </w:rPr>
              <w:t xml:space="preserve">Patients with any TEAE </w:t>
            </w:r>
            <w:r w:rsidR="00C15AEB" w:rsidRPr="00EF2E8A">
              <w:rPr>
                <w:szCs w:val="20"/>
                <w:lang w:val="en-AU"/>
              </w:rPr>
              <w:t xml:space="preserve">leading to death </w:t>
            </w:r>
          </w:p>
        </w:tc>
        <w:tc>
          <w:tcPr>
            <w:tcW w:w="568" w:type="pct"/>
            <w:vAlign w:val="center"/>
          </w:tcPr>
          <w:p w14:paraId="28AFF617" w14:textId="40A01609" w:rsidR="00FA6D9D" w:rsidRPr="00EF2E8A" w:rsidRDefault="00FA6D9D" w:rsidP="00591C83">
            <w:pPr>
              <w:pStyle w:val="TableText"/>
              <w:widowControl/>
              <w:jc w:val="center"/>
              <w:rPr>
                <w:szCs w:val="20"/>
                <w:lang w:val="en-AU"/>
              </w:rPr>
            </w:pPr>
            <w:r w:rsidRPr="00EF2E8A">
              <w:rPr>
                <w:szCs w:val="20"/>
                <w:lang w:val="en-AU"/>
              </w:rPr>
              <w:t>4 (2)</w:t>
            </w:r>
          </w:p>
        </w:tc>
        <w:tc>
          <w:tcPr>
            <w:tcW w:w="506" w:type="pct"/>
            <w:gridSpan w:val="2"/>
            <w:vAlign w:val="center"/>
          </w:tcPr>
          <w:p w14:paraId="0180A793" w14:textId="587A1B61" w:rsidR="00FA6D9D" w:rsidRPr="00EF2E8A" w:rsidRDefault="00FA6D9D" w:rsidP="00591C83">
            <w:pPr>
              <w:pStyle w:val="TableText"/>
              <w:widowControl/>
              <w:jc w:val="center"/>
              <w:rPr>
                <w:szCs w:val="20"/>
                <w:lang w:val="en-AU"/>
              </w:rPr>
            </w:pPr>
            <w:r w:rsidRPr="00EF2E8A">
              <w:rPr>
                <w:szCs w:val="20"/>
                <w:lang w:val="en-AU"/>
              </w:rPr>
              <w:t>5 (2)</w:t>
            </w:r>
          </w:p>
        </w:tc>
        <w:tc>
          <w:tcPr>
            <w:tcW w:w="695" w:type="pct"/>
          </w:tcPr>
          <w:p w14:paraId="3FA9765D" w14:textId="5F793659" w:rsidR="00FA6D9D" w:rsidRPr="00EF2E8A" w:rsidRDefault="00FA6D9D" w:rsidP="00591C83">
            <w:pPr>
              <w:pStyle w:val="TableText"/>
              <w:widowControl/>
              <w:jc w:val="center"/>
              <w:rPr>
                <w:szCs w:val="20"/>
                <w:lang w:val="en-AU"/>
              </w:rPr>
            </w:pPr>
            <w:r w:rsidRPr="00EF2E8A">
              <w:rPr>
                <w:szCs w:val="20"/>
                <w:lang w:val="en-AU"/>
              </w:rPr>
              <w:t xml:space="preserve">0.76 </w:t>
            </w:r>
          </w:p>
          <w:p w14:paraId="632E9DF5" w14:textId="1089347B" w:rsidR="00FA6D9D" w:rsidRPr="00EF2E8A" w:rsidRDefault="00FA6D9D" w:rsidP="00591C83">
            <w:pPr>
              <w:pStyle w:val="TableText"/>
              <w:widowControl/>
              <w:jc w:val="center"/>
              <w:rPr>
                <w:szCs w:val="20"/>
                <w:lang w:val="en-AU"/>
              </w:rPr>
            </w:pPr>
            <w:r w:rsidRPr="00EF2E8A">
              <w:rPr>
                <w:szCs w:val="20"/>
                <w:lang w:val="en-AU"/>
              </w:rPr>
              <w:t>(0.207, 2.79)</w:t>
            </w:r>
          </w:p>
        </w:tc>
        <w:tc>
          <w:tcPr>
            <w:tcW w:w="569" w:type="pct"/>
            <w:gridSpan w:val="2"/>
            <w:vAlign w:val="center"/>
          </w:tcPr>
          <w:p w14:paraId="0E6EB2F2" w14:textId="77777777" w:rsidR="00FA6D9D" w:rsidRPr="00EF2E8A" w:rsidRDefault="00FA6D9D" w:rsidP="00591C83">
            <w:pPr>
              <w:pStyle w:val="TableText"/>
              <w:widowControl/>
              <w:jc w:val="center"/>
              <w:rPr>
                <w:szCs w:val="20"/>
                <w:lang w:val="en-AU"/>
              </w:rPr>
            </w:pPr>
            <w:r w:rsidRPr="00EF2E8A">
              <w:rPr>
                <w:rFonts w:cs="Arial"/>
                <w:color w:val="000000"/>
                <w:szCs w:val="20"/>
                <w:lang w:val="en-AU"/>
              </w:rPr>
              <w:t>1.8</w:t>
            </w:r>
          </w:p>
        </w:tc>
        <w:tc>
          <w:tcPr>
            <w:tcW w:w="506" w:type="pct"/>
            <w:vAlign w:val="center"/>
          </w:tcPr>
          <w:p w14:paraId="47D3B9D1" w14:textId="77777777" w:rsidR="00FA6D9D" w:rsidRPr="00EF2E8A" w:rsidRDefault="00FA6D9D" w:rsidP="00591C83">
            <w:pPr>
              <w:pStyle w:val="TableText"/>
              <w:widowControl/>
              <w:jc w:val="center"/>
              <w:rPr>
                <w:szCs w:val="20"/>
                <w:lang w:val="en-AU"/>
              </w:rPr>
            </w:pPr>
            <w:r w:rsidRPr="00EF2E8A">
              <w:rPr>
                <w:rFonts w:cs="Arial"/>
                <w:color w:val="000000"/>
                <w:szCs w:val="20"/>
                <w:lang w:val="en-AU"/>
              </w:rPr>
              <w:t>2.4</w:t>
            </w:r>
          </w:p>
        </w:tc>
        <w:tc>
          <w:tcPr>
            <w:tcW w:w="895" w:type="pct"/>
          </w:tcPr>
          <w:p w14:paraId="4D76E221" w14:textId="73A7F0AA" w:rsidR="00150E8B" w:rsidRPr="00EF2E8A" w:rsidRDefault="00A46D2B" w:rsidP="00591C83">
            <w:pPr>
              <w:pStyle w:val="TableText"/>
              <w:widowControl/>
              <w:jc w:val="center"/>
              <w:rPr>
                <w:szCs w:val="18"/>
                <w:lang w:val="en-AU"/>
              </w:rPr>
            </w:pPr>
            <w:r>
              <w:rPr>
                <w:szCs w:val="18"/>
                <w:lang w:val="en-AU"/>
              </w:rPr>
              <w:noBreakHyphen/>
            </w:r>
            <w:r w:rsidR="00150E8B" w:rsidRPr="00EF2E8A">
              <w:rPr>
                <w:szCs w:val="18"/>
                <w:lang w:val="en-AU"/>
              </w:rPr>
              <w:t xml:space="preserve">0.006 </w:t>
            </w:r>
          </w:p>
          <w:p w14:paraId="208C60D8" w14:textId="050E2381" w:rsidR="00FA6D9D" w:rsidRPr="00EF2E8A" w:rsidRDefault="00150E8B" w:rsidP="00591C83">
            <w:pPr>
              <w:pStyle w:val="TableText"/>
              <w:widowControl/>
              <w:jc w:val="center"/>
              <w:rPr>
                <w:szCs w:val="20"/>
                <w:lang w:val="en-AU"/>
              </w:rPr>
            </w:pPr>
            <w:r w:rsidRPr="00EF2E8A">
              <w:rPr>
                <w:szCs w:val="18"/>
                <w:lang w:val="en-AU"/>
              </w:rPr>
              <w:t>(</w:t>
            </w:r>
            <w:r w:rsidR="00A46D2B">
              <w:rPr>
                <w:szCs w:val="18"/>
                <w:lang w:val="en-AU"/>
              </w:rPr>
              <w:noBreakHyphen/>
            </w:r>
            <w:r w:rsidRPr="00EF2E8A">
              <w:rPr>
                <w:szCs w:val="18"/>
                <w:lang w:val="en-AU"/>
              </w:rPr>
              <w:t>0.038, 0.024)</w:t>
            </w:r>
          </w:p>
        </w:tc>
      </w:tr>
      <w:tr w:rsidR="004965C8" w:rsidRPr="00EF2E8A" w14:paraId="28BC0043" w14:textId="77777777" w:rsidTr="00A12C7D">
        <w:trPr>
          <w:trHeight w:val="20"/>
        </w:trPr>
        <w:tc>
          <w:tcPr>
            <w:tcW w:w="1261" w:type="pct"/>
          </w:tcPr>
          <w:p w14:paraId="7BFFA4A7" w14:textId="4826D391" w:rsidR="00FA6D9D" w:rsidRPr="00EF2E8A" w:rsidRDefault="00FA6D9D" w:rsidP="00591C83">
            <w:pPr>
              <w:pStyle w:val="TableText"/>
              <w:widowControl/>
              <w:rPr>
                <w:szCs w:val="20"/>
                <w:lang w:val="en-AU"/>
              </w:rPr>
            </w:pPr>
            <w:r w:rsidRPr="00EF2E8A">
              <w:rPr>
                <w:szCs w:val="20"/>
                <w:lang w:val="en-AU"/>
              </w:rPr>
              <w:t xml:space="preserve">Ocular </w:t>
            </w:r>
            <w:proofErr w:type="spellStart"/>
            <w:r w:rsidRPr="00EF2E8A">
              <w:rPr>
                <w:szCs w:val="20"/>
                <w:lang w:val="en-AU"/>
              </w:rPr>
              <w:t>TEAEs</w:t>
            </w:r>
            <w:r w:rsidRPr="00EF2E8A">
              <w:rPr>
                <w:szCs w:val="20"/>
                <w:vertAlign w:val="superscript"/>
                <w:lang w:val="en-AU"/>
              </w:rPr>
              <w:t>b</w:t>
            </w:r>
            <w:proofErr w:type="spellEnd"/>
            <w:r w:rsidRPr="00EF2E8A">
              <w:rPr>
                <w:szCs w:val="20"/>
                <w:lang w:val="en-AU"/>
              </w:rPr>
              <w:t>, any grade</w:t>
            </w:r>
          </w:p>
        </w:tc>
        <w:tc>
          <w:tcPr>
            <w:tcW w:w="568" w:type="pct"/>
          </w:tcPr>
          <w:p w14:paraId="195C8FA2" w14:textId="148F3659" w:rsidR="00FA6D9D" w:rsidRPr="00EF2E8A" w:rsidRDefault="00FA6D9D" w:rsidP="00591C83">
            <w:pPr>
              <w:pStyle w:val="TableText"/>
              <w:widowControl/>
              <w:jc w:val="center"/>
              <w:rPr>
                <w:lang w:val="en-AU"/>
              </w:rPr>
            </w:pPr>
            <w:r w:rsidRPr="00EF2E8A">
              <w:rPr>
                <w:lang w:val="en-AU"/>
              </w:rPr>
              <w:t xml:space="preserve">125 (57) </w:t>
            </w:r>
          </w:p>
        </w:tc>
        <w:tc>
          <w:tcPr>
            <w:tcW w:w="506" w:type="pct"/>
            <w:gridSpan w:val="2"/>
          </w:tcPr>
          <w:p w14:paraId="0EFF0229" w14:textId="5524B18C" w:rsidR="00FA6D9D" w:rsidRPr="00EF2E8A" w:rsidRDefault="00FA6D9D" w:rsidP="00591C83">
            <w:pPr>
              <w:pStyle w:val="TableText"/>
              <w:widowControl/>
              <w:jc w:val="center"/>
              <w:rPr>
                <w:lang w:val="en-AU"/>
              </w:rPr>
            </w:pPr>
            <w:r w:rsidRPr="00EF2E8A">
              <w:rPr>
                <w:lang w:val="en-AU"/>
              </w:rPr>
              <w:t>18 (9)</w:t>
            </w:r>
          </w:p>
        </w:tc>
        <w:tc>
          <w:tcPr>
            <w:tcW w:w="695" w:type="pct"/>
          </w:tcPr>
          <w:p w14:paraId="68029D3C" w14:textId="7BBC310E" w:rsidR="00FA6D9D" w:rsidRPr="00EF2E8A" w:rsidRDefault="00FA6D9D" w:rsidP="00591C83">
            <w:pPr>
              <w:pStyle w:val="TableText"/>
              <w:widowControl/>
              <w:jc w:val="center"/>
              <w:rPr>
                <w:szCs w:val="20"/>
                <w:lang w:val="en-AU"/>
              </w:rPr>
            </w:pPr>
            <w:r w:rsidRPr="00EF2E8A">
              <w:rPr>
                <w:szCs w:val="20"/>
                <w:lang w:val="en-AU"/>
              </w:rPr>
              <w:t xml:space="preserve">6.59 </w:t>
            </w:r>
          </w:p>
          <w:p w14:paraId="4756E56E" w14:textId="2F8F6747" w:rsidR="00FA6D9D" w:rsidRPr="00EF2E8A" w:rsidRDefault="00FA6D9D" w:rsidP="00591C83">
            <w:pPr>
              <w:pStyle w:val="TableText"/>
              <w:widowControl/>
              <w:jc w:val="center"/>
              <w:rPr>
                <w:szCs w:val="20"/>
                <w:lang w:val="en-AU"/>
              </w:rPr>
            </w:pPr>
            <w:r w:rsidRPr="00EF2E8A">
              <w:rPr>
                <w:szCs w:val="20"/>
                <w:lang w:val="en-AU"/>
              </w:rPr>
              <w:t>(4.18, 10.40)</w:t>
            </w:r>
          </w:p>
        </w:tc>
        <w:tc>
          <w:tcPr>
            <w:tcW w:w="569" w:type="pct"/>
            <w:gridSpan w:val="2"/>
            <w:vAlign w:val="center"/>
          </w:tcPr>
          <w:p w14:paraId="6BAC969C" w14:textId="77777777" w:rsidR="00FA6D9D" w:rsidRPr="00EF2E8A" w:rsidRDefault="00FA6D9D" w:rsidP="00591C83">
            <w:pPr>
              <w:pStyle w:val="TableText"/>
              <w:widowControl/>
              <w:jc w:val="center"/>
              <w:rPr>
                <w:rFonts w:cs="Arial"/>
                <w:color w:val="000000"/>
                <w:szCs w:val="20"/>
                <w:lang w:val="en-AU"/>
              </w:rPr>
            </w:pPr>
            <w:r w:rsidRPr="00EF2E8A">
              <w:rPr>
                <w:rFonts w:cs="Arial"/>
                <w:color w:val="000000"/>
                <w:szCs w:val="20"/>
                <w:lang w:val="en-AU"/>
              </w:rPr>
              <w:t>57.3</w:t>
            </w:r>
          </w:p>
        </w:tc>
        <w:tc>
          <w:tcPr>
            <w:tcW w:w="506" w:type="pct"/>
            <w:vAlign w:val="center"/>
          </w:tcPr>
          <w:p w14:paraId="571ABCDB" w14:textId="77777777" w:rsidR="00FA6D9D" w:rsidRPr="00EF2E8A" w:rsidRDefault="00FA6D9D" w:rsidP="00591C83">
            <w:pPr>
              <w:pStyle w:val="TableText"/>
              <w:widowControl/>
              <w:jc w:val="center"/>
              <w:rPr>
                <w:rFonts w:cs="Arial"/>
                <w:color w:val="000000"/>
                <w:szCs w:val="20"/>
                <w:lang w:val="en-AU"/>
              </w:rPr>
            </w:pPr>
            <w:r w:rsidRPr="00EF2E8A">
              <w:rPr>
                <w:rFonts w:cs="Arial"/>
                <w:color w:val="000000"/>
                <w:szCs w:val="20"/>
                <w:lang w:val="en-AU"/>
              </w:rPr>
              <w:t>8.7</w:t>
            </w:r>
          </w:p>
        </w:tc>
        <w:tc>
          <w:tcPr>
            <w:tcW w:w="895" w:type="pct"/>
          </w:tcPr>
          <w:p w14:paraId="7073005F" w14:textId="77777777" w:rsidR="00064384" w:rsidRPr="00EF2E8A" w:rsidRDefault="00FF36EE" w:rsidP="00591C83">
            <w:pPr>
              <w:pStyle w:val="TableText"/>
              <w:widowControl/>
              <w:jc w:val="center"/>
              <w:rPr>
                <w:szCs w:val="20"/>
                <w:lang w:val="en-AU"/>
              </w:rPr>
            </w:pPr>
            <w:r w:rsidRPr="00EF2E8A">
              <w:rPr>
                <w:szCs w:val="20"/>
                <w:lang w:val="en-AU"/>
              </w:rPr>
              <w:t xml:space="preserve">0.487 </w:t>
            </w:r>
          </w:p>
          <w:p w14:paraId="37CC03D6" w14:textId="0DA79104" w:rsidR="00FA6D9D" w:rsidRPr="00EF2E8A" w:rsidRDefault="00FF36EE" w:rsidP="00591C83">
            <w:pPr>
              <w:pStyle w:val="TableText"/>
              <w:widowControl/>
              <w:jc w:val="center"/>
              <w:rPr>
                <w:szCs w:val="20"/>
                <w:lang w:val="en-AU"/>
              </w:rPr>
            </w:pPr>
            <w:r w:rsidRPr="00EF2E8A">
              <w:rPr>
                <w:szCs w:val="20"/>
                <w:lang w:val="en-AU"/>
              </w:rPr>
              <w:t>(0.382, 0.600)</w:t>
            </w:r>
          </w:p>
        </w:tc>
      </w:tr>
      <w:tr w:rsidR="004965C8" w:rsidRPr="00EF2E8A" w14:paraId="2C090824" w14:textId="77777777" w:rsidTr="00A12C7D">
        <w:trPr>
          <w:trHeight w:val="20"/>
        </w:trPr>
        <w:tc>
          <w:tcPr>
            <w:tcW w:w="1261" w:type="pct"/>
          </w:tcPr>
          <w:p w14:paraId="4F62C3CF" w14:textId="7DB2E72F" w:rsidR="00FA6D9D" w:rsidRPr="00EF2E8A" w:rsidRDefault="00FA6D9D" w:rsidP="00591C83">
            <w:pPr>
              <w:pStyle w:val="TableText"/>
              <w:widowControl/>
              <w:rPr>
                <w:szCs w:val="20"/>
                <w:lang w:val="en-AU"/>
              </w:rPr>
            </w:pPr>
            <w:r w:rsidRPr="00EF2E8A">
              <w:rPr>
                <w:szCs w:val="20"/>
                <w:lang w:val="en-AU"/>
              </w:rPr>
              <w:t xml:space="preserve">Ocular </w:t>
            </w:r>
            <w:proofErr w:type="spellStart"/>
            <w:r w:rsidRPr="00EF2E8A">
              <w:rPr>
                <w:szCs w:val="20"/>
                <w:lang w:val="en-AU"/>
              </w:rPr>
              <w:t>TEAEs</w:t>
            </w:r>
            <w:r w:rsidRPr="00EF2E8A">
              <w:rPr>
                <w:szCs w:val="20"/>
                <w:vertAlign w:val="superscript"/>
                <w:lang w:val="en-AU"/>
              </w:rPr>
              <w:t>b</w:t>
            </w:r>
            <w:proofErr w:type="spellEnd"/>
            <w:r w:rsidRPr="00EF2E8A">
              <w:rPr>
                <w:szCs w:val="20"/>
                <w:lang w:val="en-AU"/>
              </w:rPr>
              <w:t>, Grade 3+</w:t>
            </w:r>
          </w:p>
        </w:tc>
        <w:tc>
          <w:tcPr>
            <w:tcW w:w="568" w:type="pct"/>
            <w:vAlign w:val="center"/>
          </w:tcPr>
          <w:p w14:paraId="1AFEC241" w14:textId="535BF514" w:rsidR="00FA6D9D" w:rsidRPr="00EF2E8A" w:rsidRDefault="00FA6D9D" w:rsidP="00591C83">
            <w:pPr>
              <w:pStyle w:val="TableText"/>
              <w:widowControl/>
              <w:jc w:val="center"/>
              <w:rPr>
                <w:szCs w:val="20"/>
                <w:lang w:val="en-AU"/>
              </w:rPr>
            </w:pPr>
            <w:r w:rsidRPr="00EF2E8A">
              <w:rPr>
                <w:szCs w:val="20"/>
                <w:lang w:val="en-AU"/>
              </w:rPr>
              <w:t>34 (16)</w:t>
            </w:r>
          </w:p>
        </w:tc>
        <w:tc>
          <w:tcPr>
            <w:tcW w:w="506" w:type="pct"/>
            <w:gridSpan w:val="2"/>
            <w:vAlign w:val="center"/>
          </w:tcPr>
          <w:p w14:paraId="3A6EFA3A" w14:textId="09D5D59D" w:rsidR="00FA6D9D" w:rsidRPr="00EF2E8A" w:rsidRDefault="00FA6D9D" w:rsidP="00591C83">
            <w:pPr>
              <w:pStyle w:val="TableText"/>
              <w:widowControl/>
              <w:jc w:val="center"/>
              <w:rPr>
                <w:szCs w:val="20"/>
                <w:lang w:val="en-AU"/>
              </w:rPr>
            </w:pPr>
            <w:r w:rsidRPr="00EF2E8A">
              <w:rPr>
                <w:szCs w:val="20"/>
                <w:lang w:val="en-AU"/>
              </w:rPr>
              <w:t>0</w:t>
            </w:r>
          </w:p>
        </w:tc>
        <w:tc>
          <w:tcPr>
            <w:tcW w:w="695" w:type="pct"/>
            <w:vAlign w:val="center"/>
          </w:tcPr>
          <w:p w14:paraId="4E8248E7" w14:textId="408C0B15" w:rsidR="00FA6D9D" w:rsidRPr="00EF2E8A" w:rsidRDefault="00A46D2B" w:rsidP="00591C83">
            <w:pPr>
              <w:pStyle w:val="TableText"/>
              <w:widowControl/>
              <w:jc w:val="center"/>
              <w:rPr>
                <w:szCs w:val="20"/>
                <w:lang w:val="en-AU"/>
              </w:rPr>
            </w:pPr>
            <w:r>
              <w:rPr>
                <w:szCs w:val="20"/>
                <w:lang w:val="en-AU"/>
              </w:rPr>
              <w:noBreakHyphen/>
            </w:r>
            <w:r>
              <w:rPr>
                <w:szCs w:val="20"/>
                <w:lang w:val="en-AU"/>
              </w:rPr>
              <w:noBreakHyphen/>
            </w:r>
          </w:p>
        </w:tc>
        <w:tc>
          <w:tcPr>
            <w:tcW w:w="569" w:type="pct"/>
            <w:gridSpan w:val="2"/>
            <w:vAlign w:val="center"/>
          </w:tcPr>
          <w:p w14:paraId="7733AAD8" w14:textId="77777777" w:rsidR="00FA6D9D" w:rsidRPr="00EF2E8A" w:rsidRDefault="00FA6D9D" w:rsidP="00591C83">
            <w:pPr>
              <w:pStyle w:val="TableText"/>
              <w:widowControl/>
              <w:jc w:val="center"/>
              <w:rPr>
                <w:rFonts w:cs="Arial"/>
                <w:color w:val="000000"/>
                <w:szCs w:val="20"/>
                <w:lang w:val="en-AU"/>
              </w:rPr>
            </w:pPr>
            <w:r w:rsidRPr="00EF2E8A">
              <w:rPr>
                <w:rFonts w:cs="Arial"/>
                <w:color w:val="000000"/>
                <w:szCs w:val="20"/>
                <w:lang w:val="en-AU"/>
              </w:rPr>
              <w:t>15.6</w:t>
            </w:r>
          </w:p>
        </w:tc>
        <w:tc>
          <w:tcPr>
            <w:tcW w:w="506" w:type="pct"/>
            <w:vAlign w:val="center"/>
          </w:tcPr>
          <w:p w14:paraId="142E1403" w14:textId="77777777" w:rsidR="00FA6D9D" w:rsidRPr="00EF2E8A" w:rsidRDefault="00FA6D9D" w:rsidP="00591C83">
            <w:pPr>
              <w:pStyle w:val="TableText"/>
              <w:widowControl/>
              <w:jc w:val="center"/>
              <w:rPr>
                <w:rFonts w:cs="Arial"/>
                <w:color w:val="000000"/>
                <w:szCs w:val="20"/>
                <w:lang w:val="en-AU"/>
              </w:rPr>
            </w:pPr>
            <w:r w:rsidRPr="00EF2E8A">
              <w:rPr>
                <w:rFonts w:cs="Arial"/>
                <w:color w:val="000000"/>
                <w:szCs w:val="20"/>
                <w:lang w:val="en-AU"/>
              </w:rPr>
              <w:t>0.0</w:t>
            </w:r>
          </w:p>
        </w:tc>
        <w:tc>
          <w:tcPr>
            <w:tcW w:w="895" w:type="pct"/>
          </w:tcPr>
          <w:p w14:paraId="2CD91157" w14:textId="77777777" w:rsidR="00064384" w:rsidRPr="00EF2E8A" w:rsidRDefault="00B85AE0" w:rsidP="00591C83">
            <w:pPr>
              <w:pStyle w:val="TableText"/>
              <w:widowControl/>
              <w:jc w:val="center"/>
              <w:rPr>
                <w:lang w:val="en-AU"/>
              </w:rPr>
            </w:pPr>
            <w:r w:rsidRPr="00EF2E8A">
              <w:rPr>
                <w:lang w:val="en-AU"/>
              </w:rPr>
              <w:t xml:space="preserve">0.157 </w:t>
            </w:r>
          </w:p>
          <w:p w14:paraId="46C26E29" w14:textId="06E22604" w:rsidR="00FA6D9D" w:rsidRPr="00EF2E8A" w:rsidRDefault="00B85AE0" w:rsidP="00591C83">
            <w:pPr>
              <w:pStyle w:val="TableText"/>
              <w:widowControl/>
              <w:jc w:val="center"/>
              <w:rPr>
                <w:szCs w:val="20"/>
                <w:lang w:val="en-AU"/>
              </w:rPr>
            </w:pPr>
            <w:r w:rsidRPr="00EF2E8A">
              <w:rPr>
                <w:lang w:val="en-AU"/>
              </w:rPr>
              <w:t>(0.112, 0.209)</w:t>
            </w:r>
          </w:p>
        </w:tc>
      </w:tr>
      <w:tr w:rsidR="004965C8" w:rsidRPr="00EF2E8A" w14:paraId="378DA3CF" w14:textId="77777777" w:rsidTr="00A12C7D">
        <w:trPr>
          <w:trHeight w:val="20"/>
        </w:trPr>
        <w:tc>
          <w:tcPr>
            <w:tcW w:w="1261" w:type="pct"/>
          </w:tcPr>
          <w:p w14:paraId="718A2078" w14:textId="5966E9A2" w:rsidR="00064384" w:rsidRPr="00EF2E8A" w:rsidRDefault="00064384" w:rsidP="00591C83">
            <w:pPr>
              <w:pStyle w:val="TableText"/>
              <w:widowControl/>
              <w:rPr>
                <w:szCs w:val="20"/>
                <w:lang w:val="en-AU"/>
              </w:rPr>
            </w:pPr>
            <w:r w:rsidRPr="00EF2E8A">
              <w:rPr>
                <w:szCs w:val="20"/>
                <w:lang w:val="en-AU"/>
              </w:rPr>
              <w:t xml:space="preserve">Blood and lymphatic system </w:t>
            </w:r>
            <w:proofErr w:type="spellStart"/>
            <w:r w:rsidRPr="00EF2E8A">
              <w:rPr>
                <w:szCs w:val="20"/>
                <w:lang w:val="en-AU"/>
              </w:rPr>
              <w:t>disorders</w:t>
            </w:r>
            <w:r w:rsidRPr="00EF2E8A">
              <w:rPr>
                <w:szCs w:val="20"/>
                <w:vertAlign w:val="superscript"/>
                <w:lang w:val="en-AU"/>
              </w:rPr>
              <w:t>c</w:t>
            </w:r>
            <w:proofErr w:type="spellEnd"/>
            <w:r w:rsidRPr="00EF2E8A">
              <w:rPr>
                <w:szCs w:val="20"/>
                <w:lang w:val="en-AU"/>
              </w:rPr>
              <w:t>, any grade</w:t>
            </w:r>
          </w:p>
        </w:tc>
        <w:tc>
          <w:tcPr>
            <w:tcW w:w="568" w:type="pct"/>
          </w:tcPr>
          <w:p w14:paraId="5B0CA22A" w14:textId="5C1DCA09" w:rsidR="00064384" w:rsidRPr="00EF2E8A" w:rsidRDefault="00064384" w:rsidP="00591C83">
            <w:pPr>
              <w:pStyle w:val="TableText"/>
              <w:widowControl/>
              <w:jc w:val="center"/>
              <w:rPr>
                <w:lang w:val="en-AU"/>
              </w:rPr>
            </w:pPr>
            <w:r w:rsidRPr="00EF2E8A">
              <w:rPr>
                <w:lang w:val="en-AU"/>
              </w:rPr>
              <w:t xml:space="preserve">49 (22) </w:t>
            </w:r>
          </w:p>
        </w:tc>
        <w:tc>
          <w:tcPr>
            <w:tcW w:w="506" w:type="pct"/>
            <w:gridSpan w:val="2"/>
          </w:tcPr>
          <w:p w14:paraId="0EB607CB" w14:textId="7DDCA178" w:rsidR="00064384" w:rsidRPr="00EF2E8A" w:rsidRDefault="00064384" w:rsidP="00591C83">
            <w:pPr>
              <w:pStyle w:val="TableText"/>
              <w:widowControl/>
              <w:jc w:val="center"/>
              <w:rPr>
                <w:lang w:val="en-AU"/>
              </w:rPr>
            </w:pPr>
            <w:r w:rsidRPr="00EF2E8A">
              <w:rPr>
                <w:lang w:val="en-AU"/>
              </w:rPr>
              <w:t>105 (51)</w:t>
            </w:r>
          </w:p>
        </w:tc>
        <w:tc>
          <w:tcPr>
            <w:tcW w:w="695" w:type="pct"/>
          </w:tcPr>
          <w:p w14:paraId="7855A4C0" w14:textId="142B6F82" w:rsidR="00064384" w:rsidRPr="00EF2E8A" w:rsidRDefault="00064384" w:rsidP="00591C83">
            <w:pPr>
              <w:pStyle w:val="TableText"/>
              <w:widowControl/>
              <w:jc w:val="center"/>
              <w:rPr>
                <w:szCs w:val="20"/>
                <w:lang w:val="en-AU"/>
              </w:rPr>
            </w:pPr>
            <w:r w:rsidRPr="00EF2E8A">
              <w:rPr>
                <w:szCs w:val="20"/>
                <w:lang w:val="en-AU"/>
              </w:rPr>
              <w:t xml:space="preserve">0.44 </w:t>
            </w:r>
          </w:p>
          <w:p w14:paraId="089E47D3" w14:textId="59DEEDAD" w:rsidR="00064384" w:rsidRPr="00EF2E8A" w:rsidRDefault="00064384" w:rsidP="00591C83">
            <w:pPr>
              <w:pStyle w:val="TableText"/>
              <w:widowControl/>
              <w:jc w:val="center"/>
              <w:rPr>
                <w:szCs w:val="20"/>
                <w:lang w:val="en-AU"/>
              </w:rPr>
            </w:pPr>
            <w:r w:rsidRPr="00EF2E8A">
              <w:rPr>
                <w:szCs w:val="20"/>
                <w:lang w:val="en-AU"/>
              </w:rPr>
              <w:t>(0.33, 0.59)</w:t>
            </w:r>
          </w:p>
        </w:tc>
        <w:tc>
          <w:tcPr>
            <w:tcW w:w="569" w:type="pct"/>
            <w:gridSpan w:val="2"/>
            <w:vAlign w:val="center"/>
          </w:tcPr>
          <w:p w14:paraId="3B3616AF" w14:textId="77777777" w:rsidR="00064384" w:rsidRPr="00EF2E8A" w:rsidRDefault="00064384" w:rsidP="00591C83">
            <w:pPr>
              <w:pStyle w:val="TableText"/>
              <w:widowControl/>
              <w:jc w:val="center"/>
              <w:rPr>
                <w:rFonts w:cs="Arial"/>
                <w:color w:val="000000"/>
                <w:szCs w:val="20"/>
                <w:lang w:val="en-AU"/>
              </w:rPr>
            </w:pPr>
            <w:r w:rsidRPr="00EF2E8A">
              <w:rPr>
                <w:rFonts w:cs="Arial"/>
                <w:color w:val="000000"/>
                <w:szCs w:val="20"/>
                <w:lang w:val="en-AU"/>
              </w:rPr>
              <w:t>22.5</w:t>
            </w:r>
          </w:p>
        </w:tc>
        <w:tc>
          <w:tcPr>
            <w:tcW w:w="506" w:type="pct"/>
            <w:vAlign w:val="center"/>
          </w:tcPr>
          <w:p w14:paraId="251117C9" w14:textId="77777777" w:rsidR="00064384" w:rsidRPr="00EF2E8A" w:rsidRDefault="00064384" w:rsidP="00591C83">
            <w:pPr>
              <w:pStyle w:val="TableText"/>
              <w:widowControl/>
              <w:jc w:val="center"/>
              <w:rPr>
                <w:rFonts w:cs="Arial"/>
                <w:color w:val="000000"/>
                <w:szCs w:val="20"/>
                <w:lang w:val="en-AU"/>
              </w:rPr>
            </w:pPr>
            <w:r w:rsidRPr="00EF2E8A">
              <w:rPr>
                <w:rFonts w:cs="Arial"/>
                <w:color w:val="000000"/>
                <w:szCs w:val="20"/>
                <w:lang w:val="en-AU"/>
              </w:rPr>
              <w:t>50.7</w:t>
            </w:r>
          </w:p>
        </w:tc>
        <w:tc>
          <w:tcPr>
            <w:tcW w:w="895" w:type="pct"/>
          </w:tcPr>
          <w:p w14:paraId="6F8975BC" w14:textId="186021CF" w:rsidR="00064384" w:rsidRPr="00EF2E8A" w:rsidRDefault="00A46D2B" w:rsidP="00591C83">
            <w:pPr>
              <w:pStyle w:val="TableText"/>
              <w:widowControl/>
              <w:jc w:val="center"/>
              <w:rPr>
                <w:lang w:val="en-AU"/>
              </w:rPr>
            </w:pPr>
            <w:r>
              <w:rPr>
                <w:lang w:val="en-AU"/>
              </w:rPr>
              <w:noBreakHyphen/>
            </w:r>
            <w:r w:rsidR="00064384" w:rsidRPr="00EF2E8A">
              <w:rPr>
                <w:lang w:val="en-AU"/>
              </w:rPr>
              <w:t xml:space="preserve">0.282 </w:t>
            </w:r>
          </w:p>
          <w:p w14:paraId="1BCA3631" w14:textId="41E1F278" w:rsidR="00064384" w:rsidRPr="00EF2E8A" w:rsidRDefault="00064384" w:rsidP="00591C83">
            <w:pPr>
              <w:pStyle w:val="TableText"/>
              <w:widowControl/>
              <w:jc w:val="center"/>
              <w:rPr>
                <w:szCs w:val="20"/>
                <w:lang w:val="en-AU"/>
              </w:rPr>
            </w:pPr>
            <w:r w:rsidRPr="00EF2E8A">
              <w:rPr>
                <w:lang w:val="en-AU"/>
              </w:rPr>
              <w:t>(</w:t>
            </w:r>
            <w:r w:rsidR="00A46D2B">
              <w:rPr>
                <w:lang w:val="en-AU"/>
              </w:rPr>
              <w:noBreakHyphen/>
            </w:r>
            <w:r w:rsidRPr="00EF2E8A">
              <w:rPr>
                <w:lang w:val="en-AU"/>
              </w:rPr>
              <w:t xml:space="preserve">0.369, </w:t>
            </w:r>
            <w:r w:rsidR="00A46D2B">
              <w:rPr>
                <w:lang w:val="en-AU"/>
              </w:rPr>
              <w:noBreakHyphen/>
            </w:r>
            <w:r w:rsidRPr="00EF2E8A">
              <w:rPr>
                <w:lang w:val="en-AU"/>
              </w:rPr>
              <w:t>0.193)</w:t>
            </w:r>
          </w:p>
        </w:tc>
      </w:tr>
      <w:tr w:rsidR="004965C8" w:rsidRPr="00EF2E8A" w14:paraId="3E8AB7D2" w14:textId="77777777" w:rsidTr="00A12C7D">
        <w:trPr>
          <w:trHeight w:val="20"/>
        </w:trPr>
        <w:tc>
          <w:tcPr>
            <w:tcW w:w="1261" w:type="pct"/>
          </w:tcPr>
          <w:p w14:paraId="4FD203E8" w14:textId="2DB33762" w:rsidR="00064384" w:rsidRPr="00EF2E8A" w:rsidRDefault="00064384" w:rsidP="00591C83">
            <w:pPr>
              <w:pStyle w:val="TableText"/>
              <w:widowControl/>
              <w:rPr>
                <w:szCs w:val="20"/>
                <w:lang w:val="en-AU"/>
              </w:rPr>
            </w:pPr>
            <w:r w:rsidRPr="00EF2E8A">
              <w:rPr>
                <w:szCs w:val="20"/>
                <w:lang w:val="en-AU"/>
              </w:rPr>
              <w:t xml:space="preserve">Blood and lymphatic system </w:t>
            </w:r>
            <w:proofErr w:type="spellStart"/>
            <w:r w:rsidRPr="00EF2E8A">
              <w:rPr>
                <w:szCs w:val="20"/>
                <w:lang w:val="en-AU"/>
              </w:rPr>
              <w:t>disorders</w:t>
            </w:r>
            <w:r w:rsidRPr="00EF2E8A">
              <w:rPr>
                <w:szCs w:val="20"/>
                <w:vertAlign w:val="superscript"/>
                <w:lang w:val="en-AU"/>
              </w:rPr>
              <w:t>c</w:t>
            </w:r>
            <w:proofErr w:type="spellEnd"/>
            <w:r w:rsidRPr="00EF2E8A">
              <w:rPr>
                <w:szCs w:val="20"/>
                <w:lang w:val="en-AU"/>
              </w:rPr>
              <w:t>, Grade 3+</w:t>
            </w:r>
          </w:p>
        </w:tc>
        <w:tc>
          <w:tcPr>
            <w:tcW w:w="568" w:type="pct"/>
          </w:tcPr>
          <w:p w14:paraId="46ECAE9A" w14:textId="50DC1D9F" w:rsidR="00064384" w:rsidRPr="00EF2E8A" w:rsidRDefault="00064384" w:rsidP="00591C83">
            <w:pPr>
              <w:pStyle w:val="TableText"/>
              <w:widowControl/>
              <w:jc w:val="center"/>
              <w:rPr>
                <w:rFonts w:cstheme="minorHAnsi"/>
                <w:szCs w:val="20"/>
                <w:lang w:val="en-AU"/>
              </w:rPr>
            </w:pPr>
            <w:r w:rsidRPr="00EF2E8A">
              <w:rPr>
                <w:rFonts w:cstheme="minorHAnsi"/>
                <w:szCs w:val="20"/>
                <w:lang w:val="en-AU"/>
              </w:rPr>
              <w:t xml:space="preserve">6 (3) </w:t>
            </w:r>
          </w:p>
        </w:tc>
        <w:tc>
          <w:tcPr>
            <w:tcW w:w="506" w:type="pct"/>
            <w:gridSpan w:val="2"/>
          </w:tcPr>
          <w:p w14:paraId="00F32330" w14:textId="561DD0B2" w:rsidR="00064384" w:rsidRPr="00EF2E8A" w:rsidRDefault="00064384" w:rsidP="00591C83">
            <w:pPr>
              <w:pStyle w:val="TableText"/>
              <w:widowControl/>
              <w:jc w:val="center"/>
              <w:rPr>
                <w:rFonts w:cstheme="minorHAnsi"/>
                <w:szCs w:val="20"/>
                <w:lang w:val="en-AU"/>
              </w:rPr>
            </w:pPr>
            <w:r w:rsidRPr="00EF2E8A">
              <w:rPr>
                <w:rFonts w:cstheme="minorHAnsi"/>
                <w:szCs w:val="20"/>
                <w:lang w:val="en-AU"/>
              </w:rPr>
              <w:t xml:space="preserve">51 (25) </w:t>
            </w:r>
          </w:p>
        </w:tc>
        <w:tc>
          <w:tcPr>
            <w:tcW w:w="695" w:type="pct"/>
          </w:tcPr>
          <w:p w14:paraId="0A99A8BB" w14:textId="1FB2CBB9" w:rsidR="00064384" w:rsidRPr="00EF2E8A" w:rsidRDefault="00064384" w:rsidP="00591C83">
            <w:pPr>
              <w:pStyle w:val="TableText"/>
              <w:widowControl/>
              <w:jc w:val="center"/>
              <w:rPr>
                <w:szCs w:val="20"/>
                <w:lang w:val="en-AU"/>
              </w:rPr>
            </w:pPr>
            <w:r w:rsidRPr="00EF2E8A">
              <w:rPr>
                <w:szCs w:val="20"/>
                <w:lang w:val="en-AU"/>
              </w:rPr>
              <w:t xml:space="preserve">0.11 </w:t>
            </w:r>
          </w:p>
          <w:p w14:paraId="43EABB91" w14:textId="293E4D07" w:rsidR="00064384" w:rsidRPr="00EF2E8A" w:rsidRDefault="00064384" w:rsidP="00591C83">
            <w:pPr>
              <w:pStyle w:val="TableText"/>
              <w:widowControl/>
              <w:jc w:val="center"/>
              <w:rPr>
                <w:szCs w:val="20"/>
                <w:lang w:val="en-AU"/>
              </w:rPr>
            </w:pPr>
            <w:r w:rsidRPr="00EF2E8A">
              <w:rPr>
                <w:szCs w:val="20"/>
                <w:lang w:val="en-AU"/>
              </w:rPr>
              <w:t>(0.05, 0.25)</w:t>
            </w:r>
          </w:p>
        </w:tc>
        <w:tc>
          <w:tcPr>
            <w:tcW w:w="569" w:type="pct"/>
            <w:gridSpan w:val="2"/>
            <w:vAlign w:val="center"/>
          </w:tcPr>
          <w:p w14:paraId="1F2A8068" w14:textId="3F3E6136" w:rsidR="00064384" w:rsidRPr="00EF2E8A" w:rsidRDefault="00064384" w:rsidP="00591C83">
            <w:pPr>
              <w:pStyle w:val="TableText"/>
              <w:widowControl/>
              <w:jc w:val="center"/>
              <w:rPr>
                <w:rFonts w:cs="Arial"/>
                <w:color w:val="000000"/>
                <w:szCs w:val="20"/>
                <w:lang w:val="en-AU"/>
              </w:rPr>
            </w:pPr>
            <w:r w:rsidRPr="00EF2E8A">
              <w:rPr>
                <w:rFonts w:cs="Arial"/>
                <w:color w:val="000000"/>
                <w:szCs w:val="20"/>
                <w:lang w:val="en-AU"/>
              </w:rPr>
              <w:t>2.8</w:t>
            </w:r>
          </w:p>
        </w:tc>
        <w:tc>
          <w:tcPr>
            <w:tcW w:w="506" w:type="pct"/>
            <w:vAlign w:val="center"/>
          </w:tcPr>
          <w:p w14:paraId="3C8CE5F4" w14:textId="63B8AFD5" w:rsidR="00064384" w:rsidRPr="00EF2E8A" w:rsidRDefault="00064384" w:rsidP="00591C83">
            <w:pPr>
              <w:pStyle w:val="TableText"/>
              <w:widowControl/>
              <w:jc w:val="center"/>
              <w:rPr>
                <w:rFonts w:cs="Arial"/>
                <w:color w:val="000000"/>
                <w:szCs w:val="20"/>
                <w:lang w:val="en-AU"/>
              </w:rPr>
            </w:pPr>
            <w:r w:rsidRPr="00EF2E8A">
              <w:rPr>
                <w:rFonts w:cs="Arial"/>
                <w:color w:val="000000"/>
                <w:szCs w:val="20"/>
                <w:lang w:val="en-AU"/>
              </w:rPr>
              <w:t>24.6</w:t>
            </w:r>
          </w:p>
        </w:tc>
        <w:tc>
          <w:tcPr>
            <w:tcW w:w="895" w:type="pct"/>
          </w:tcPr>
          <w:p w14:paraId="6BBD5DC5" w14:textId="1FB545DF" w:rsidR="00064384" w:rsidRPr="00EF2E8A" w:rsidRDefault="00A46D2B" w:rsidP="00591C83">
            <w:pPr>
              <w:pStyle w:val="TableText"/>
              <w:widowControl/>
              <w:jc w:val="center"/>
              <w:rPr>
                <w:lang w:val="en-AU"/>
              </w:rPr>
            </w:pPr>
            <w:r>
              <w:rPr>
                <w:lang w:val="en-AU"/>
              </w:rPr>
              <w:noBreakHyphen/>
            </w:r>
            <w:r w:rsidR="00064384" w:rsidRPr="00EF2E8A">
              <w:rPr>
                <w:lang w:val="en-AU"/>
              </w:rPr>
              <w:t xml:space="preserve">0.219 </w:t>
            </w:r>
          </w:p>
          <w:p w14:paraId="045EA91F" w14:textId="15D7A487" w:rsidR="00064384" w:rsidRPr="00EF2E8A" w:rsidRDefault="00064384" w:rsidP="00591C83">
            <w:pPr>
              <w:pStyle w:val="TableText"/>
              <w:widowControl/>
              <w:jc w:val="center"/>
              <w:rPr>
                <w:szCs w:val="20"/>
                <w:lang w:val="en-AU"/>
              </w:rPr>
            </w:pPr>
            <w:r w:rsidRPr="00EF2E8A">
              <w:rPr>
                <w:lang w:val="en-AU"/>
              </w:rPr>
              <w:t>(</w:t>
            </w:r>
            <w:r w:rsidR="00A46D2B">
              <w:rPr>
                <w:lang w:val="en-AU"/>
              </w:rPr>
              <w:noBreakHyphen/>
            </w:r>
            <w:r w:rsidRPr="00EF2E8A">
              <w:rPr>
                <w:lang w:val="en-AU"/>
              </w:rPr>
              <w:t xml:space="preserve">0.284, </w:t>
            </w:r>
            <w:r w:rsidR="00A46D2B">
              <w:rPr>
                <w:lang w:val="en-AU"/>
              </w:rPr>
              <w:noBreakHyphen/>
            </w:r>
            <w:r w:rsidRPr="00EF2E8A">
              <w:rPr>
                <w:lang w:val="en-AU"/>
              </w:rPr>
              <w:t>0.158)</w:t>
            </w:r>
          </w:p>
        </w:tc>
      </w:tr>
    </w:tbl>
    <w:p w14:paraId="513D3F57" w14:textId="4390DB34" w:rsidR="009C4AED" w:rsidRPr="00EF2E8A" w:rsidRDefault="00075009" w:rsidP="00591C83">
      <w:pPr>
        <w:pStyle w:val="TableFooter"/>
        <w:widowControl/>
      </w:pPr>
      <w:r w:rsidRPr="00EF2E8A">
        <w:t xml:space="preserve">Source: </w:t>
      </w:r>
      <w:r w:rsidR="009C4AED" w:rsidRPr="00EF2E8A">
        <w:t>Table 2.5 1 Results of Primary Endpoint (ITT): PFS, p63 of the submission; Table 2.5 2 Results of Primary Endpoint (ITT): PFS (Sept 2024 data cut), p65 of the submission;</w:t>
      </w:r>
      <w:r w:rsidR="00314658" w:rsidRPr="00EF2E8A">
        <w:t xml:space="preserve"> </w:t>
      </w:r>
      <w:r w:rsidR="009C4AED" w:rsidRPr="00EF2E8A">
        <w:t>Table 17, p104</w:t>
      </w:r>
      <w:r w:rsidR="00A46D2B">
        <w:noBreakHyphen/>
      </w:r>
      <w:r w:rsidR="009C4AED" w:rsidRPr="00EF2E8A">
        <w:t xml:space="preserve">5 MIRASOL CSR March 2023; </w:t>
      </w:r>
      <w:r w:rsidR="005B3CA7" w:rsidRPr="00EF2E8A">
        <w:t xml:space="preserve"> </w:t>
      </w:r>
      <w:r w:rsidR="009C4AED" w:rsidRPr="00EF2E8A">
        <w:t>Table 17, p105</w:t>
      </w:r>
      <w:r w:rsidR="00A46D2B">
        <w:noBreakHyphen/>
      </w:r>
      <w:r w:rsidR="009C4AED" w:rsidRPr="00EF2E8A">
        <w:t>6 MIRASOL CSR Sept 2024</w:t>
      </w:r>
      <w:r w:rsidR="00BE41B0" w:rsidRPr="00EF2E8A">
        <w:t xml:space="preserve">; </w:t>
      </w:r>
      <w:r w:rsidR="009C4AED" w:rsidRPr="00EF2E8A">
        <w:t>Table 18, p108 MIRASOL CSR March 2023; Table 18, p109 MIRASOL CSR Sept 2024.</w:t>
      </w:r>
      <w:r w:rsidR="00BE41B0" w:rsidRPr="00EF2E8A">
        <w:t xml:space="preserve">; </w:t>
      </w:r>
      <w:r w:rsidR="009C4AED" w:rsidRPr="00EF2E8A">
        <w:t xml:space="preserve">Table 2.5 5 Results of Secondary Outcomes (ITT): OS, p68 of the submission; Table 2.5 6 Results of Secondary Outcomes (ITT): OS (September 2024 data cut), p70 of the submission; </w:t>
      </w:r>
    </w:p>
    <w:p w14:paraId="301B614D" w14:textId="4CA6B8DE" w:rsidR="00075009" w:rsidRPr="00EF2E8A" w:rsidRDefault="009C4AED" w:rsidP="00591C83">
      <w:pPr>
        <w:pStyle w:val="TableFooter"/>
        <w:widowControl/>
      </w:pPr>
      <w:r w:rsidRPr="00EF2E8A">
        <w:t>Table 23, p115</w:t>
      </w:r>
      <w:r w:rsidR="00A46D2B">
        <w:noBreakHyphen/>
      </w:r>
      <w:r w:rsidRPr="00EF2E8A">
        <w:t>16 MIRASOL CSR March 2023; Table 23, p117 MIRASOL CSR Sept 2024.</w:t>
      </w:r>
      <w:r w:rsidR="00BE41B0" w:rsidRPr="00EF2E8A">
        <w:t xml:space="preserve">; </w:t>
      </w:r>
      <w:r w:rsidR="004E6F5F" w:rsidRPr="00EF2E8A">
        <w:t>Table 2.5 19. Overview of TEAEs – Safety Population; September 2024, pp83</w:t>
      </w:r>
      <w:r w:rsidR="00A46D2B">
        <w:noBreakHyphen/>
      </w:r>
      <w:r w:rsidR="004E6F5F" w:rsidRPr="00EF2E8A">
        <w:t>84 of the submission; Table 33: Overview of Treatment Emergent Adverse Events – Safety Population, p142</w:t>
      </w:r>
      <w:r w:rsidR="00A46D2B">
        <w:noBreakHyphen/>
      </w:r>
      <w:r w:rsidR="004E6F5F" w:rsidRPr="00EF2E8A">
        <w:t>143, MIRASOL CSR, September 2024.</w:t>
      </w:r>
      <w:r w:rsidR="00075009" w:rsidRPr="00EF2E8A">
        <w:t xml:space="preserve"> </w:t>
      </w:r>
      <w:r w:rsidR="00BE41B0" w:rsidRPr="00EF2E8A">
        <w:t xml:space="preserve">; </w:t>
      </w:r>
      <w:r w:rsidR="00075009" w:rsidRPr="00EF2E8A">
        <w:t>Table 14.3.1.2.1, p574 &amp; p744 MIRASOL CSR (September 2024).</w:t>
      </w:r>
    </w:p>
    <w:p w14:paraId="25709FD7" w14:textId="61661BD2" w:rsidR="00075009" w:rsidRPr="00EF2E8A" w:rsidRDefault="009A5A06" w:rsidP="00591C83">
      <w:pPr>
        <w:pStyle w:val="TableFooter"/>
        <w:widowControl/>
      </w:pPr>
      <w:r w:rsidRPr="00EF2E8A">
        <w:t xml:space="preserve">BICR=blinded independent central review; </w:t>
      </w:r>
      <w:r w:rsidR="00075009" w:rsidRPr="00EF2E8A">
        <w:t>CI</w:t>
      </w:r>
      <w:r w:rsidR="00BB3A38" w:rsidRPr="00EF2E8A">
        <w:t>=</w:t>
      </w:r>
      <w:r w:rsidR="00075009" w:rsidRPr="00EF2E8A">
        <w:t xml:space="preserve"> confidence interval; ICC</w:t>
      </w:r>
      <w:r w:rsidR="00BB3A38" w:rsidRPr="00EF2E8A">
        <w:t>=</w:t>
      </w:r>
      <w:r w:rsidR="00075009" w:rsidRPr="00EF2E8A">
        <w:t xml:space="preserve"> investigator choice chemotherapy; MIRV</w:t>
      </w:r>
      <w:r w:rsidR="00DF0B4B" w:rsidRPr="00EF2E8A">
        <w:t>=</w:t>
      </w:r>
      <w:r w:rsidR="00075009" w:rsidRPr="00EF2E8A">
        <w:t xml:space="preserve"> mirvetuximab soravtansine; </w:t>
      </w:r>
      <w:r w:rsidR="000E3EC4" w:rsidRPr="00EF2E8A">
        <w:t xml:space="preserve">mo= months; </w:t>
      </w:r>
      <w:r w:rsidR="00075009" w:rsidRPr="00EF2E8A">
        <w:t xml:space="preserve"> </w:t>
      </w:r>
      <w:r w:rsidR="00571930" w:rsidRPr="00EF2E8A">
        <w:t xml:space="preserve">n= number of events; N= number of patients; </w:t>
      </w:r>
      <w:r w:rsidR="000B140F" w:rsidRPr="00EF2E8A">
        <w:t>OS</w:t>
      </w:r>
      <w:r w:rsidR="000E3EC4" w:rsidRPr="00EF2E8A">
        <w:t>=</w:t>
      </w:r>
      <w:r w:rsidR="000B140F" w:rsidRPr="00EF2E8A">
        <w:t xml:space="preserve"> overall survival; </w:t>
      </w:r>
      <w:r w:rsidR="00B46A2A" w:rsidRPr="00EF2E8A">
        <w:t>PFS=progression</w:t>
      </w:r>
      <w:r w:rsidR="00A46D2B">
        <w:noBreakHyphen/>
      </w:r>
      <w:r w:rsidR="00B46A2A" w:rsidRPr="00EF2E8A">
        <w:t xml:space="preserve">free survival; </w:t>
      </w:r>
      <w:r w:rsidR="00075009" w:rsidRPr="00EF2E8A">
        <w:t>RD</w:t>
      </w:r>
      <w:r w:rsidR="00DF0B4B" w:rsidRPr="00EF2E8A">
        <w:t>=</w:t>
      </w:r>
      <w:r w:rsidR="00075009" w:rsidRPr="00EF2E8A">
        <w:t xml:space="preserve"> risk difference; RR</w:t>
      </w:r>
      <w:r w:rsidR="00DF0B4B" w:rsidRPr="00EF2E8A">
        <w:t>=</w:t>
      </w:r>
      <w:r w:rsidR="00075009" w:rsidRPr="00EF2E8A">
        <w:t xml:space="preserve"> risk ratio; TEAE</w:t>
      </w:r>
      <w:r w:rsidR="003A30B4" w:rsidRPr="00EF2E8A">
        <w:t>=</w:t>
      </w:r>
      <w:r w:rsidR="00075009" w:rsidRPr="00EF2E8A">
        <w:t xml:space="preserve"> treatment emergent adverse event.</w:t>
      </w:r>
    </w:p>
    <w:p w14:paraId="6CB0BEEA" w14:textId="103DABF9" w:rsidR="00075009" w:rsidRPr="00EF2E8A" w:rsidRDefault="00075009" w:rsidP="00591C83">
      <w:pPr>
        <w:pStyle w:val="TableFooter"/>
        <w:widowControl/>
      </w:pPr>
      <w:r w:rsidRPr="00EF2E8A">
        <w:t xml:space="preserve">a Percentage of patients not progressed (PFS) or surviving (OS) at each timepoint was not presented in the submission </w:t>
      </w:r>
      <w:r w:rsidR="001158E8" w:rsidRPr="00EF2E8A">
        <w:t>therefore this was inferred based on the Kaplan</w:t>
      </w:r>
      <w:r w:rsidR="00A46D2B">
        <w:noBreakHyphen/>
      </w:r>
      <w:r w:rsidR="001158E8" w:rsidRPr="00EF2E8A">
        <w:t>Maier plot (</w:t>
      </w:r>
      <w:r w:rsidR="00A31119" w:rsidRPr="00EF2E8A">
        <w:t>Figure PBAC.2)</w:t>
      </w:r>
      <w:r w:rsidRPr="00EF2E8A">
        <w:t xml:space="preserve">. </w:t>
      </w:r>
      <w:r w:rsidR="00A31119" w:rsidRPr="00EF2E8A">
        <w:t>No 95% CI were reported</w:t>
      </w:r>
      <w:r w:rsidR="00042277" w:rsidRPr="00EF2E8A">
        <w:t>.</w:t>
      </w:r>
    </w:p>
    <w:p w14:paraId="5398FF9B" w14:textId="255D7AE5" w:rsidR="00075009" w:rsidRPr="00EF2E8A" w:rsidRDefault="00075009" w:rsidP="00591C83">
      <w:pPr>
        <w:pStyle w:val="TableFooter"/>
        <w:widowControl/>
      </w:pPr>
      <w:r w:rsidRPr="00EF2E8A">
        <w:t>b Ocular disorders were most commonly vision blurred, keratopathy, dry eye, photophobia and visual acuity reduced.</w:t>
      </w:r>
      <w:r w:rsidR="00B65B3F">
        <w:t xml:space="preserve"> </w:t>
      </w:r>
    </w:p>
    <w:p w14:paraId="2F92CD07" w14:textId="77777777" w:rsidR="00075009" w:rsidRPr="00EF2E8A" w:rsidRDefault="00075009" w:rsidP="00591C83">
      <w:pPr>
        <w:pStyle w:val="TableFooter"/>
        <w:widowControl/>
      </w:pPr>
      <w:r w:rsidRPr="00EF2E8A">
        <w:t xml:space="preserve">c Blood and lymphatic system disorders were most commonly anaemia, neutropenia and thrombocytopenia. </w:t>
      </w:r>
    </w:p>
    <w:p w14:paraId="301F8E72" w14:textId="332C3998" w:rsidR="004A3EA8" w:rsidRPr="00EF2E8A" w:rsidRDefault="004A3EA8" w:rsidP="00591C83">
      <w:pPr>
        <w:tabs>
          <w:tab w:val="left" w:pos="284"/>
        </w:tabs>
        <w:spacing w:before="0" w:after="0"/>
        <w:jc w:val="left"/>
        <w:rPr>
          <w:rFonts w:ascii="Arial Narrow" w:eastAsia="Times New Roman" w:hAnsi="Arial Narrow" w:cs="Arial"/>
          <w:snapToGrid w:val="0"/>
          <w:sz w:val="18"/>
          <w:lang w:eastAsia="en-AU"/>
        </w:rPr>
      </w:pPr>
      <w:r w:rsidRPr="00EF2E8A">
        <w:rPr>
          <w:rFonts w:ascii="Arial Narrow" w:eastAsia="Times New Roman" w:hAnsi="Arial Narrow" w:cs="Arial"/>
          <w:snapToGrid w:val="0"/>
          <w:sz w:val="18"/>
          <w:lang w:eastAsia="en-AU"/>
        </w:rPr>
        <w:t xml:space="preserve">A positive RD indicates higher </w:t>
      </w:r>
      <w:r w:rsidR="003C6251" w:rsidRPr="00EF2E8A">
        <w:rPr>
          <w:rFonts w:ascii="Arial Narrow" w:eastAsia="Times New Roman" w:hAnsi="Arial Narrow" w:cs="Arial"/>
          <w:snapToGrid w:val="0"/>
          <w:sz w:val="18"/>
          <w:lang w:eastAsia="en-AU"/>
        </w:rPr>
        <w:t>TE</w:t>
      </w:r>
      <w:r w:rsidRPr="00EF2E8A">
        <w:rPr>
          <w:rFonts w:ascii="Arial Narrow" w:eastAsia="Times New Roman" w:hAnsi="Arial Narrow" w:cs="Arial"/>
          <w:snapToGrid w:val="0"/>
          <w:sz w:val="18"/>
          <w:lang w:eastAsia="en-AU"/>
        </w:rPr>
        <w:t xml:space="preserve">AE frequency in MIRV. A RR &gt; 1 indicates that MIRV was associated with higher rate of </w:t>
      </w:r>
      <w:r w:rsidR="003C6251" w:rsidRPr="00EF2E8A">
        <w:rPr>
          <w:rFonts w:ascii="Arial Narrow" w:eastAsia="Times New Roman" w:hAnsi="Arial Narrow" w:cs="Arial"/>
          <w:snapToGrid w:val="0"/>
          <w:sz w:val="18"/>
          <w:lang w:eastAsia="en-AU"/>
        </w:rPr>
        <w:t>TE</w:t>
      </w:r>
      <w:r w:rsidRPr="00EF2E8A">
        <w:rPr>
          <w:rFonts w:ascii="Arial Narrow" w:eastAsia="Times New Roman" w:hAnsi="Arial Narrow" w:cs="Arial"/>
          <w:snapToGrid w:val="0"/>
          <w:sz w:val="18"/>
          <w:lang w:eastAsia="en-AU"/>
        </w:rPr>
        <w:t>AE.</w:t>
      </w:r>
    </w:p>
    <w:p w14:paraId="36A6A2FE" w14:textId="77777777" w:rsidR="00075009" w:rsidRPr="00EF2E8A" w:rsidRDefault="00075009" w:rsidP="00591C83">
      <w:pPr>
        <w:pStyle w:val="TableFigureFooter"/>
      </w:pPr>
    </w:p>
    <w:p w14:paraId="3BDB7060" w14:textId="19A6EAB9" w:rsidR="00075009" w:rsidRPr="00EF2E8A" w:rsidRDefault="00075009" w:rsidP="00591C83">
      <w:pPr>
        <w:pStyle w:val="ListParagraph"/>
        <w:keepNext/>
      </w:pPr>
      <w:proofErr w:type="gramStart"/>
      <w:r w:rsidRPr="00EF2E8A">
        <w:t>On the basis of</w:t>
      </w:r>
      <w:proofErr w:type="gramEnd"/>
      <w:r w:rsidRPr="00EF2E8A">
        <w:t xml:space="preserve"> direct evidence presented by the submission, for every 100 patients treated with MIRV compared to ICC:</w:t>
      </w:r>
    </w:p>
    <w:p w14:paraId="497F46A0" w14:textId="367015FF" w:rsidR="00425745" w:rsidRPr="00EF2E8A" w:rsidRDefault="00B65B3F" w:rsidP="00591C83">
      <w:pPr>
        <w:pStyle w:val="PBACESParagraphBulletPoint"/>
        <w:numPr>
          <w:ilvl w:val="0"/>
          <w:numId w:val="16"/>
        </w:numPr>
        <w:tabs>
          <w:tab w:val="left" w:pos="851"/>
        </w:tabs>
        <w:ind w:left="1440" w:hanging="720"/>
      </w:pPr>
      <w:r>
        <w:t xml:space="preserve">   </w:t>
      </w:r>
      <w:r w:rsidR="006865D0" w:rsidRPr="00EF2E8A">
        <w:t xml:space="preserve">Approximately </w:t>
      </w:r>
      <w:r w:rsidR="007971C5" w:rsidRPr="00EF2E8A">
        <w:t xml:space="preserve">23 additional patients </w:t>
      </w:r>
      <w:r w:rsidR="006865D0" w:rsidRPr="00EF2E8A">
        <w:t>would</w:t>
      </w:r>
      <w:r w:rsidR="00BB22A9" w:rsidRPr="00EF2E8A">
        <w:t xml:space="preserve"> remain progression free at </w:t>
      </w:r>
      <w:r w:rsidR="00282CED" w:rsidRPr="00EF2E8A">
        <w:t xml:space="preserve">3 </w:t>
      </w:r>
      <w:r w:rsidR="00BB22A9" w:rsidRPr="00EF2E8A">
        <w:t>months</w:t>
      </w:r>
      <w:r w:rsidR="00C642E0" w:rsidRPr="00EF2E8A">
        <w:t>.</w:t>
      </w:r>
    </w:p>
    <w:p w14:paraId="0366E557" w14:textId="216B1BB6" w:rsidR="007B5AD0" w:rsidRPr="00EF2E8A" w:rsidRDefault="00B65B3F" w:rsidP="00591C83">
      <w:pPr>
        <w:pStyle w:val="PBACESParagraphBulletPoint"/>
        <w:numPr>
          <w:ilvl w:val="0"/>
          <w:numId w:val="16"/>
        </w:numPr>
        <w:tabs>
          <w:tab w:val="left" w:pos="851"/>
        </w:tabs>
        <w:ind w:left="1152"/>
      </w:pPr>
      <w:r>
        <w:lastRenderedPageBreak/>
        <w:t xml:space="preserve">   </w:t>
      </w:r>
      <w:r w:rsidR="007B5AD0" w:rsidRPr="00EF2E8A">
        <w:t xml:space="preserve">Approximately </w:t>
      </w:r>
      <w:r w:rsidR="00A14CF9" w:rsidRPr="00EF2E8A">
        <w:t xml:space="preserve">14 </w:t>
      </w:r>
      <w:r w:rsidR="00CB2F9A" w:rsidRPr="00EF2E8A">
        <w:t>additional</w:t>
      </w:r>
      <w:r w:rsidR="007B5AD0" w:rsidRPr="00EF2E8A">
        <w:t xml:space="preserve"> patients would remain progression free </w:t>
      </w:r>
      <w:r w:rsidR="005972C1" w:rsidRPr="00EF2E8A">
        <w:t xml:space="preserve">at </w:t>
      </w:r>
      <w:r w:rsidR="00591C83">
        <w:br/>
      </w:r>
      <w:r w:rsidR="00CB2F9A" w:rsidRPr="00EF2E8A">
        <w:t xml:space="preserve">12 </w:t>
      </w:r>
      <w:r w:rsidR="005972C1" w:rsidRPr="00EF2E8A">
        <w:t xml:space="preserve">months. </w:t>
      </w:r>
    </w:p>
    <w:p w14:paraId="3FBF54C5" w14:textId="171C8F3F" w:rsidR="00BE03C7" w:rsidRPr="00EF2E8A" w:rsidRDefault="00B65B3F" w:rsidP="00591C83">
      <w:pPr>
        <w:pStyle w:val="PBACESParagraphBulletPoint"/>
        <w:numPr>
          <w:ilvl w:val="0"/>
          <w:numId w:val="16"/>
        </w:numPr>
        <w:tabs>
          <w:tab w:val="left" w:pos="851"/>
        </w:tabs>
        <w:ind w:left="1440" w:hanging="720"/>
      </w:pPr>
      <w:r>
        <w:t xml:space="preserve">   </w:t>
      </w:r>
      <w:r w:rsidR="00AF0F19" w:rsidRPr="00EF2E8A">
        <w:t xml:space="preserve">Approximately </w:t>
      </w:r>
      <w:r w:rsidR="00CB2F9A" w:rsidRPr="00EF2E8A">
        <w:t>8 additional</w:t>
      </w:r>
      <w:r w:rsidR="00F644D1" w:rsidRPr="00EF2E8A">
        <w:t xml:space="preserve"> patients will remain alive at </w:t>
      </w:r>
      <w:r w:rsidR="00CB2F9A" w:rsidRPr="00EF2E8A">
        <w:t xml:space="preserve">3 </w:t>
      </w:r>
      <w:r w:rsidR="00F644D1" w:rsidRPr="00EF2E8A">
        <w:t xml:space="preserve">months. </w:t>
      </w:r>
    </w:p>
    <w:p w14:paraId="3173F526" w14:textId="4EF7B2AA" w:rsidR="00CB2F9A" w:rsidRPr="00EF2E8A" w:rsidRDefault="00B65B3F" w:rsidP="00591C83">
      <w:pPr>
        <w:pStyle w:val="PBACESParagraphBulletPoint"/>
        <w:numPr>
          <w:ilvl w:val="0"/>
          <w:numId w:val="16"/>
        </w:numPr>
        <w:tabs>
          <w:tab w:val="left" w:pos="851"/>
        </w:tabs>
        <w:ind w:left="1440" w:hanging="720"/>
      </w:pPr>
      <w:r>
        <w:t xml:space="preserve">   </w:t>
      </w:r>
      <w:r w:rsidR="00CB2F9A" w:rsidRPr="00EF2E8A">
        <w:t>Approximately 11 additional patients will remain alive at 12 months.</w:t>
      </w:r>
    </w:p>
    <w:p w14:paraId="7DBBA7F8" w14:textId="4452C9B0" w:rsidR="00C0644A" w:rsidRPr="00EF2E8A" w:rsidRDefault="00075009" w:rsidP="00591C83">
      <w:pPr>
        <w:pStyle w:val="ListParagraph"/>
      </w:pPr>
      <w:r w:rsidRPr="00EF2E8A">
        <w:t>Based on direct evidence</w:t>
      </w:r>
      <w:r w:rsidR="00BD797F" w:rsidRPr="00EF2E8A">
        <w:t xml:space="preserve"> presented by the submission, for every 100 patients </w:t>
      </w:r>
      <w:r w:rsidR="00C0644A" w:rsidRPr="00EF2E8A">
        <w:t>treated with M</w:t>
      </w:r>
      <w:r w:rsidRPr="00EF2E8A">
        <w:t xml:space="preserve">IRV </w:t>
      </w:r>
      <w:r w:rsidR="00C0644A" w:rsidRPr="00EF2E8A">
        <w:t xml:space="preserve">instead of </w:t>
      </w:r>
      <w:r w:rsidRPr="00EF2E8A">
        <w:t xml:space="preserve">ICC </w:t>
      </w:r>
      <w:r w:rsidR="00C0644A" w:rsidRPr="00EF2E8A">
        <w:t>for</w:t>
      </w:r>
      <w:r w:rsidRPr="00EF2E8A">
        <w:t xml:space="preserve"> a median duration of 30.49 months follow</w:t>
      </w:r>
      <w:r w:rsidR="00A46D2B">
        <w:noBreakHyphen/>
      </w:r>
      <w:r w:rsidRPr="00EF2E8A">
        <w:t>up</w:t>
      </w:r>
      <w:r w:rsidR="00C0644A" w:rsidRPr="00EF2E8A">
        <w:t>:</w:t>
      </w:r>
    </w:p>
    <w:p w14:paraId="5C82FBB0" w14:textId="29AD0565" w:rsidR="008F4399" w:rsidRPr="00EF2E8A" w:rsidRDefault="00B65B3F" w:rsidP="00591C83">
      <w:pPr>
        <w:pStyle w:val="PBACESParagraphBulletPoint"/>
        <w:numPr>
          <w:ilvl w:val="0"/>
          <w:numId w:val="16"/>
        </w:numPr>
        <w:tabs>
          <w:tab w:val="left" w:pos="851"/>
        </w:tabs>
        <w:ind w:left="1152"/>
      </w:pPr>
      <w:r>
        <w:t xml:space="preserve">   </w:t>
      </w:r>
      <w:r w:rsidR="008F4399" w:rsidRPr="00EF2E8A">
        <w:t>Approximately 49 additional patients will have ocular</w:t>
      </w:r>
      <w:r w:rsidR="00345488" w:rsidRPr="00EF2E8A">
        <w:t>,</w:t>
      </w:r>
      <w:r w:rsidR="008F4399" w:rsidRPr="00EF2E8A">
        <w:t xml:space="preserve"> drug</w:t>
      </w:r>
      <w:r w:rsidR="00A46D2B">
        <w:noBreakHyphen/>
      </w:r>
      <w:r w:rsidR="008F4399" w:rsidRPr="00EF2E8A">
        <w:t>related AE.</w:t>
      </w:r>
    </w:p>
    <w:p w14:paraId="041734E9" w14:textId="475B136D" w:rsidR="00075009" w:rsidRPr="00EF2E8A" w:rsidRDefault="00B65B3F" w:rsidP="00591C83">
      <w:pPr>
        <w:pStyle w:val="PBACESParagraphBulletPoint"/>
        <w:numPr>
          <w:ilvl w:val="0"/>
          <w:numId w:val="16"/>
        </w:numPr>
        <w:tabs>
          <w:tab w:val="left" w:pos="851"/>
        </w:tabs>
        <w:ind w:left="1152"/>
      </w:pPr>
      <w:r>
        <w:t xml:space="preserve">   </w:t>
      </w:r>
      <w:r w:rsidR="00075009" w:rsidRPr="00EF2E8A">
        <w:t>Approximately</w:t>
      </w:r>
      <w:r w:rsidR="00F52355" w:rsidRPr="00EF2E8A">
        <w:t xml:space="preserve"> </w:t>
      </w:r>
      <w:r w:rsidR="004A3EA8" w:rsidRPr="00EF2E8A">
        <w:t xml:space="preserve">16 additional patients will have a </w:t>
      </w:r>
      <w:r w:rsidR="00FF5E65" w:rsidRPr="00EF2E8A">
        <w:t xml:space="preserve">grade 3 or 4 </w:t>
      </w:r>
      <w:r w:rsidR="004A3EA8" w:rsidRPr="00EF2E8A">
        <w:t>ocular</w:t>
      </w:r>
      <w:r w:rsidR="00FF5E65" w:rsidRPr="00EF2E8A">
        <w:t xml:space="preserve"> drug</w:t>
      </w:r>
      <w:r w:rsidR="00A46D2B">
        <w:noBreakHyphen/>
      </w:r>
      <w:r w:rsidR="00FF5E65" w:rsidRPr="00EF2E8A">
        <w:t>related AE.</w:t>
      </w:r>
    </w:p>
    <w:p w14:paraId="3481921C" w14:textId="19ACD32D" w:rsidR="004A3EA8" w:rsidRPr="00EF2E8A" w:rsidRDefault="008F4399" w:rsidP="00591C83">
      <w:pPr>
        <w:pStyle w:val="ListParagraph"/>
        <w:numPr>
          <w:ilvl w:val="0"/>
          <w:numId w:val="17"/>
        </w:numPr>
        <w:ind w:left="1152"/>
      </w:pPr>
      <w:r w:rsidRPr="00EF2E8A">
        <w:t>Approximately 2</w:t>
      </w:r>
      <w:r w:rsidR="0019102D" w:rsidRPr="00EF2E8A">
        <w:t>2</w:t>
      </w:r>
      <w:r w:rsidRPr="00EF2E8A">
        <w:t xml:space="preserve"> </w:t>
      </w:r>
      <w:r w:rsidR="00282CED" w:rsidRPr="00EF2E8A">
        <w:t xml:space="preserve">fewer </w:t>
      </w:r>
      <w:r w:rsidRPr="00EF2E8A">
        <w:t xml:space="preserve">patients will </w:t>
      </w:r>
      <w:r w:rsidR="0019102D" w:rsidRPr="00EF2E8A">
        <w:t>have a grade 3 or 4 blood and lymphatic system related AE.</w:t>
      </w:r>
    </w:p>
    <w:p w14:paraId="09558246" w14:textId="105231C7" w:rsidR="00075009" w:rsidRPr="00EF2E8A" w:rsidRDefault="00075009" w:rsidP="00591C83">
      <w:pPr>
        <w:pStyle w:val="ListParagraph"/>
      </w:pPr>
      <w:r w:rsidRPr="00EF2E8A">
        <w:t>The MAIC presented in the submission did not allow for a quantitative comparison of the benefits and harms of MIRV and BEVA+ICC. Accordingly, a benefits/harms table has not been presented.</w:t>
      </w:r>
    </w:p>
    <w:p w14:paraId="62EFED6C" w14:textId="77777777" w:rsidR="008C3D0F" w:rsidRPr="00EF2E8A" w:rsidRDefault="005C4817" w:rsidP="00591C83">
      <w:pPr>
        <w:pStyle w:val="OutlineHeading2"/>
        <w:rPr>
          <w:rFonts w:ascii="Calibri" w:hAnsi="Calibri" w:cs="Calibri"/>
        </w:rPr>
      </w:pPr>
      <w:r w:rsidRPr="00EF2E8A">
        <w:rPr>
          <w:rFonts w:ascii="Calibri" w:hAnsi="Calibri" w:cs="Calibri"/>
        </w:rPr>
        <w:t>Clinical claim</w:t>
      </w:r>
    </w:p>
    <w:p w14:paraId="0B1A5ADE" w14:textId="0C92E5DC" w:rsidR="00064A78" w:rsidRPr="00EF2E8A" w:rsidRDefault="00064A78" w:rsidP="00591C83">
      <w:pPr>
        <w:pStyle w:val="ListParagraph"/>
      </w:pPr>
      <w:bookmarkStart w:id="64" w:name="_Ref204778386"/>
      <w:r w:rsidRPr="00EF2E8A">
        <w:t xml:space="preserve">The submission claimed MIRV was superior in terms of effectiveness compared to ICC. </w:t>
      </w:r>
      <w:r w:rsidR="00070E5A" w:rsidRPr="00EF2E8A">
        <w:t>The evaluation considered that t</w:t>
      </w:r>
      <w:r w:rsidRPr="00EF2E8A">
        <w:t>his claim</w:t>
      </w:r>
      <w:r w:rsidR="003A5D25" w:rsidRPr="00EF2E8A">
        <w:t xml:space="preserve"> appears to be </w:t>
      </w:r>
      <w:r w:rsidRPr="00EF2E8A">
        <w:t xml:space="preserve">adequately supported for OS (HR </w:t>
      </w:r>
      <w:r w:rsidRPr="00EF2E8A">
        <w:rPr>
          <w:color w:val="auto"/>
        </w:rPr>
        <w:t>0.68 [95% CI 0.543, 0.840] p=0.0004</w:t>
      </w:r>
      <w:r w:rsidRPr="00EF2E8A">
        <w:t>)</w:t>
      </w:r>
      <w:r w:rsidR="00070E5A" w:rsidRPr="00EF2E8A">
        <w:t>,</w:t>
      </w:r>
      <w:r w:rsidRPr="00EF2E8A">
        <w:t xml:space="preserve"> noting the outcome was at risk of bias due to informative censoring </w:t>
      </w:r>
      <w:r w:rsidR="00214F00" w:rsidRPr="00EF2E8A">
        <w:t>which may</w:t>
      </w:r>
      <w:r w:rsidR="008C33FE" w:rsidRPr="00EF2E8A">
        <w:t xml:space="preserve"> have confounded trial results</w:t>
      </w:r>
      <w:r w:rsidR="006F42AA">
        <w:t xml:space="preserve"> (</w:t>
      </w:r>
      <w:r w:rsidR="009D2DB0">
        <w:t xml:space="preserve">paragraph </w:t>
      </w:r>
      <w:r w:rsidR="009D2DB0">
        <w:fldChar w:fldCharType="begin" w:fldLock="1"/>
      </w:r>
      <w:r w:rsidR="009D2DB0">
        <w:instrText xml:space="preserve"> REF _Ref204778249 \r \h </w:instrText>
      </w:r>
      <w:r w:rsidR="009D2DB0">
        <w:fldChar w:fldCharType="separate"/>
      </w:r>
      <w:r w:rsidR="00CC5CAD">
        <w:t>6.7</w:t>
      </w:r>
      <w:r w:rsidR="009D2DB0">
        <w:fldChar w:fldCharType="end"/>
      </w:r>
      <w:r w:rsidR="00C2726E">
        <w:t>)</w:t>
      </w:r>
      <w:r w:rsidR="00256973" w:rsidRPr="00EF2E8A">
        <w:t>.</w:t>
      </w:r>
      <w:r w:rsidR="00F52C12" w:rsidRPr="00EF2E8A">
        <w:t xml:space="preserve"> There was less certainty with the evidence for PFS </w:t>
      </w:r>
      <w:r w:rsidR="005301AD" w:rsidRPr="00EF2E8A">
        <w:t xml:space="preserve">due to issues with the investigator </w:t>
      </w:r>
      <w:r w:rsidR="00256973" w:rsidRPr="00EF2E8A">
        <w:t xml:space="preserve">assessed outcome </w:t>
      </w:r>
      <w:r w:rsidR="00CC0015" w:rsidRPr="00EF2E8A">
        <w:t xml:space="preserve">(para </w:t>
      </w:r>
      <w:r w:rsidR="00CC0015" w:rsidRPr="00EF2E8A">
        <w:fldChar w:fldCharType="begin" w:fldLock="1"/>
      </w:r>
      <w:r w:rsidR="00CC0015" w:rsidRPr="00EF2E8A">
        <w:instrText xml:space="preserve"> REF _Ref196905073 \r \h  \* MERGEFORMAT </w:instrText>
      </w:r>
      <w:r w:rsidR="00CC0015" w:rsidRPr="00EF2E8A">
        <w:fldChar w:fldCharType="separate"/>
      </w:r>
      <w:r w:rsidR="00CC5CAD">
        <w:t>6.16</w:t>
      </w:r>
      <w:r w:rsidR="00CC0015" w:rsidRPr="00EF2E8A">
        <w:fldChar w:fldCharType="end"/>
      </w:r>
      <w:r w:rsidR="00CC0015" w:rsidRPr="00EF2E8A">
        <w:t xml:space="preserve">) </w:t>
      </w:r>
      <w:r w:rsidR="005301AD" w:rsidRPr="00EF2E8A">
        <w:t xml:space="preserve">and </w:t>
      </w:r>
      <w:r w:rsidR="00AF05A8" w:rsidRPr="00EF2E8A">
        <w:t>also give</w:t>
      </w:r>
      <w:r w:rsidR="00582537" w:rsidRPr="00EF2E8A">
        <w:t>n</w:t>
      </w:r>
      <w:r w:rsidR="00AF05A8" w:rsidRPr="00EF2E8A">
        <w:t xml:space="preserve"> the </w:t>
      </w:r>
      <w:r w:rsidR="005301AD" w:rsidRPr="00EF2E8A">
        <w:t xml:space="preserve">censoring </w:t>
      </w:r>
      <w:r w:rsidR="00AF05A8" w:rsidRPr="00EF2E8A">
        <w:t>issues</w:t>
      </w:r>
      <w:r w:rsidR="006F42AA">
        <w:t>, as</w:t>
      </w:r>
      <w:r w:rsidR="00AF05A8" w:rsidRPr="00EF2E8A">
        <w:t xml:space="preserve"> noted for OS</w:t>
      </w:r>
      <w:r w:rsidR="006F42AA">
        <w:t xml:space="preserve"> (paragraph </w:t>
      </w:r>
      <w:r w:rsidR="006F42AA">
        <w:fldChar w:fldCharType="begin" w:fldLock="1"/>
      </w:r>
      <w:r w:rsidR="006F42AA">
        <w:instrText xml:space="preserve"> REF _Ref204778039 \r \h </w:instrText>
      </w:r>
      <w:r w:rsidR="006F42AA">
        <w:fldChar w:fldCharType="separate"/>
      </w:r>
      <w:r w:rsidR="00CC5CAD">
        <w:t>6.20</w:t>
      </w:r>
      <w:r w:rsidR="006F42AA">
        <w:fldChar w:fldCharType="end"/>
      </w:r>
      <w:r w:rsidR="006F42AA">
        <w:t>)</w:t>
      </w:r>
      <w:r w:rsidR="004A7AA0" w:rsidRPr="00EF2E8A">
        <w:t xml:space="preserve">. </w:t>
      </w:r>
      <w:r w:rsidR="005744DA" w:rsidRPr="00EF2E8A">
        <w:t xml:space="preserve">The ESCs considered that the </w:t>
      </w:r>
      <w:r w:rsidR="00FC09FE" w:rsidRPr="00EF2E8A">
        <w:t xml:space="preserve">claim of superior effectiveness compared to ICC was reasonable </w:t>
      </w:r>
      <w:r w:rsidR="00E51F8A" w:rsidRPr="00EF2E8A">
        <w:t>for patients with high FR</w:t>
      </w:r>
      <w:r w:rsidR="00E51F8A" w:rsidRPr="00EF2E8A">
        <w:rPr>
          <w:rFonts w:cstheme="minorHAnsi"/>
        </w:rPr>
        <w:t xml:space="preserve">α expression, </w:t>
      </w:r>
      <w:r w:rsidR="0081600B" w:rsidRPr="00EF2E8A">
        <w:rPr>
          <w:rFonts w:cstheme="minorHAnsi"/>
        </w:rPr>
        <w:t xml:space="preserve">noting </w:t>
      </w:r>
      <w:r w:rsidR="00AD356A" w:rsidRPr="00EF2E8A">
        <w:rPr>
          <w:rFonts w:cstheme="minorHAnsi"/>
        </w:rPr>
        <w:t xml:space="preserve">the modest benefit in the </w:t>
      </w:r>
      <w:r w:rsidR="00AD356A" w:rsidRPr="00EF2E8A">
        <w:t>FR</w:t>
      </w:r>
      <w:r w:rsidR="00AD356A" w:rsidRPr="00EF2E8A">
        <w:rPr>
          <w:rFonts w:cstheme="minorHAnsi"/>
        </w:rPr>
        <w:t>α</w:t>
      </w:r>
      <w:r w:rsidR="00A46D2B">
        <w:rPr>
          <w:rFonts w:cstheme="minorHAnsi"/>
        </w:rPr>
        <w:noBreakHyphen/>
      </w:r>
      <w:r w:rsidR="00AD356A" w:rsidRPr="00EF2E8A">
        <w:rPr>
          <w:rFonts w:cstheme="minorHAnsi"/>
        </w:rPr>
        <w:t>high population</w:t>
      </w:r>
      <w:r w:rsidR="00B0644E" w:rsidRPr="00EF2E8A">
        <w:rPr>
          <w:rFonts w:cstheme="minorHAnsi"/>
        </w:rPr>
        <w:t xml:space="preserve">, </w:t>
      </w:r>
      <w:r w:rsidR="002E04C8" w:rsidRPr="00EF2E8A">
        <w:rPr>
          <w:rFonts w:cstheme="minorHAnsi"/>
        </w:rPr>
        <w:t xml:space="preserve">and </w:t>
      </w:r>
      <w:r w:rsidR="00B0644E" w:rsidRPr="00EF2E8A">
        <w:rPr>
          <w:rFonts w:cstheme="minorHAnsi"/>
        </w:rPr>
        <w:t>risk of bias associated with the key trial</w:t>
      </w:r>
      <w:r w:rsidR="00A17F04" w:rsidRPr="00EF2E8A">
        <w:rPr>
          <w:rFonts w:cstheme="minorHAnsi"/>
        </w:rPr>
        <w:t>.</w:t>
      </w:r>
      <w:bookmarkEnd w:id="64"/>
      <w:r w:rsidR="00A17F04" w:rsidRPr="00EF2E8A">
        <w:rPr>
          <w:rFonts w:cstheme="minorHAnsi"/>
        </w:rPr>
        <w:t xml:space="preserve"> </w:t>
      </w:r>
    </w:p>
    <w:p w14:paraId="0D1CB61E" w14:textId="5BF8C01E" w:rsidR="00064A78" w:rsidRPr="00EF2E8A" w:rsidRDefault="00064A78" w:rsidP="00591C83">
      <w:pPr>
        <w:pStyle w:val="ListParagraph"/>
      </w:pPr>
      <w:r w:rsidRPr="00EF2E8A">
        <w:t>The submission claimed MIRV was non</w:t>
      </w:r>
      <w:r w:rsidR="00A46D2B">
        <w:noBreakHyphen/>
      </w:r>
      <w:r w:rsidRPr="00EF2E8A">
        <w:t>inferior in terms of safety but with a different safety profile to non</w:t>
      </w:r>
      <w:r w:rsidR="00A46D2B">
        <w:noBreakHyphen/>
      </w:r>
      <w:r w:rsidRPr="00EF2E8A">
        <w:t xml:space="preserve">platinum chemotherapy. </w:t>
      </w:r>
      <w:r w:rsidR="00DC6434" w:rsidRPr="00EF2E8A">
        <w:t>The evaluation considered that t</w:t>
      </w:r>
      <w:r w:rsidRPr="00EF2E8A">
        <w:t xml:space="preserve">his claim was adequately supported for safety in comparison with ICC overall. However, the </w:t>
      </w:r>
      <w:r w:rsidR="00DC6434" w:rsidRPr="00EF2E8A">
        <w:t xml:space="preserve">evaluation considered </w:t>
      </w:r>
      <w:r w:rsidRPr="00EF2E8A">
        <w:t xml:space="preserve">proportions of ICC single agent use were likely to be different in Australian clinical practice compared to MIRASOL, with </w:t>
      </w:r>
      <w:proofErr w:type="gramStart"/>
      <w:r w:rsidRPr="00EF2E8A">
        <w:t>the majority of</w:t>
      </w:r>
      <w:proofErr w:type="gramEnd"/>
      <w:r w:rsidRPr="00EF2E8A">
        <w:t xml:space="preserve"> patients receiving PLD, a small proportion receiving paclitaxel and very few receiving topotecan.</w:t>
      </w:r>
      <w:r w:rsidR="00701DFD" w:rsidRPr="00EF2E8A">
        <w:t xml:space="preserve"> While the ESCs </w:t>
      </w:r>
      <w:r w:rsidR="00DD62DD" w:rsidRPr="00EF2E8A">
        <w:t xml:space="preserve">considered that MIRV </w:t>
      </w:r>
      <w:r w:rsidR="008B15F1" w:rsidRPr="00EF2E8A">
        <w:t>may be</w:t>
      </w:r>
      <w:r w:rsidR="00315C30" w:rsidRPr="00EF2E8A">
        <w:t xml:space="preserve"> non</w:t>
      </w:r>
      <w:r w:rsidR="00A46D2B">
        <w:noBreakHyphen/>
      </w:r>
      <w:r w:rsidR="00315C30" w:rsidRPr="00EF2E8A">
        <w:t xml:space="preserve">inferior in terms of safety compared to chemotherapy, </w:t>
      </w:r>
      <w:r w:rsidR="0094287E" w:rsidRPr="00EF2E8A">
        <w:t>the ESCs</w:t>
      </w:r>
      <w:r w:rsidR="00315C30" w:rsidRPr="00EF2E8A">
        <w:t xml:space="preserve"> </w:t>
      </w:r>
      <w:r w:rsidR="00A6497B" w:rsidRPr="00EF2E8A">
        <w:t xml:space="preserve">noted the </w:t>
      </w:r>
      <w:r w:rsidR="002E5DD0" w:rsidRPr="00EF2E8A">
        <w:t xml:space="preserve">significant impacts on QoL of the ocular adverse events associated with MIRV. </w:t>
      </w:r>
    </w:p>
    <w:p w14:paraId="21834A9B" w14:textId="3A62D68D" w:rsidR="00064A78" w:rsidRPr="00EF2E8A" w:rsidRDefault="00064A78" w:rsidP="00591C83">
      <w:pPr>
        <w:pStyle w:val="ListParagraph"/>
      </w:pPr>
      <w:r w:rsidRPr="00EF2E8A">
        <w:t xml:space="preserve">The submission claimed MIRV was superior in terms of </w:t>
      </w:r>
      <w:r w:rsidR="009D5598">
        <w:t>quality of life (</w:t>
      </w:r>
      <w:r w:rsidRPr="00EF2E8A">
        <w:t>QoL</w:t>
      </w:r>
      <w:r w:rsidR="009D5598">
        <w:t>)</w:t>
      </w:r>
      <w:r w:rsidRPr="00EF2E8A">
        <w:t xml:space="preserve"> to non</w:t>
      </w:r>
      <w:r w:rsidR="00A46D2B">
        <w:noBreakHyphen/>
      </w:r>
      <w:r w:rsidRPr="00EF2E8A">
        <w:t xml:space="preserve">platinum chemotherapy. </w:t>
      </w:r>
      <w:r w:rsidR="00371F6F" w:rsidRPr="00EF2E8A">
        <w:t xml:space="preserve">The </w:t>
      </w:r>
      <w:r w:rsidR="009A7F39" w:rsidRPr="00EF2E8A">
        <w:t>ESCs agreed with the</w:t>
      </w:r>
      <w:r w:rsidR="00371F6F" w:rsidRPr="00EF2E8A">
        <w:t xml:space="preserve"> evaluation that t</w:t>
      </w:r>
      <w:r w:rsidRPr="00EF2E8A">
        <w:t>his claim was not adequately supported – while the patient reported outcomes (PROs) generally favoured MIRV, the analyses were based on declining</w:t>
      </w:r>
      <w:r w:rsidR="00AE6963" w:rsidRPr="00EF2E8A">
        <w:t>,</w:t>
      </w:r>
      <w:r w:rsidRPr="00EF2E8A">
        <w:t xml:space="preserve"> low overall completion rates which may have had the effect that responder groups were enriched for better performing patients. Although MIRASOL collected EQ</w:t>
      </w:r>
      <w:r w:rsidR="00A46D2B">
        <w:noBreakHyphen/>
      </w:r>
      <w:r w:rsidRPr="00EF2E8A">
        <w:t>5D</w:t>
      </w:r>
      <w:r w:rsidR="00A46D2B">
        <w:noBreakHyphen/>
      </w:r>
      <w:r w:rsidRPr="00EF2E8A">
        <w:t xml:space="preserve">5L patient utility values, no </w:t>
      </w:r>
      <w:r w:rsidRPr="00EF2E8A">
        <w:lastRenderedPageBreak/>
        <w:t>results or analyses were reported in the submission, nor in the CSRs or trial publications to support this outcome.</w:t>
      </w:r>
      <w:r w:rsidR="002276FA" w:rsidRPr="00EF2E8A">
        <w:t xml:space="preserve"> </w:t>
      </w:r>
      <w:r w:rsidR="003030C3" w:rsidRPr="00EF2E8A">
        <w:t>Additionally, t</w:t>
      </w:r>
      <w:r w:rsidR="002276FA" w:rsidRPr="00EF2E8A">
        <w:t>he ESC</w:t>
      </w:r>
      <w:r w:rsidR="003030C3" w:rsidRPr="00EF2E8A">
        <w:t xml:space="preserve">s </w:t>
      </w:r>
      <w:r w:rsidR="00810C87" w:rsidRPr="00EF2E8A">
        <w:t>considered that</w:t>
      </w:r>
      <w:r w:rsidR="003030C3" w:rsidRPr="00EF2E8A">
        <w:t xml:space="preserve"> the </w:t>
      </w:r>
      <w:r w:rsidR="00810C87" w:rsidRPr="00EF2E8A">
        <w:t xml:space="preserve">high </w:t>
      </w:r>
      <w:r w:rsidR="00CC5294" w:rsidRPr="00EF2E8A">
        <w:t xml:space="preserve">incidence of ocular adverse events associated with MIRV would have a significant impact on </w:t>
      </w:r>
      <w:r w:rsidR="00387195" w:rsidRPr="00EF2E8A">
        <w:t>QoL.</w:t>
      </w:r>
      <w:r w:rsidR="00B65B3F">
        <w:t xml:space="preserve"> </w:t>
      </w:r>
    </w:p>
    <w:p w14:paraId="44B7AEAB" w14:textId="6C01840E" w:rsidR="00064A78" w:rsidRPr="00EF2E8A" w:rsidRDefault="00064A78" w:rsidP="00591C83">
      <w:pPr>
        <w:pStyle w:val="ListParagraph"/>
      </w:pPr>
      <w:bookmarkStart w:id="65" w:name="_Ref204778400"/>
      <w:r w:rsidRPr="00EF2E8A">
        <w:t xml:space="preserve">The submission claimed MIRV was superior in terms of efficacy versus </w:t>
      </w:r>
      <w:r w:rsidR="00F71695" w:rsidRPr="00EF2E8A">
        <w:t xml:space="preserve">BEVA </w:t>
      </w:r>
      <w:r w:rsidRPr="00EF2E8A">
        <w:t>+ non</w:t>
      </w:r>
      <w:r w:rsidR="00A46D2B">
        <w:noBreakHyphen/>
      </w:r>
      <w:r w:rsidRPr="00EF2E8A">
        <w:t xml:space="preserve">platinum chemotherapy </w:t>
      </w:r>
      <w:proofErr w:type="gramStart"/>
      <w:r w:rsidRPr="00EF2E8A">
        <w:t>on the basis of</w:t>
      </w:r>
      <w:proofErr w:type="gramEnd"/>
      <w:r w:rsidRPr="00EF2E8A">
        <w:t xml:space="preserve"> OS. </w:t>
      </w:r>
      <w:r w:rsidR="00371F6F" w:rsidRPr="00EF2E8A">
        <w:t>The</w:t>
      </w:r>
      <w:r w:rsidR="00F7707C" w:rsidRPr="00EF2E8A">
        <w:t xml:space="preserve"> ESCs</w:t>
      </w:r>
      <w:r w:rsidR="00371F6F" w:rsidRPr="00EF2E8A">
        <w:t xml:space="preserve"> </w:t>
      </w:r>
      <w:r w:rsidR="005F7E96" w:rsidRPr="00EF2E8A">
        <w:t xml:space="preserve">agreed with the </w:t>
      </w:r>
      <w:r w:rsidR="00371F6F" w:rsidRPr="00EF2E8A">
        <w:t>evaluation</w:t>
      </w:r>
      <w:r w:rsidR="00F7707C" w:rsidRPr="00EF2E8A">
        <w:t xml:space="preserve"> </w:t>
      </w:r>
      <w:r w:rsidR="00371F6F" w:rsidRPr="00EF2E8A">
        <w:t>that t</w:t>
      </w:r>
      <w:r w:rsidR="007500B6" w:rsidRPr="00EF2E8A">
        <w:t xml:space="preserve">his </w:t>
      </w:r>
      <w:r w:rsidR="00420B8E" w:rsidRPr="00EF2E8A">
        <w:t>claim</w:t>
      </w:r>
      <w:r w:rsidR="007500B6" w:rsidRPr="00EF2E8A">
        <w:t xml:space="preserve"> was </w:t>
      </w:r>
      <w:r w:rsidR="00E96475" w:rsidRPr="00EF2E8A">
        <w:t>not adequately supported</w:t>
      </w:r>
      <w:r w:rsidR="00371F6F" w:rsidRPr="00EF2E8A">
        <w:t>,</w:t>
      </w:r>
      <w:r w:rsidR="00E96475" w:rsidRPr="00EF2E8A">
        <w:t xml:space="preserve"> as the </w:t>
      </w:r>
      <w:r w:rsidRPr="00EF2E8A">
        <w:rPr>
          <w:rFonts w:eastAsia="Times New Roman" w:cstheme="minorHAnsi"/>
          <w:lang w:eastAsia="en-CA"/>
        </w:rPr>
        <w:t xml:space="preserve">outcome of the MAIC for OS was not statistically significant </w:t>
      </w:r>
      <w:r w:rsidR="00767EA1" w:rsidRPr="00EF2E8A">
        <w:rPr>
          <w:rFonts w:eastAsia="Times New Roman" w:cstheme="minorHAnsi"/>
          <w:lang w:eastAsia="en-CA"/>
        </w:rPr>
        <w:t xml:space="preserve">and given </w:t>
      </w:r>
      <w:r w:rsidR="00FA143E" w:rsidRPr="00EF2E8A">
        <w:rPr>
          <w:rFonts w:cstheme="minorHAnsi"/>
          <w:szCs w:val="24"/>
          <w:lang w:eastAsia="en-CA"/>
        </w:rPr>
        <w:t>the limitations of the MAIC</w:t>
      </w:r>
      <w:r w:rsidR="00EB0E2A" w:rsidRPr="00EF2E8A">
        <w:rPr>
          <w:rFonts w:cstheme="minorHAnsi"/>
          <w:szCs w:val="24"/>
          <w:lang w:eastAsia="en-CA"/>
        </w:rPr>
        <w:t xml:space="preserve"> </w:t>
      </w:r>
      <w:r w:rsidR="00EB0E2A" w:rsidRPr="00EF2E8A">
        <w:t>(</w:t>
      </w:r>
      <w:r w:rsidR="008419DC" w:rsidRPr="00EF2E8A">
        <w:t xml:space="preserve">as per </w:t>
      </w:r>
      <w:r w:rsidR="00EB0E2A" w:rsidRPr="00EF2E8A">
        <w:t xml:space="preserve">para </w:t>
      </w:r>
      <w:r w:rsidR="00EB0E2A" w:rsidRPr="00EF2E8A">
        <w:fldChar w:fldCharType="begin" w:fldLock="1"/>
      </w:r>
      <w:r w:rsidR="00EB0E2A" w:rsidRPr="00EF2E8A">
        <w:instrText xml:space="preserve"> REF _Ref198624641 \r \h  \* MERGEFORMAT </w:instrText>
      </w:r>
      <w:r w:rsidR="00EB0E2A" w:rsidRPr="00EF2E8A">
        <w:fldChar w:fldCharType="separate"/>
      </w:r>
      <w:r w:rsidR="00CC5CAD">
        <w:t>6.42</w:t>
      </w:r>
      <w:r w:rsidR="00EB0E2A" w:rsidRPr="00EF2E8A">
        <w:fldChar w:fldCharType="end"/>
      </w:r>
      <w:r w:rsidR="00EB0E2A" w:rsidRPr="00EF2E8A">
        <w:t>)</w:t>
      </w:r>
      <w:r w:rsidRPr="00EF2E8A">
        <w:rPr>
          <w:rFonts w:cstheme="minorHAnsi"/>
          <w:szCs w:val="24"/>
          <w:lang w:eastAsia="en-CA"/>
        </w:rPr>
        <w:t>.</w:t>
      </w:r>
      <w:r w:rsidR="00D45FE4" w:rsidRPr="00EF2E8A">
        <w:t xml:space="preserve"> </w:t>
      </w:r>
      <w:r w:rsidR="00D45FE4" w:rsidRPr="00EF2E8A">
        <w:rPr>
          <w:rFonts w:cstheme="minorHAnsi"/>
          <w:szCs w:val="24"/>
          <w:lang w:eastAsia="en-CA"/>
        </w:rPr>
        <w:t>Overall, the</w:t>
      </w:r>
      <w:r w:rsidR="00540619" w:rsidRPr="00EF2E8A">
        <w:rPr>
          <w:rFonts w:cstheme="minorHAnsi"/>
          <w:szCs w:val="24"/>
          <w:lang w:eastAsia="en-CA"/>
        </w:rPr>
        <w:t xml:space="preserve"> evaluation</w:t>
      </w:r>
      <w:r w:rsidR="00F7707C" w:rsidRPr="00EF2E8A">
        <w:rPr>
          <w:rFonts w:cstheme="minorHAnsi"/>
          <w:szCs w:val="24"/>
          <w:lang w:eastAsia="en-CA"/>
        </w:rPr>
        <w:t xml:space="preserve"> and the ESCs</w:t>
      </w:r>
      <w:r w:rsidR="00540619" w:rsidRPr="00EF2E8A">
        <w:rPr>
          <w:rFonts w:cstheme="minorHAnsi"/>
          <w:szCs w:val="24"/>
          <w:lang w:eastAsia="en-CA"/>
        </w:rPr>
        <w:t xml:space="preserve"> considered that the</w:t>
      </w:r>
      <w:r w:rsidR="00D45FE4" w:rsidRPr="00EF2E8A">
        <w:rPr>
          <w:rFonts w:cstheme="minorHAnsi"/>
          <w:szCs w:val="24"/>
          <w:lang w:eastAsia="en-CA"/>
        </w:rPr>
        <w:t xml:space="preserve"> MAIC did not offer a robust comparison of MIRV versus </w:t>
      </w:r>
      <w:r w:rsidR="00F71695" w:rsidRPr="00EF2E8A">
        <w:rPr>
          <w:rFonts w:cstheme="minorHAnsi"/>
          <w:szCs w:val="24"/>
          <w:lang w:eastAsia="en-CA"/>
        </w:rPr>
        <w:t>BEVA</w:t>
      </w:r>
      <w:r w:rsidR="00D45FE4" w:rsidRPr="00EF2E8A">
        <w:rPr>
          <w:rFonts w:cstheme="minorHAnsi"/>
          <w:szCs w:val="24"/>
          <w:lang w:eastAsia="en-CA"/>
        </w:rPr>
        <w:t>+ICC</w:t>
      </w:r>
      <w:r w:rsidRPr="00EF2E8A">
        <w:t>.</w:t>
      </w:r>
      <w:r w:rsidR="000503C3" w:rsidRPr="00EF2E8A">
        <w:t xml:space="preserve"> The ESCs considered that the effectiveness of MIRV compared to ICC + BEVA was uncertain, but likely no worse. </w:t>
      </w:r>
      <w:bookmarkEnd w:id="65"/>
    </w:p>
    <w:p w14:paraId="55B4ADDC" w14:textId="535F049C" w:rsidR="00064A78" w:rsidRPr="00992920" w:rsidRDefault="00064A78" w:rsidP="00591C83">
      <w:pPr>
        <w:pStyle w:val="ListParagraph"/>
      </w:pPr>
      <w:r w:rsidRPr="00EF2E8A">
        <w:t xml:space="preserve">The submission claimed that MIRV was superior in terms of safety, with a different safety profile to </w:t>
      </w:r>
      <w:r w:rsidR="00F71695" w:rsidRPr="00EF2E8A">
        <w:t>BEVA</w:t>
      </w:r>
      <w:r w:rsidRPr="00EF2E8A">
        <w:t xml:space="preserve">+ICC. </w:t>
      </w:r>
      <w:r w:rsidR="006302E2" w:rsidRPr="00EF2E8A">
        <w:t xml:space="preserve">The evaluation </w:t>
      </w:r>
      <w:r w:rsidR="00C0602E" w:rsidRPr="00EF2E8A">
        <w:t>and the ESCs</w:t>
      </w:r>
      <w:r w:rsidR="006302E2" w:rsidRPr="00EF2E8A">
        <w:t xml:space="preserve"> considered that s</w:t>
      </w:r>
      <w:r w:rsidRPr="00EF2E8A">
        <w:t>imilar concerns relating to the MAIC and exchangeability of the trials apply. The available data limited the comparison to two safety outcomes, only one of which was statistically significant (discontinuations due to any TEAE; HR 0.10 [95% CI 0.03, 0.36] p=0.0004). Overall,</w:t>
      </w:r>
      <w:r w:rsidR="006302E2" w:rsidRPr="00EF2E8A">
        <w:t xml:space="preserve"> the evaluation</w:t>
      </w:r>
      <w:r w:rsidR="000503C3" w:rsidRPr="00EF2E8A">
        <w:t xml:space="preserve"> and the ESCs</w:t>
      </w:r>
      <w:r w:rsidR="006302E2" w:rsidRPr="00EF2E8A">
        <w:t xml:space="preserve"> considered that</w:t>
      </w:r>
      <w:r w:rsidRPr="00EF2E8A">
        <w:t xml:space="preserve"> the MAIC did not offer a robust </w:t>
      </w:r>
      <w:r w:rsidRPr="00992920">
        <w:t xml:space="preserve">comparison of MIRV versus </w:t>
      </w:r>
      <w:r w:rsidR="00F71695" w:rsidRPr="00992920">
        <w:t>BEVA</w:t>
      </w:r>
      <w:r w:rsidRPr="00992920">
        <w:t>+ICC and the claim was not adequately supported.</w:t>
      </w:r>
      <w:r w:rsidR="000503C3" w:rsidRPr="00992920">
        <w:t xml:space="preserve"> The ESCs considered that the safety of MIRV compared to ICC + BEVA was uncertain. </w:t>
      </w:r>
    </w:p>
    <w:p w14:paraId="6ACB849D" w14:textId="7C567BFE" w:rsidR="005819C6" w:rsidRPr="005819C6" w:rsidRDefault="00573402" w:rsidP="00591C83">
      <w:pPr>
        <w:pStyle w:val="ListParagraph"/>
        <w:rPr>
          <w:rFonts w:cs="Arial"/>
          <w:iCs/>
          <w:snapToGrid w:val="0"/>
          <w:szCs w:val="20"/>
        </w:rPr>
      </w:pPr>
      <w:bookmarkStart w:id="66" w:name="_Hlk76376200"/>
      <w:r w:rsidRPr="00992920">
        <w:rPr>
          <w:rFonts w:cs="Arial"/>
          <w:iCs/>
          <w:snapToGrid w:val="0"/>
          <w:lang w:eastAsia="en-AU"/>
        </w:rPr>
        <w:t>The</w:t>
      </w:r>
      <w:r w:rsidRPr="00992920">
        <w:rPr>
          <w:rFonts w:cs="Arial"/>
          <w:iCs/>
          <w:snapToGrid w:val="0"/>
          <w:szCs w:val="20"/>
        </w:rPr>
        <w:t xml:space="preserve"> PBAC </w:t>
      </w:r>
      <w:r w:rsidRPr="00992920">
        <w:rPr>
          <w:iCs/>
        </w:rPr>
        <w:t>considered</w:t>
      </w:r>
      <w:r w:rsidRPr="00992920">
        <w:rPr>
          <w:rFonts w:cs="Arial"/>
          <w:iCs/>
          <w:snapToGrid w:val="0"/>
          <w:szCs w:val="20"/>
        </w:rPr>
        <w:t xml:space="preserve"> that the claim of superior comparative effectiveness was supported by the data</w:t>
      </w:r>
      <w:r w:rsidR="0005457B" w:rsidRPr="00992920">
        <w:rPr>
          <w:rFonts w:cs="Arial"/>
          <w:iCs/>
          <w:snapToGrid w:val="0"/>
          <w:szCs w:val="20"/>
        </w:rPr>
        <w:t xml:space="preserve"> </w:t>
      </w:r>
      <w:r w:rsidR="005819C6" w:rsidRPr="005819C6">
        <w:rPr>
          <w:rFonts w:cs="Arial"/>
          <w:iCs/>
          <w:snapToGrid w:val="0"/>
          <w:szCs w:val="20"/>
        </w:rPr>
        <w:t>versus chemotherapy (noting modest benefit and high risk of bias so benefit likely overestimated</w:t>
      </w:r>
      <w:r w:rsidR="00F22DE3" w:rsidRPr="005819C6">
        <w:rPr>
          <w:rFonts w:cs="Arial"/>
          <w:iCs/>
          <w:snapToGrid w:val="0"/>
          <w:szCs w:val="20"/>
        </w:rPr>
        <w:t>) but</w:t>
      </w:r>
      <w:r w:rsidR="005819C6" w:rsidRPr="005819C6">
        <w:rPr>
          <w:rFonts w:cs="Arial"/>
          <w:iCs/>
          <w:snapToGrid w:val="0"/>
          <w:szCs w:val="20"/>
        </w:rPr>
        <w:t xml:space="preserve"> no</w:t>
      </w:r>
      <w:r w:rsidR="005819C6" w:rsidRPr="00992920">
        <w:rPr>
          <w:rFonts w:cs="Arial"/>
          <w:iCs/>
          <w:snapToGrid w:val="0"/>
          <w:szCs w:val="20"/>
        </w:rPr>
        <w:t>t</w:t>
      </w:r>
      <w:r w:rsidR="005819C6" w:rsidRPr="005819C6">
        <w:rPr>
          <w:rFonts w:cs="Arial"/>
          <w:iCs/>
          <w:snapToGrid w:val="0"/>
          <w:szCs w:val="20"/>
        </w:rPr>
        <w:t xml:space="preserve"> supported versus chemotherapy with bevacizumab</w:t>
      </w:r>
      <w:r w:rsidR="002F1D86" w:rsidRPr="00992920">
        <w:rPr>
          <w:rFonts w:cs="Arial"/>
          <w:iCs/>
          <w:snapToGrid w:val="0"/>
          <w:szCs w:val="20"/>
        </w:rPr>
        <w:t xml:space="preserve">. </w:t>
      </w:r>
    </w:p>
    <w:p w14:paraId="73BB0A9B" w14:textId="0FCA1CDD" w:rsidR="00E672AE" w:rsidRPr="00671270" w:rsidRDefault="002F1D86" w:rsidP="00591C83">
      <w:pPr>
        <w:pStyle w:val="ListParagraph"/>
        <w:rPr>
          <w:iCs/>
          <w:szCs w:val="20"/>
        </w:rPr>
      </w:pPr>
      <w:r w:rsidRPr="002F1D86">
        <w:rPr>
          <w:iCs/>
          <w:szCs w:val="20"/>
        </w:rPr>
        <w:t>The PBAC considered that the claim of non</w:t>
      </w:r>
      <w:r w:rsidR="00A46D2B">
        <w:rPr>
          <w:iCs/>
          <w:szCs w:val="20"/>
        </w:rPr>
        <w:noBreakHyphen/>
      </w:r>
      <w:r w:rsidRPr="002F1D86">
        <w:rPr>
          <w:iCs/>
          <w:szCs w:val="20"/>
        </w:rPr>
        <w:t>inferior but different comparative safety was reasonable versus chemotherapy, but uncertain versus chemotherapy with bevacizumab</w:t>
      </w:r>
      <w:r w:rsidRPr="00992920">
        <w:rPr>
          <w:iCs/>
          <w:szCs w:val="20"/>
        </w:rPr>
        <w:t>.</w:t>
      </w:r>
      <w:bookmarkEnd w:id="66"/>
    </w:p>
    <w:p w14:paraId="6992C222" w14:textId="77777777" w:rsidR="00E672AE" w:rsidRPr="00CA5048" w:rsidRDefault="00E672AE" w:rsidP="00591C83">
      <w:pPr>
        <w:pStyle w:val="OutlineHeading2"/>
        <w:rPr>
          <w:rFonts w:ascii="Calibri" w:hAnsi="Calibri" w:cs="Calibri"/>
        </w:rPr>
      </w:pPr>
      <w:r w:rsidRPr="00CA5048">
        <w:rPr>
          <w:rFonts w:ascii="Calibri" w:hAnsi="Calibri" w:cs="Calibri"/>
        </w:rPr>
        <w:t>Claim of codependence</w:t>
      </w:r>
    </w:p>
    <w:p w14:paraId="049F5986" w14:textId="784A8EA0" w:rsidR="00A76CD2" w:rsidRDefault="00E672AE" w:rsidP="00591C83">
      <w:pPr>
        <w:pStyle w:val="ListParagraph"/>
      </w:pPr>
      <w:bookmarkStart w:id="67" w:name="_Ref205215172"/>
      <w:r w:rsidRPr="00F064EC">
        <w:t xml:space="preserve">The </w:t>
      </w:r>
      <w:r w:rsidR="00047E1F" w:rsidRPr="00F064EC">
        <w:t xml:space="preserve">evaluation </w:t>
      </w:r>
      <w:r w:rsidRPr="00F064EC">
        <w:t>noted that the FORWARD</w:t>
      </w:r>
      <w:r w:rsidR="00A46D2B">
        <w:noBreakHyphen/>
      </w:r>
      <w:r w:rsidRPr="00F064EC">
        <w:t>I trial results showed a difference in outcomes between the whole trial population and the FRα</w:t>
      </w:r>
      <w:r w:rsidR="00A46D2B">
        <w:noBreakHyphen/>
      </w:r>
      <w:r w:rsidRPr="00F064EC">
        <w:t>high (≥75% using the PS2+ scoring method</w:t>
      </w:r>
      <w:r w:rsidRPr="00A336A3">
        <w:t xml:space="preserve"> i.e., ≥75% of viable tumour cells with moderate [2+] or strong [3+] staining) subgroup, however the clearest difference was observed on comparison of the FRα</w:t>
      </w:r>
      <w:r w:rsidR="00A46D2B">
        <w:noBreakHyphen/>
      </w:r>
      <w:r w:rsidRPr="00A336A3">
        <w:t>high and FRα</w:t>
      </w:r>
      <w:r w:rsidR="00A46D2B">
        <w:noBreakHyphen/>
      </w:r>
      <w:r w:rsidRPr="00A336A3">
        <w:t>medium (from 50% to &lt;75%, using the PS2+ method) subgroups. For PFS, the prespecified analyses gave HRs for FRα</w:t>
      </w:r>
      <w:r w:rsidR="00A46D2B">
        <w:noBreakHyphen/>
      </w:r>
      <w:r w:rsidRPr="00A336A3">
        <w:t>high of 0.693 (95% CI 0.480, 1.000) (p=0.049) versus 1.560 (95% CI 0.976, 2.492) (p=0.061) for FRα</w:t>
      </w:r>
      <w:r w:rsidR="00A46D2B">
        <w:noBreakHyphen/>
      </w:r>
      <w:r w:rsidRPr="00A336A3">
        <w:t>medium</w:t>
      </w:r>
      <w:r w:rsidR="008E1BCF">
        <w:t xml:space="preserve"> (</w:t>
      </w:r>
      <w:r w:rsidR="00AF3C7B" w:rsidRPr="00036719">
        <w:rPr>
          <w:w w:val="15"/>
          <w:shd w:val="solid" w:color="000000" w:fill="000000"/>
          <w:fitText w:val="-20" w:id="-629962233"/>
          <w14:textFill>
            <w14:solidFill>
              <w14:schemeClr w14:val="tx1">
                <w14:alpha w14:val="100000"/>
              </w14:schemeClr>
            </w14:solidFill>
          </w14:textFill>
        </w:rPr>
        <w:t>|</w:t>
      </w:r>
      <w:r w:rsidR="00B65B3F" w:rsidRPr="00036719">
        <w:rPr>
          <w:w w:val="15"/>
          <w:shd w:val="solid" w:color="000000" w:fill="000000"/>
          <w:fitText w:val="-20" w:id="-629962233"/>
          <w14:textFill>
            <w14:solidFill>
              <w14:schemeClr w14:val="tx1">
                <w14:alpha w14:val="100000"/>
              </w14:schemeClr>
            </w14:solidFill>
          </w14:textFill>
        </w:rPr>
        <w:t xml:space="preserve"> </w:t>
      </w:r>
      <w:r w:rsidR="00AF3C7B" w:rsidRPr="00036719">
        <w:rPr>
          <w:spacing w:val="-61"/>
          <w:w w:val="15"/>
          <w:shd w:val="solid" w:color="000000" w:fill="000000"/>
          <w:fitText w:val="-20" w:id="-629962233"/>
          <w14:textFill>
            <w14:solidFill>
              <w14:schemeClr w14:val="tx1">
                <w14:alpha w14:val="100000"/>
              </w14:schemeClr>
            </w14:solidFill>
          </w14:textFill>
        </w:rPr>
        <w:t>|</w:t>
      </w:r>
      <w:r w:rsidR="008E1BCF">
        <w:t>)</w:t>
      </w:r>
      <w:r w:rsidRPr="00A336A3">
        <w:t>. The</w:t>
      </w:r>
      <w:r w:rsidR="00517CE4">
        <w:t>re was a clear trend to improved</w:t>
      </w:r>
      <w:r w:rsidRPr="00A336A3">
        <w:t xml:space="preserve"> HR for the FRα</w:t>
      </w:r>
      <w:r w:rsidR="00A46D2B">
        <w:noBreakHyphen/>
      </w:r>
      <w:r w:rsidRPr="00A336A3">
        <w:t>high group, though not statistically significant</w:t>
      </w:r>
      <w:r w:rsidRPr="000851FA">
        <w:t xml:space="preserve">. </w:t>
      </w:r>
      <w:r w:rsidR="004E7D59">
        <w:t>In t</w:t>
      </w:r>
      <w:r w:rsidRPr="000851FA">
        <w:t>he FRα</w:t>
      </w:r>
      <w:r w:rsidR="00A46D2B">
        <w:noBreakHyphen/>
      </w:r>
      <w:r w:rsidRPr="000851FA">
        <w:t>medium group, in comparison, patients on MIRV did worse than those receiving ICC. Values for OS were similar (</w:t>
      </w:r>
      <w:r w:rsidR="00D27E1F">
        <w:fldChar w:fldCharType="begin" w:fldLock="1"/>
      </w:r>
      <w:r w:rsidR="00D27E1F">
        <w:instrText xml:space="preserve"> REF _Ref205198270 \h </w:instrText>
      </w:r>
      <w:r w:rsidR="00D27E1F">
        <w:fldChar w:fldCharType="separate"/>
      </w:r>
      <w:r w:rsidR="00CC5CAD">
        <w:t xml:space="preserve">Table </w:t>
      </w:r>
      <w:r w:rsidR="00CC5CAD">
        <w:rPr>
          <w:noProof/>
        </w:rPr>
        <w:t>12</w:t>
      </w:r>
      <w:r w:rsidR="00D27E1F">
        <w:fldChar w:fldCharType="end"/>
      </w:r>
      <w:r w:rsidRPr="000851FA">
        <w:t xml:space="preserve">). </w:t>
      </w:r>
      <w:bookmarkEnd w:id="67"/>
    </w:p>
    <w:p w14:paraId="78C99152" w14:textId="60496332" w:rsidR="0017265D" w:rsidRDefault="00E672AE" w:rsidP="00591C83">
      <w:pPr>
        <w:pStyle w:val="ListParagraph"/>
      </w:pPr>
      <w:r w:rsidRPr="00A336A3">
        <w:t>A test for interaction based on a comparison of the PFS results was statistically significant (p</w:t>
      </w:r>
      <w:r w:rsidR="00A46D2B">
        <w:noBreakHyphen/>
      </w:r>
      <w:r w:rsidRPr="00A336A3">
        <w:t>value = 0.004) (</w:t>
      </w:r>
      <w:r w:rsidR="00AF3C7B" w:rsidRPr="00036719">
        <w:rPr>
          <w:w w:val="15"/>
          <w:shd w:val="solid" w:color="000000" w:fill="000000"/>
          <w:fitText w:val="-20" w:id="-629962232"/>
          <w14:textFill>
            <w14:solidFill>
              <w14:schemeClr w14:val="tx1">
                <w14:alpha w14:val="100000"/>
              </w14:schemeClr>
            </w14:solidFill>
          </w14:textFill>
        </w:rPr>
        <w:t>|</w:t>
      </w:r>
      <w:r w:rsidR="00B65B3F" w:rsidRPr="00036719">
        <w:rPr>
          <w:w w:val="15"/>
          <w:shd w:val="solid" w:color="000000" w:fill="000000"/>
          <w:fitText w:val="-20" w:id="-629962232"/>
          <w14:textFill>
            <w14:solidFill>
              <w14:schemeClr w14:val="tx1">
                <w14:alpha w14:val="100000"/>
              </w14:schemeClr>
            </w14:solidFill>
          </w14:textFill>
        </w:rPr>
        <w:t xml:space="preserve"> </w:t>
      </w:r>
      <w:r w:rsidR="00AF3C7B" w:rsidRPr="00036719">
        <w:rPr>
          <w:spacing w:val="-61"/>
          <w:w w:val="15"/>
          <w:shd w:val="solid" w:color="000000" w:fill="000000"/>
          <w:fitText w:val="-20" w:id="-629962232"/>
          <w14:textFill>
            <w14:solidFill>
              <w14:schemeClr w14:val="tx1">
                <w14:alpha w14:val="100000"/>
              </w14:schemeClr>
            </w14:solidFill>
          </w14:textFill>
        </w:rPr>
        <w:t>|</w:t>
      </w:r>
      <w:r w:rsidR="004E4813">
        <w:t xml:space="preserve">, </w:t>
      </w:r>
      <w:r w:rsidR="009F05D9">
        <w:t xml:space="preserve">see also paragraph </w:t>
      </w:r>
      <w:r w:rsidR="009F05D9">
        <w:fldChar w:fldCharType="begin" w:fldLock="1"/>
      </w:r>
      <w:r w:rsidR="009F05D9">
        <w:instrText xml:space="preserve"> REF _Ref205275528 \r \h </w:instrText>
      </w:r>
      <w:r w:rsidR="009F05D9">
        <w:fldChar w:fldCharType="separate"/>
      </w:r>
      <w:r w:rsidR="00530706">
        <w:t>6.35</w:t>
      </w:r>
      <w:r w:rsidR="009F05D9">
        <w:fldChar w:fldCharType="end"/>
      </w:r>
      <w:r w:rsidRPr="00A336A3">
        <w:t>). Given the lack of treatment response to MIRV in the FRα</w:t>
      </w:r>
      <w:r w:rsidR="00A46D2B">
        <w:noBreakHyphen/>
      </w:r>
      <w:r w:rsidRPr="00A336A3">
        <w:t xml:space="preserve">medium subgroup (and the absence of data from patients either unselected for or lacking FRα tumour expression) the evaluation </w:t>
      </w:r>
      <w:r w:rsidRPr="00A336A3">
        <w:lastRenderedPageBreak/>
        <w:t>considered this group as a test negative population. This support</w:t>
      </w:r>
      <w:r w:rsidR="00442869">
        <w:t>ed</w:t>
      </w:r>
      <w:r w:rsidRPr="00A336A3">
        <w:t xml:space="preserve"> the predictive validity of FRα expression as a biomarker </w:t>
      </w:r>
      <w:proofErr w:type="gramStart"/>
      <w:r w:rsidRPr="00A336A3">
        <w:t>as long as</w:t>
      </w:r>
      <w:proofErr w:type="gramEnd"/>
      <w:r w:rsidRPr="00A336A3">
        <w:t xml:space="preserve"> the expression level is high using the PS2+ scoring criteria. </w:t>
      </w:r>
    </w:p>
    <w:p w14:paraId="311972A7" w14:textId="718D8833" w:rsidR="00257EFD" w:rsidRDefault="00E672AE" w:rsidP="00591C83">
      <w:pPr>
        <w:pStyle w:val="ListParagraph"/>
      </w:pPr>
      <w:bookmarkStart w:id="68" w:name="_Ref204778744"/>
      <w:r w:rsidRPr="00A336A3">
        <w:t>The ESCs considered FRα expression is critical to identifying patients likely to benefit from MIRV, given the potential for patients without high FRα expression to have worse survival outcomes when treated with MIRV compared to ICC, and in the context of specific safety concerns for MIRV.</w:t>
      </w:r>
      <w:r w:rsidR="00C67544">
        <w:t xml:space="preserve"> </w:t>
      </w:r>
      <w:r w:rsidR="002F54D1" w:rsidRPr="002F54D1">
        <w:t xml:space="preserve">Noting that the </w:t>
      </w:r>
      <w:r w:rsidR="00257EFD" w:rsidRPr="002F54D1">
        <w:t>cut</w:t>
      </w:r>
      <w:r w:rsidR="00A46D2B">
        <w:noBreakHyphen/>
      </w:r>
      <w:r w:rsidR="00257EFD" w:rsidRPr="002F54D1">
        <w:t>off threshold for high FRα expression was selected based on trial data</w:t>
      </w:r>
      <w:r w:rsidR="002F54D1" w:rsidRPr="002F54D1">
        <w:t xml:space="preserve">, the ESCs considered that </w:t>
      </w:r>
      <w:r w:rsidR="00257EFD" w:rsidRPr="002F54D1">
        <w:t>the binary threshold has a high risk of bias due to the retrospective nature of the analysis, the inherent subjectivity of IHC interpretation, and lack of blinding in the trial.</w:t>
      </w:r>
      <w:bookmarkEnd w:id="68"/>
      <w:r w:rsidR="00C67544">
        <w:t xml:space="preserve"> </w:t>
      </w:r>
    </w:p>
    <w:p w14:paraId="6C6B22B7" w14:textId="200213D1" w:rsidR="00B94592" w:rsidRPr="006A798F" w:rsidRDefault="00B94592" w:rsidP="00591C83">
      <w:pPr>
        <w:pStyle w:val="ListParagraph"/>
        <w:rPr>
          <w:iCs/>
        </w:rPr>
      </w:pPr>
      <w:bookmarkStart w:id="69" w:name="_Ref205215176"/>
      <w:r w:rsidRPr="006A798F">
        <w:rPr>
          <w:rFonts w:ascii="Calibri" w:hAnsi="Calibri" w:cstheme="minorHAnsi"/>
          <w:bCs/>
          <w:iCs/>
          <w:color w:val="auto"/>
        </w:rPr>
        <w:t>The evaluation noted that the selection of the ≥75%, PS2+ FRα expression threshold was based on an assumption that FRα levels remained constant over the EOC disease co</w:t>
      </w:r>
      <w:r w:rsidRPr="006A798F">
        <w:rPr>
          <w:rStyle w:val="PBACESParagraphBulletPointChar"/>
          <w:iCs/>
        </w:rPr>
        <w:t>urse which the ESCs considered may be reasonable, based on data from a recent conference presentation</w:t>
      </w:r>
      <w:r w:rsidR="00DE1EDB" w:rsidRPr="006A798F">
        <w:rPr>
          <w:iCs/>
        </w:rPr>
        <w:t>, suggesting that further research was needed to determine the reliability of archival tissue versus fresh biopsies for FRα IHC testing</w:t>
      </w:r>
      <w:r w:rsidRPr="006A798F">
        <w:rPr>
          <w:rStyle w:val="PBACESParagraphBulletPointChar"/>
          <w:iCs/>
        </w:rPr>
        <w:t>. However, the ESCs considered that retesting of FRα expression following development of platinum resistance should remain an option.</w:t>
      </w:r>
      <w:r w:rsidR="00B65B3F">
        <w:rPr>
          <w:rStyle w:val="MainBodyBulletPointChar"/>
          <w:iCs/>
        </w:rPr>
        <w:t xml:space="preserve"> </w:t>
      </w:r>
      <w:bookmarkEnd w:id="69"/>
    </w:p>
    <w:p w14:paraId="53FCAD00" w14:textId="42CDA6AB" w:rsidR="00C317F3" w:rsidRPr="00EF2E8A" w:rsidRDefault="00C317F3" w:rsidP="00591C83">
      <w:pPr>
        <w:pStyle w:val="OutlineHeading2"/>
        <w:rPr>
          <w:rFonts w:ascii="Calibri" w:hAnsi="Calibri" w:cs="Calibri"/>
        </w:rPr>
      </w:pPr>
      <w:r w:rsidRPr="00EF2E8A">
        <w:rPr>
          <w:rFonts w:ascii="Calibri" w:hAnsi="Calibri" w:cs="Calibri"/>
        </w:rPr>
        <w:t>Economic analysis</w:t>
      </w:r>
      <w:bookmarkEnd w:id="62"/>
    </w:p>
    <w:p w14:paraId="7AD286CA" w14:textId="54517894" w:rsidR="00064A78" w:rsidRPr="00EF2E8A" w:rsidRDefault="00064A78" w:rsidP="00591C83">
      <w:pPr>
        <w:pStyle w:val="ListParagraph"/>
      </w:pPr>
      <w:r w:rsidRPr="00EF2E8A">
        <w:t>The submission presented a modelled cost</w:t>
      </w:r>
      <w:r w:rsidR="00A46D2B">
        <w:noBreakHyphen/>
      </w:r>
      <w:r w:rsidRPr="00EF2E8A">
        <w:t xml:space="preserve">utility analysis (CUA) comparing MIRV to a mixed comparator (weighted 50:50) of ICC (based on direct evidence from MIRASOL) and BEVA + ICC (based on the indirect treatment comparison using evidence from MIRASOL and AURELIA) in a population of patients with PROC who have received at least one prior systemic treatment regimen and have high </w:t>
      </w:r>
      <w:r w:rsidRPr="00EF2E8A">
        <w:rPr>
          <w:rFonts w:cs="Calibri"/>
        </w:rPr>
        <w:t>FRα expression</w:t>
      </w:r>
      <w:r w:rsidR="004042EE" w:rsidRPr="00EF2E8A">
        <w:rPr>
          <w:rFonts w:cs="Calibri"/>
        </w:rPr>
        <w:t xml:space="preserve"> </w:t>
      </w:r>
      <w:r w:rsidR="004042EE" w:rsidRPr="00EF2E8A">
        <w:t>(≥ 75% of tumour cells)</w:t>
      </w:r>
      <w:r w:rsidRPr="00EF2E8A">
        <w:t>.</w:t>
      </w:r>
    </w:p>
    <w:p w14:paraId="5CC9DE83" w14:textId="160529B0" w:rsidR="00064A78" w:rsidRPr="00EF2E8A" w:rsidRDefault="00064A78" w:rsidP="00591C83">
      <w:pPr>
        <w:pStyle w:val="ListParagraph"/>
      </w:pPr>
      <w:r w:rsidRPr="00EF2E8A">
        <w:rPr>
          <w:color w:val="auto"/>
        </w:rPr>
        <w:t>A summary of the model structure and key inputs for the economic evaluation is presented in</w:t>
      </w:r>
      <w:r w:rsidR="00EF6E37" w:rsidRPr="00EF2E8A">
        <w:rPr>
          <w:color w:val="auto"/>
        </w:rPr>
        <w:t xml:space="preserve"> </w:t>
      </w:r>
      <w:r w:rsidR="000851FA">
        <w:rPr>
          <w:color w:val="auto"/>
        </w:rPr>
        <w:fldChar w:fldCharType="begin" w:fldLock="1"/>
      </w:r>
      <w:r w:rsidR="000851FA">
        <w:rPr>
          <w:color w:val="auto"/>
        </w:rPr>
        <w:instrText xml:space="preserve"> REF _Ref205198716 \h </w:instrText>
      </w:r>
      <w:r w:rsidR="000851FA">
        <w:rPr>
          <w:color w:val="auto"/>
        </w:rPr>
      </w:r>
      <w:r w:rsidR="000851FA">
        <w:rPr>
          <w:color w:val="auto"/>
        </w:rPr>
        <w:fldChar w:fldCharType="separate"/>
      </w:r>
      <w:r w:rsidR="00CC5CAD">
        <w:t xml:space="preserve">Table </w:t>
      </w:r>
      <w:r w:rsidR="00CC5CAD">
        <w:rPr>
          <w:noProof/>
        </w:rPr>
        <w:t>18</w:t>
      </w:r>
      <w:r w:rsidR="000851FA">
        <w:rPr>
          <w:color w:val="auto"/>
        </w:rPr>
        <w:fldChar w:fldCharType="end"/>
      </w:r>
      <w:r w:rsidR="00EF6E37" w:rsidRPr="00EF2E8A">
        <w:rPr>
          <w:color w:val="auto"/>
        </w:rPr>
        <w:fldChar w:fldCharType="begin" w:fldLock="1"/>
      </w:r>
      <w:r w:rsidR="00EF6E37" w:rsidRPr="00EF2E8A">
        <w:rPr>
          <w:color w:val="auto"/>
        </w:rPr>
        <w:instrText xml:space="preserve"> REF _Ref198627947 \h </w:instrText>
      </w:r>
      <w:r w:rsidR="00356178" w:rsidRPr="00EF2E8A">
        <w:rPr>
          <w:color w:val="auto"/>
        </w:rPr>
        <w:instrText xml:space="preserve"> \* MERGEFORMAT </w:instrText>
      </w:r>
      <w:r w:rsidR="00EF6E37" w:rsidRPr="00EF2E8A">
        <w:rPr>
          <w:color w:val="auto"/>
        </w:rPr>
      </w:r>
      <w:r w:rsidR="00EF6E37" w:rsidRPr="00EF2E8A">
        <w:rPr>
          <w:color w:val="auto"/>
        </w:rPr>
        <w:fldChar w:fldCharType="end"/>
      </w:r>
      <w:r w:rsidR="00EC6696" w:rsidRPr="00EF2E8A">
        <w:rPr>
          <w:color w:val="auto"/>
        </w:rPr>
        <w:t>.</w:t>
      </w:r>
      <w:r w:rsidRPr="00EF2E8A">
        <w:rPr>
          <w:color w:val="auto"/>
        </w:rPr>
        <w:t xml:space="preserve"> </w:t>
      </w:r>
    </w:p>
    <w:p w14:paraId="423F9CE0" w14:textId="35052973" w:rsidR="000851FA" w:rsidRDefault="000851FA" w:rsidP="00591C83">
      <w:pPr>
        <w:pStyle w:val="Caption"/>
      </w:pPr>
      <w:bookmarkStart w:id="70" w:name="_Ref205198716"/>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18</w:t>
      </w:r>
      <w:r w:rsidR="00CC5CAD">
        <w:rPr>
          <w:noProof/>
        </w:rPr>
        <w:fldChar w:fldCharType="end"/>
      </w:r>
      <w:bookmarkEnd w:id="70"/>
      <w:r>
        <w:t xml:space="preserve">: </w:t>
      </w:r>
      <w:r w:rsidRPr="00094C2E">
        <w:t>Summary of model structure, key inputs and rationale</w:t>
      </w:r>
    </w:p>
    <w:tbl>
      <w:tblPr>
        <w:tblW w:w="4964"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8: Summary of model structure, key inputs and rationale"/>
      </w:tblPr>
      <w:tblGrid>
        <w:gridCol w:w="1402"/>
        <w:gridCol w:w="7549"/>
      </w:tblGrid>
      <w:tr w:rsidR="00064A78" w:rsidRPr="00EF2E8A" w14:paraId="7DE56912" w14:textId="77777777" w:rsidTr="00E53269">
        <w:tc>
          <w:tcPr>
            <w:tcW w:w="783" w:type="pct"/>
          </w:tcPr>
          <w:p w14:paraId="22A4BF25" w14:textId="77777777" w:rsidR="00064A78" w:rsidRPr="00EF2E8A" w:rsidRDefault="00064A78" w:rsidP="00591C83">
            <w:pPr>
              <w:keepNext/>
              <w:keepLines/>
              <w:spacing w:before="0" w:after="0"/>
              <w:jc w:val="left"/>
              <w:rPr>
                <w:rFonts w:ascii="Arial Narrow" w:eastAsiaTheme="majorEastAsia" w:hAnsi="Arial Narrow" w:cs="Times New Roman"/>
                <w:b/>
                <w:sz w:val="20"/>
                <w:szCs w:val="20"/>
                <w:lang w:eastAsia="en-AU"/>
              </w:rPr>
            </w:pPr>
            <w:r w:rsidRPr="00EF2E8A">
              <w:rPr>
                <w:rFonts w:ascii="Arial Narrow" w:eastAsiaTheme="majorEastAsia" w:hAnsi="Arial Narrow" w:cs="Times New Roman"/>
                <w:b/>
                <w:sz w:val="20"/>
                <w:szCs w:val="20"/>
                <w:lang w:eastAsia="en-AU"/>
              </w:rPr>
              <w:t>Component</w:t>
            </w:r>
          </w:p>
        </w:tc>
        <w:tc>
          <w:tcPr>
            <w:tcW w:w="4217" w:type="pct"/>
          </w:tcPr>
          <w:p w14:paraId="2545B2B4" w14:textId="77777777" w:rsidR="00064A78" w:rsidRPr="00EF2E8A" w:rsidRDefault="00064A78" w:rsidP="00591C83">
            <w:pPr>
              <w:keepNext/>
              <w:keepLines/>
              <w:spacing w:before="0" w:after="0"/>
              <w:jc w:val="left"/>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Summary</w:t>
            </w:r>
          </w:p>
        </w:tc>
      </w:tr>
      <w:tr w:rsidR="00064A78" w:rsidRPr="00EF2E8A" w14:paraId="19F25F15" w14:textId="77777777" w:rsidTr="00E53269">
        <w:tc>
          <w:tcPr>
            <w:tcW w:w="783" w:type="pct"/>
          </w:tcPr>
          <w:p w14:paraId="64FCD4E4" w14:textId="77777777" w:rsidR="00064A78" w:rsidRPr="00EF2E8A" w:rsidRDefault="00064A78" w:rsidP="00591C83">
            <w:pPr>
              <w:keepNext/>
              <w:keepLines/>
              <w:spacing w:before="0" w:after="0"/>
              <w:jc w:val="left"/>
              <w:rPr>
                <w:rFonts w:ascii="Arial Narrow" w:hAnsi="Arial Narrow"/>
                <w:sz w:val="20"/>
              </w:rPr>
            </w:pPr>
            <w:r w:rsidRPr="00EF2E8A">
              <w:rPr>
                <w:rFonts w:ascii="Arial Narrow" w:hAnsi="Arial Narrow"/>
                <w:sz w:val="20"/>
              </w:rPr>
              <w:t>Comparison modelled</w:t>
            </w:r>
          </w:p>
        </w:tc>
        <w:tc>
          <w:tcPr>
            <w:tcW w:w="4217" w:type="pct"/>
          </w:tcPr>
          <w:p w14:paraId="52802AAF" w14:textId="0D68189C" w:rsidR="00064A78" w:rsidRPr="00EF2E8A" w:rsidRDefault="00064A78" w:rsidP="00591C83">
            <w:pPr>
              <w:keepNext/>
              <w:keepLines/>
              <w:tabs>
                <w:tab w:val="left" w:pos="284"/>
              </w:tabs>
              <w:spacing w:before="0" w:after="0"/>
              <w:jc w:val="left"/>
              <w:rPr>
                <w:rFonts w:ascii="Arial Narrow" w:eastAsia="Times New Roman" w:hAnsi="Arial Narrow" w:cs="Arial"/>
                <w:snapToGrid w:val="0"/>
                <w:color w:val="3366FF"/>
                <w:sz w:val="20"/>
                <w:szCs w:val="20"/>
                <w:lang w:eastAsia="en-AU"/>
              </w:rPr>
            </w:pPr>
            <w:r w:rsidRPr="00EF2E8A">
              <w:rPr>
                <w:rFonts w:ascii="Arial Narrow" w:eastAsia="Times New Roman" w:hAnsi="Arial Narrow" w:cs="Arial"/>
                <w:snapToGrid w:val="0"/>
                <w:sz w:val="20"/>
                <w:szCs w:val="20"/>
                <w:lang w:eastAsia="en-AU"/>
              </w:rPr>
              <w:t>MIRV vs mixed comparator ICC (50%) and BEVA + ICC (50%) in patients with high FR</w:t>
            </w:r>
            <w:r w:rsidRPr="00EF2E8A">
              <w:rPr>
                <w:rFonts w:ascii="Arial Narrow" w:eastAsia="Times New Roman" w:hAnsi="Arial Narrow" w:cs="Calibri"/>
                <w:snapToGrid w:val="0"/>
                <w:sz w:val="20"/>
                <w:szCs w:val="20"/>
                <w:lang w:eastAsia="en-AU"/>
              </w:rPr>
              <w:t xml:space="preserve">α expression </w:t>
            </w:r>
            <w:r w:rsidRPr="00EF2E8A">
              <w:rPr>
                <w:rFonts w:ascii="Arial Narrow" w:eastAsia="Times New Roman" w:hAnsi="Arial Narrow" w:cs="Arial"/>
                <w:snapToGrid w:val="0"/>
                <w:sz w:val="20"/>
                <w:szCs w:val="20"/>
                <w:lang w:eastAsia="en-AU"/>
              </w:rPr>
              <w:t>(≥ 75% of tumour cells). The submission did not include any test outcomes in the economic model; this was not consistent with PBAC guidelines which state that, for a co</w:t>
            </w:r>
            <w:r w:rsidR="00A46D2B">
              <w:rPr>
                <w:rFonts w:ascii="Arial Narrow" w:eastAsia="Times New Roman" w:hAnsi="Arial Narrow" w:cs="Arial"/>
                <w:snapToGrid w:val="0"/>
                <w:sz w:val="20"/>
                <w:szCs w:val="20"/>
                <w:lang w:eastAsia="en-AU"/>
              </w:rPr>
              <w:noBreakHyphen/>
            </w:r>
            <w:r w:rsidRPr="00EF2E8A">
              <w:rPr>
                <w:rFonts w:ascii="Arial Narrow" w:eastAsia="Times New Roman" w:hAnsi="Arial Narrow" w:cs="Arial"/>
                <w:snapToGrid w:val="0"/>
                <w:sz w:val="20"/>
                <w:szCs w:val="20"/>
                <w:lang w:eastAsia="en-AU"/>
              </w:rPr>
              <w:t xml:space="preserve">dependent technology, the model structure should capture patients at the point of testing such that the incremental benefits and costs are included for those who are both positive and negative for the test. </w:t>
            </w:r>
          </w:p>
        </w:tc>
      </w:tr>
      <w:tr w:rsidR="00064A78" w:rsidRPr="00EF2E8A" w14:paraId="327620D5" w14:textId="77777777" w:rsidTr="00E53269">
        <w:tc>
          <w:tcPr>
            <w:tcW w:w="783" w:type="pct"/>
          </w:tcPr>
          <w:p w14:paraId="02366480" w14:textId="77777777" w:rsidR="00064A78" w:rsidRPr="00EF2E8A" w:rsidRDefault="00064A78" w:rsidP="00591C83">
            <w:pPr>
              <w:keepNext/>
              <w:keepLines/>
              <w:spacing w:before="0" w:after="0"/>
              <w:jc w:val="left"/>
              <w:rPr>
                <w:rFonts w:ascii="Arial Narrow" w:hAnsi="Arial Narrow"/>
                <w:sz w:val="20"/>
              </w:rPr>
            </w:pPr>
            <w:r w:rsidRPr="00EF2E8A">
              <w:rPr>
                <w:rFonts w:ascii="Arial Narrow" w:hAnsi="Arial Narrow"/>
                <w:sz w:val="20"/>
              </w:rPr>
              <w:t>Time horizon</w:t>
            </w:r>
          </w:p>
        </w:tc>
        <w:tc>
          <w:tcPr>
            <w:tcW w:w="4217" w:type="pct"/>
          </w:tcPr>
          <w:p w14:paraId="7BBA3AFE" w14:textId="622E2667" w:rsidR="00064A78" w:rsidRPr="00EF2E8A" w:rsidRDefault="00064A78" w:rsidP="00591C83">
            <w:pPr>
              <w:keepNext/>
              <w:keepLines/>
              <w:spacing w:before="0" w:after="0"/>
              <w:jc w:val="left"/>
              <w:rPr>
                <w:rFonts w:ascii="Arial Narrow" w:hAnsi="Arial Narrow"/>
                <w:sz w:val="20"/>
                <w:szCs w:val="20"/>
              </w:rPr>
            </w:pPr>
            <w:r w:rsidRPr="00EF2E8A">
              <w:rPr>
                <w:rFonts w:ascii="Arial Narrow" w:hAnsi="Arial Narrow"/>
                <w:sz w:val="20"/>
                <w:szCs w:val="20"/>
              </w:rPr>
              <w:t>10 years in the model base case vs 13.1 months in the MIRASOL trial and 13.0 months in the BEVA + ICC arm in the AURELIA trial (median follow</w:t>
            </w:r>
            <w:r w:rsidR="00A46D2B">
              <w:rPr>
                <w:rFonts w:ascii="Arial Narrow" w:hAnsi="Arial Narrow"/>
                <w:sz w:val="20"/>
                <w:szCs w:val="20"/>
              </w:rPr>
              <w:noBreakHyphen/>
            </w:r>
            <w:r w:rsidRPr="00EF2E8A">
              <w:rPr>
                <w:rFonts w:ascii="Arial Narrow" w:hAnsi="Arial Narrow"/>
                <w:sz w:val="20"/>
                <w:szCs w:val="20"/>
              </w:rPr>
              <w:t xml:space="preserve">up). This was consistent with previous PBAC considerations for treatments for ovarian cancer. However, patients with </w:t>
            </w:r>
            <w:r w:rsidR="00796BF1" w:rsidRPr="00EF2E8A">
              <w:rPr>
                <w:rFonts w:ascii="Arial Narrow" w:hAnsi="Arial Narrow"/>
                <w:sz w:val="20"/>
                <w:szCs w:val="20"/>
              </w:rPr>
              <w:t>PROC</w:t>
            </w:r>
            <w:r w:rsidRPr="00EF2E8A">
              <w:rPr>
                <w:rFonts w:ascii="Arial Narrow" w:hAnsi="Arial Narrow"/>
                <w:sz w:val="20"/>
                <w:szCs w:val="20"/>
              </w:rPr>
              <w:t xml:space="preserve"> have a </w:t>
            </w:r>
            <w:r w:rsidR="37DB2B3A" w:rsidRPr="00EF2E8A">
              <w:rPr>
                <w:rFonts w:ascii="Arial Narrow" w:hAnsi="Arial Narrow"/>
                <w:sz w:val="20"/>
                <w:szCs w:val="20"/>
              </w:rPr>
              <w:t>worse</w:t>
            </w:r>
            <w:r w:rsidR="00A46D2B">
              <w:rPr>
                <w:rFonts w:ascii="Arial Narrow" w:hAnsi="Arial Narrow"/>
                <w:sz w:val="20"/>
                <w:szCs w:val="20"/>
              </w:rPr>
              <w:noBreakHyphen/>
            </w:r>
            <w:r w:rsidRPr="00EF2E8A">
              <w:rPr>
                <w:rFonts w:ascii="Arial Narrow" w:hAnsi="Arial Narrow"/>
                <w:sz w:val="20"/>
                <w:szCs w:val="20"/>
              </w:rPr>
              <w:t>prognosis than those who are platinum</w:t>
            </w:r>
            <w:r w:rsidR="00A46D2B">
              <w:rPr>
                <w:rFonts w:ascii="Arial Narrow" w:hAnsi="Arial Narrow"/>
                <w:sz w:val="20"/>
                <w:szCs w:val="20"/>
              </w:rPr>
              <w:noBreakHyphen/>
            </w:r>
            <w:r w:rsidRPr="00EF2E8A">
              <w:rPr>
                <w:rFonts w:ascii="Arial Narrow" w:hAnsi="Arial Narrow"/>
                <w:sz w:val="20"/>
                <w:szCs w:val="20"/>
              </w:rPr>
              <w:t>sensitive – as such, a 5</w:t>
            </w:r>
            <w:r w:rsidR="00A46D2B">
              <w:rPr>
                <w:rFonts w:ascii="Arial Narrow" w:hAnsi="Arial Narrow"/>
                <w:sz w:val="20"/>
                <w:szCs w:val="20"/>
              </w:rPr>
              <w:noBreakHyphen/>
            </w:r>
            <w:r w:rsidRPr="00EF2E8A">
              <w:rPr>
                <w:rFonts w:ascii="Arial Narrow" w:hAnsi="Arial Narrow"/>
                <w:sz w:val="20"/>
                <w:szCs w:val="20"/>
              </w:rPr>
              <w:t xml:space="preserve">year time horizon (explored in a sensitivity analysis) may be more </w:t>
            </w:r>
            <w:r w:rsidR="002C2FEB" w:rsidRPr="00EF2E8A">
              <w:rPr>
                <w:rFonts w:ascii="Arial Narrow" w:hAnsi="Arial Narrow"/>
                <w:sz w:val="20"/>
                <w:szCs w:val="20"/>
              </w:rPr>
              <w:t>appropriate</w:t>
            </w:r>
            <w:r w:rsidRPr="00EF2E8A">
              <w:rPr>
                <w:rFonts w:ascii="Arial Narrow" w:hAnsi="Arial Narrow"/>
                <w:sz w:val="20"/>
                <w:szCs w:val="20"/>
              </w:rPr>
              <w:t>.</w:t>
            </w:r>
          </w:p>
        </w:tc>
      </w:tr>
      <w:tr w:rsidR="00064A78" w:rsidRPr="00EF2E8A" w14:paraId="35DB501B" w14:textId="77777777" w:rsidTr="00E53269">
        <w:tc>
          <w:tcPr>
            <w:tcW w:w="783" w:type="pct"/>
          </w:tcPr>
          <w:p w14:paraId="78D64DD6" w14:textId="77777777" w:rsidR="00064A78" w:rsidRPr="00EF2E8A" w:rsidRDefault="00064A78" w:rsidP="00591C83">
            <w:pPr>
              <w:keepNext/>
              <w:keepLines/>
              <w:spacing w:before="0" w:after="0"/>
              <w:jc w:val="left"/>
              <w:rPr>
                <w:rFonts w:ascii="Arial Narrow" w:hAnsi="Arial Narrow"/>
                <w:sz w:val="20"/>
              </w:rPr>
            </w:pPr>
            <w:r w:rsidRPr="00EF2E8A">
              <w:rPr>
                <w:rFonts w:ascii="Arial Narrow" w:hAnsi="Arial Narrow"/>
                <w:sz w:val="20"/>
              </w:rPr>
              <w:t>Outcomes</w:t>
            </w:r>
          </w:p>
        </w:tc>
        <w:tc>
          <w:tcPr>
            <w:tcW w:w="4217" w:type="pct"/>
          </w:tcPr>
          <w:p w14:paraId="50750F5D" w14:textId="77777777" w:rsidR="00064A78" w:rsidRPr="00EF2E8A" w:rsidRDefault="00064A78" w:rsidP="00591C83">
            <w:pPr>
              <w:keepNext/>
              <w:keepLines/>
              <w:spacing w:before="0" w:after="0"/>
              <w:jc w:val="left"/>
              <w:rPr>
                <w:rFonts w:ascii="Arial Narrow" w:hAnsi="Arial Narrow"/>
                <w:sz w:val="20"/>
              </w:rPr>
            </w:pPr>
            <w:r w:rsidRPr="00EF2E8A">
              <w:rPr>
                <w:rFonts w:ascii="Arial Narrow" w:hAnsi="Arial Narrow"/>
                <w:sz w:val="20"/>
              </w:rPr>
              <w:t>LYG, QALYs. This was appropriate</w:t>
            </w:r>
          </w:p>
        </w:tc>
      </w:tr>
      <w:tr w:rsidR="00064A78" w:rsidRPr="00EF2E8A" w14:paraId="7C33DF71" w14:textId="77777777" w:rsidTr="00E53269">
        <w:tc>
          <w:tcPr>
            <w:tcW w:w="783" w:type="pct"/>
          </w:tcPr>
          <w:p w14:paraId="399CF62C" w14:textId="77777777" w:rsidR="00064A78" w:rsidRPr="00EF2E8A" w:rsidRDefault="00064A78" w:rsidP="00591C83">
            <w:pPr>
              <w:keepNext/>
              <w:keepLines/>
              <w:spacing w:before="0" w:after="0"/>
              <w:jc w:val="left"/>
              <w:rPr>
                <w:rFonts w:ascii="Arial Narrow" w:hAnsi="Arial Narrow"/>
                <w:sz w:val="20"/>
              </w:rPr>
            </w:pPr>
            <w:r w:rsidRPr="00EF2E8A">
              <w:rPr>
                <w:rFonts w:ascii="Arial Narrow" w:hAnsi="Arial Narrow"/>
                <w:sz w:val="20"/>
              </w:rPr>
              <w:t>Methods used to generate results</w:t>
            </w:r>
          </w:p>
        </w:tc>
        <w:tc>
          <w:tcPr>
            <w:tcW w:w="4217" w:type="pct"/>
          </w:tcPr>
          <w:p w14:paraId="559CD212" w14:textId="77777777" w:rsidR="00064A78" w:rsidRPr="00EF2E8A" w:rsidRDefault="00064A78" w:rsidP="00591C83">
            <w:pPr>
              <w:keepNext/>
              <w:keepLines/>
              <w:spacing w:before="0" w:after="0"/>
              <w:jc w:val="left"/>
              <w:rPr>
                <w:rFonts w:ascii="Arial Narrow" w:hAnsi="Arial Narrow"/>
                <w:sz w:val="20"/>
              </w:rPr>
            </w:pPr>
            <w:r w:rsidRPr="00EF2E8A">
              <w:rPr>
                <w:rFonts w:ascii="Arial Narrow" w:hAnsi="Arial Narrow"/>
                <w:sz w:val="20"/>
              </w:rPr>
              <w:t xml:space="preserve">Partition survival analysis. Results reported </w:t>
            </w:r>
            <w:proofErr w:type="gramStart"/>
            <w:r w:rsidRPr="00EF2E8A">
              <w:rPr>
                <w:rFonts w:ascii="Arial Narrow" w:hAnsi="Arial Narrow"/>
                <w:sz w:val="20"/>
              </w:rPr>
              <w:t>on the basis of</w:t>
            </w:r>
            <w:proofErr w:type="gramEnd"/>
            <w:r w:rsidRPr="00EF2E8A">
              <w:rPr>
                <w:rFonts w:ascii="Arial Narrow" w:hAnsi="Arial Narrow"/>
                <w:sz w:val="20"/>
              </w:rPr>
              <w:t xml:space="preserve"> average expected costs and consequences per patient. This was consistent with economic evaluations in the literature for similar patient populations.</w:t>
            </w:r>
          </w:p>
        </w:tc>
      </w:tr>
      <w:tr w:rsidR="00064A78" w:rsidRPr="00EF2E8A" w14:paraId="0FB3FBFA" w14:textId="77777777" w:rsidTr="00E53269">
        <w:tc>
          <w:tcPr>
            <w:tcW w:w="783" w:type="pct"/>
          </w:tcPr>
          <w:p w14:paraId="6D0FE942"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Health states</w:t>
            </w:r>
          </w:p>
        </w:tc>
        <w:tc>
          <w:tcPr>
            <w:tcW w:w="4217" w:type="pct"/>
          </w:tcPr>
          <w:p w14:paraId="167488E2" w14:textId="2E95D426"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Pre</w:t>
            </w:r>
            <w:r w:rsidR="00A46D2B">
              <w:rPr>
                <w:rFonts w:ascii="Arial Narrow" w:hAnsi="Arial Narrow"/>
                <w:sz w:val="20"/>
              </w:rPr>
              <w:noBreakHyphen/>
            </w:r>
            <w:r w:rsidRPr="00EF2E8A">
              <w:rPr>
                <w:rFonts w:ascii="Arial Narrow" w:hAnsi="Arial Narrow"/>
                <w:sz w:val="20"/>
              </w:rPr>
              <w:t>progression, Post</w:t>
            </w:r>
            <w:r w:rsidR="00A46D2B">
              <w:rPr>
                <w:rFonts w:ascii="Arial Narrow" w:hAnsi="Arial Narrow"/>
                <w:sz w:val="20"/>
              </w:rPr>
              <w:noBreakHyphen/>
            </w:r>
            <w:r w:rsidRPr="00EF2E8A">
              <w:rPr>
                <w:rFonts w:ascii="Arial Narrow" w:hAnsi="Arial Narrow"/>
                <w:sz w:val="20"/>
              </w:rPr>
              <w:t>progression and Death. This was consistent with economic evaluations in the literature for similar patient populations.</w:t>
            </w:r>
          </w:p>
        </w:tc>
      </w:tr>
      <w:tr w:rsidR="00064A78" w:rsidRPr="00EF2E8A" w14:paraId="4E32C1FB" w14:textId="77777777" w:rsidTr="00E53269">
        <w:tc>
          <w:tcPr>
            <w:tcW w:w="783" w:type="pct"/>
          </w:tcPr>
          <w:p w14:paraId="06D6704E"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Cycle length</w:t>
            </w:r>
          </w:p>
        </w:tc>
        <w:tc>
          <w:tcPr>
            <w:tcW w:w="4217" w:type="pct"/>
          </w:tcPr>
          <w:p w14:paraId="6B9F0293" w14:textId="0CF97225"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 xml:space="preserve">1 week. A </w:t>
            </w:r>
            <w:r w:rsidRPr="00EF2E8A">
              <w:rPr>
                <w:rFonts w:ascii="Arial Narrow" w:hAnsi="Arial Narrow"/>
                <w:sz w:val="20"/>
                <w:szCs w:val="20"/>
              </w:rPr>
              <w:t>half</w:t>
            </w:r>
            <w:r w:rsidR="00A46D2B">
              <w:rPr>
                <w:rFonts w:ascii="Arial Narrow" w:hAnsi="Arial Narrow"/>
                <w:sz w:val="20"/>
                <w:szCs w:val="20"/>
              </w:rPr>
              <w:noBreakHyphen/>
            </w:r>
            <w:r w:rsidRPr="00EF2E8A">
              <w:rPr>
                <w:rFonts w:ascii="Arial Narrow" w:hAnsi="Arial Narrow"/>
                <w:sz w:val="20"/>
                <w:szCs w:val="20"/>
              </w:rPr>
              <w:t>cycle correction was applied to account for any transitions or events that occurred midcycle. This was appropriate.</w:t>
            </w:r>
          </w:p>
        </w:tc>
      </w:tr>
      <w:tr w:rsidR="00064A78" w:rsidRPr="00EF2E8A" w14:paraId="6BAAACA4" w14:textId="77777777" w:rsidTr="00E53269">
        <w:trPr>
          <w:cantSplit/>
        </w:trPr>
        <w:tc>
          <w:tcPr>
            <w:tcW w:w="783" w:type="pct"/>
          </w:tcPr>
          <w:p w14:paraId="0C488856"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Test parameters</w:t>
            </w:r>
          </w:p>
        </w:tc>
        <w:tc>
          <w:tcPr>
            <w:tcW w:w="4217" w:type="pct"/>
          </w:tcPr>
          <w:p w14:paraId="55A31006" w14:textId="0E3CA335" w:rsidR="00064A78" w:rsidRPr="00EF2E8A" w:rsidRDefault="00064A78" w:rsidP="00591C83">
            <w:pPr>
              <w:keepNext/>
              <w:spacing w:before="0" w:after="0"/>
              <w:jc w:val="left"/>
              <w:rPr>
                <w:rFonts w:ascii="Arial Narrow" w:hAnsi="Arial Narrow" w:cstheme="minorHAnsi"/>
                <w:sz w:val="20"/>
                <w:szCs w:val="20"/>
              </w:rPr>
            </w:pPr>
            <w:r w:rsidRPr="00EF2E8A">
              <w:rPr>
                <w:rFonts w:ascii="Arial Narrow" w:hAnsi="Arial Narrow"/>
                <w:sz w:val="20"/>
              </w:rPr>
              <w:t>The submission stated that as there is no reference standard for FR</w:t>
            </w:r>
            <w:r w:rsidRPr="00EF2E8A">
              <w:rPr>
                <w:rFonts w:ascii="Arial Narrow" w:hAnsi="Arial Narrow" w:cs="Calibri"/>
                <w:sz w:val="20"/>
              </w:rPr>
              <w:t>α</w:t>
            </w:r>
            <w:r w:rsidRPr="00EF2E8A">
              <w:rPr>
                <w:rFonts w:ascii="Arial Narrow" w:hAnsi="Arial Narrow"/>
                <w:sz w:val="20"/>
              </w:rPr>
              <w:t xml:space="preserve"> expression testing, outcomes of sensitivity and specificity and the flow</w:t>
            </w:r>
            <w:r w:rsidR="00A46D2B">
              <w:rPr>
                <w:rFonts w:ascii="Arial Narrow" w:hAnsi="Arial Narrow"/>
                <w:sz w:val="20"/>
              </w:rPr>
              <w:noBreakHyphen/>
            </w:r>
            <w:r w:rsidRPr="00EF2E8A">
              <w:rPr>
                <w:rFonts w:ascii="Arial Narrow" w:hAnsi="Arial Narrow"/>
                <w:sz w:val="20"/>
              </w:rPr>
              <w:t xml:space="preserve">on outcomes of positive and negative predictive values are not applicable for inclusion in the model. </w:t>
            </w:r>
          </w:p>
        </w:tc>
      </w:tr>
      <w:tr w:rsidR="00064A78" w:rsidRPr="00EF2E8A" w14:paraId="05A744BD" w14:textId="77777777" w:rsidTr="00E53269">
        <w:tc>
          <w:tcPr>
            <w:tcW w:w="783" w:type="pct"/>
          </w:tcPr>
          <w:p w14:paraId="0DADF017"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 xml:space="preserve">Allocation to health states </w:t>
            </w:r>
          </w:p>
        </w:tc>
        <w:tc>
          <w:tcPr>
            <w:tcW w:w="4217" w:type="pct"/>
          </w:tcPr>
          <w:p w14:paraId="64E05408" w14:textId="7B33B2EC" w:rsidR="00064A78" w:rsidRPr="00EF2E8A" w:rsidRDefault="00064A78" w:rsidP="00591C83">
            <w:pPr>
              <w:keepNext/>
              <w:spacing w:before="0" w:after="0"/>
              <w:rPr>
                <w:rFonts w:ascii="Arial Narrow" w:hAnsi="Arial Narrow"/>
                <w:sz w:val="20"/>
              </w:rPr>
            </w:pPr>
            <w:r w:rsidRPr="00EF2E8A">
              <w:rPr>
                <w:rFonts w:ascii="Arial Narrow" w:hAnsi="Arial Narrow"/>
                <w:sz w:val="20"/>
              </w:rPr>
              <w:t>MIRV and ICC: The transitioning of patients is based on independent parametric survival models fitted to PFS and OS data reported in the MIRV and chemotherapy arms of MIRASOL</w:t>
            </w:r>
            <w:r w:rsidR="00CC3373" w:rsidRPr="00EF2E8A">
              <w:rPr>
                <w:rFonts w:ascii="Arial Narrow" w:hAnsi="Arial Narrow"/>
                <w:sz w:val="20"/>
              </w:rPr>
              <w:t>.</w:t>
            </w:r>
            <w:r w:rsidRPr="00EF2E8A">
              <w:rPr>
                <w:rFonts w:ascii="Arial Narrow" w:hAnsi="Arial Narrow"/>
                <w:sz w:val="20"/>
              </w:rPr>
              <w:t xml:space="preserve"> This was appropriate</w:t>
            </w:r>
            <w:r w:rsidR="00CE5126">
              <w:rPr>
                <w:rFonts w:ascii="Arial Narrow" w:hAnsi="Arial Narrow"/>
                <w:sz w:val="20"/>
              </w:rPr>
              <w:t>.</w:t>
            </w:r>
          </w:p>
          <w:p w14:paraId="0D04A128" w14:textId="5A323512"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BEVA + ICC: The transitioning of patients is based on hazard ratios (derived from the MAIC for MIRV vs BEVA + ICC) applied to the PFS and OS parametric survival models for MIRV (derived from the MIRASOL trial as described above). There are concerns regarding the validity of the MAIC due to issues with the exchangeability of the trials used in the comparison to support the proposed clinical claim of superiority</w:t>
            </w:r>
            <w:r w:rsidR="00616E8E" w:rsidRPr="00EF2E8A">
              <w:rPr>
                <w:rFonts w:ascii="Arial Narrow" w:hAnsi="Arial Narrow"/>
                <w:sz w:val="20"/>
              </w:rPr>
              <w:t>.</w:t>
            </w:r>
            <w:r w:rsidR="00B65B3F">
              <w:rPr>
                <w:rFonts w:ascii="Arial Narrow" w:hAnsi="Arial Narrow"/>
                <w:sz w:val="20"/>
              </w:rPr>
              <w:t xml:space="preserve"> </w:t>
            </w:r>
          </w:p>
        </w:tc>
      </w:tr>
      <w:tr w:rsidR="00064A78" w:rsidRPr="00EF2E8A" w14:paraId="6A3EF95C" w14:textId="77777777" w:rsidTr="00E53269">
        <w:tc>
          <w:tcPr>
            <w:tcW w:w="783" w:type="pct"/>
          </w:tcPr>
          <w:p w14:paraId="7D04CBE4"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Extrapolation method</w:t>
            </w:r>
          </w:p>
        </w:tc>
        <w:tc>
          <w:tcPr>
            <w:tcW w:w="4217" w:type="pct"/>
          </w:tcPr>
          <w:p w14:paraId="3C0EE3BD" w14:textId="6EF7D474"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MIRV and ICC: independent parametric models fitted to each treatment arm with Log</w:t>
            </w:r>
            <w:r w:rsidR="00A46D2B">
              <w:rPr>
                <w:rFonts w:ascii="Arial Narrow" w:hAnsi="Arial Narrow"/>
                <w:sz w:val="20"/>
              </w:rPr>
              <w:noBreakHyphen/>
            </w:r>
            <w:r w:rsidRPr="00EF2E8A">
              <w:rPr>
                <w:rFonts w:ascii="Arial Narrow" w:hAnsi="Arial Narrow"/>
                <w:sz w:val="20"/>
              </w:rPr>
              <w:t>logistic selected in base case for OS (and Log</w:t>
            </w:r>
            <w:r w:rsidR="00A46D2B">
              <w:rPr>
                <w:rFonts w:ascii="Arial Narrow" w:hAnsi="Arial Narrow"/>
                <w:sz w:val="20"/>
              </w:rPr>
              <w:noBreakHyphen/>
            </w:r>
            <w:r w:rsidRPr="00EF2E8A">
              <w:rPr>
                <w:rFonts w:ascii="Arial Narrow" w:hAnsi="Arial Narrow"/>
                <w:sz w:val="20"/>
              </w:rPr>
              <w:t>normal for PFS) for MIRV and Weibull selected in base case for OS (and Log</w:t>
            </w:r>
            <w:r w:rsidR="00A46D2B">
              <w:rPr>
                <w:rFonts w:ascii="Arial Narrow" w:hAnsi="Arial Narrow"/>
                <w:sz w:val="20"/>
              </w:rPr>
              <w:noBreakHyphen/>
            </w:r>
            <w:r w:rsidRPr="00EF2E8A">
              <w:rPr>
                <w:rFonts w:ascii="Arial Narrow" w:hAnsi="Arial Narrow"/>
                <w:sz w:val="20"/>
              </w:rPr>
              <w:t xml:space="preserve">normal for PFS) for ICC, based on goodness of fit (AIC/BIC) and visual inspection. </w:t>
            </w:r>
          </w:p>
          <w:p w14:paraId="22439185"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BEVA + ICC: OS and PFS curves are based on the application of HRs derived from the MAIC of MIRV vs BEVA + ICC</w:t>
            </w:r>
          </w:p>
          <w:p w14:paraId="15325637" w14:textId="77777777" w:rsidR="00064A78" w:rsidRPr="00EF2E8A" w:rsidRDefault="00064A78" w:rsidP="00591C83">
            <w:pPr>
              <w:keepNext/>
              <w:spacing w:before="0" w:after="0"/>
              <w:jc w:val="left"/>
              <w:rPr>
                <w:rFonts w:ascii="Arial Narrow" w:hAnsi="Arial Narrow"/>
                <w:sz w:val="20"/>
              </w:rPr>
            </w:pPr>
          </w:p>
          <w:p w14:paraId="4722269D"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 xml:space="preserve">For OS and PFS, convergence was not assumed to occur within the modelled time horizon. </w:t>
            </w:r>
          </w:p>
          <w:p w14:paraId="04303C71" w14:textId="77777777" w:rsidR="00064A78" w:rsidRPr="00EF2E8A" w:rsidRDefault="00064A78" w:rsidP="00591C83">
            <w:pPr>
              <w:keepNext/>
              <w:spacing w:before="0" w:after="0"/>
              <w:jc w:val="left"/>
              <w:rPr>
                <w:rFonts w:ascii="Arial Narrow" w:hAnsi="Arial Narrow"/>
                <w:sz w:val="20"/>
              </w:rPr>
            </w:pPr>
          </w:p>
          <w:p w14:paraId="498B61A3"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88% of QALYs, 93% of LYG and 18% of incremental costs (vs ICC) and 85% of QALYs, 88% of LYG and 14% of incremental costs (vs BEVA + ICC) occur in the extrapolated period.</w:t>
            </w:r>
          </w:p>
          <w:p w14:paraId="032D98F7" w14:textId="77777777" w:rsidR="00064A78" w:rsidRPr="00EF2E8A" w:rsidRDefault="00064A78" w:rsidP="00591C83">
            <w:pPr>
              <w:keepNext/>
              <w:spacing w:before="0" w:after="0"/>
              <w:jc w:val="left"/>
              <w:rPr>
                <w:rFonts w:ascii="Arial Narrow" w:hAnsi="Arial Narrow"/>
                <w:sz w:val="20"/>
              </w:rPr>
            </w:pPr>
          </w:p>
          <w:p w14:paraId="0751DAAE" w14:textId="558F1262"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The choice of parametric survival models for the base case were reasonable, except for the Log</w:t>
            </w:r>
            <w:r w:rsidR="00A46D2B">
              <w:rPr>
                <w:rFonts w:ascii="Arial Narrow" w:hAnsi="Arial Narrow"/>
                <w:sz w:val="20"/>
              </w:rPr>
              <w:noBreakHyphen/>
            </w:r>
            <w:r w:rsidRPr="00EF2E8A">
              <w:rPr>
                <w:rFonts w:ascii="Arial Narrow" w:hAnsi="Arial Narrow"/>
                <w:sz w:val="20"/>
              </w:rPr>
              <w:t>logistic model for OS for MIRV, which ranked second best fit per AIC/BIC statistics but was deemed by the submission to be a better fit over the observed period (based on visual assessment) than the gamma survival model (best fit based on AIC/BIC statistics). Use of the Log</w:t>
            </w:r>
            <w:r w:rsidR="00A46D2B">
              <w:rPr>
                <w:rFonts w:ascii="Arial Narrow" w:hAnsi="Arial Narrow"/>
                <w:sz w:val="20"/>
              </w:rPr>
              <w:noBreakHyphen/>
            </w:r>
            <w:r w:rsidRPr="00EF2E8A">
              <w:rPr>
                <w:rFonts w:ascii="Arial Narrow" w:hAnsi="Arial Narrow"/>
                <w:sz w:val="20"/>
              </w:rPr>
              <w:t>logistic model resulted in an estimated 4% of patients in the MIRV arm remaining alive at the end of the model time</w:t>
            </w:r>
            <w:r w:rsidR="00A46D2B">
              <w:rPr>
                <w:rFonts w:ascii="Arial Narrow" w:hAnsi="Arial Narrow"/>
                <w:sz w:val="20"/>
              </w:rPr>
              <w:noBreakHyphen/>
            </w:r>
            <w:r w:rsidRPr="00EF2E8A">
              <w:rPr>
                <w:rFonts w:ascii="Arial Narrow" w:hAnsi="Arial Narrow"/>
                <w:sz w:val="20"/>
              </w:rPr>
              <w:t>horizon (10 years), while use of the gamma model results in no patients remaining alive after approximately 7.8 years; given the poor prognosis of patients with PROC, the use of the gamma model would be a more appropriate (conservative) choice.</w:t>
            </w:r>
          </w:p>
        </w:tc>
      </w:tr>
      <w:tr w:rsidR="00064A78" w:rsidRPr="00EF2E8A" w14:paraId="2317841C" w14:textId="77777777" w:rsidTr="00E53269">
        <w:tc>
          <w:tcPr>
            <w:tcW w:w="783" w:type="pct"/>
          </w:tcPr>
          <w:p w14:paraId="0CF13F71" w14:textId="77777777" w:rsidR="00064A78" w:rsidRPr="00EF2E8A" w:rsidRDefault="00064A78" w:rsidP="00591C83">
            <w:pPr>
              <w:keepNext/>
              <w:spacing w:before="0" w:after="0"/>
              <w:jc w:val="left"/>
              <w:rPr>
                <w:rFonts w:ascii="Arial Narrow" w:hAnsi="Arial Narrow"/>
                <w:sz w:val="20"/>
              </w:rPr>
            </w:pPr>
            <w:r w:rsidRPr="00EF2E8A">
              <w:rPr>
                <w:rFonts w:ascii="Arial Narrow" w:hAnsi="Arial Narrow"/>
                <w:sz w:val="20"/>
              </w:rPr>
              <w:t>Health related quality of life</w:t>
            </w:r>
          </w:p>
        </w:tc>
        <w:tc>
          <w:tcPr>
            <w:tcW w:w="4217" w:type="pct"/>
          </w:tcPr>
          <w:p w14:paraId="1E1B945D" w14:textId="5549DDB4" w:rsidR="00064A78" w:rsidRPr="00EF2E8A" w:rsidRDefault="00064A78" w:rsidP="00591C83">
            <w:pPr>
              <w:keepNext/>
              <w:spacing w:before="0" w:after="0"/>
              <w:jc w:val="left"/>
              <w:rPr>
                <w:rFonts w:ascii="Arial Narrow" w:hAnsi="Arial Narrow"/>
                <w:sz w:val="20"/>
                <w:szCs w:val="20"/>
              </w:rPr>
            </w:pPr>
            <w:r w:rsidRPr="00EF2E8A">
              <w:rPr>
                <w:rFonts w:ascii="Arial Narrow" w:hAnsi="Arial Narrow"/>
                <w:sz w:val="20"/>
                <w:szCs w:val="20"/>
              </w:rPr>
              <w:t>Treatment</w:t>
            </w:r>
            <w:r w:rsidR="00A46D2B">
              <w:rPr>
                <w:rFonts w:ascii="Arial Narrow" w:hAnsi="Arial Narrow"/>
                <w:sz w:val="20"/>
                <w:szCs w:val="20"/>
              </w:rPr>
              <w:noBreakHyphen/>
            </w:r>
            <w:r w:rsidRPr="00EF2E8A">
              <w:rPr>
                <w:rFonts w:ascii="Arial Narrow" w:hAnsi="Arial Narrow"/>
                <w:sz w:val="20"/>
                <w:szCs w:val="20"/>
              </w:rPr>
              <w:t>dependent utility values for the pre</w:t>
            </w:r>
            <w:r w:rsidR="00A46D2B">
              <w:rPr>
                <w:rFonts w:ascii="Arial Narrow" w:hAnsi="Arial Narrow"/>
                <w:sz w:val="20"/>
                <w:szCs w:val="20"/>
              </w:rPr>
              <w:noBreakHyphen/>
            </w:r>
            <w:r w:rsidRPr="00EF2E8A">
              <w:rPr>
                <w:rFonts w:ascii="Arial Narrow" w:hAnsi="Arial Narrow"/>
                <w:sz w:val="20"/>
                <w:szCs w:val="20"/>
              </w:rPr>
              <w:t>progression (MIRV = 0.753, ICC = 0.736) and post</w:t>
            </w:r>
            <w:r w:rsidR="00A46D2B">
              <w:rPr>
                <w:rFonts w:ascii="Arial Narrow" w:hAnsi="Arial Narrow"/>
                <w:sz w:val="20"/>
                <w:szCs w:val="20"/>
              </w:rPr>
              <w:noBreakHyphen/>
            </w:r>
            <w:r w:rsidRPr="00EF2E8A">
              <w:rPr>
                <w:rFonts w:ascii="Arial Narrow" w:hAnsi="Arial Narrow"/>
                <w:sz w:val="20"/>
                <w:szCs w:val="20"/>
              </w:rPr>
              <w:t>progression (MIRV = 0.681, ICC = 0.629) health states, derived from EQ</w:t>
            </w:r>
            <w:r w:rsidR="00A46D2B">
              <w:rPr>
                <w:rFonts w:ascii="Arial Narrow" w:hAnsi="Arial Narrow"/>
                <w:sz w:val="20"/>
                <w:szCs w:val="20"/>
              </w:rPr>
              <w:noBreakHyphen/>
            </w:r>
            <w:r w:rsidRPr="00EF2E8A">
              <w:rPr>
                <w:rFonts w:ascii="Arial Narrow" w:hAnsi="Arial Narrow"/>
                <w:sz w:val="20"/>
                <w:szCs w:val="20"/>
              </w:rPr>
              <w:t>5D</w:t>
            </w:r>
            <w:r w:rsidR="00A46D2B">
              <w:rPr>
                <w:rFonts w:ascii="Arial Narrow" w:hAnsi="Arial Narrow"/>
                <w:sz w:val="20"/>
                <w:szCs w:val="20"/>
              </w:rPr>
              <w:noBreakHyphen/>
            </w:r>
            <w:r w:rsidRPr="00EF2E8A">
              <w:rPr>
                <w:rFonts w:ascii="Arial Narrow" w:hAnsi="Arial Narrow"/>
                <w:sz w:val="20"/>
                <w:szCs w:val="20"/>
              </w:rPr>
              <w:t>5L data (UK value set) from the MIRASOL trial. Utility values for the BEVA + ICC arm assumed to be the same as ICC from MIRASOL. Pooled utility values for the pre</w:t>
            </w:r>
            <w:r w:rsidR="00A46D2B">
              <w:rPr>
                <w:rFonts w:ascii="Arial Narrow" w:hAnsi="Arial Narrow"/>
                <w:sz w:val="20"/>
                <w:szCs w:val="20"/>
              </w:rPr>
              <w:noBreakHyphen/>
            </w:r>
            <w:r w:rsidRPr="00EF2E8A">
              <w:rPr>
                <w:rFonts w:ascii="Arial Narrow" w:hAnsi="Arial Narrow"/>
                <w:sz w:val="20"/>
                <w:szCs w:val="20"/>
              </w:rPr>
              <w:t>progression (0.747) and post</w:t>
            </w:r>
            <w:r w:rsidR="00A46D2B">
              <w:rPr>
                <w:rFonts w:ascii="Arial Narrow" w:hAnsi="Arial Narrow"/>
                <w:sz w:val="20"/>
                <w:szCs w:val="20"/>
              </w:rPr>
              <w:noBreakHyphen/>
            </w:r>
            <w:r w:rsidRPr="00EF2E8A">
              <w:rPr>
                <w:rFonts w:ascii="Arial Narrow" w:hAnsi="Arial Narrow"/>
                <w:sz w:val="20"/>
                <w:szCs w:val="20"/>
              </w:rPr>
              <w:t xml:space="preserve">progression (0.657) health states were explored in a sensitivity analysis. </w:t>
            </w:r>
            <w:r w:rsidR="00BA42A0" w:rsidRPr="00EF2E8A">
              <w:rPr>
                <w:rFonts w:ascii="Arial Narrow" w:hAnsi="Arial Narrow"/>
                <w:sz w:val="20"/>
                <w:szCs w:val="20"/>
              </w:rPr>
              <w:t>G</w:t>
            </w:r>
            <w:r w:rsidRPr="00EF2E8A">
              <w:rPr>
                <w:rFonts w:ascii="Arial Narrow" w:hAnsi="Arial Narrow"/>
                <w:sz w:val="20"/>
                <w:szCs w:val="20"/>
              </w:rPr>
              <w:t xml:space="preserve">iven </w:t>
            </w:r>
            <w:r w:rsidRPr="00EF2E8A">
              <w:rPr>
                <w:rFonts w:ascii="Arial Narrow" w:hAnsi="Arial Narrow" w:cs="Calibri"/>
                <w:sz w:val="20"/>
                <w:szCs w:val="20"/>
              </w:rPr>
              <w:t xml:space="preserve">there was </w:t>
            </w:r>
            <w:r w:rsidRPr="00EF2E8A">
              <w:rPr>
                <w:rFonts w:ascii="Arial Narrow" w:hAnsi="Arial Narrow"/>
                <w:sz w:val="20"/>
                <w:szCs w:val="20"/>
              </w:rPr>
              <w:t>declining EQ</w:t>
            </w:r>
            <w:r w:rsidR="00A46D2B">
              <w:rPr>
                <w:rFonts w:ascii="Arial Narrow" w:hAnsi="Arial Narrow"/>
                <w:sz w:val="20"/>
                <w:szCs w:val="20"/>
              </w:rPr>
              <w:noBreakHyphen/>
            </w:r>
            <w:r w:rsidRPr="00EF2E8A">
              <w:rPr>
                <w:rFonts w:ascii="Arial Narrow" w:hAnsi="Arial Narrow"/>
                <w:sz w:val="20"/>
                <w:szCs w:val="20"/>
              </w:rPr>
              <w:t>5D</w:t>
            </w:r>
            <w:r w:rsidR="00A46D2B">
              <w:rPr>
                <w:rFonts w:ascii="Arial Narrow" w:hAnsi="Arial Narrow"/>
                <w:sz w:val="20"/>
                <w:szCs w:val="20"/>
              </w:rPr>
              <w:noBreakHyphen/>
            </w:r>
            <w:r w:rsidRPr="00EF2E8A">
              <w:rPr>
                <w:rFonts w:ascii="Arial Narrow" w:hAnsi="Arial Narrow"/>
                <w:sz w:val="20"/>
                <w:szCs w:val="20"/>
              </w:rPr>
              <w:t xml:space="preserve">5L completion rates through the MIRASOL trial (67%/58% at week 8/9 and 27.8%/16.8% at week 24 for MIRV and ICC respectively), </w:t>
            </w:r>
            <w:r w:rsidR="00AB2373" w:rsidRPr="00EF2E8A">
              <w:rPr>
                <w:rFonts w:ascii="Arial Narrow" w:hAnsi="Arial Narrow"/>
                <w:sz w:val="20"/>
                <w:szCs w:val="20"/>
              </w:rPr>
              <w:t>and likely significant QoL impacts of ocular AEs associated with MIRV,</w:t>
            </w:r>
            <w:r w:rsidRPr="00EF2E8A">
              <w:rPr>
                <w:rFonts w:ascii="Arial Narrow" w:hAnsi="Arial Narrow"/>
                <w:sz w:val="20"/>
                <w:szCs w:val="20"/>
              </w:rPr>
              <w:t xml:space="preserve"> the use of a pooled utility value for the post</w:t>
            </w:r>
            <w:r w:rsidR="00A46D2B">
              <w:rPr>
                <w:rFonts w:ascii="Arial Narrow" w:hAnsi="Arial Narrow"/>
                <w:sz w:val="20"/>
                <w:szCs w:val="20"/>
              </w:rPr>
              <w:noBreakHyphen/>
            </w:r>
            <w:r w:rsidRPr="00EF2E8A">
              <w:rPr>
                <w:rFonts w:ascii="Arial Narrow" w:hAnsi="Arial Narrow"/>
                <w:sz w:val="20"/>
                <w:szCs w:val="20"/>
              </w:rPr>
              <w:t xml:space="preserve">progression health state would be more appropriate. </w:t>
            </w:r>
          </w:p>
        </w:tc>
      </w:tr>
    </w:tbl>
    <w:p w14:paraId="5833F538" w14:textId="502916EE" w:rsidR="00064A78" w:rsidRPr="00EF2E8A" w:rsidRDefault="00064A78"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Source: Table 3.1</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1, pp162</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163 and Table 3.5</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2, p186 of the submission.</w:t>
      </w:r>
    </w:p>
    <w:p w14:paraId="5C535762" w14:textId="2DF8BE2F" w:rsidR="00064A78" w:rsidRPr="00EF2E8A" w:rsidRDefault="000D3D97"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lastRenderedPageBreak/>
        <w:t xml:space="preserve">AIC= Akaike Information Criterion; </w:t>
      </w:r>
      <w:r w:rsidR="00064A78" w:rsidRPr="00EF2E8A">
        <w:rPr>
          <w:rFonts w:ascii="Arial Narrow" w:eastAsia="Times New Roman" w:hAnsi="Arial Narrow" w:cs="Arial"/>
          <w:snapToGrid w:val="0"/>
          <w:sz w:val="18"/>
          <w:szCs w:val="20"/>
        </w:rPr>
        <w:t xml:space="preserve">BEVA= bevacizumab; </w:t>
      </w:r>
      <w:r w:rsidR="004F762D" w:rsidRPr="00EF2E8A">
        <w:rPr>
          <w:rFonts w:ascii="Arial Narrow" w:eastAsia="Times New Roman" w:hAnsi="Arial Narrow" w:cs="Arial"/>
          <w:snapToGrid w:val="0"/>
          <w:sz w:val="18"/>
          <w:szCs w:val="20"/>
        </w:rPr>
        <w:t xml:space="preserve">BIC=Bayesian Information Criterion; </w:t>
      </w:r>
      <w:r w:rsidR="00064A78" w:rsidRPr="00EF2E8A">
        <w:rPr>
          <w:rFonts w:ascii="Arial Narrow" w:eastAsia="Times New Roman" w:hAnsi="Arial Narrow" w:cs="Arial"/>
          <w:snapToGrid w:val="0"/>
          <w:sz w:val="18"/>
          <w:szCs w:val="20"/>
        </w:rPr>
        <w:t>EQ</w:t>
      </w:r>
      <w:r w:rsidR="00A46D2B">
        <w:rPr>
          <w:rFonts w:ascii="Arial Narrow" w:eastAsia="Times New Roman" w:hAnsi="Arial Narrow" w:cs="Arial"/>
          <w:snapToGrid w:val="0"/>
          <w:sz w:val="18"/>
          <w:szCs w:val="20"/>
        </w:rPr>
        <w:noBreakHyphen/>
      </w:r>
      <w:r w:rsidR="00064A78" w:rsidRPr="00EF2E8A">
        <w:rPr>
          <w:rFonts w:ascii="Arial Narrow" w:eastAsia="Times New Roman" w:hAnsi="Arial Narrow" w:cs="Arial"/>
          <w:snapToGrid w:val="0"/>
          <w:sz w:val="18"/>
          <w:szCs w:val="20"/>
        </w:rPr>
        <w:t>5D</w:t>
      </w:r>
      <w:r w:rsidR="00A46D2B">
        <w:rPr>
          <w:rFonts w:ascii="Arial Narrow" w:eastAsia="Times New Roman" w:hAnsi="Arial Narrow" w:cs="Arial"/>
          <w:snapToGrid w:val="0"/>
          <w:sz w:val="18"/>
          <w:szCs w:val="20"/>
        </w:rPr>
        <w:noBreakHyphen/>
      </w:r>
      <w:r w:rsidR="00064A78" w:rsidRPr="00EF2E8A">
        <w:rPr>
          <w:rFonts w:ascii="Arial Narrow" w:eastAsia="Times New Roman" w:hAnsi="Arial Narrow" w:cs="Arial"/>
          <w:snapToGrid w:val="0"/>
          <w:sz w:val="18"/>
          <w:szCs w:val="20"/>
        </w:rPr>
        <w:t>5L= EuroQoL 5</w:t>
      </w:r>
      <w:r w:rsidR="00A46D2B">
        <w:rPr>
          <w:rFonts w:ascii="Arial Narrow" w:eastAsia="Times New Roman" w:hAnsi="Arial Narrow" w:cs="Arial"/>
          <w:snapToGrid w:val="0"/>
          <w:sz w:val="18"/>
          <w:szCs w:val="20"/>
        </w:rPr>
        <w:noBreakHyphen/>
      </w:r>
      <w:r w:rsidR="00064A78" w:rsidRPr="00EF2E8A">
        <w:rPr>
          <w:rFonts w:ascii="Arial Narrow" w:eastAsia="Times New Roman" w:hAnsi="Arial Narrow" w:cs="Arial"/>
          <w:snapToGrid w:val="0"/>
          <w:sz w:val="18"/>
          <w:szCs w:val="20"/>
        </w:rPr>
        <w:t>Dimension 5</w:t>
      </w:r>
      <w:r w:rsidR="00A46D2B">
        <w:rPr>
          <w:rFonts w:ascii="Arial Narrow" w:eastAsia="Times New Roman" w:hAnsi="Arial Narrow" w:cs="Arial"/>
          <w:snapToGrid w:val="0"/>
          <w:sz w:val="18"/>
          <w:szCs w:val="20"/>
        </w:rPr>
        <w:noBreakHyphen/>
      </w:r>
      <w:r w:rsidR="00064A78" w:rsidRPr="00EF2E8A">
        <w:rPr>
          <w:rFonts w:ascii="Arial Narrow" w:eastAsia="Times New Roman" w:hAnsi="Arial Narrow" w:cs="Arial"/>
          <w:snapToGrid w:val="0"/>
          <w:sz w:val="18"/>
          <w:szCs w:val="20"/>
        </w:rPr>
        <w:t>Level; FR</w:t>
      </w:r>
      <w:r w:rsidR="00064A78" w:rsidRPr="00EF2E8A">
        <w:rPr>
          <w:rFonts w:ascii="Arial Narrow" w:eastAsia="Times New Roman" w:hAnsi="Arial Narrow" w:cs="Calibri"/>
          <w:snapToGrid w:val="0"/>
          <w:sz w:val="18"/>
          <w:szCs w:val="20"/>
        </w:rPr>
        <w:t>α= Folate receptor alpha;</w:t>
      </w:r>
      <w:r w:rsidR="00064A78" w:rsidRPr="00EF2E8A">
        <w:rPr>
          <w:rFonts w:ascii="Arial Narrow" w:eastAsia="Times New Roman" w:hAnsi="Arial Narrow" w:cs="Arial"/>
          <w:snapToGrid w:val="0"/>
          <w:sz w:val="18"/>
          <w:szCs w:val="20"/>
        </w:rPr>
        <w:t xml:space="preserve"> HR= hazard ratio; ICC= investigators choice of chemotherapy; LYG= life years gained; MAIC= matching</w:t>
      </w:r>
      <w:r w:rsidR="00A46D2B">
        <w:rPr>
          <w:rFonts w:ascii="Arial Narrow" w:eastAsia="Times New Roman" w:hAnsi="Arial Narrow" w:cs="Arial"/>
          <w:snapToGrid w:val="0"/>
          <w:sz w:val="18"/>
          <w:szCs w:val="20"/>
        </w:rPr>
        <w:noBreakHyphen/>
      </w:r>
      <w:r w:rsidR="00064A78" w:rsidRPr="00EF2E8A">
        <w:rPr>
          <w:rFonts w:ascii="Arial Narrow" w:eastAsia="Times New Roman" w:hAnsi="Arial Narrow" w:cs="Arial"/>
          <w:snapToGrid w:val="0"/>
          <w:sz w:val="18"/>
          <w:szCs w:val="20"/>
        </w:rPr>
        <w:t xml:space="preserve">adjusted indirect comparison; MIRV= mirvetuximab soravtansine; OS= overall survival; </w:t>
      </w:r>
      <w:r w:rsidR="00D61236" w:rsidRPr="00EF2E8A">
        <w:rPr>
          <w:rFonts w:ascii="Arial Narrow" w:eastAsia="Times New Roman" w:hAnsi="Arial Narrow" w:cs="Arial"/>
          <w:snapToGrid w:val="0"/>
          <w:sz w:val="18"/>
          <w:szCs w:val="20"/>
        </w:rPr>
        <w:t>PBAC= Pharmaceutical Benefit Advisory Committee;</w:t>
      </w:r>
      <w:r w:rsidR="00B65B3F">
        <w:rPr>
          <w:rFonts w:ascii="Arial Narrow" w:eastAsia="Times New Roman" w:hAnsi="Arial Narrow" w:cs="Arial"/>
          <w:snapToGrid w:val="0"/>
          <w:sz w:val="18"/>
          <w:szCs w:val="20"/>
        </w:rPr>
        <w:t xml:space="preserve"> </w:t>
      </w:r>
      <w:r w:rsidR="00D91F04" w:rsidRPr="00EF2E8A">
        <w:rPr>
          <w:rFonts w:ascii="Arial Narrow" w:eastAsia="Times New Roman" w:hAnsi="Arial Narrow" w:cs="Arial"/>
          <w:snapToGrid w:val="0"/>
          <w:sz w:val="18"/>
          <w:szCs w:val="20"/>
        </w:rPr>
        <w:t>PASC=PICO Confirmation Advisory Sub</w:t>
      </w:r>
      <w:r w:rsidR="00A46D2B">
        <w:rPr>
          <w:rFonts w:ascii="Arial Narrow" w:eastAsia="Times New Roman" w:hAnsi="Arial Narrow" w:cs="Arial"/>
          <w:snapToGrid w:val="0"/>
          <w:sz w:val="18"/>
          <w:szCs w:val="20"/>
        </w:rPr>
        <w:noBreakHyphen/>
      </w:r>
      <w:r w:rsidR="00D91F04" w:rsidRPr="00EF2E8A">
        <w:rPr>
          <w:rFonts w:ascii="Arial Narrow" w:eastAsia="Times New Roman" w:hAnsi="Arial Narrow" w:cs="Arial"/>
          <w:snapToGrid w:val="0"/>
          <w:sz w:val="18"/>
          <w:szCs w:val="20"/>
        </w:rPr>
        <w:t xml:space="preserve">Committee; </w:t>
      </w:r>
      <w:r w:rsidR="00064A78" w:rsidRPr="00EF2E8A">
        <w:rPr>
          <w:rFonts w:ascii="Arial Narrow" w:eastAsia="Times New Roman" w:hAnsi="Arial Narrow" w:cs="Arial"/>
          <w:snapToGrid w:val="0"/>
          <w:sz w:val="18"/>
          <w:szCs w:val="20"/>
        </w:rPr>
        <w:t>PFS= progression</w:t>
      </w:r>
      <w:r w:rsidR="00A46D2B">
        <w:rPr>
          <w:rFonts w:ascii="Arial Narrow" w:eastAsia="Times New Roman" w:hAnsi="Arial Narrow" w:cs="Arial"/>
          <w:snapToGrid w:val="0"/>
          <w:sz w:val="18"/>
          <w:szCs w:val="20"/>
        </w:rPr>
        <w:noBreakHyphen/>
      </w:r>
      <w:r w:rsidR="00064A78" w:rsidRPr="00EF2E8A">
        <w:rPr>
          <w:rFonts w:ascii="Arial Narrow" w:eastAsia="Times New Roman" w:hAnsi="Arial Narrow" w:cs="Arial"/>
          <w:snapToGrid w:val="0"/>
          <w:sz w:val="18"/>
          <w:szCs w:val="20"/>
        </w:rPr>
        <w:t>free survival; PROC= platinum</w:t>
      </w:r>
      <w:r w:rsidR="00A46D2B">
        <w:rPr>
          <w:rFonts w:ascii="Arial Narrow" w:eastAsia="Times New Roman" w:hAnsi="Arial Narrow" w:cs="Arial"/>
          <w:snapToGrid w:val="0"/>
          <w:sz w:val="18"/>
          <w:szCs w:val="20"/>
        </w:rPr>
        <w:noBreakHyphen/>
      </w:r>
      <w:r w:rsidR="00064A78" w:rsidRPr="00EF2E8A">
        <w:rPr>
          <w:rFonts w:ascii="Arial Narrow" w:eastAsia="Times New Roman" w:hAnsi="Arial Narrow" w:cs="Arial"/>
          <w:snapToGrid w:val="0"/>
          <w:sz w:val="18"/>
          <w:szCs w:val="20"/>
        </w:rPr>
        <w:t>resistant ovarian cancer; QALY= quality</w:t>
      </w:r>
      <w:r w:rsidR="00A46D2B">
        <w:rPr>
          <w:rFonts w:ascii="Arial Narrow" w:eastAsia="Times New Roman" w:hAnsi="Arial Narrow" w:cs="Arial"/>
          <w:snapToGrid w:val="0"/>
          <w:sz w:val="18"/>
          <w:szCs w:val="20"/>
        </w:rPr>
        <w:noBreakHyphen/>
      </w:r>
      <w:r w:rsidR="00064A78" w:rsidRPr="00EF2E8A">
        <w:rPr>
          <w:rFonts w:ascii="Arial Narrow" w:eastAsia="Times New Roman" w:hAnsi="Arial Narrow" w:cs="Arial"/>
          <w:snapToGrid w:val="0"/>
          <w:sz w:val="18"/>
          <w:szCs w:val="20"/>
        </w:rPr>
        <w:t>adjusted life years.</w:t>
      </w:r>
    </w:p>
    <w:p w14:paraId="0434B29A" w14:textId="637EA88F" w:rsidR="00064A78" w:rsidRPr="00EF2E8A" w:rsidRDefault="00064A78" w:rsidP="00591C83">
      <w:pPr>
        <w:pStyle w:val="ListParagraph"/>
        <w:rPr>
          <w:color w:val="3366FF"/>
        </w:rPr>
      </w:pPr>
      <w:bookmarkStart w:id="71" w:name="_Ref204776535"/>
      <w:r w:rsidRPr="00EF2E8A">
        <w:t>The model structure did not incorporate any FRα expression testing variables. The submission justified the exclusion of test variables by stating that there is no reference standard for FR</w:t>
      </w:r>
      <w:r w:rsidRPr="00EF2E8A">
        <w:rPr>
          <w:rFonts w:cs="Calibri"/>
        </w:rPr>
        <w:t>α</w:t>
      </w:r>
      <w:r w:rsidRPr="00EF2E8A">
        <w:t xml:space="preserve"> expression testing, therefore outcomes of sensitivity and specificity and the flow</w:t>
      </w:r>
      <w:r w:rsidR="00A46D2B">
        <w:noBreakHyphen/>
      </w:r>
      <w:r w:rsidRPr="00EF2E8A">
        <w:t>on outcomes of positive and negative predictive values are not applicable</w:t>
      </w:r>
      <w:r w:rsidR="00FB6524">
        <w:t xml:space="preserve"> (see also paragraph </w:t>
      </w:r>
      <w:r w:rsidR="00CA5048">
        <w:fldChar w:fldCharType="begin" w:fldLock="1"/>
      </w:r>
      <w:r w:rsidR="00CA5048">
        <w:instrText xml:space="preserve"> REF _Ref204776489 \r \h </w:instrText>
      </w:r>
      <w:r w:rsidR="00CA5048">
        <w:fldChar w:fldCharType="separate"/>
      </w:r>
      <w:r w:rsidR="00CC5CAD">
        <w:t>6.64</w:t>
      </w:r>
      <w:r w:rsidR="00CA5048">
        <w:fldChar w:fldCharType="end"/>
      </w:r>
      <w:r w:rsidR="00FB6524">
        <w:t>)</w:t>
      </w:r>
      <w:r w:rsidRPr="00EF2E8A">
        <w:t>. The submission stated that this was consistent with the ratified PICO which outlined that “PASC agreed with the nominated outcomes for the test, with the exception of ‘sensitivity and specificity’ (and by extension, the positive and negative predictive values and likelihood ratios) on the basis there is no reference standard to compare the specified test against” (p. 22, 1787 Ratified PICO Confirmation, December 2024</w:t>
      </w:r>
      <w:r w:rsidR="00B65B3F">
        <w:t xml:space="preserve"> </w:t>
      </w:r>
      <w:r w:rsidRPr="00EF2E8A">
        <w:t>PASC meeting). However,</w:t>
      </w:r>
      <w:r w:rsidR="00163E77" w:rsidRPr="00EF2E8A">
        <w:t xml:space="preserve"> </w:t>
      </w:r>
      <w:r w:rsidRPr="00EF2E8A">
        <w:rPr>
          <w:color w:val="auto"/>
        </w:rPr>
        <w:t>this was not consistent with PBAC guidelines which state that, for a co</w:t>
      </w:r>
      <w:r w:rsidR="00A46D2B">
        <w:rPr>
          <w:color w:val="auto"/>
        </w:rPr>
        <w:noBreakHyphen/>
      </w:r>
      <w:r w:rsidRPr="00EF2E8A">
        <w:rPr>
          <w:color w:val="auto"/>
        </w:rPr>
        <w:t>dependent technology, the model structure should capture patients at the point of testing such that the incremental benefits and costs are included for those who are both positive and negative for the test.</w:t>
      </w:r>
      <w:bookmarkEnd w:id="71"/>
      <w:r w:rsidRPr="00EF2E8A">
        <w:rPr>
          <w:color w:val="auto"/>
        </w:rPr>
        <w:t xml:space="preserve"> </w:t>
      </w:r>
    </w:p>
    <w:p w14:paraId="74B460EF" w14:textId="43280DA6" w:rsidR="00064A78" w:rsidRPr="00EF2E8A" w:rsidRDefault="00064A78" w:rsidP="00591C83">
      <w:pPr>
        <w:pStyle w:val="ListParagraph"/>
        <w:rPr>
          <w:color w:val="3366FF"/>
        </w:rPr>
      </w:pPr>
      <w:r w:rsidRPr="00EF2E8A">
        <w:t xml:space="preserve">The use of the model input population from the MIRASOL trial (which consisted of patients with high FRα expression only) </w:t>
      </w:r>
      <w:r w:rsidR="007C505A" w:rsidRPr="00EF2E8A">
        <w:t xml:space="preserve">restricted the feasibility of conducting </w:t>
      </w:r>
      <w:r w:rsidR="002D7CA1">
        <w:t xml:space="preserve">a </w:t>
      </w:r>
      <w:r w:rsidRPr="00EF2E8A">
        <w:t>scenario analysis excluding the biomarker test (assessing the net clinical benefit of providing MIRV to PROC patients both with and without the biomarker).</w:t>
      </w:r>
      <w:r w:rsidR="00EF3357" w:rsidRPr="00EF2E8A">
        <w:t xml:space="preserve"> </w:t>
      </w:r>
      <w:r w:rsidRPr="00EF2E8A">
        <w:t>However, the submission could have used sub</w:t>
      </w:r>
      <w:r w:rsidR="00A46D2B">
        <w:noBreakHyphen/>
      </w:r>
      <w:r w:rsidRPr="00EF2E8A">
        <w:t>group data from the FORWARD</w:t>
      </w:r>
      <w:r w:rsidR="00A46D2B">
        <w:noBreakHyphen/>
      </w:r>
      <w:r w:rsidRPr="00EF2E8A">
        <w:t>I trial (presented as supportive evidence) to address this.</w:t>
      </w:r>
    </w:p>
    <w:p w14:paraId="46F7AA5C" w14:textId="34B04BB0" w:rsidR="00064A78" w:rsidRPr="00EF2E8A" w:rsidRDefault="00064A78" w:rsidP="00591C83">
      <w:pPr>
        <w:pStyle w:val="ListParagraph"/>
      </w:pPr>
      <w:r w:rsidRPr="00EF2E8A">
        <w:t>The model include</w:t>
      </w:r>
      <w:r w:rsidR="004B403F" w:rsidRPr="00EF2E8A">
        <w:t>d</w:t>
      </w:r>
      <w:r w:rsidRPr="00EF2E8A">
        <w:t xml:space="preserve"> costs related to two scenarios for FRα expression testing: at primary diagnosis of high grade ovarian, fallopian tube or primary peritoneal cancer (base case) and at platinum resistance (sensitivity analysis). Testing costs were based on the number of tests required to identify 1 patient with high FRα expression and a proposed testing fee of $125. Additionally, for the testing scenario at platinum resistance, the costs of archival block retrieval ($85, MBS item 72860) and re</w:t>
      </w:r>
      <w:r w:rsidR="00A46D2B">
        <w:noBreakHyphen/>
      </w:r>
      <w:r w:rsidRPr="00EF2E8A">
        <w:t>biopsy (average cost of $50.51, based on an estimated 10% of patients receiving a re</w:t>
      </w:r>
      <w:r w:rsidR="00A46D2B">
        <w:noBreakHyphen/>
      </w:r>
      <w:r w:rsidRPr="00EF2E8A">
        <w:t xml:space="preserve">biopsy) were applied per patient. </w:t>
      </w:r>
      <w:r w:rsidR="004B403F" w:rsidRPr="00EF2E8A">
        <w:rPr>
          <w:rFonts w:cstheme="minorHAnsi"/>
        </w:rPr>
        <w:t>W</w:t>
      </w:r>
      <w:r w:rsidR="00ED0A4D" w:rsidRPr="00EF2E8A">
        <w:rPr>
          <w:rFonts w:cstheme="minorHAnsi"/>
        </w:rPr>
        <w:t xml:space="preserve">hether </w:t>
      </w:r>
      <w:r w:rsidR="00ED0A4D" w:rsidRPr="00EF2E8A">
        <w:rPr>
          <w:rFonts w:cstheme="minorHAnsi"/>
          <w:szCs w:val="24"/>
        </w:rPr>
        <w:t xml:space="preserve">FRα testing occurs at primary diagnosis or at platinum resistance made a negligible impact on the </w:t>
      </w:r>
      <w:r w:rsidR="00BE494F" w:rsidRPr="00BE494F">
        <w:rPr>
          <w:rFonts w:cstheme="minorHAnsi"/>
          <w:iCs/>
          <w:szCs w:val="24"/>
        </w:rPr>
        <w:t>incremental cost effectiveness ratio</w:t>
      </w:r>
      <w:r w:rsidR="00BE494F" w:rsidRPr="00BE494F">
        <w:rPr>
          <w:rFonts w:cstheme="minorHAnsi"/>
          <w:szCs w:val="24"/>
        </w:rPr>
        <w:t xml:space="preserve"> </w:t>
      </w:r>
      <w:r w:rsidR="00BE494F">
        <w:rPr>
          <w:rFonts w:cstheme="minorHAnsi"/>
          <w:szCs w:val="24"/>
        </w:rPr>
        <w:t>(</w:t>
      </w:r>
      <w:r w:rsidR="00ED0A4D" w:rsidRPr="00EF2E8A">
        <w:rPr>
          <w:rFonts w:cstheme="minorHAnsi"/>
          <w:szCs w:val="24"/>
        </w:rPr>
        <w:t>ICER</w:t>
      </w:r>
      <w:r w:rsidR="00BE494F">
        <w:rPr>
          <w:rFonts w:cstheme="minorHAnsi"/>
          <w:szCs w:val="24"/>
        </w:rPr>
        <w:t>)</w:t>
      </w:r>
      <w:r w:rsidR="00ED0A4D" w:rsidRPr="00EF2E8A">
        <w:rPr>
          <w:rFonts w:cstheme="minorHAnsi"/>
          <w:szCs w:val="24"/>
        </w:rPr>
        <w:t>.</w:t>
      </w:r>
      <w:r w:rsidR="00573DFE" w:rsidRPr="00EF2E8A">
        <w:rPr>
          <w:rFonts w:cstheme="minorHAnsi"/>
          <w:szCs w:val="24"/>
        </w:rPr>
        <w:t xml:space="preserve"> </w:t>
      </w:r>
    </w:p>
    <w:p w14:paraId="0774107D" w14:textId="73A5E6E4" w:rsidR="00C21F5A" w:rsidRPr="000573A6" w:rsidRDefault="00064A78" w:rsidP="00591C83">
      <w:pPr>
        <w:pStyle w:val="ListParagraph"/>
      </w:pPr>
      <w:r w:rsidRPr="000573A6">
        <w:t>The choice of a 10</w:t>
      </w:r>
      <w:r w:rsidR="00A46D2B">
        <w:noBreakHyphen/>
      </w:r>
      <w:r w:rsidRPr="000573A6">
        <w:t>year time</w:t>
      </w:r>
      <w:r w:rsidR="00A46D2B">
        <w:noBreakHyphen/>
      </w:r>
      <w:r w:rsidRPr="000573A6">
        <w:t>horizon in the model base case was justified by the submission from survival outcomes from a cohort of 261 patients from the Netherlands diagnosed with ovarian cancer between January 2000 and December 2010 (approximately 20% of patients remain alive 10 years from the end of first</w:t>
      </w:r>
      <w:r w:rsidR="00A46D2B">
        <w:noBreakHyphen/>
      </w:r>
      <w:r w:rsidRPr="000573A6">
        <w:t>line therapy). However, Australian registry data report the 5</w:t>
      </w:r>
      <w:r w:rsidR="00A46D2B">
        <w:noBreakHyphen/>
      </w:r>
      <w:r w:rsidRPr="000573A6">
        <w:t>year survival rate of PROC patients is less than half compared to those who have remained platinum</w:t>
      </w:r>
      <w:r w:rsidR="00A46D2B">
        <w:noBreakHyphen/>
      </w:r>
      <w:r w:rsidRPr="000573A6">
        <w:t>sensitive, at 21% and 76%, respectively (</w:t>
      </w:r>
      <w:proofErr w:type="spellStart"/>
      <w:r w:rsidRPr="000573A6">
        <w:t>Quantium</w:t>
      </w:r>
      <w:proofErr w:type="spellEnd"/>
      <w:r w:rsidRPr="000573A6">
        <w:t>, 2025). Further, clinical practice and published evidence indicate that once patients are deemed platinum</w:t>
      </w:r>
      <w:r w:rsidR="00A46D2B">
        <w:noBreakHyphen/>
      </w:r>
      <w:r w:rsidRPr="000573A6">
        <w:t xml:space="preserve">resistant, they are in the last 6 to 12 months of life (Sponsor Oncology Advisory Board, 2024; Davis et al, 2014). </w:t>
      </w:r>
      <w:r w:rsidR="00FF24D0" w:rsidRPr="000573A6">
        <w:t>The evaluation considered that g</w:t>
      </w:r>
      <w:r w:rsidRPr="000573A6">
        <w:t xml:space="preserve">iven </w:t>
      </w:r>
      <w:r w:rsidR="001D120A">
        <w:t xml:space="preserve">the </w:t>
      </w:r>
      <w:r w:rsidR="00BF1FE4">
        <w:t xml:space="preserve">population is </w:t>
      </w:r>
      <w:r w:rsidRPr="000573A6">
        <w:t>platinum</w:t>
      </w:r>
      <w:r w:rsidR="00A46D2B">
        <w:noBreakHyphen/>
      </w:r>
      <w:r w:rsidRPr="000573A6">
        <w:t>resist</w:t>
      </w:r>
      <w:r w:rsidR="00BF1FE4">
        <w:t xml:space="preserve">ant </w:t>
      </w:r>
      <w:r w:rsidRPr="000573A6">
        <w:t>a 10</w:t>
      </w:r>
      <w:r w:rsidR="00A46D2B">
        <w:noBreakHyphen/>
      </w:r>
      <w:r w:rsidRPr="000573A6">
        <w:t>year time</w:t>
      </w:r>
      <w:r w:rsidR="00A46D2B">
        <w:noBreakHyphen/>
      </w:r>
      <w:r w:rsidRPr="000573A6">
        <w:t xml:space="preserve">horizon is </w:t>
      </w:r>
      <w:r w:rsidR="00E244B5" w:rsidRPr="000573A6">
        <w:t>likely optimistic</w:t>
      </w:r>
      <w:r w:rsidRPr="000573A6">
        <w:t xml:space="preserve">. </w:t>
      </w:r>
      <w:r w:rsidR="00594E01" w:rsidRPr="000573A6">
        <w:t>The PSCR contended that it is foreseeable that 5</w:t>
      </w:r>
      <w:r w:rsidR="00A46D2B">
        <w:noBreakHyphen/>
      </w:r>
      <w:r w:rsidR="00594E01" w:rsidRPr="000573A6">
        <w:t xml:space="preserve">year survival rates for PROC patients will increase, given that MIRASOL reports </w:t>
      </w:r>
      <w:r w:rsidR="00594E01" w:rsidRPr="000573A6">
        <w:lastRenderedPageBreak/>
        <w:t>a significant survival advantage in favour of MIRV over current SOC. However, the ESCs considered that the survival advantage associated with MIRV is modest</w:t>
      </w:r>
      <w:r w:rsidR="000C1FE4" w:rsidRPr="000573A6">
        <w:t>, with</w:t>
      </w:r>
      <w:r w:rsidR="00594E01" w:rsidRPr="000573A6">
        <w:t xml:space="preserve"> </w:t>
      </w:r>
      <w:r w:rsidR="007E3E05" w:rsidRPr="000573A6">
        <w:t xml:space="preserve">median survival in </w:t>
      </w:r>
      <w:r w:rsidR="000C1FE4" w:rsidRPr="000573A6">
        <w:t>MIRASOL only 16 months</w:t>
      </w:r>
      <w:r w:rsidR="00594E01" w:rsidRPr="000573A6">
        <w:t>, and a 5</w:t>
      </w:r>
      <w:r w:rsidR="00A46D2B">
        <w:noBreakHyphen/>
      </w:r>
      <w:r w:rsidR="00594E01" w:rsidRPr="000573A6">
        <w:t xml:space="preserve">year time horizon would be more reasonable </w:t>
      </w:r>
      <w:r w:rsidR="00313568" w:rsidRPr="000573A6">
        <w:t>for the</w:t>
      </w:r>
      <w:r w:rsidR="00594E01" w:rsidRPr="000573A6">
        <w:t xml:space="preserve"> platinum resistant </w:t>
      </w:r>
      <w:r w:rsidR="00313568" w:rsidRPr="000573A6">
        <w:t>population</w:t>
      </w:r>
      <w:r w:rsidR="00594E01" w:rsidRPr="000573A6">
        <w:t xml:space="preserve">. </w:t>
      </w:r>
      <w:r w:rsidR="00F300F0" w:rsidRPr="000573A6">
        <w:t>T</w:t>
      </w:r>
      <w:r w:rsidR="00F300F0" w:rsidRPr="000573A6">
        <w:rPr>
          <w:bCs/>
        </w:rPr>
        <w:t>he</w:t>
      </w:r>
      <w:r w:rsidR="00F300F0" w:rsidRPr="000573A6">
        <w:t xml:space="preserve"> </w:t>
      </w:r>
      <w:r w:rsidRPr="000573A6">
        <w:t>time</w:t>
      </w:r>
      <w:r w:rsidR="00A46D2B">
        <w:noBreakHyphen/>
      </w:r>
      <w:r w:rsidRPr="000573A6">
        <w:t>horizon was a key driver of the Incremental Cost Effectiveness Ratio (ICER), favouring MIRV.</w:t>
      </w:r>
      <w:r w:rsidR="00222DAD" w:rsidRPr="000573A6">
        <w:t xml:space="preserve"> </w:t>
      </w:r>
      <w:r w:rsidR="00355A65" w:rsidRPr="000573A6">
        <w:t xml:space="preserve">The </w:t>
      </w:r>
      <w:r w:rsidR="00222DAD" w:rsidRPr="000573A6">
        <w:t>Pre</w:t>
      </w:r>
      <w:r w:rsidR="00A46D2B">
        <w:noBreakHyphen/>
      </w:r>
      <w:r w:rsidR="00355A65" w:rsidRPr="000573A6">
        <w:t>PBAC response</w:t>
      </w:r>
      <w:r w:rsidR="00222DAD" w:rsidRPr="000573A6">
        <w:t xml:space="preserve"> </w:t>
      </w:r>
      <w:r w:rsidR="00355A65" w:rsidRPr="000573A6">
        <w:t>contended that</w:t>
      </w:r>
      <w:r w:rsidR="00222DAD" w:rsidRPr="000573A6">
        <w:t xml:space="preserve"> a 5</w:t>
      </w:r>
      <w:r w:rsidR="00A46D2B">
        <w:noBreakHyphen/>
      </w:r>
      <w:r w:rsidR="00222DAD" w:rsidRPr="000573A6">
        <w:t xml:space="preserve">year horizon is overly conservative, </w:t>
      </w:r>
      <w:r w:rsidR="00355A65" w:rsidRPr="000573A6">
        <w:t>and</w:t>
      </w:r>
      <w:r w:rsidR="00222DAD" w:rsidRPr="000573A6">
        <w:t xml:space="preserve"> not</w:t>
      </w:r>
      <w:r w:rsidR="001520D7" w:rsidRPr="000573A6">
        <w:t>ing</w:t>
      </w:r>
      <w:r w:rsidR="00222DAD" w:rsidRPr="000573A6">
        <w:t xml:space="preserve"> the previous PBAC acceptance of a 7.5</w:t>
      </w:r>
      <w:r w:rsidR="00A46D2B">
        <w:noBreakHyphen/>
      </w:r>
      <w:r w:rsidR="00222DAD" w:rsidRPr="000573A6">
        <w:t>year horizon for olaparib in a later line of therapy</w:t>
      </w:r>
      <w:r w:rsidR="001520D7" w:rsidRPr="000573A6">
        <w:t>, proposed ‘</w:t>
      </w:r>
      <w:r w:rsidR="00222DAD" w:rsidRPr="000573A6">
        <w:t>a 6</w:t>
      </w:r>
      <w:r w:rsidR="00A46D2B">
        <w:noBreakHyphen/>
      </w:r>
      <w:r w:rsidR="00222DAD" w:rsidRPr="000573A6">
        <w:t>year time horizon to minimise uncertainty and fairly reflect MIRV's value and impact for this high</w:t>
      </w:r>
      <w:r w:rsidR="00A46D2B">
        <w:noBreakHyphen/>
      </w:r>
      <w:r w:rsidR="00222DAD" w:rsidRPr="000573A6">
        <w:t>need population</w:t>
      </w:r>
      <w:r w:rsidR="001520D7" w:rsidRPr="000573A6">
        <w:t>’</w:t>
      </w:r>
      <w:r w:rsidR="00BC23B9" w:rsidRPr="000573A6">
        <w:t>, which it included in an updated Pre</w:t>
      </w:r>
      <w:r w:rsidR="00A46D2B">
        <w:noBreakHyphen/>
      </w:r>
      <w:r w:rsidR="00BC23B9" w:rsidRPr="000573A6">
        <w:t xml:space="preserve">PBAC base case (see paragraph </w:t>
      </w:r>
      <w:r w:rsidR="000573A6" w:rsidRPr="000573A6">
        <w:fldChar w:fldCharType="begin" w:fldLock="1"/>
      </w:r>
      <w:r w:rsidR="000573A6" w:rsidRPr="000573A6">
        <w:instrText xml:space="preserve"> REF _Ref204776377 \r \h </w:instrText>
      </w:r>
      <w:r w:rsidR="000573A6">
        <w:instrText xml:space="preserve"> \* MERGEFORMAT </w:instrText>
      </w:r>
      <w:r w:rsidR="000573A6" w:rsidRPr="000573A6">
        <w:fldChar w:fldCharType="separate"/>
      </w:r>
      <w:r w:rsidR="00CC5CAD">
        <w:t>6.83</w:t>
      </w:r>
      <w:r w:rsidR="000573A6" w:rsidRPr="000573A6">
        <w:fldChar w:fldCharType="end"/>
      </w:r>
      <w:r w:rsidR="000573A6" w:rsidRPr="000573A6">
        <w:t>)</w:t>
      </w:r>
      <w:r w:rsidR="001520D7" w:rsidRPr="000573A6">
        <w:t xml:space="preserve">. </w:t>
      </w:r>
    </w:p>
    <w:p w14:paraId="4A06A2C1" w14:textId="0F7C0CE7" w:rsidR="00064A78" w:rsidRPr="00EF2E8A" w:rsidRDefault="00064A78" w:rsidP="00591C83">
      <w:pPr>
        <w:pStyle w:val="ListParagraph"/>
        <w:rPr>
          <w:color w:val="3366FF"/>
        </w:rPr>
      </w:pPr>
      <w:r w:rsidRPr="00EF2E8A">
        <w:t xml:space="preserve">Plots of PFS and OS for MIRV, ICC and BEVA + ICC based on the extrapolated survival data used in the base case </w:t>
      </w:r>
      <w:r w:rsidR="003A3F86">
        <w:t>are</w:t>
      </w:r>
      <w:r w:rsidRPr="00EF2E8A">
        <w:t xml:space="preserve"> provided in</w:t>
      </w:r>
      <w:r w:rsidR="00955ABF" w:rsidRPr="00EF2E8A">
        <w:t xml:space="preserve"> </w:t>
      </w:r>
      <w:r w:rsidR="00F87A14">
        <w:fldChar w:fldCharType="begin" w:fldLock="1"/>
      </w:r>
      <w:r w:rsidR="00F87A14">
        <w:instrText xml:space="preserve"> REF _Ref205198776 \h </w:instrText>
      </w:r>
      <w:r w:rsidR="00F87A14">
        <w:fldChar w:fldCharType="separate"/>
      </w:r>
      <w:r w:rsidR="00CC5CAD">
        <w:t xml:space="preserve">Figure </w:t>
      </w:r>
      <w:r w:rsidR="00CC5CAD">
        <w:rPr>
          <w:noProof/>
        </w:rPr>
        <w:t>5</w:t>
      </w:r>
      <w:r w:rsidR="00F87A14">
        <w:fldChar w:fldCharType="end"/>
      </w:r>
      <w:r w:rsidR="00F87A14">
        <w:t xml:space="preserve"> </w:t>
      </w:r>
      <w:r w:rsidR="00D17E2A" w:rsidRPr="00EF2E8A">
        <w:t>and</w:t>
      </w:r>
      <w:r w:rsidR="00EC5E37" w:rsidRPr="00EF2E8A">
        <w:t xml:space="preserve"> </w:t>
      </w:r>
      <w:r w:rsidR="00F87A14">
        <w:fldChar w:fldCharType="begin" w:fldLock="1"/>
      </w:r>
      <w:r w:rsidR="00F87A14">
        <w:instrText xml:space="preserve"> REF _Ref205198778 \h </w:instrText>
      </w:r>
      <w:r w:rsidR="00F87A14">
        <w:fldChar w:fldCharType="separate"/>
      </w:r>
      <w:r w:rsidR="00CC5CAD">
        <w:t xml:space="preserve">Figure </w:t>
      </w:r>
      <w:r w:rsidR="00CC5CAD">
        <w:rPr>
          <w:noProof/>
        </w:rPr>
        <w:t>6</w:t>
      </w:r>
      <w:r w:rsidR="00F87A14">
        <w:fldChar w:fldCharType="end"/>
      </w:r>
      <w:r w:rsidR="00EC5E37" w:rsidRPr="00EF2E8A">
        <w:fldChar w:fldCharType="begin" w:fldLock="1"/>
      </w:r>
      <w:r w:rsidR="00EC5E37" w:rsidRPr="00EF2E8A">
        <w:instrText xml:space="preserve"> REF _Ref198639134 \h </w:instrText>
      </w:r>
      <w:r w:rsidR="00D06B89" w:rsidRPr="00EF2E8A">
        <w:instrText xml:space="preserve"> \* MERGEFORMAT </w:instrText>
      </w:r>
      <w:r w:rsidR="00EC5E37" w:rsidRPr="00EF2E8A">
        <w:fldChar w:fldCharType="end"/>
      </w:r>
      <w:r w:rsidR="0051387C" w:rsidRPr="00EF2E8A">
        <w:t>,</w:t>
      </w:r>
      <w:r w:rsidRPr="00EF2E8A">
        <w:t xml:space="preserve"> respectively. </w:t>
      </w:r>
      <w:r w:rsidR="00D75763" w:rsidRPr="00EF2E8A">
        <w:t>I</w:t>
      </w:r>
      <w:r w:rsidRPr="00EF2E8A">
        <w:t>n line with hazard ratios derived from the MAIC for MIRV vs BEVA + ICC (PFS=1.11, OS=0.59), patients in the BEVA + ICC arm demonstrate superior PFS (but inferior OS) over the extrapolated time</w:t>
      </w:r>
      <w:r w:rsidR="00A46D2B">
        <w:noBreakHyphen/>
      </w:r>
      <w:r w:rsidRPr="00EF2E8A">
        <w:t xml:space="preserve">horizon. </w:t>
      </w:r>
      <w:r w:rsidR="00915BA8" w:rsidRPr="00EF2E8A">
        <w:t xml:space="preserve">The </w:t>
      </w:r>
      <w:r w:rsidR="00FA06F0" w:rsidRPr="00EF2E8A">
        <w:t xml:space="preserve">ESCs noted </w:t>
      </w:r>
      <w:r w:rsidRPr="00EF2E8A">
        <w:t xml:space="preserve">concerns regarding the validity of the MAIC due to small sample sizes </w:t>
      </w:r>
      <w:r w:rsidRPr="00EF2E8A">
        <w:rPr>
          <w:rFonts w:cstheme="minorHAnsi"/>
          <w:szCs w:val="24"/>
          <w:lang w:eastAsia="en-CA"/>
        </w:rPr>
        <w:t>small after matching and</w:t>
      </w:r>
      <w:r w:rsidRPr="00EF2E8A">
        <w:t xml:space="preserve"> issues with exchangeability of the trials used in the comparison </w:t>
      </w:r>
      <w:r w:rsidR="00DD2A5F" w:rsidRPr="00EF2E8A">
        <w:t>(</w:t>
      </w:r>
      <w:r w:rsidR="00131FC6" w:rsidRPr="00EF2E8A">
        <w:t xml:space="preserve">paragraphs </w:t>
      </w:r>
      <w:fldSimple w:instr=" REF _Ref196906171 \r  \* MERGEFORMAT " w:fldLock="1">
        <w:r w:rsidR="00CC5CAD">
          <w:t>6.41</w:t>
        </w:r>
      </w:fldSimple>
      <w:r w:rsidR="00A46D2B">
        <w:noBreakHyphen/>
      </w:r>
      <w:r w:rsidR="0080730A" w:rsidRPr="00EF2E8A">
        <w:fldChar w:fldCharType="begin" w:fldLock="1"/>
      </w:r>
      <w:r w:rsidR="0080730A" w:rsidRPr="00EF2E8A">
        <w:instrText xml:space="preserve"> REF _Ref198624641 \r \h </w:instrText>
      </w:r>
      <w:r w:rsidR="00356178" w:rsidRPr="00EF2E8A">
        <w:instrText xml:space="preserve"> \* MERGEFORMAT </w:instrText>
      </w:r>
      <w:r w:rsidR="0080730A" w:rsidRPr="00EF2E8A">
        <w:fldChar w:fldCharType="separate"/>
      </w:r>
      <w:r w:rsidR="00CC5CAD">
        <w:t>6.42</w:t>
      </w:r>
      <w:r w:rsidR="0080730A" w:rsidRPr="00EF2E8A">
        <w:fldChar w:fldCharType="end"/>
      </w:r>
      <w:r w:rsidR="001462D0" w:rsidRPr="00EF2E8A">
        <w:t>)</w:t>
      </w:r>
      <w:r w:rsidR="009A6E97" w:rsidRPr="00EF2E8A">
        <w:t xml:space="preserve"> result in uncertainty associated with the outcomes included in the model</w:t>
      </w:r>
      <w:r w:rsidR="00D61373" w:rsidRPr="00EF2E8A">
        <w:t>. However, the ESCs considered</w:t>
      </w:r>
      <w:r w:rsidR="008B1460" w:rsidRPr="00EF2E8A">
        <w:t xml:space="preserve"> </w:t>
      </w:r>
      <w:r w:rsidR="00BB1D20" w:rsidRPr="00EF2E8A">
        <w:t>it</w:t>
      </w:r>
      <w:r w:rsidR="008B1460" w:rsidRPr="00EF2E8A">
        <w:t xml:space="preserve"> </w:t>
      </w:r>
      <w:r w:rsidR="00D339A7" w:rsidRPr="00EF2E8A">
        <w:t>was</w:t>
      </w:r>
      <w:r w:rsidR="008B1460" w:rsidRPr="00EF2E8A">
        <w:t xml:space="preserve"> not unreasonable to include </w:t>
      </w:r>
      <w:r w:rsidR="00BB1D20" w:rsidRPr="00EF2E8A">
        <w:t>ICC + BEVA as</w:t>
      </w:r>
      <w:r w:rsidR="008B1460" w:rsidRPr="00EF2E8A">
        <w:t xml:space="preserve"> </w:t>
      </w:r>
      <w:r w:rsidR="0057173E" w:rsidRPr="00EF2E8A">
        <w:t>a</w:t>
      </w:r>
      <w:r w:rsidR="008B1460" w:rsidRPr="00EF2E8A">
        <w:t xml:space="preserve"> comparator in </w:t>
      </w:r>
      <w:r w:rsidR="00150D38" w:rsidRPr="00EF2E8A">
        <w:t xml:space="preserve">the </w:t>
      </w:r>
      <w:r w:rsidR="008B1460" w:rsidRPr="00EF2E8A">
        <w:t>economic</w:t>
      </w:r>
      <w:r w:rsidR="00150D38" w:rsidRPr="00EF2E8A">
        <w:t xml:space="preserve"> evaluation</w:t>
      </w:r>
      <w:r w:rsidR="0057173E" w:rsidRPr="00EF2E8A">
        <w:t xml:space="preserve"> as this reflects clinical practice</w:t>
      </w:r>
      <w:r w:rsidR="0068562F" w:rsidRPr="00EF2E8A">
        <w:t xml:space="preserve">, and </w:t>
      </w:r>
      <w:r w:rsidR="00FD4958" w:rsidRPr="00EF2E8A">
        <w:t xml:space="preserve">varying the proportion of patients receiving BEVA did not </w:t>
      </w:r>
      <w:r w:rsidR="00942C3C" w:rsidRPr="00EF2E8A">
        <w:t xml:space="preserve">have a </w:t>
      </w:r>
      <w:r w:rsidR="00FD4958" w:rsidRPr="00EF2E8A">
        <w:t xml:space="preserve">substantial </w:t>
      </w:r>
      <w:r w:rsidR="00942C3C" w:rsidRPr="00EF2E8A">
        <w:t>impact on the ICER</w:t>
      </w:r>
      <w:r w:rsidR="001462D0" w:rsidRPr="00EF2E8A">
        <w:t xml:space="preserve">. </w:t>
      </w:r>
    </w:p>
    <w:p w14:paraId="16F18C33" w14:textId="0279F4D8" w:rsidR="000851FA" w:rsidRDefault="000851FA" w:rsidP="00591C83">
      <w:pPr>
        <w:pStyle w:val="Caption"/>
        <w:jc w:val="both"/>
      </w:pPr>
      <w:bookmarkStart w:id="72" w:name="_Ref205198776"/>
      <w:r>
        <w:t xml:space="preserve">Figure </w:t>
      </w:r>
      <w:r w:rsidR="00CC5CAD">
        <w:fldChar w:fldCharType="begin" w:fldLock="1"/>
      </w:r>
      <w:r w:rsidR="00CC5CAD">
        <w:instrText xml:space="preserve"> SEQ Figure \* ARABIC </w:instrText>
      </w:r>
      <w:r w:rsidR="00CC5CAD">
        <w:fldChar w:fldCharType="separate"/>
      </w:r>
      <w:r w:rsidR="00CC5CAD">
        <w:rPr>
          <w:noProof/>
        </w:rPr>
        <w:t>5</w:t>
      </w:r>
      <w:r w:rsidR="00CC5CAD">
        <w:rPr>
          <w:noProof/>
        </w:rPr>
        <w:fldChar w:fldCharType="end"/>
      </w:r>
      <w:bookmarkEnd w:id="72"/>
      <w:r>
        <w:t xml:space="preserve">: </w:t>
      </w:r>
      <w:r w:rsidRPr="007B1E23">
        <w:t>Survival Data used in Base Case: PFS</w:t>
      </w:r>
    </w:p>
    <w:p w14:paraId="310292A8" w14:textId="7A3D2C64" w:rsidR="00064A78" w:rsidRPr="00EF2E8A" w:rsidRDefault="00F03771" w:rsidP="00591C83">
      <w:pPr>
        <w:spacing w:before="0" w:after="0"/>
        <w:ind w:left="720" w:hanging="720"/>
        <w:rPr>
          <w:rFonts w:ascii="Arial Narrow" w:hAnsi="Arial Narrow" w:cs="Arial"/>
          <w:snapToGrid w:val="0"/>
          <w:sz w:val="18"/>
          <w:lang w:eastAsia="en-AU"/>
        </w:rPr>
      </w:pPr>
      <w:r>
        <w:rPr>
          <w:rFonts w:ascii="Arial Narrow" w:hAnsi="Arial Narrow" w:cs="Arial"/>
          <w:noProof/>
          <w:snapToGrid w:val="0"/>
          <w:sz w:val="18"/>
          <w:lang w:eastAsia="en-AU"/>
        </w:rPr>
        <w:drawing>
          <wp:inline distT="0" distB="0" distL="0" distR="0" wp14:anchorId="5AE3EE66" wp14:editId="1190E594">
            <wp:extent cx="5840730" cy="2658110"/>
            <wp:effectExtent l="0" t="0" r="7620" b="8890"/>
            <wp:docPr id="1628007280" name="Picture 1" descr="Figure 5: Survival Data used in Base Case: 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07280" name="Picture 1" descr="Figure 5: Survival Data used in Base Case: PF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0730" cy="2658110"/>
                    </a:xfrm>
                    <a:prstGeom prst="rect">
                      <a:avLst/>
                    </a:prstGeom>
                    <a:noFill/>
                  </pic:spPr>
                </pic:pic>
              </a:graphicData>
            </a:graphic>
          </wp:inline>
        </w:drawing>
      </w:r>
    </w:p>
    <w:p w14:paraId="4AC10149" w14:textId="77777777" w:rsidR="00064A78" w:rsidRPr="00EF2E8A" w:rsidRDefault="00064A78" w:rsidP="00591C83">
      <w:pPr>
        <w:spacing w:before="0" w:after="0"/>
        <w:ind w:left="720" w:hanging="720"/>
        <w:rPr>
          <w:rFonts w:ascii="Arial Narrow" w:hAnsi="Arial Narrow" w:cs="Arial"/>
          <w:snapToGrid w:val="0"/>
          <w:sz w:val="18"/>
          <w:lang w:eastAsia="en-AU"/>
        </w:rPr>
      </w:pPr>
      <w:r w:rsidRPr="00EF2E8A">
        <w:rPr>
          <w:rFonts w:ascii="Arial Narrow" w:hAnsi="Arial Narrow" w:cs="Arial"/>
          <w:snapToGrid w:val="0"/>
          <w:sz w:val="18"/>
          <w:lang w:eastAsia="en-AU"/>
        </w:rPr>
        <w:t>Source: Figure 3.4.6, p184 of the submission.</w:t>
      </w:r>
    </w:p>
    <w:p w14:paraId="695B2795" w14:textId="3379C305" w:rsidR="00064A78" w:rsidRPr="00EF2E8A" w:rsidRDefault="00064A78" w:rsidP="00591C83">
      <w:pPr>
        <w:spacing w:before="0" w:after="0"/>
        <w:ind w:left="720" w:hanging="720"/>
        <w:rPr>
          <w:rFonts w:ascii="Arial Narrow" w:hAnsi="Arial Narrow" w:cs="Arial"/>
          <w:snapToGrid w:val="0"/>
          <w:sz w:val="18"/>
          <w:lang w:eastAsia="en-AU"/>
        </w:rPr>
      </w:pPr>
      <w:r w:rsidRPr="00EF2E8A">
        <w:rPr>
          <w:rFonts w:ascii="Arial Narrow" w:hAnsi="Arial Narrow" w:cs="Arial"/>
          <w:snapToGrid w:val="0"/>
          <w:sz w:val="18"/>
          <w:lang w:eastAsia="en-AU"/>
        </w:rPr>
        <w:t>PFS = Progression</w:t>
      </w:r>
      <w:r w:rsidR="00A46D2B">
        <w:rPr>
          <w:rFonts w:ascii="Arial Narrow" w:hAnsi="Arial Narrow" w:cs="Arial"/>
          <w:snapToGrid w:val="0"/>
          <w:sz w:val="18"/>
          <w:lang w:eastAsia="en-AU"/>
        </w:rPr>
        <w:noBreakHyphen/>
      </w:r>
      <w:r w:rsidRPr="00EF2E8A">
        <w:rPr>
          <w:rFonts w:ascii="Arial Narrow" w:hAnsi="Arial Narrow" w:cs="Arial"/>
          <w:snapToGrid w:val="0"/>
          <w:sz w:val="18"/>
          <w:lang w:eastAsia="en-AU"/>
        </w:rPr>
        <w:t>free survival; SOC = standard of care (investigators choice of chemotherapy)</w:t>
      </w:r>
    </w:p>
    <w:p w14:paraId="16D3039D" w14:textId="77777777" w:rsidR="00064A78" w:rsidRPr="00EF2E8A" w:rsidRDefault="00064A78" w:rsidP="00591C83">
      <w:pPr>
        <w:spacing w:before="0" w:after="0"/>
        <w:ind w:left="720" w:hanging="720"/>
        <w:rPr>
          <w:rFonts w:ascii="Arial Narrow" w:hAnsi="Arial Narrow" w:cs="Arial"/>
          <w:snapToGrid w:val="0"/>
          <w:sz w:val="18"/>
          <w:lang w:eastAsia="en-AU"/>
        </w:rPr>
      </w:pPr>
    </w:p>
    <w:p w14:paraId="2DB1857E" w14:textId="7D15A2BF" w:rsidR="000851FA" w:rsidRDefault="000851FA" w:rsidP="00591C83">
      <w:pPr>
        <w:pStyle w:val="Caption"/>
        <w:jc w:val="both"/>
      </w:pPr>
      <w:bookmarkStart w:id="73" w:name="_Ref205198778"/>
      <w:r>
        <w:lastRenderedPageBreak/>
        <w:t xml:space="preserve">Figure </w:t>
      </w:r>
      <w:r w:rsidR="00CC5CAD">
        <w:fldChar w:fldCharType="begin" w:fldLock="1"/>
      </w:r>
      <w:r w:rsidR="00CC5CAD">
        <w:instrText xml:space="preserve"> SEQ Figure \* ARABIC </w:instrText>
      </w:r>
      <w:r w:rsidR="00CC5CAD">
        <w:fldChar w:fldCharType="separate"/>
      </w:r>
      <w:r w:rsidR="00CC5CAD">
        <w:rPr>
          <w:noProof/>
        </w:rPr>
        <w:t>6</w:t>
      </w:r>
      <w:r w:rsidR="00CC5CAD">
        <w:rPr>
          <w:noProof/>
        </w:rPr>
        <w:fldChar w:fldCharType="end"/>
      </w:r>
      <w:bookmarkEnd w:id="73"/>
      <w:r>
        <w:t xml:space="preserve">: </w:t>
      </w:r>
      <w:r w:rsidRPr="002C7DA1">
        <w:t>Survival data used in the Base Case: OS</w:t>
      </w:r>
    </w:p>
    <w:p w14:paraId="666DD101" w14:textId="4BEFE7B0" w:rsidR="00064A78" w:rsidRPr="00EF2E8A" w:rsidRDefault="0062479B" w:rsidP="00591C83">
      <w:pPr>
        <w:spacing w:before="0" w:after="0"/>
        <w:ind w:left="720" w:hanging="720"/>
        <w:rPr>
          <w:rFonts w:ascii="Arial Narrow" w:hAnsi="Arial Narrow" w:cs="Arial"/>
          <w:snapToGrid w:val="0"/>
          <w:sz w:val="18"/>
          <w:lang w:eastAsia="en-AU"/>
        </w:rPr>
      </w:pPr>
      <w:r>
        <w:rPr>
          <w:rFonts w:ascii="Arial Narrow" w:hAnsi="Arial Narrow" w:cs="Arial"/>
          <w:noProof/>
          <w:snapToGrid w:val="0"/>
          <w:sz w:val="18"/>
          <w:lang w:eastAsia="en-AU"/>
        </w:rPr>
        <w:drawing>
          <wp:inline distT="0" distB="0" distL="0" distR="0" wp14:anchorId="0FAA1AE3" wp14:editId="3292BAAF">
            <wp:extent cx="5749290" cy="2451100"/>
            <wp:effectExtent l="0" t="0" r="3810" b="6350"/>
            <wp:docPr id="1313141248" name="Picture 2" descr="Figure 6: Survival data used in the Base Case: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41248" name="Picture 2" descr="Figure 6: Survival data used in the Base Case: O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9290" cy="2451100"/>
                    </a:xfrm>
                    <a:prstGeom prst="rect">
                      <a:avLst/>
                    </a:prstGeom>
                    <a:noFill/>
                  </pic:spPr>
                </pic:pic>
              </a:graphicData>
            </a:graphic>
          </wp:inline>
        </w:drawing>
      </w:r>
    </w:p>
    <w:p w14:paraId="1DF7FAEB" w14:textId="77777777" w:rsidR="00064A78" w:rsidRPr="00EF2E8A" w:rsidRDefault="00064A78" w:rsidP="00591C83">
      <w:pPr>
        <w:spacing w:before="0" w:after="0"/>
        <w:ind w:left="720" w:hanging="720"/>
        <w:rPr>
          <w:rFonts w:ascii="Arial Narrow" w:hAnsi="Arial Narrow" w:cs="Arial"/>
          <w:snapToGrid w:val="0"/>
          <w:sz w:val="18"/>
          <w:lang w:eastAsia="en-AU"/>
        </w:rPr>
      </w:pPr>
      <w:r w:rsidRPr="00EF2E8A">
        <w:rPr>
          <w:rFonts w:ascii="Arial Narrow" w:hAnsi="Arial Narrow" w:cs="Arial"/>
          <w:snapToGrid w:val="0"/>
          <w:sz w:val="18"/>
          <w:lang w:eastAsia="en-AU"/>
        </w:rPr>
        <w:t>Source: Figure 3.4.7, p184 of the submission.</w:t>
      </w:r>
    </w:p>
    <w:p w14:paraId="4D61BDE5" w14:textId="77777777" w:rsidR="00064A78" w:rsidRPr="00EF2E8A" w:rsidRDefault="00064A78" w:rsidP="00591C83">
      <w:pPr>
        <w:spacing w:before="0" w:after="120"/>
        <w:ind w:left="720" w:hanging="720"/>
        <w:rPr>
          <w:rFonts w:ascii="Arial Narrow" w:hAnsi="Arial Narrow" w:cs="Arial"/>
          <w:snapToGrid w:val="0"/>
          <w:sz w:val="18"/>
          <w:lang w:eastAsia="en-AU"/>
        </w:rPr>
      </w:pPr>
      <w:r w:rsidRPr="00EF2E8A">
        <w:rPr>
          <w:rFonts w:ascii="Arial Narrow" w:hAnsi="Arial Narrow" w:cs="Arial"/>
          <w:snapToGrid w:val="0"/>
          <w:sz w:val="18"/>
          <w:lang w:eastAsia="en-AU"/>
        </w:rPr>
        <w:t>OS = Overall survival; SOC = standard of care (investigators choice of chemotherapy)</w:t>
      </w:r>
    </w:p>
    <w:p w14:paraId="6DEC716F" w14:textId="5D9D7071" w:rsidR="005D5E13" w:rsidRPr="00EF2E8A" w:rsidRDefault="005D5E13" w:rsidP="00591C83">
      <w:pPr>
        <w:pStyle w:val="ListParagraph"/>
        <w:rPr>
          <w:color w:val="3366FF"/>
        </w:rPr>
      </w:pPr>
      <w:r w:rsidRPr="00EF2E8A">
        <w:t>The</w:t>
      </w:r>
      <w:r w:rsidR="00D06B89" w:rsidRPr="00EF2E8A">
        <w:t xml:space="preserve"> evaluation considered that the</w:t>
      </w:r>
      <w:r w:rsidRPr="00EF2E8A">
        <w:t xml:space="preserve"> </w:t>
      </w:r>
      <w:r w:rsidR="009B585E" w:rsidRPr="00EF2E8A">
        <w:t>chosen</w:t>
      </w:r>
      <w:r w:rsidRPr="00EF2E8A">
        <w:t xml:space="preserve"> parametric survival models in the base case for ICC (PFS and OS) and MIRV (PFS) were reasonable. </w:t>
      </w:r>
      <w:r w:rsidR="004E398E" w:rsidRPr="00EF2E8A">
        <w:t>T</w:t>
      </w:r>
      <w:r w:rsidRPr="00EF2E8A">
        <w:t>he Log</w:t>
      </w:r>
      <w:r w:rsidR="00A46D2B">
        <w:noBreakHyphen/>
      </w:r>
      <w:r w:rsidRPr="00EF2E8A">
        <w:t xml:space="preserve">logistic model for OS for MIRV, ranked second best fit per AIC/BIC statistics but </w:t>
      </w:r>
      <w:r w:rsidR="009B585E" w:rsidRPr="00EF2E8A">
        <w:t>was</w:t>
      </w:r>
      <w:r w:rsidRPr="00EF2E8A">
        <w:t xml:space="preserve"> deemed by the submission to be a better fit over the observed period (based on visual assessment) than the gamma survival model (best fit based on Akaike Information Criterion [AIC]/ Bayesian Information Criterion [BIC])</w:t>
      </w:r>
      <w:r w:rsidR="00D653E6" w:rsidRPr="00EF2E8A">
        <w:t>. The evalua</w:t>
      </w:r>
      <w:r w:rsidR="007C0D55" w:rsidRPr="00EF2E8A">
        <w:t>tion considered the choice of the Log</w:t>
      </w:r>
      <w:r w:rsidR="00A46D2B">
        <w:noBreakHyphen/>
      </w:r>
      <w:r w:rsidR="007C0D55" w:rsidRPr="00EF2E8A">
        <w:t>logistic model for MIRV OS</w:t>
      </w:r>
      <w:r w:rsidRPr="00EF2E8A">
        <w:t xml:space="preserve"> was not well justified</w:t>
      </w:r>
      <w:r w:rsidR="00D667F3" w:rsidRPr="00EF2E8A">
        <w:t xml:space="preserve"> and noted</w:t>
      </w:r>
      <w:r w:rsidR="00D06B89" w:rsidRPr="00EF2E8A">
        <w:rPr>
          <w:bCs/>
        </w:rPr>
        <w:t xml:space="preserve"> the</w:t>
      </w:r>
      <w:r w:rsidRPr="00EF2E8A">
        <w:rPr>
          <w:bCs/>
        </w:rPr>
        <w:t xml:space="preserve"> gamma survival model </w:t>
      </w:r>
      <w:r w:rsidR="00D667F3" w:rsidRPr="00EF2E8A">
        <w:rPr>
          <w:bCs/>
        </w:rPr>
        <w:t>provides</w:t>
      </w:r>
      <w:r w:rsidRPr="00EF2E8A">
        <w:rPr>
          <w:bCs/>
        </w:rPr>
        <w:t xml:space="preserve"> a more conservative estimate </w:t>
      </w:r>
      <w:r w:rsidR="00D667F3" w:rsidRPr="00EF2E8A">
        <w:rPr>
          <w:bCs/>
        </w:rPr>
        <w:t xml:space="preserve">consistent with </w:t>
      </w:r>
      <w:r w:rsidRPr="00EF2E8A">
        <w:rPr>
          <w:bCs/>
        </w:rPr>
        <w:t>the poor prognosis of patients with PROC</w:t>
      </w:r>
      <w:r w:rsidR="00D667F3" w:rsidRPr="00EF2E8A">
        <w:rPr>
          <w:bCs/>
        </w:rPr>
        <w:t xml:space="preserve">. The </w:t>
      </w:r>
      <w:r w:rsidRPr="00EF2E8A">
        <w:rPr>
          <w:bCs/>
        </w:rPr>
        <w:t>use of the Log</w:t>
      </w:r>
      <w:r w:rsidR="00A46D2B">
        <w:rPr>
          <w:bCs/>
        </w:rPr>
        <w:noBreakHyphen/>
      </w:r>
      <w:r w:rsidRPr="00EF2E8A">
        <w:rPr>
          <w:bCs/>
        </w:rPr>
        <w:t>logistic model results in an estimated 4% of patients in the MIRV arm remaining alive at the end of the model time</w:t>
      </w:r>
      <w:r w:rsidR="00A46D2B">
        <w:rPr>
          <w:bCs/>
        </w:rPr>
        <w:noBreakHyphen/>
      </w:r>
      <w:r w:rsidRPr="00EF2E8A">
        <w:rPr>
          <w:bCs/>
        </w:rPr>
        <w:t xml:space="preserve">horizon (10 years), while use of the gamma model results in no patients remaining alive after approximately 7.8 years – </w:t>
      </w:r>
      <w:r w:rsidR="00D27082" w:rsidRPr="00EF2E8A">
        <w:rPr>
          <w:bCs/>
        </w:rPr>
        <w:t>s</w:t>
      </w:r>
      <w:r w:rsidRPr="00EF2E8A">
        <w:rPr>
          <w:bCs/>
        </w:rPr>
        <w:t>ee</w:t>
      </w:r>
      <w:r w:rsidR="00EF6E37" w:rsidRPr="00EF2E8A">
        <w:rPr>
          <w:bCs/>
        </w:rPr>
        <w:t xml:space="preserve"> </w:t>
      </w:r>
      <w:r w:rsidR="000C7336">
        <w:rPr>
          <w:bCs/>
        </w:rPr>
        <w:fldChar w:fldCharType="begin" w:fldLock="1"/>
      </w:r>
      <w:r w:rsidR="000C7336">
        <w:rPr>
          <w:bCs/>
        </w:rPr>
        <w:instrText xml:space="preserve"> REF _Ref205198843 \h </w:instrText>
      </w:r>
      <w:r w:rsidR="000C7336">
        <w:rPr>
          <w:bCs/>
        </w:rPr>
      </w:r>
      <w:r w:rsidR="000C7336">
        <w:rPr>
          <w:bCs/>
        </w:rPr>
        <w:fldChar w:fldCharType="separate"/>
      </w:r>
      <w:r w:rsidR="00CC5CAD">
        <w:t xml:space="preserve">Figure </w:t>
      </w:r>
      <w:r w:rsidR="00CC5CAD">
        <w:rPr>
          <w:noProof/>
        </w:rPr>
        <w:t>7</w:t>
      </w:r>
      <w:r w:rsidR="000C7336">
        <w:rPr>
          <w:bCs/>
        </w:rPr>
        <w:fldChar w:fldCharType="end"/>
      </w:r>
      <w:r w:rsidR="00E4188D" w:rsidRPr="00EF2E8A">
        <w:rPr>
          <w:bCs/>
        </w:rPr>
        <w:fldChar w:fldCharType="begin" w:fldLock="1"/>
      </w:r>
      <w:r w:rsidR="00E4188D" w:rsidRPr="00EF2E8A">
        <w:rPr>
          <w:bCs/>
        </w:rPr>
        <w:instrText xml:space="preserve"> REF _Ref198639251 \h </w:instrText>
      </w:r>
      <w:r w:rsidR="00D06B89" w:rsidRPr="00EF2E8A">
        <w:rPr>
          <w:bCs/>
        </w:rPr>
        <w:instrText xml:space="preserve"> \* MERGEFORMAT </w:instrText>
      </w:r>
      <w:r w:rsidR="00E4188D" w:rsidRPr="00EF2E8A">
        <w:rPr>
          <w:bCs/>
        </w:rPr>
      </w:r>
      <w:r w:rsidR="00E4188D" w:rsidRPr="00EF2E8A">
        <w:rPr>
          <w:bCs/>
        </w:rPr>
        <w:fldChar w:fldCharType="end"/>
      </w:r>
      <w:r w:rsidRPr="00EF2E8A">
        <w:rPr>
          <w:bCs/>
        </w:rPr>
        <w:t>. The choice of the log</w:t>
      </w:r>
      <w:r w:rsidR="00A46D2B">
        <w:rPr>
          <w:bCs/>
        </w:rPr>
        <w:noBreakHyphen/>
      </w:r>
      <w:r w:rsidRPr="00EF2E8A">
        <w:rPr>
          <w:bCs/>
        </w:rPr>
        <w:t>logistic survival model for extrapolation of OS data for MIRV was a key driver of the ICER, favouring MIRV.</w:t>
      </w:r>
      <w:r w:rsidR="001C4C57" w:rsidRPr="00EF2E8A">
        <w:rPr>
          <w:bCs/>
        </w:rPr>
        <w:t xml:space="preserve"> The PSCR</w:t>
      </w:r>
      <w:r w:rsidR="00B65B3F">
        <w:rPr>
          <w:bCs/>
        </w:rPr>
        <w:t xml:space="preserve"> </w:t>
      </w:r>
      <w:r w:rsidR="001C4C57" w:rsidRPr="00EF2E8A">
        <w:rPr>
          <w:bCs/>
        </w:rPr>
        <w:t>contended that from approximately 18 months onward, the Gamma model begins to underestimate the observed OS benefit reported for MIRV, while the Log</w:t>
      </w:r>
      <w:r w:rsidR="00A46D2B">
        <w:rPr>
          <w:bCs/>
        </w:rPr>
        <w:noBreakHyphen/>
      </w:r>
      <w:r w:rsidR="001C4C57" w:rsidRPr="00EF2E8A">
        <w:rPr>
          <w:bCs/>
        </w:rPr>
        <w:t xml:space="preserve">logistic model continues to align closely with the observed data. </w:t>
      </w:r>
      <w:r w:rsidR="00D25ADE" w:rsidRPr="00EF2E8A">
        <w:rPr>
          <w:bCs/>
        </w:rPr>
        <w:t>T</w:t>
      </w:r>
      <w:r w:rsidR="001C4C57" w:rsidRPr="00EF2E8A">
        <w:rPr>
          <w:bCs/>
        </w:rPr>
        <w:t xml:space="preserve">he ESCs considered that the Gamma </w:t>
      </w:r>
      <w:r w:rsidR="00D25ADE" w:rsidRPr="00EF2E8A">
        <w:rPr>
          <w:bCs/>
        </w:rPr>
        <w:t>function</w:t>
      </w:r>
      <w:r w:rsidR="001C4C57" w:rsidRPr="00EF2E8A">
        <w:rPr>
          <w:bCs/>
        </w:rPr>
        <w:t xml:space="preserve"> </w:t>
      </w:r>
      <w:r w:rsidR="00773357" w:rsidRPr="00EF2E8A">
        <w:rPr>
          <w:bCs/>
        </w:rPr>
        <w:t>provides more clinically plausible estimates</w:t>
      </w:r>
      <w:r w:rsidR="0056456A" w:rsidRPr="00EF2E8A">
        <w:rPr>
          <w:bCs/>
        </w:rPr>
        <w:t xml:space="preserve"> of OS for patients with </w:t>
      </w:r>
      <w:r w:rsidR="00B51F7B" w:rsidRPr="00EF2E8A">
        <w:rPr>
          <w:bCs/>
        </w:rPr>
        <w:t>PROC</w:t>
      </w:r>
      <w:r w:rsidR="00D25ADE" w:rsidRPr="00EF2E8A">
        <w:rPr>
          <w:bCs/>
        </w:rPr>
        <w:t>. The ESCs</w:t>
      </w:r>
      <w:r w:rsidR="001C4C57" w:rsidRPr="00EF2E8A">
        <w:rPr>
          <w:bCs/>
        </w:rPr>
        <w:t xml:space="preserve"> </w:t>
      </w:r>
      <w:r w:rsidR="000E15B5" w:rsidRPr="00EF2E8A">
        <w:rPr>
          <w:bCs/>
        </w:rPr>
        <w:t>not</w:t>
      </w:r>
      <w:r w:rsidR="00EE2193" w:rsidRPr="00EF2E8A">
        <w:rPr>
          <w:bCs/>
        </w:rPr>
        <w:t>ed</w:t>
      </w:r>
      <w:r w:rsidR="000E15B5" w:rsidRPr="00EF2E8A">
        <w:rPr>
          <w:bCs/>
        </w:rPr>
        <w:t xml:space="preserve"> that </w:t>
      </w:r>
      <w:r w:rsidR="00404289" w:rsidRPr="00EF2E8A">
        <w:rPr>
          <w:bCs/>
        </w:rPr>
        <w:t xml:space="preserve">the </w:t>
      </w:r>
      <w:r w:rsidR="00D25ADE" w:rsidRPr="00EF2E8A">
        <w:rPr>
          <w:bCs/>
        </w:rPr>
        <w:t xml:space="preserve">observed data at </w:t>
      </w:r>
      <w:r w:rsidR="00EE2193" w:rsidRPr="00EF2E8A">
        <w:rPr>
          <w:bCs/>
        </w:rPr>
        <w:t>18 months</w:t>
      </w:r>
      <w:r w:rsidR="00D25ADE" w:rsidRPr="00EF2E8A">
        <w:rPr>
          <w:bCs/>
        </w:rPr>
        <w:t xml:space="preserve"> also likely to be unreliable due to the small </w:t>
      </w:r>
      <w:r w:rsidR="00404289" w:rsidRPr="00EF2E8A">
        <w:rPr>
          <w:bCs/>
        </w:rPr>
        <w:t xml:space="preserve">number of patients </w:t>
      </w:r>
      <w:r w:rsidR="00D25ADE" w:rsidRPr="00EF2E8A">
        <w:rPr>
          <w:bCs/>
        </w:rPr>
        <w:t>remaining event</w:t>
      </w:r>
      <w:r w:rsidR="00A46D2B">
        <w:rPr>
          <w:bCs/>
        </w:rPr>
        <w:noBreakHyphen/>
      </w:r>
      <w:r w:rsidR="00D25ADE" w:rsidRPr="00EF2E8A">
        <w:rPr>
          <w:bCs/>
        </w:rPr>
        <w:t>free</w:t>
      </w:r>
      <w:r w:rsidR="00D3196C" w:rsidRPr="00EF2E8A">
        <w:rPr>
          <w:bCs/>
        </w:rPr>
        <w:t xml:space="preserve"> (based on the March 2023 data cut used in the economic model)</w:t>
      </w:r>
      <w:r w:rsidR="001C4C57" w:rsidRPr="00EF2E8A">
        <w:rPr>
          <w:bCs/>
        </w:rPr>
        <w:t xml:space="preserve">. Further, the ESCs noted that for OS and PFS, convergence was not assumed to occur within the modelled time horizon, which </w:t>
      </w:r>
      <w:r w:rsidR="007A1A74" w:rsidRPr="00EF2E8A">
        <w:rPr>
          <w:bCs/>
        </w:rPr>
        <w:t>demonstrates</w:t>
      </w:r>
      <w:r w:rsidR="001C4C57" w:rsidRPr="00EF2E8A">
        <w:t xml:space="preserve"> </w:t>
      </w:r>
      <w:r w:rsidR="00890373" w:rsidRPr="00EF2E8A">
        <w:rPr>
          <w:bCs/>
        </w:rPr>
        <w:t xml:space="preserve">the uncertainty associated with </w:t>
      </w:r>
      <w:r w:rsidR="00305513" w:rsidRPr="00EF2E8A">
        <w:rPr>
          <w:bCs/>
        </w:rPr>
        <w:t>extrapolation</w:t>
      </w:r>
      <w:r w:rsidR="00283C30" w:rsidRPr="00EF2E8A">
        <w:rPr>
          <w:bCs/>
        </w:rPr>
        <w:t xml:space="preserve"> function</w:t>
      </w:r>
      <w:r w:rsidR="00B510CE" w:rsidRPr="00EF2E8A">
        <w:rPr>
          <w:bCs/>
        </w:rPr>
        <w:t>s</w:t>
      </w:r>
      <w:r w:rsidR="00305513" w:rsidRPr="00EF2E8A">
        <w:rPr>
          <w:bCs/>
        </w:rPr>
        <w:t xml:space="preserve"> chose</w:t>
      </w:r>
      <w:r w:rsidR="00283C30" w:rsidRPr="00EF2E8A">
        <w:rPr>
          <w:bCs/>
        </w:rPr>
        <w:t>n</w:t>
      </w:r>
      <w:r w:rsidR="00305513" w:rsidRPr="00EF2E8A">
        <w:rPr>
          <w:bCs/>
        </w:rPr>
        <w:t xml:space="preserve"> and </w:t>
      </w:r>
      <w:r w:rsidR="00B510CE" w:rsidRPr="00EF2E8A">
        <w:rPr>
          <w:bCs/>
        </w:rPr>
        <w:t xml:space="preserve">their </w:t>
      </w:r>
      <w:r w:rsidR="007A1A74" w:rsidRPr="00EF2E8A">
        <w:rPr>
          <w:bCs/>
        </w:rPr>
        <w:t>application over</w:t>
      </w:r>
      <w:r w:rsidR="00305513" w:rsidRPr="00EF2E8A">
        <w:rPr>
          <w:bCs/>
        </w:rPr>
        <w:t xml:space="preserve"> a</w:t>
      </w:r>
      <w:r w:rsidR="001C4C57" w:rsidRPr="00EF2E8A">
        <w:rPr>
          <w:bCs/>
        </w:rPr>
        <w:t xml:space="preserve"> </w:t>
      </w:r>
      <w:r w:rsidR="00F22DE3" w:rsidRPr="00EF2E8A">
        <w:rPr>
          <w:bCs/>
        </w:rPr>
        <w:t>10</w:t>
      </w:r>
      <w:r w:rsidR="00A46D2B">
        <w:rPr>
          <w:bCs/>
        </w:rPr>
        <w:noBreakHyphen/>
      </w:r>
      <w:r w:rsidR="00F22DE3" w:rsidRPr="00EF2E8A">
        <w:rPr>
          <w:bCs/>
        </w:rPr>
        <w:t>year</w:t>
      </w:r>
      <w:r w:rsidR="001C4C57" w:rsidRPr="00EF2E8A">
        <w:rPr>
          <w:bCs/>
        </w:rPr>
        <w:t xml:space="preserve"> time frame. </w:t>
      </w:r>
      <w:r w:rsidR="00251B36" w:rsidRPr="00EF2E8A">
        <w:rPr>
          <w:bCs/>
        </w:rPr>
        <w:t>T</w:t>
      </w:r>
      <w:r w:rsidR="001C4C57" w:rsidRPr="00EF2E8A">
        <w:rPr>
          <w:bCs/>
        </w:rPr>
        <w:t xml:space="preserve">he ESCs considered </w:t>
      </w:r>
      <w:r w:rsidR="00741702" w:rsidRPr="00EF2E8A">
        <w:rPr>
          <w:bCs/>
        </w:rPr>
        <w:t>that i</w:t>
      </w:r>
      <w:r w:rsidR="00B117F3" w:rsidRPr="00EF2E8A">
        <w:rPr>
          <w:bCs/>
        </w:rPr>
        <w:t>t</w:t>
      </w:r>
      <w:r w:rsidR="00741702" w:rsidRPr="00EF2E8A">
        <w:rPr>
          <w:bCs/>
        </w:rPr>
        <w:t xml:space="preserve"> was unclear why the more mature KM data from the September 2024 data cut (as per </w:t>
      </w:r>
      <w:r w:rsidR="00037126">
        <w:rPr>
          <w:bCs/>
        </w:rPr>
        <w:fldChar w:fldCharType="begin" w:fldLock="1"/>
      </w:r>
      <w:r w:rsidR="00037126">
        <w:rPr>
          <w:bCs/>
        </w:rPr>
        <w:instrText xml:space="preserve"> REF _Ref205198056 \h </w:instrText>
      </w:r>
      <w:r w:rsidR="00037126">
        <w:rPr>
          <w:bCs/>
        </w:rPr>
      </w:r>
      <w:r w:rsidR="00037126">
        <w:rPr>
          <w:bCs/>
        </w:rPr>
        <w:fldChar w:fldCharType="separate"/>
      </w:r>
      <w:r w:rsidR="00CC5CAD">
        <w:t xml:space="preserve">Figure </w:t>
      </w:r>
      <w:r w:rsidR="00CC5CAD">
        <w:rPr>
          <w:noProof/>
        </w:rPr>
        <w:t>4</w:t>
      </w:r>
      <w:r w:rsidR="00037126">
        <w:rPr>
          <w:bCs/>
        </w:rPr>
        <w:fldChar w:fldCharType="end"/>
      </w:r>
      <w:r w:rsidR="00741702" w:rsidRPr="00EF2E8A">
        <w:rPr>
          <w:bCs/>
        </w:rPr>
        <w:t>) were not applied in the model</w:t>
      </w:r>
      <w:r w:rsidR="00B117F3" w:rsidRPr="00EF2E8A">
        <w:rPr>
          <w:bCs/>
        </w:rPr>
        <w:t>, as this would provide</w:t>
      </w:r>
      <w:r w:rsidR="00581072" w:rsidRPr="00EF2E8A">
        <w:rPr>
          <w:bCs/>
        </w:rPr>
        <w:t xml:space="preserve"> greater confidence in the modelled OS</w:t>
      </w:r>
      <w:r w:rsidR="00B117F3" w:rsidRPr="00EF2E8A">
        <w:rPr>
          <w:bCs/>
        </w:rPr>
        <w:t xml:space="preserve">. </w:t>
      </w:r>
      <w:r w:rsidR="00581072" w:rsidRPr="00EF2E8A">
        <w:rPr>
          <w:bCs/>
        </w:rPr>
        <w:t>T</w:t>
      </w:r>
      <w:r w:rsidR="008D37F0" w:rsidRPr="00EF2E8A">
        <w:rPr>
          <w:bCs/>
        </w:rPr>
        <w:t>h</w:t>
      </w:r>
      <w:r w:rsidR="00581072" w:rsidRPr="00EF2E8A">
        <w:rPr>
          <w:bCs/>
        </w:rPr>
        <w:t xml:space="preserve">e ESCs considered </w:t>
      </w:r>
      <w:r w:rsidR="001C4C57" w:rsidRPr="00EF2E8A">
        <w:rPr>
          <w:bCs/>
        </w:rPr>
        <w:t>that g</w:t>
      </w:r>
      <w:r w:rsidR="001C4C57" w:rsidRPr="00EF2E8A">
        <w:rPr>
          <w:rFonts w:ascii="Calibri" w:hAnsi="Calibri" w:cstheme="minorHAnsi"/>
          <w:bCs/>
        </w:rPr>
        <w:t>iven</w:t>
      </w:r>
      <w:r w:rsidR="00581072" w:rsidRPr="00EF2E8A">
        <w:rPr>
          <w:rFonts w:ascii="Calibri" w:hAnsi="Calibri" w:cstheme="minorHAnsi"/>
          <w:bCs/>
        </w:rPr>
        <w:t xml:space="preserve"> the </w:t>
      </w:r>
      <w:r w:rsidR="002E60A8">
        <w:rPr>
          <w:rFonts w:ascii="Calibri" w:hAnsi="Calibri" w:cstheme="minorHAnsi"/>
          <w:bCs/>
        </w:rPr>
        <w:t>g</w:t>
      </w:r>
      <w:r w:rsidR="00581072" w:rsidRPr="00EF2E8A">
        <w:rPr>
          <w:rFonts w:ascii="Calibri" w:hAnsi="Calibri" w:cstheme="minorHAnsi"/>
          <w:bCs/>
        </w:rPr>
        <w:t>amma</w:t>
      </w:r>
      <w:r w:rsidR="001C4C57" w:rsidRPr="00EF2E8A">
        <w:rPr>
          <w:rFonts w:ascii="Calibri" w:hAnsi="Calibri" w:cstheme="minorHAnsi"/>
          <w:bCs/>
        </w:rPr>
        <w:t xml:space="preserve"> </w:t>
      </w:r>
      <w:r w:rsidR="00581072" w:rsidRPr="00EF2E8A">
        <w:rPr>
          <w:rFonts w:ascii="Calibri" w:hAnsi="Calibri" w:cstheme="minorHAnsi"/>
          <w:bCs/>
        </w:rPr>
        <w:t xml:space="preserve">extrapolation provided more </w:t>
      </w:r>
      <w:r w:rsidR="00B123BF" w:rsidRPr="00EF2E8A">
        <w:rPr>
          <w:rFonts w:ascii="Calibri" w:hAnsi="Calibri" w:cstheme="minorHAnsi"/>
          <w:bCs/>
        </w:rPr>
        <w:t>clinically plausible estimates of survival</w:t>
      </w:r>
      <w:r w:rsidR="00FB2F88" w:rsidRPr="00EF2E8A">
        <w:rPr>
          <w:rFonts w:ascii="Calibri" w:hAnsi="Calibri" w:cstheme="minorHAnsi"/>
          <w:bCs/>
        </w:rPr>
        <w:t xml:space="preserve">, </w:t>
      </w:r>
      <w:r w:rsidR="001C4C57" w:rsidRPr="00EF2E8A">
        <w:rPr>
          <w:rFonts w:ascii="Calibri" w:hAnsi="Calibri" w:cstheme="minorHAnsi"/>
          <w:bCs/>
        </w:rPr>
        <w:t xml:space="preserve">the more conservative </w:t>
      </w:r>
      <w:r w:rsidR="00D25ADE" w:rsidRPr="00EF2E8A">
        <w:rPr>
          <w:rFonts w:ascii="Calibri" w:hAnsi="Calibri" w:cstheme="minorHAnsi"/>
          <w:bCs/>
        </w:rPr>
        <w:t xml:space="preserve">function </w:t>
      </w:r>
      <w:r w:rsidR="008D37F0" w:rsidRPr="00EF2E8A">
        <w:rPr>
          <w:rFonts w:ascii="Calibri" w:hAnsi="Calibri" w:cstheme="minorHAnsi"/>
          <w:bCs/>
        </w:rPr>
        <w:t>was more appropriate</w:t>
      </w:r>
      <w:r w:rsidR="001C4C57" w:rsidRPr="00EF2E8A">
        <w:rPr>
          <w:rFonts w:ascii="Calibri" w:hAnsi="Calibri" w:cstheme="minorHAnsi"/>
          <w:bCs/>
        </w:rPr>
        <w:t>.</w:t>
      </w:r>
      <w:r w:rsidR="00AD7553">
        <w:rPr>
          <w:rFonts w:ascii="Calibri" w:hAnsi="Calibri" w:cstheme="minorHAnsi"/>
          <w:bCs/>
        </w:rPr>
        <w:t xml:space="preserve"> The Pre</w:t>
      </w:r>
      <w:r w:rsidR="00A46D2B">
        <w:rPr>
          <w:rFonts w:ascii="Calibri" w:hAnsi="Calibri" w:cstheme="minorHAnsi"/>
          <w:bCs/>
        </w:rPr>
        <w:noBreakHyphen/>
      </w:r>
      <w:r w:rsidR="00AD7553">
        <w:rPr>
          <w:rFonts w:ascii="Calibri" w:hAnsi="Calibri" w:cstheme="minorHAnsi"/>
          <w:bCs/>
        </w:rPr>
        <w:t>PBAC response</w:t>
      </w:r>
      <w:r w:rsidR="00B65B3F">
        <w:rPr>
          <w:rFonts w:ascii="Calibri" w:hAnsi="Calibri" w:cstheme="minorHAnsi"/>
          <w:bCs/>
        </w:rPr>
        <w:t xml:space="preserve"> </w:t>
      </w:r>
      <w:r w:rsidR="00AD7553">
        <w:rPr>
          <w:rFonts w:ascii="Calibri" w:hAnsi="Calibri" w:cstheme="minorHAnsi"/>
          <w:bCs/>
        </w:rPr>
        <w:t xml:space="preserve">maintained that </w:t>
      </w:r>
      <w:r w:rsidR="00E733EB">
        <w:rPr>
          <w:rFonts w:ascii="Calibri" w:hAnsi="Calibri" w:cstheme="minorHAnsi"/>
          <w:bCs/>
        </w:rPr>
        <w:t>‘</w:t>
      </w:r>
      <w:r w:rsidR="00AD7553">
        <w:rPr>
          <w:rFonts w:ascii="Calibri" w:hAnsi="Calibri" w:cstheme="minorHAnsi"/>
          <w:bCs/>
        </w:rPr>
        <w:t xml:space="preserve">the application </w:t>
      </w:r>
      <w:r w:rsidR="00E733EB" w:rsidRPr="00E733EB">
        <w:rPr>
          <w:rFonts w:ascii="Calibri" w:hAnsi="Calibri" w:cstheme="minorHAnsi"/>
          <w:bCs/>
        </w:rPr>
        <w:t>of the gamma distribution for MIRV OS as suggested in the ESC advice is not supported by 5</w:t>
      </w:r>
      <w:r w:rsidR="00A46D2B">
        <w:rPr>
          <w:rFonts w:ascii="Calibri" w:hAnsi="Calibri" w:cstheme="minorHAnsi"/>
          <w:bCs/>
        </w:rPr>
        <w:noBreakHyphen/>
      </w:r>
      <w:r w:rsidR="00E733EB" w:rsidRPr="00E733EB">
        <w:rPr>
          <w:rFonts w:ascii="Calibri" w:hAnsi="Calibri" w:cstheme="minorHAnsi"/>
          <w:bCs/>
        </w:rPr>
        <w:t xml:space="preserve">year survival rates for patients with PROC reported in Australian </w:t>
      </w:r>
      <w:r w:rsidR="00E733EB" w:rsidRPr="00E733EB">
        <w:rPr>
          <w:rFonts w:ascii="Calibri" w:hAnsi="Calibri" w:cstheme="minorHAnsi"/>
          <w:bCs/>
        </w:rPr>
        <w:lastRenderedPageBreak/>
        <w:t>registry data: 21% (from start of first systemic treatment) and 7% (from date of platinum resistance)</w:t>
      </w:r>
      <w:r w:rsidR="00E733EB">
        <w:rPr>
          <w:rFonts w:ascii="Calibri" w:hAnsi="Calibri" w:cstheme="minorHAnsi"/>
          <w:bCs/>
        </w:rPr>
        <w:t>’</w:t>
      </w:r>
      <w:r w:rsidR="00E733EB" w:rsidRPr="00E733EB">
        <w:rPr>
          <w:rFonts w:ascii="Calibri" w:hAnsi="Calibri" w:cstheme="minorHAnsi"/>
          <w:bCs/>
        </w:rPr>
        <w:t>.</w:t>
      </w:r>
    </w:p>
    <w:p w14:paraId="155D37B9" w14:textId="555E7861" w:rsidR="00F87A14" w:rsidRDefault="00F87A14" w:rsidP="00591C83">
      <w:pPr>
        <w:pStyle w:val="Caption"/>
        <w:jc w:val="both"/>
      </w:pPr>
      <w:bookmarkStart w:id="74" w:name="_Ref205198843"/>
      <w:r>
        <w:t xml:space="preserve">Figure </w:t>
      </w:r>
      <w:r w:rsidR="00CC5CAD">
        <w:fldChar w:fldCharType="begin" w:fldLock="1"/>
      </w:r>
      <w:r w:rsidR="00CC5CAD">
        <w:instrText xml:space="preserve"> SEQ Figure \* ARABIC </w:instrText>
      </w:r>
      <w:r w:rsidR="00CC5CAD">
        <w:fldChar w:fldCharType="separate"/>
      </w:r>
      <w:r w:rsidR="00CC5CAD">
        <w:rPr>
          <w:noProof/>
        </w:rPr>
        <w:t>7</w:t>
      </w:r>
      <w:r w:rsidR="00CC5CAD">
        <w:rPr>
          <w:noProof/>
        </w:rPr>
        <w:fldChar w:fldCharType="end"/>
      </w:r>
      <w:bookmarkEnd w:id="74"/>
      <w:r>
        <w:t xml:space="preserve">: </w:t>
      </w:r>
      <w:r w:rsidRPr="00522668">
        <w:t>Extrapolation of OS Data Reported in MIRASOL: MIRV</w:t>
      </w:r>
    </w:p>
    <w:p w14:paraId="1C8F6860" w14:textId="6D42B275" w:rsidR="005D5E13" w:rsidRPr="00EF2E8A" w:rsidRDefault="00D32EF0" w:rsidP="00591C83">
      <w:pPr>
        <w:spacing w:before="0" w:after="0"/>
        <w:rPr>
          <w:color w:val="3366FF"/>
        </w:rPr>
      </w:pPr>
      <w:r w:rsidRPr="00EF2E8A">
        <w:rPr>
          <w:noProof/>
        </w:rPr>
        <w:drawing>
          <wp:inline distT="0" distB="0" distL="0" distR="0" wp14:anchorId="32C52332" wp14:editId="0AA700F6">
            <wp:extent cx="5731510" cy="3239135"/>
            <wp:effectExtent l="0" t="0" r="2540" b="0"/>
            <wp:docPr id="1283507957" name="Picture 1" descr="Figure 7: Extrapolation of OS Data Reported in MIRASOL: MI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07957" name="Picture 1" descr="Figure 7: Extrapolation of OS Data Reported in MIRASOL: MIRV"/>
                    <pic:cNvPicPr/>
                  </pic:nvPicPr>
                  <pic:blipFill>
                    <a:blip r:embed="rId16"/>
                    <a:stretch>
                      <a:fillRect/>
                    </a:stretch>
                  </pic:blipFill>
                  <pic:spPr>
                    <a:xfrm>
                      <a:off x="0" y="0"/>
                      <a:ext cx="5731510" cy="3239135"/>
                    </a:xfrm>
                    <a:prstGeom prst="rect">
                      <a:avLst/>
                    </a:prstGeom>
                  </pic:spPr>
                </pic:pic>
              </a:graphicData>
            </a:graphic>
          </wp:inline>
        </w:drawing>
      </w:r>
    </w:p>
    <w:p w14:paraId="44A3E1CC" w14:textId="77777777" w:rsidR="005D5E13" w:rsidRPr="00EF2E8A" w:rsidRDefault="005D5E13"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Source: Sheet ‘Parametric Curves’ from the economic workbook.</w:t>
      </w:r>
    </w:p>
    <w:p w14:paraId="5E1A2E6B" w14:textId="39E29DCE" w:rsidR="005D5E13" w:rsidRPr="00EF2E8A" w:rsidRDefault="005D5E13"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 xml:space="preserve">MIRV = </w:t>
      </w:r>
      <w:r w:rsidR="00EB42B1" w:rsidRPr="00EF2E8A">
        <w:rPr>
          <w:rFonts w:ascii="Arial Narrow" w:eastAsia="Times New Roman" w:hAnsi="Arial Narrow" w:cs="Arial"/>
          <w:snapToGrid w:val="0"/>
          <w:sz w:val="18"/>
          <w:szCs w:val="20"/>
        </w:rPr>
        <w:t>mirvetuximab</w:t>
      </w:r>
      <w:r w:rsidRPr="00EF2E8A">
        <w:rPr>
          <w:rFonts w:ascii="Arial Narrow" w:eastAsia="Times New Roman" w:hAnsi="Arial Narrow" w:cs="Arial"/>
          <w:snapToGrid w:val="0"/>
          <w:sz w:val="18"/>
          <w:szCs w:val="20"/>
        </w:rPr>
        <w:t xml:space="preserve"> soravtansine; OS = overall survival.</w:t>
      </w:r>
    </w:p>
    <w:p w14:paraId="619F5658" w14:textId="70B8BAED" w:rsidR="005D5E13" w:rsidRPr="00EF2E8A" w:rsidRDefault="005D5E13" w:rsidP="00591C83">
      <w:pPr>
        <w:pStyle w:val="ListParagraph"/>
      </w:pPr>
      <w:r w:rsidRPr="00EF2E8A">
        <w:t>For the base case, the submission used treatment</w:t>
      </w:r>
      <w:r w:rsidR="00A46D2B">
        <w:noBreakHyphen/>
      </w:r>
      <w:r w:rsidRPr="00EF2E8A">
        <w:t>dependent utility values derived from EQ</w:t>
      </w:r>
      <w:r w:rsidR="00A46D2B">
        <w:noBreakHyphen/>
      </w:r>
      <w:r w:rsidRPr="00EF2E8A">
        <w:t>5D</w:t>
      </w:r>
      <w:r w:rsidR="00A46D2B">
        <w:noBreakHyphen/>
      </w:r>
      <w:r w:rsidRPr="00EF2E8A">
        <w:t>5L data (applying the UK value set) from the MIRASOL trial for both pre</w:t>
      </w:r>
      <w:r w:rsidR="00A46D2B">
        <w:noBreakHyphen/>
      </w:r>
      <w:r w:rsidRPr="00EF2E8A">
        <w:t>progression and post</w:t>
      </w:r>
      <w:r w:rsidR="00A46D2B">
        <w:noBreakHyphen/>
      </w:r>
      <w:r w:rsidRPr="00EF2E8A">
        <w:t>progression health states. The submission stated that this approach was reasonable given the difference in patient reported outcomes reported in MIRASOL (in favour of MIRV), as well as the differing adverse event (AE) profile reported for patients treated with MIRV and ICC</w:t>
      </w:r>
      <w:r w:rsidR="002065D3" w:rsidRPr="00EF2E8A">
        <w:t xml:space="preserve">, however the </w:t>
      </w:r>
      <w:r w:rsidR="00CB1024" w:rsidRPr="00EF2E8A">
        <w:t xml:space="preserve">ESCs </w:t>
      </w:r>
      <w:r w:rsidR="00B64CF6" w:rsidRPr="00EF2E8A">
        <w:t>considered</w:t>
      </w:r>
      <w:r w:rsidR="00CB1024" w:rsidRPr="00EF2E8A">
        <w:t xml:space="preserve"> that </w:t>
      </w:r>
      <w:r w:rsidR="00B64CF6" w:rsidRPr="00EF2E8A">
        <w:t xml:space="preserve">the ocular AEs associated with MIRV </w:t>
      </w:r>
      <w:r w:rsidR="00FF03FF" w:rsidRPr="00EF2E8A">
        <w:t>likely to significantly impact QoL</w:t>
      </w:r>
      <w:r w:rsidRPr="00EF2E8A">
        <w:t xml:space="preserve">. The submission assumed that utility values for patients treated with BEVA + ICC were equal to utility values for patients treated with ICC in MIRASOL, stating that this is a conservative approach as it assumes there is no disutility from </w:t>
      </w:r>
      <w:r w:rsidR="009D159D" w:rsidRPr="00EF2E8A">
        <w:t>AEs</w:t>
      </w:r>
      <w:r w:rsidRPr="00EF2E8A">
        <w:t xml:space="preserve"> associated with </w:t>
      </w:r>
      <w:r w:rsidR="00F71695" w:rsidRPr="00EF2E8A">
        <w:t>BEVA</w:t>
      </w:r>
      <w:r w:rsidRPr="00EF2E8A">
        <w:t xml:space="preserve">. </w:t>
      </w:r>
    </w:p>
    <w:p w14:paraId="26F4FD71" w14:textId="12C0A76C" w:rsidR="005C45BE" w:rsidRPr="00EF2E8A" w:rsidRDefault="00081C05" w:rsidP="00591C83">
      <w:pPr>
        <w:pStyle w:val="ListParagraph"/>
      </w:pPr>
      <w:bookmarkStart w:id="75" w:name="_Ref204786898"/>
      <w:r>
        <w:rPr>
          <w:rFonts w:ascii="Calibri" w:hAnsi="Calibri" w:cs="Calibri"/>
          <w:color w:val="auto"/>
        </w:rPr>
        <w:t>T</w:t>
      </w:r>
      <w:r w:rsidR="005D5E13" w:rsidRPr="00EF2E8A">
        <w:rPr>
          <w:rFonts w:ascii="Calibri" w:hAnsi="Calibri" w:cs="Calibri"/>
          <w:color w:val="auto"/>
        </w:rPr>
        <w:t>he approach used by the submission assumes that AEs are captured within the between group differences for the EQ</w:t>
      </w:r>
      <w:r w:rsidR="00A46D2B">
        <w:rPr>
          <w:rFonts w:ascii="Calibri" w:hAnsi="Calibri" w:cs="Calibri"/>
          <w:color w:val="auto"/>
        </w:rPr>
        <w:noBreakHyphen/>
      </w:r>
      <w:r w:rsidR="005D5E13" w:rsidRPr="00EF2E8A">
        <w:rPr>
          <w:rFonts w:ascii="Calibri" w:hAnsi="Calibri" w:cs="Calibri"/>
          <w:color w:val="auto"/>
        </w:rPr>
        <w:t>5D</w:t>
      </w:r>
      <w:r w:rsidR="00A46D2B">
        <w:rPr>
          <w:rFonts w:ascii="Calibri" w:hAnsi="Calibri" w:cs="Calibri"/>
          <w:color w:val="auto"/>
        </w:rPr>
        <w:noBreakHyphen/>
      </w:r>
      <w:r w:rsidR="005D5E13" w:rsidRPr="00EF2E8A">
        <w:rPr>
          <w:rFonts w:ascii="Calibri" w:hAnsi="Calibri" w:cs="Calibri"/>
          <w:color w:val="auto"/>
        </w:rPr>
        <w:t xml:space="preserve">5L; </w:t>
      </w:r>
      <w:r w:rsidR="00AE1CDE" w:rsidRPr="00EF2E8A">
        <w:rPr>
          <w:rFonts w:ascii="Calibri" w:hAnsi="Calibri" w:cs="Calibri"/>
          <w:color w:val="auto"/>
        </w:rPr>
        <w:t>however</w:t>
      </w:r>
      <w:r w:rsidR="00E53269" w:rsidRPr="00EF2E8A">
        <w:rPr>
          <w:rFonts w:ascii="Calibri" w:hAnsi="Calibri" w:cs="Calibri"/>
          <w:color w:val="auto"/>
        </w:rPr>
        <w:t>,</w:t>
      </w:r>
      <w:r w:rsidR="00AE1CDE" w:rsidRPr="00EF2E8A">
        <w:rPr>
          <w:rFonts w:ascii="Calibri" w:hAnsi="Calibri" w:cs="Calibri"/>
          <w:color w:val="auto"/>
        </w:rPr>
        <w:t xml:space="preserve"> the evaluation </w:t>
      </w:r>
      <w:r w:rsidR="007371FA" w:rsidRPr="00EF2E8A">
        <w:rPr>
          <w:rFonts w:ascii="Calibri" w:hAnsi="Calibri" w:cs="Calibri"/>
          <w:color w:val="auto"/>
        </w:rPr>
        <w:t>considered</w:t>
      </w:r>
      <w:r w:rsidR="00AE1CDE" w:rsidRPr="00EF2E8A">
        <w:rPr>
          <w:rFonts w:ascii="Calibri" w:hAnsi="Calibri" w:cs="Calibri"/>
          <w:color w:val="auto"/>
        </w:rPr>
        <w:t xml:space="preserve"> </w:t>
      </w:r>
      <w:r w:rsidR="005D5E13" w:rsidRPr="00EF2E8A">
        <w:rPr>
          <w:rFonts w:ascii="Calibri" w:hAnsi="Calibri" w:cs="Calibri"/>
          <w:color w:val="auto"/>
        </w:rPr>
        <w:t>it unknown whether patients who experienced Grade 3+ AEs in MIRASOL trial were adequately captured by the EQ</w:t>
      </w:r>
      <w:r w:rsidR="00A46D2B">
        <w:rPr>
          <w:rFonts w:ascii="Calibri" w:hAnsi="Calibri" w:cs="Calibri"/>
          <w:color w:val="auto"/>
        </w:rPr>
        <w:noBreakHyphen/>
      </w:r>
      <w:r w:rsidR="005D5E13" w:rsidRPr="00EF2E8A">
        <w:rPr>
          <w:rFonts w:ascii="Calibri" w:hAnsi="Calibri" w:cs="Calibri"/>
          <w:color w:val="auto"/>
        </w:rPr>
        <w:t>5D</w:t>
      </w:r>
      <w:r w:rsidR="00A46D2B">
        <w:rPr>
          <w:rFonts w:ascii="Calibri" w:hAnsi="Calibri" w:cs="Calibri"/>
          <w:color w:val="auto"/>
        </w:rPr>
        <w:noBreakHyphen/>
      </w:r>
      <w:r w:rsidR="005D5E13" w:rsidRPr="00EF2E8A">
        <w:rPr>
          <w:rFonts w:ascii="Calibri" w:hAnsi="Calibri" w:cs="Calibri"/>
          <w:color w:val="auto"/>
        </w:rPr>
        <w:t>5L throughout the trial</w:t>
      </w:r>
      <w:r w:rsidR="005D5E13" w:rsidRPr="00EF2E8A">
        <w:rPr>
          <w:color w:val="auto"/>
        </w:rPr>
        <w:t xml:space="preserve">. </w:t>
      </w:r>
      <w:r w:rsidR="007E082B" w:rsidRPr="00EF2E8A">
        <w:rPr>
          <w:color w:val="auto"/>
        </w:rPr>
        <w:t xml:space="preserve">The PSCR </w:t>
      </w:r>
      <w:r w:rsidR="003A065D">
        <w:rPr>
          <w:color w:val="auto"/>
        </w:rPr>
        <w:t>and pre</w:t>
      </w:r>
      <w:r w:rsidR="00A46D2B">
        <w:rPr>
          <w:color w:val="auto"/>
        </w:rPr>
        <w:noBreakHyphen/>
      </w:r>
      <w:r w:rsidR="003A065D">
        <w:rPr>
          <w:color w:val="auto"/>
        </w:rPr>
        <w:t xml:space="preserve">PBAC response </w:t>
      </w:r>
      <w:r w:rsidR="007E082B" w:rsidRPr="00EF2E8A">
        <w:rPr>
          <w:color w:val="auto"/>
        </w:rPr>
        <w:t xml:space="preserve">contended that there are notable differences in QoL between patients treated with MIRV and ICC in the MIRASOL trial, however the </w:t>
      </w:r>
      <w:r w:rsidR="003B34FA" w:rsidRPr="00EF2E8A">
        <w:rPr>
          <w:color w:val="auto"/>
        </w:rPr>
        <w:t xml:space="preserve">evaluation </w:t>
      </w:r>
      <w:r w:rsidR="004D0172" w:rsidRPr="00EF2E8A">
        <w:rPr>
          <w:color w:val="auto"/>
        </w:rPr>
        <w:t>and the ESCs</w:t>
      </w:r>
      <w:r w:rsidR="003B34FA" w:rsidRPr="00EF2E8A">
        <w:rPr>
          <w:color w:val="auto"/>
        </w:rPr>
        <w:t xml:space="preserve"> considered that t</w:t>
      </w:r>
      <w:r w:rsidR="005D5E13" w:rsidRPr="00EF2E8A">
        <w:rPr>
          <w:color w:val="auto"/>
        </w:rPr>
        <w:t>here is a high risk of selection bias based on the response rate</w:t>
      </w:r>
      <w:r w:rsidR="00B83297">
        <w:rPr>
          <w:color w:val="auto"/>
        </w:rPr>
        <w:t xml:space="preserve"> for </w:t>
      </w:r>
      <w:proofErr w:type="spellStart"/>
      <w:r w:rsidR="00B83297">
        <w:rPr>
          <w:color w:val="auto"/>
        </w:rPr>
        <w:t>PROs</w:t>
      </w:r>
      <w:r w:rsidR="005D5E13" w:rsidRPr="00EF2E8A">
        <w:rPr>
          <w:color w:val="auto"/>
        </w:rPr>
        <w:t>.</w:t>
      </w:r>
      <w:proofErr w:type="spellEnd"/>
      <w:r w:rsidR="005D5E13" w:rsidRPr="00EF2E8A">
        <w:rPr>
          <w:color w:val="auto"/>
        </w:rPr>
        <w:t xml:space="preserve"> Given the above, the </w:t>
      </w:r>
      <w:r w:rsidR="003B34FA" w:rsidRPr="00EF2E8A">
        <w:rPr>
          <w:color w:val="auto"/>
        </w:rPr>
        <w:t xml:space="preserve">evaluation </w:t>
      </w:r>
      <w:r w:rsidR="00F81C3C" w:rsidRPr="00EF2E8A">
        <w:rPr>
          <w:color w:val="auto"/>
        </w:rPr>
        <w:t xml:space="preserve">and the ESCs </w:t>
      </w:r>
      <w:r w:rsidR="003B34FA" w:rsidRPr="00EF2E8A">
        <w:rPr>
          <w:color w:val="auto"/>
        </w:rPr>
        <w:t xml:space="preserve">considered that the </w:t>
      </w:r>
      <w:r w:rsidR="005D5E13" w:rsidRPr="00EF2E8A">
        <w:rPr>
          <w:color w:val="auto"/>
        </w:rPr>
        <w:t>use of pooled utility values for the pre</w:t>
      </w:r>
      <w:r w:rsidR="00A46D2B">
        <w:rPr>
          <w:color w:val="auto"/>
        </w:rPr>
        <w:noBreakHyphen/>
      </w:r>
      <w:r w:rsidR="005D5E13" w:rsidRPr="00EF2E8A">
        <w:rPr>
          <w:color w:val="auto"/>
        </w:rPr>
        <w:t>progression and post</w:t>
      </w:r>
      <w:r w:rsidR="00A46D2B">
        <w:rPr>
          <w:color w:val="auto"/>
        </w:rPr>
        <w:noBreakHyphen/>
      </w:r>
      <w:r w:rsidR="005D5E13" w:rsidRPr="00EF2E8A">
        <w:rPr>
          <w:color w:val="auto"/>
        </w:rPr>
        <w:t xml:space="preserve">progression health states would be a more conservative choice and more consistent with approaches taken in economic evaluations in the literature and previously seen by the PBAC for similar patient populations. </w:t>
      </w:r>
      <w:r w:rsidR="005D5E13" w:rsidRPr="00EF2E8A" w:rsidDel="003B34FA">
        <w:rPr>
          <w:color w:val="auto"/>
        </w:rPr>
        <w:t>H</w:t>
      </w:r>
      <w:r w:rsidR="005D5E13" w:rsidRPr="00EF2E8A">
        <w:rPr>
          <w:color w:val="auto"/>
        </w:rPr>
        <w:t>ealth state utility values were a key driver of the ICER, favouring MIRV</w:t>
      </w:r>
      <w:r w:rsidR="005C45BE" w:rsidRPr="00EF2E8A">
        <w:rPr>
          <w:color w:val="auto"/>
        </w:rPr>
        <w:t xml:space="preserve">. </w:t>
      </w:r>
      <w:bookmarkEnd w:id="75"/>
      <w:r w:rsidR="009F6689">
        <w:rPr>
          <w:color w:val="auto"/>
        </w:rPr>
        <w:t xml:space="preserve">The PBAC </w:t>
      </w:r>
      <w:r w:rsidR="00082E17">
        <w:rPr>
          <w:color w:val="auto"/>
        </w:rPr>
        <w:t xml:space="preserve">noted that QoL outcomes in MIRASOL generally favoured MIRV, though </w:t>
      </w:r>
      <w:r w:rsidR="003A065D">
        <w:rPr>
          <w:color w:val="auto"/>
        </w:rPr>
        <w:lastRenderedPageBreak/>
        <w:t xml:space="preserve">there was some uncertainty due to potential selection bias. The PBAC </w:t>
      </w:r>
      <w:r w:rsidR="009F6689">
        <w:rPr>
          <w:color w:val="auto"/>
        </w:rPr>
        <w:t>considered that there was no basis for assuming a difference in post</w:t>
      </w:r>
      <w:r w:rsidR="00A46D2B">
        <w:rPr>
          <w:color w:val="auto"/>
        </w:rPr>
        <w:noBreakHyphen/>
      </w:r>
      <w:r w:rsidR="009F6689">
        <w:rPr>
          <w:color w:val="auto"/>
        </w:rPr>
        <w:t xml:space="preserve">progression utilities, but that it may be reasonable to </w:t>
      </w:r>
      <w:r w:rsidR="00E515E2">
        <w:rPr>
          <w:color w:val="auto"/>
        </w:rPr>
        <w:t>apply the trial</w:t>
      </w:r>
      <w:r w:rsidR="00A46D2B">
        <w:rPr>
          <w:color w:val="auto"/>
        </w:rPr>
        <w:noBreakHyphen/>
      </w:r>
      <w:r w:rsidR="00E515E2">
        <w:rPr>
          <w:color w:val="auto"/>
        </w:rPr>
        <w:t>based treatment</w:t>
      </w:r>
      <w:r w:rsidR="00A46D2B">
        <w:rPr>
          <w:color w:val="auto"/>
        </w:rPr>
        <w:noBreakHyphen/>
      </w:r>
      <w:r w:rsidR="00E515E2">
        <w:rPr>
          <w:color w:val="auto"/>
        </w:rPr>
        <w:t>specific utility values</w:t>
      </w:r>
      <w:r w:rsidR="0025639F">
        <w:rPr>
          <w:color w:val="auto"/>
        </w:rPr>
        <w:t xml:space="preserve"> for the pre</w:t>
      </w:r>
      <w:r w:rsidR="00A46D2B">
        <w:rPr>
          <w:color w:val="auto"/>
        </w:rPr>
        <w:noBreakHyphen/>
      </w:r>
      <w:r w:rsidR="0025639F">
        <w:rPr>
          <w:color w:val="auto"/>
        </w:rPr>
        <w:t>progression health state</w:t>
      </w:r>
      <w:r w:rsidR="00DC0560">
        <w:rPr>
          <w:color w:val="auto"/>
        </w:rPr>
        <w:t xml:space="preserve"> </w:t>
      </w:r>
      <w:proofErr w:type="gramStart"/>
      <w:r w:rsidR="00DC0560">
        <w:rPr>
          <w:color w:val="auto"/>
        </w:rPr>
        <w:t>in order to</w:t>
      </w:r>
      <w:proofErr w:type="gramEnd"/>
      <w:r w:rsidR="00DC0560">
        <w:rPr>
          <w:color w:val="auto"/>
        </w:rPr>
        <w:t xml:space="preserve"> capture possible differences in </w:t>
      </w:r>
      <w:r w:rsidR="000E0901">
        <w:rPr>
          <w:color w:val="auto"/>
        </w:rPr>
        <w:t>AE</w:t>
      </w:r>
      <w:r w:rsidR="00FC59EB">
        <w:rPr>
          <w:color w:val="auto"/>
        </w:rPr>
        <w:t xml:space="preserve"> profiles</w:t>
      </w:r>
      <w:r w:rsidR="000E0901">
        <w:rPr>
          <w:color w:val="auto"/>
        </w:rPr>
        <w:t xml:space="preserve"> and </w:t>
      </w:r>
      <w:r w:rsidR="00DC0560">
        <w:rPr>
          <w:color w:val="auto"/>
        </w:rPr>
        <w:t>QoL</w:t>
      </w:r>
      <w:r w:rsidR="00CA3C15">
        <w:rPr>
          <w:color w:val="auto"/>
        </w:rPr>
        <w:t xml:space="preserve"> for MIRV and chemotherapies</w:t>
      </w:r>
      <w:r w:rsidR="0025639F">
        <w:rPr>
          <w:color w:val="auto"/>
        </w:rPr>
        <w:t>.</w:t>
      </w:r>
      <w:r w:rsidR="009F6689">
        <w:rPr>
          <w:color w:val="auto"/>
        </w:rPr>
        <w:t xml:space="preserve"> </w:t>
      </w:r>
    </w:p>
    <w:p w14:paraId="4B7936A9" w14:textId="7BB3A7F2" w:rsidR="00064A78" w:rsidRPr="00EF2E8A" w:rsidRDefault="005C45BE" w:rsidP="00591C83">
      <w:pPr>
        <w:pStyle w:val="ListParagraph"/>
      </w:pPr>
      <w:r w:rsidRPr="00EF2E8A">
        <w:rPr>
          <w:color w:val="auto"/>
        </w:rPr>
        <w:t>A</w:t>
      </w:r>
      <w:r w:rsidR="005D5E13" w:rsidRPr="00EF2E8A">
        <w:rPr>
          <w:color w:val="auto"/>
        </w:rPr>
        <w:t xml:space="preserve"> disaggregate</w:t>
      </w:r>
      <w:r w:rsidR="00AE6B43" w:rsidRPr="00EF2E8A">
        <w:rPr>
          <w:color w:val="auto"/>
        </w:rPr>
        <w:t>d</w:t>
      </w:r>
      <w:r w:rsidR="005D5E13" w:rsidRPr="00EF2E8A">
        <w:rPr>
          <w:color w:val="auto"/>
        </w:rPr>
        <w:t xml:space="preserve"> summary of quality adjusted life years (QALYs) included in the economic evaluation is presented in</w:t>
      </w:r>
      <w:r w:rsidR="00EF6E37" w:rsidRPr="00EF2E8A">
        <w:rPr>
          <w:color w:val="auto"/>
        </w:rPr>
        <w:t xml:space="preserve"> </w:t>
      </w:r>
      <w:r w:rsidR="009B5C3E">
        <w:rPr>
          <w:color w:val="auto"/>
        </w:rPr>
        <w:fldChar w:fldCharType="begin" w:fldLock="1"/>
      </w:r>
      <w:r w:rsidR="009B5C3E">
        <w:rPr>
          <w:color w:val="auto"/>
        </w:rPr>
        <w:instrText xml:space="preserve"> REF _Ref205279169 \h </w:instrText>
      </w:r>
      <w:r w:rsidR="009B5C3E">
        <w:rPr>
          <w:color w:val="auto"/>
        </w:rPr>
      </w:r>
      <w:r w:rsidR="009B5C3E">
        <w:rPr>
          <w:color w:val="auto"/>
        </w:rPr>
        <w:fldChar w:fldCharType="separate"/>
      </w:r>
      <w:r w:rsidR="009B5C3E">
        <w:t xml:space="preserve">Table </w:t>
      </w:r>
      <w:r w:rsidR="009B5C3E">
        <w:rPr>
          <w:noProof/>
        </w:rPr>
        <w:t>19</w:t>
      </w:r>
      <w:r w:rsidR="009B5C3E">
        <w:rPr>
          <w:color w:val="auto"/>
        </w:rPr>
        <w:fldChar w:fldCharType="end"/>
      </w:r>
      <w:r w:rsidR="005D5E13" w:rsidRPr="00EF2E8A">
        <w:rPr>
          <w:color w:val="auto"/>
        </w:rPr>
        <w:t>.</w:t>
      </w:r>
      <w:r w:rsidR="00D62984" w:rsidRPr="00EF2E8A">
        <w:rPr>
          <w:color w:val="auto"/>
        </w:rPr>
        <w:t xml:space="preserve"> </w:t>
      </w:r>
    </w:p>
    <w:p w14:paraId="0E18F0D9" w14:textId="1E3302FB" w:rsidR="000C7336" w:rsidRDefault="000C7336" w:rsidP="00591C83">
      <w:pPr>
        <w:pStyle w:val="Caption"/>
      </w:pPr>
      <w:bookmarkStart w:id="76" w:name="_Ref205279169"/>
      <w:bookmarkStart w:id="77" w:name="_Ref205198884"/>
      <w:r>
        <w:t xml:space="preserve">Table </w:t>
      </w:r>
      <w:r w:rsidR="00CC5CAD">
        <w:fldChar w:fldCharType="begin" w:fldLock="1"/>
      </w:r>
      <w:r w:rsidR="00CC5CAD">
        <w:instrText xml:space="preserve"> SEQ Table \* ARABIC </w:instrText>
      </w:r>
      <w:r w:rsidR="00CC5CAD">
        <w:fldChar w:fldCharType="separate"/>
      </w:r>
      <w:r w:rsidR="00CC5CAD">
        <w:rPr>
          <w:noProof/>
        </w:rPr>
        <w:t>19</w:t>
      </w:r>
      <w:r w:rsidR="00CC5CAD">
        <w:rPr>
          <w:noProof/>
        </w:rPr>
        <w:fldChar w:fldCharType="end"/>
      </w:r>
      <w:bookmarkEnd w:id="76"/>
      <w:r>
        <w:t xml:space="preserve">: </w:t>
      </w:r>
      <w:r w:rsidRPr="00CC6FF5">
        <w:t>Disaggregated summary of QALYs included in the economic evaluation</w:t>
      </w:r>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9: Disaggregated summary of QALYs included in the economic evaluation"/>
      </w:tblPr>
      <w:tblGrid>
        <w:gridCol w:w="1553"/>
        <w:gridCol w:w="1066"/>
        <w:gridCol w:w="1066"/>
        <w:gridCol w:w="1066"/>
        <w:gridCol w:w="1066"/>
        <w:gridCol w:w="1066"/>
        <w:gridCol w:w="1066"/>
        <w:gridCol w:w="1067"/>
      </w:tblGrid>
      <w:tr w:rsidR="005D5E13" w:rsidRPr="00EF2E8A" w14:paraId="77914DA3" w14:textId="77777777" w:rsidTr="00763CBA">
        <w:trPr>
          <w:cantSplit/>
        </w:trPr>
        <w:tc>
          <w:tcPr>
            <w:tcW w:w="862" w:type="pct"/>
            <w:tcBorders>
              <w:top w:val="single" w:sz="4" w:space="0" w:color="auto"/>
              <w:left w:val="single" w:sz="4" w:space="0" w:color="auto"/>
              <w:bottom w:val="single" w:sz="4" w:space="0" w:color="auto"/>
              <w:right w:val="single" w:sz="4" w:space="0" w:color="auto"/>
            </w:tcBorders>
            <w:tcMar>
              <w:left w:w="57" w:type="dxa"/>
              <w:right w:w="57" w:type="dxa"/>
            </w:tcMar>
          </w:tcPr>
          <w:p w14:paraId="706EB0A7"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Outcome</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617BE051"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MIRV</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685961C2"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ICC</w:t>
            </w:r>
          </w:p>
        </w:tc>
        <w:tc>
          <w:tcPr>
            <w:tcW w:w="591" w:type="pct"/>
            <w:tcBorders>
              <w:top w:val="single" w:sz="4" w:space="0" w:color="auto"/>
              <w:left w:val="single" w:sz="4" w:space="0" w:color="auto"/>
              <w:bottom w:val="single" w:sz="4" w:space="0" w:color="auto"/>
              <w:right w:val="single" w:sz="4" w:space="0" w:color="auto"/>
            </w:tcBorders>
          </w:tcPr>
          <w:p w14:paraId="4808439E"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Increment</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0016CCB5"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 of total increment</w:t>
            </w:r>
          </w:p>
        </w:tc>
        <w:tc>
          <w:tcPr>
            <w:tcW w:w="591" w:type="pct"/>
            <w:tcBorders>
              <w:top w:val="single" w:sz="4" w:space="0" w:color="auto"/>
              <w:left w:val="single" w:sz="4" w:space="0" w:color="auto"/>
              <w:bottom w:val="single" w:sz="4" w:space="0" w:color="auto"/>
              <w:right w:val="single" w:sz="4" w:space="0" w:color="auto"/>
            </w:tcBorders>
          </w:tcPr>
          <w:p w14:paraId="05B7FA19"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BEVA + ICC</w:t>
            </w:r>
          </w:p>
        </w:tc>
        <w:tc>
          <w:tcPr>
            <w:tcW w:w="591" w:type="pct"/>
            <w:tcBorders>
              <w:top w:val="single" w:sz="4" w:space="0" w:color="auto"/>
              <w:left w:val="single" w:sz="4" w:space="0" w:color="auto"/>
              <w:bottom w:val="single" w:sz="4" w:space="0" w:color="auto"/>
              <w:right w:val="single" w:sz="4" w:space="0" w:color="auto"/>
            </w:tcBorders>
          </w:tcPr>
          <w:p w14:paraId="7E02495A"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Increment</w:t>
            </w:r>
          </w:p>
        </w:tc>
        <w:tc>
          <w:tcPr>
            <w:tcW w:w="591" w:type="pct"/>
            <w:tcBorders>
              <w:top w:val="single" w:sz="4" w:space="0" w:color="auto"/>
              <w:left w:val="single" w:sz="4" w:space="0" w:color="auto"/>
              <w:bottom w:val="single" w:sz="4" w:space="0" w:color="auto"/>
              <w:right w:val="single" w:sz="4" w:space="0" w:color="auto"/>
            </w:tcBorders>
          </w:tcPr>
          <w:p w14:paraId="38C4F900"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 of total increment</w:t>
            </w:r>
          </w:p>
        </w:tc>
      </w:tr>
      <w:tr w:rsidR="005D5E13" w:rsidRPr="00EF2E8A" w14:paraId="1F229096" w14:textId="77777777" w:rsidTr="008750CD">
        <w:trPr>
          <w:cantSplit/>
        </w:trPr>
        <w:tc>
          <w:tcPr>
            <w:tcW w:w="5000" w:type="pct"/>
            <w:gridSpan w:val="8"/>
            <w:tcBorders>
              <w:top w:val="single" w:sz="4" w:space="0" w:color="auto"/>
              <w:left w:val="single" w:sz="4" w:space="0" w:color="auto"/>
              <w:bottom w:val="single" w:sz="4" w:space="0" w:color="auto"/>
              <w:right w:val="single" w:sz="4" w:space="0" w:color="auto"/>
            </w:tcBorders>
            <w:tcMar>
              <w:left w:w="57" w:type="dxa"/>
              <w:right w:w="57" w:type="dxa"/>
            </w:tcMar>
          </w:tcPr>
          <w:p w14:paraId="1C5C61D9" w14:textId="77777777" w:rsidR="005D5E13" w:rsidRPr="00EF2E8A" w:rsidRDefault="005D5E13" w:rsidP="00591C83">
            <w:pPr>
              <w:keepNext/>
              <w:spacing w:before="0" w:after="0"/>
              <w:jc w:val="left"/>
              <w:rPr>
                <w:rFonts w:ascii="Arial Narrow" w:eastAsia="MS Gothic" w:hAnsi="Arial Narrow" w:cs="Times New Roman"/>
                <w:b/>
                <w:sz w:val="20"/>
                <w:szCs w:val="24"/>
                <w:lang w:eastAsia="en-AU"/>
              </w:rPr>
            </w:pPr>
            <w:r w:rsidRPr="00EF2E8A">
              <w:rPr>
                <w:rFonts w:ascii="Arial Narrow" w:eastAsia="MS Gothic" w:hAnsi="Arial Narrow" w:cs="Times New Roman"/>
                <w:b/>
                <w:sz w:val="20"/>
                <w:szCs w:val="24"/>
                <w:lang w:eastAsia="en-AU"/>
              </w:rPr>
              <w:t>QALYs</w:t>
            </w:r>
          </w:p>
        </w:tc>
      </w:tr>
      <w:tr w:rsidR="005D5E13" w:rsidRPr="00EF2E8A" w14:paraId="776518AB" w14:textId="77777777" w:rsidTr="00763CBA">
        <w:trPr>
          <w:cantSplit/>
        </w:trPr>
        <w:tc>
          <w:tcPr>
            <w:tcW w:w="862" w:type="pct"/>
            <w:tcBorders>
              <w:top w:val="single" w:sz="4" w:space="0" w:color="auto"/>
              <w:left w:val="single" w:sz="4" w:space="0" w:color="auto"/>
              <w:bottom w:val="single" w:sz="4" w:space="0" w:color="auto"/>
              <w:right w:val="single" w:sz="4" w:space="0" w:color="auto"/>
            </w:tcBorders>
            <w:tcMar>
              <w:left w:w="57" w:type="dxa"/>
              <w:right w:w="57" w:type="dxa"/>
            </w:tcMar>
          </w:tcPr>
          <w:p w14:paraId="0C117A4D" w14:textId="4BB4D14E" w:rsidR="005D5E13" w:rsidRPr="00EF2E8A" w:rsidRDefault="005D5E13" w:rsidP="00591C83">
            <w:pPr>
              <w:keepNext/>
              <w:spacing w:before="0" w:after="0"/>
              <w:jc w:val="left"/>
              <w:rPr>
                <w:rFonts w:ascii="Arial Narrow" w:eastAsia="MS Gothic" w:hAnsi="Arial Narrow" w:cs="Times New Roman"/>
                <w:bCs/>
                <w:sz w:val="20"/>
                <w:szCs w:val="24"/>
                <w:lang w:eastAsia="en-AU"/>
              </w:rPr>
            </w:pPr>
            <w:r w:rsidRPr="00EF2E8A">
              <w:rPr>
                <w:rFonts w:ascii="Arial Narrow" w:eastAsia="MS Gothic" w:hAnsi="Arial Narrow" w:cs="Times New Roman"/>
                <w:bCs/>
                <w:sz w:val="20"/>
                <w:szCs w:val="24"/>
                <w:lang w:eastAsia="en-AU"/>
              </w:rPr>
              <w:t>Pre</w:t>
            </w:r>
            <w:r w:rsidR="00A46D2B">
              <w:rPr>
                <w:rFonts w:ascii="Arial Narrow" w:eastAsia="MS Gothic" w:hAnsi="Arial Narrow" w:cs="Times New Roman"/>
                <w:bCs/>
                <w:sz w:val="20"/>
                <w:szCs w:val="24"/>
                <w:lang w:eastAsia="en-AU"/>
              </w:rPr>
              <w:noBreakHyphen/>
            </w:r>
            <w:r w:rsidRPr="00EF2E8A">
              <w:rPr>
                <w:rFonts w:ascii="Arial Narrow" w:eastAsia="MS Gothic" w:hAnsi="Arial Narrow" w:cs="Times New Roman"/>
                <w:bCs/>
                <w:sz w:val="20"/>
                <w:szCs w:val="24"/>
                <w:lang w:eastAsia="en-AU"/>
              </w:rPr>
              <w:t>progression</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158D8B1B"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0.47</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721E47F3"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0.31</w:t>
            </w:r>
          </w:p>
        </w:tc>
        <w:tc>
          <w:tcPr>
            <w:tcW w:w="591" w:type="pct"/>
            <w:tcBorders>
              <w:top w:val="single" w:sz="4" w:space="0" w:color="auto"/>
              <w:left w:val="single" w:sz="4" w:space="0" w:color="auto"/>
              <w:bottom w:val="single" w:sz="4" w:space="0" w:color="auto"/>
              <w:right w:val="single" w:sz="4" w:space="0" w:color="auto"/>
            </w:tcBorders>
          </w:tcPr>
          <w:p w14:paraId="0EBB1783"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0.16</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3A81B529"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24%</w:t>
            </w:r>
          </w:p>
        </w:tc>
        <w:tc>
          <w:tcPr>
            <w:tcW w:w="591" w:type="pct"/>
            <w:tcBorders>
              <w:top w:val="single" w:sz="4" w:space="0" w:color="auto"/>
              <w:left w:val="single" w:sz="4" w:space="0" w:color="auto"/>
              <w:bottom w:val="single" w:sz="4" w:space="0" w:color="auto"/>
              <w:right w:val="single" w:sz="4" w:space="0" w:color="auto"/>
            </w:tcBorders>
          </w:tcPr>
          <w:p w14:paraId="1D0FC50E"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0.51</w:t>
            </w:r>
          </w:p>
        </w:tc>
        <w:tc>
          <w:tcPr>
            <w:tcW w:w="591" w:type="pct"/>
            <w:tcBorders>
              <w:top w:val="single" w:sz="4" w:space="0" w:color="auto"/>
              <w:left w:val="single" w:sz="4" w:space="0" w:color="auto"/>
              <w:bottom w:val="single" w:sz="4" w:space="0" w:color="auto"/>
              <w:right w:val="single" w:sz="4" w:space="0" w:color="auto"/>
            </w:tcBorders>
          </w:tcPr>
          <w:p w14:paraId="010777CA" w14:textId="7825EF57" w:rsidR="005D5E13" w:rsidRPr="00EF2E8A" w:rsidRDefault="00A46D2B" w:rsidP="00591C83">
            <w:pPr>
              <w:keepNext/>
              <w:spacing w:before="0" w:after="0"/>
              <w:jc w:val="center"/>
              <w:rPr>
                <w:rFonts w:ascii="Arial Narrow" w:eastAsia="MS Gothic" w:hAnsi="Arial Narrow" w:cs="Times New Roman"/>
                <w:bCs/>
                <w:sz w:val="20"/>
                <w:szCs w:val="20"/>
                <w:lang w:eastAsia="en-AU"/>
              </w:rPr>
            </w:pPr>
            <w:r>
              <w:rPr>
                <w:rFonts w:ascii="Arial Narrow" w:hAnsi="Arial Narrow"/>
                <w:sz w:val="20"/>
                <w:szCs w:val="20"/>
              </w:rPr>
              <w:noBreakHyphen/>
            </w:r>
            <w:r w:rsidR="005D5E13" w:rsidRPr="00EF2E8A">
              <w:rPr>
                <w:rFonts w:ascii="Arial Narrow" w:hAnsi="Arial Narrow"/>
                <w:sz w:val="20"/>
                <w:szCs w:val="20"/>
              </w:rPr>
              <w:t>0.04</w:t>
            </w:r>
          </w:p>
        </w:tc>
        <w:tc>
          <w:tcPr>
            <w:tcW w:w="591" w:type="pct"/>
            <w:tcBorders>
              <w:top w:val="single" w:sz="4" w:space="0" w:color="auto"/>
              <w:left w:val="single" w:sz="4" w:space="0" w:color="auto"/>
              <w:bottom w:val="single" w:sz="4" w:space="0" w:color="auto"/>
              <w:right w:val="single" w:sz="4" w:space="0" w:color="auto"/>
            </w:tcBorders>
          </w:tcPr>
          <w:p w14:paraId="168B41B9" w14:textId="7932C2F1" w:rsidR="005D5E13" w:rsidRPr="00EF2E8A" w:rsidRDefault="00A46D2B" w:rsidP="00591C83">
            <w:pPr>
              <w:keepNext/>
              <w:spacing w:before="0" w:after="0"/>
              <w:jc w:val="center"/>
              <w:rPr>
                <w:rFonts w:ascii="Arial Narrow" w:eastAsia="MS Gothic" w:hAnsi="Arial Narrow" w:cs="Times New Roman"/>
                <w:bCs/>
                <w:sz w:val="20"/>
                <w:szCs w:val="20"/>
                <w:lang w:eastAsia="en-AU"/>
              </w:rPr>
            </w:pPr>
            <w:r>
              <w:rPr>
                <w:rFonts w:ascii="Arial Narrow" w:hAnsi="Arial Narrow"/>
                <w:sz w:val="20"/>
                <w:szCs w:val="20"/>
              </w:rPr>
              <w:noBreakHyphen/>
            </w:r>
            <w:r w:rsidR="005D5E13" w:rsidRPr="00EF2E8A">
              <w:rPr>
                <w:rFonts w:ascii="Arial Narrow" w:hAnsi="Arial Narrow"/>
                <w:sz w:val="20"/>
                <w:szCs w:val="20"/>
              </w:rPr>
              <w:t>7%</w:t>
            </w:r>
          </w:p>
        </w:tc>
      </w:tr>
      <w:tr w:rsidR="005D5E13" w:rsidRPr="00EF2E8A" w14:paraId="6C0B10EF" w14:textId="77777777" w:rsidTr="00763CBA">
        <w:trPr>
          <w:cantSplit/>
        </w:trPr>
        <w:tc>
          <w:tcPr>
            <w:tcW w:w="862" w:type="pct"/>
            <w:tcBorders>
              <w:top w:val="single" w:sz="4" w:space="0" w:color="auto"/>
              <w:left w:val="single" w:sz="4" w:space="0" w:color="auto"/>
              <w:bottom w:val="single" w:sz="4" w:space="0" w:color="auto"/>
              <w:right w:val="single" w:sz="4" w:space="0" w:color="auto"/>
            </w:tcBorders>
            <w:tcMar>
              <w:left w:w="57" w:type="dxa"/>
              <w:right w:w="57" w:type="dxa"/>
            </w:tcMar>
          </w:tcPr>
          <w:p w14:paraId="7C7041E1" w14:textId="275DADAF" w:rsidR="005D5E13" w:rsidRPr="00EF2E8A" w:rsidRDefault="005D5E13" w:rsidP="00591C83">
            <w:pPr>
              <w:keepNext/>
              <w:spacing w:before="0" w:after="0"/>
              <w:jc w:val="left"/>
              <w:rPr>
                <w:rFonts w:ascii="Arial Narrow" w:eastAsia="MS Gothic" w:hAnsi="Arial Narrow" w:cs="Times New Roman"/>
                <w:bCs/>
                <w:sz w:val="20"/>
                <w:szCs w:val="24"/>
                <w:lang w:eastAsia="en-AU"/>
              </w:rPr>
            </w:pPr>
            <w:r w:rsidRPr="00EF2E8A">
              <w:rPr>
                <w:rFonts w:ascii="Arial Narrow" w:eastAsia="MS Gothic" w:hAnsi="Arial Narrow" w:cs="Times New Roman"/>
                <w:bCs/>
                <w:sz w:val="20"/>
                <w:szCs w:val="24"/>
                <w:lang w:eastAsia="en-AU"/>
              </w:rPr>
              <w:t>Post</w:t>
            </w:r>
            <w:r w:rsidR="00A46D2B">
              <w:rPr>
                <w:rFonts w:ascii="Arial Narrow" w:eastAsia="MS Gothic" w:hAnsi="Arial Narrow" w:cs="Times New Roman"/>
                <w:bCs/>
                <w:sz w:val="20"/>
                <w:szCs w:val="24"/>
                <w:lang w:eastAsia="en-AU"/>
              </w:rPr>
              <w:noBreakHyphen/>
            </w:r>
            <w:r w:rsidRPr="00EF2E8A">
              <w:rPr>
                <w:rFonts w:ascii="Arial Narrow" w:eastAsia="MS Gothic" w:hAnsi="Arial Narrow" w:cs="Times New Roman"/>
                <w:bCs/>
                <w:sz w:val="20"/>
                <w:szCs w:val="24"/>
                <w:lang w:eastAsia="en-AU"/>
              </w:rPr>
              <w:t>progression</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799C5097"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0.99</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7CCCBACC"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0.47</w:t>
            </w:r>
          </w:p>
        </w:tc>
        <w:tc>
          <w:tcPr>
            <w:tcW w:w="591" w:type="pct"/>
            <w:tcBorders>
              <w:top w:val="single" w:sz="4" w:space="0" w:color="auto"/>
              <w:left w:val="single" w:sz="4" w:space="0" w:color="auto"/>
              <w:bottom w:val="single" w:sz="4" w:space="0" w:color="auto"/>
              <w:right w:val="single" w:sz="4" w:space="0" w:color="auto"/>
            </w:tcBorders>
          </w:tcPr>
          <w:p w14:paraId="55270D62"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0.52</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56394A62"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76%</w:t>
            </w:r>
          </w:p>
        </w:tc>
        <w:tc>
          <w:tcPr>
            <w:tcW w:w="591" w:type="pct"/>
            <w:tcBorders>
              <w:top w:val="single" w:sz="4" w:space="0" w:color="auto"/>
              <w:left w:val="single" w:sz="4" w:space="0" w:color="auto"/>
              <w:bottom w:val="single" w:sz="4" w:space="0" w:color="auto"/>
              <w:right w:val="single" w:sz="4" w:space="0" w:color="auto"/>
            </w:tcBorders>
          </w:tcPr>
          <w:p w14:paraId="6EE76D03"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0.35</w:t>
            </w:r>
          </w:p>
        </w:tc>
        <w:tc>
          <w:tcPr>
            <w:tcW w:w="591" w:type="pct"/>
            <w:tcBorders>
              <w:top w:val="single" w:sz="4" w:space="0" w:color="auto"/>
              <w:left w:val="single" w:sz="4" w:space="0" w:color="auto"/>
              <w:bottom w:val="single" w:sz="4" w:space="0" w:color="auto"/>
              <w:right w:val="single" w:sz="4" w:space="0" w:color="auto"/>
            </w:tcBorders>
          </w:tcPr>
          <w:p w14:paraId="3F4DFD02"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0.64</w:t>
            </w:r>
          </w:p>
        </w:tc>
        <w:tc>
          <w:tcPr>
            <w:tcW w:w="591" w:type="pct"/>
            <w:tcBorders>
              <w:top w:val="single" w:sz="4" w:space="0" w:color="auto"/>
              <w:left w:val="single" w:sz="4" w:space="0" w:color="auto"/>
              <w:bottom w:val="single" w:sz="4" w:space="0" w:color="auto"/>
              <w:right w:val="single" w:sz="4" w:space="0" w:color="auto"/>
            </w:tcBorders>
          </w:tcPr>
          <w:p w14:paraId="2DF00560" w14:textId="77777777" w:rsidR="005D5E13" w:rsidRPr="00EF2E8A" w:rsidRDefault="005D5E13" w:rsidP="00591C83">
            <w:pPr>
              <w:keepNext/>
              <w:spacing w:before="0" w:after="0"/>
              <w:jc w:val="center"/>
              <w:rPr>
                <w:rFonts w:ascii="Arial Narrow" w:eastAsia="MS Gothic" w:hAnsi="Arial Narrow" w:cs="Times New Roman"/>
                <w:bCs/>
                <w:sz w:val="20"/>
                <w:szCs w:val="20"/>
                <w:lang w:eastAsia="en-AU"/>
              </w:rPr>
            </w:pPr>
            <w:r w:rsidRPr="00EF2E8A">
              <w:rPr>
                <w:rFonts w:ascii="Arial Narrow" w:hAnsi="Arial Narrow"/>
                <w:sz w:val="20"/>
                <w:szCs w:val="20"/>
              </w:rPr>
              <w:t>107%</w:t>
            </w:r>
          </w:p>
        </w:tc>
      </w:tr>
      <w:tr w:rsidR="005D5E13" w:rsidRPr="00EF2E8A" w14:paraId="6AD5748D" w14:textId="77777777" w:rsidTr="00763CBA">
        <w:trPr>
          <w:cantSplit/>
        </w:trPr>
        <w:tc>
          <w:tcPr>
            <w:tcW w:w="862" w:type="pct"/>
            <w:tcBorders>
              <w:top w:val="single" w:sz="4" w:space="0" w:color="auto"/>
              <w:left w:val="single" w:sz="4" w:space="0" w:color="auto"/>
              <w:bottom w:val="single" w:sz="4" w:space="0" w:color="auto"/>
              <w:right w:val="single" w:sz="4" w:space="0" w:color="auto"/>
            </w:tcBorders>
            <w:tcMar>
              <w:left w:w="57" w:type="dxa"/>
              <w:right w:w="57" w:type="dxa"/>
            </w:tcMar>
          </w:tcPr>
          <w:p w14:paraId="7F959196" w14:textId="77777777" w:rsidR="005D5E13" w:rsidRPr="007D7379" w:rsidRDefault="005D5E13" w:rsidP="00591C83">
            <w:pPr>
              <w:keepNext/>
              <w:spacing w:before="0" w:after="0"/>
              <w:jc w:val="left"/>
              <w:rPr>
                <w:rFonts w:ascii="Arial Narrow" w:eastAsia="MS Gothic" w:hAnsi="Arial Narrow" w:cs="Times New Roman"/>
                <w:bCs/>
                <w:sz w:val="20"/>
                <w:szCs w:val="24"/>
                <w:lang w:eastAsia="en-AU"/>
              </w:rPr>
            </w:pPr>
            <w:r w:rsidRPr="007D7379">
              <w:rPr>
                <w:rFonts w:ascii="Arial Narrow" w:eastAsia="MS Gothic" w:hAnsi="Arial Narrow" w:cs="Times New Roman"/>
                <w:bCs/>
                <w:sz w:val="20"/>
                <w:szCs w:val="24"/>
                <w:lang w:eastAsia="en-AU"/>
              </w:rPr>
              <w:t>Total</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27FF35EF" w14:textId="77777777" w:rsidR="005D5E13" w:rsidRPr="007D7379" w:rsidRDefault="005D5E13" w:rsidP="00591C83">
            <w:pPr>
              <w:keepNext/>
              <w:spacing w:before="0" w:after="0"/>
              <w:jc w:val="center"/>
              <w:rPr>
                <w:rFonts w:ascii="Arial Narrow" w:eastAsia="MS Gothic" w:hAnsi="Arial Narrow" w:cs="Times New Roman"/>
                <w:sz w:val="20"/>
                <w:szCs w:val="20"/>
                <w:lang w:eastAsia="en-AU"/>
              </w:rPr>
            </w:pPr>
            <w:r w:rsidRPr="007D7379">
              <w:rPr>
                <w:rFonts w:ascii="Arial Narrow" w:hAnsi="Arial Narrow"/>
                <w:sz w:val="20"/>
                <w:szCs w:val="20"/>
              </w:rPr>
              <w:t>1.46</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04C4D0D8" w14:textId="77777777" w:rsidR="005D5E13" w:rsidRPr="007D7379" w:rsidRDefault="005D5E13" w:rsidP="00591C83">
            <w:pPr>
              <w:keepNext/>
              <w:spacing w:before="0" w:after="0"/>
              <w:jc w:val="center"/>
              <w:rPr>
                <w:rFonts w:ascii="Arial Narrow" w:eastAsia="MS Gothic" w:hAnsi="Arial Narrow" w:cs="Times New Roman"/>
                <w:sz w:val="20"/>
                <w:szCs w:val="20"/>
                <w:lang w:eastAsia="en-AU"/>
              </w:rPr>
            </w:pPr>
            <w:r w:rsidRPr="007D7379">
              <w:rPr>
                <w:rFonts w:ascii="Arial Narrow" w:hAnsi="Arial Narrow"/>
                <w:sz w:val="20"/>
                <w:szCs w:val="20"/>
              </w:rPr>
              <w:t>0.79</w:t>
            </w:r>
          </w:p>
        </w:tc>
        <w:tc>
          <w:tcPr>
            <w:tcW w:w="591" w:type="pct"/>
            <w:tcBorders>
              <w:top w:val="single" w:sz="4" w:space="0" w:color="auto"/>
              <w:left w:val="single" w:sz="4" w:space="0" w:color="auto"/>
              <w:bottom w:val="single" w:sz="4" w:space="0" w:color="auto"/>
              <w:right w:val="single" w:sz="4" w:space="0" w:color="auto"/>
            </w:tcBorders>
          </w:tcPr>
          <w:p w14:paraId="0D8C98BB" w14:textId="77777777" w:rsidR="005D5E13" w:rsidRPr="007D7379" w:rsidRDefault="005D5E13" w:rsidP="00591C83">
            <w:pPr>
              <w:keepNext/>
              <w:spacing w:before="0" w:after="0"/>
              <w:jc w:val="center"/>
              <w:rPr>
                <w:rFonts w:ascii="Arial Narrow" w:eastAsia="MS Gothic" w:hAnsi="Arial Narrow" w:cs="Times New Roman"/>
                <w:sz w:val="20"/>
                <w:szCs w:val="20"/>
                <w:lang w:eastAsia="en-AU"/>
              </w:rPr>
            </w:pPr>
            <w:r w:rsidRPr="007D7379">
              <w:rPr>
                <w:rFonts w:ascii="Arial Narrow" w:hAnsi="Arial Narrow"/>
                <w:sz w:val="20"/>
                <w:szCs w:val="20"/>
              </w:rPr>
              <w:t>0.68</w:t>
            </w:r>
          </w:p>
        </w:tc>
        <w:tc>
          <w:tcPr>
            <w:tcW w:w="591" w:type="pct"/>
            <w:tcBorders>
              <w:top w:val="single" w:sz="4" w:space="0" w:color="auto"/>
              <w:left w:val="single" w:sz="4" w:space="0" w:color="auto"/>
              <w:bottom w:val="single" w:sz="4" w:space="0" w:color="auto"/>
              <w:right w:val="single" w:sz="4" w:space="0" w:color="auto"/>
            </w:tcBorders>
            <w:tcMar>
              <w:left w:w="57" w:type="dxa"/>
              <w:right w:w="57" w:type="dxa"/>
            </w:tcMar>
          </w:tcPr>
          <w:p w14:paraId="65CC027E" w14:textId="77777777" w:rsidR="005D5E13" w:rsidRPr="007D7379" w:rsidRDefault="005D5E13" w:rsidP="00591C83">
            <w:pPr>
              <w:keepNext/>
              <w:spacing w:before="0" w:after="0"/>
              <w:jc w:val="center"/>
              <w:rPr>
                <w:rFonts w:ascii="Arial Narrow" w:eastAsia="MS Gothic" w:hAnsi="Arial Narrow" w:cs="Times New Roman"/>
                <w:sz w:val="20"/>
                <w:szCs w:val="20"/>
                <w:lang w:eastAsia="en-AU"/>
              </w:rPr>
            </w:pPr>
            <w:r w:rsidRPr="007D7379">
              <w:rPr>
                <w:rFonts w:ascii="Arial Narrow" w:hAnsi="Arial Narrow"/>
                <w:sz w:val="20"/>
                <w:szCs w:val="20"/>
              </w:rPr>
              <w:t>100%</w:t>
            </w:r>
          </w:p>
        </w:tc>
        <w:tc>
          <w:tcPr>
            <w:tcW w:w="591" w:type="pct"/>
            <w:tcBorders>
              <w:top w:val="single" w:sz="4" w:space="0" w:color="auto"/>
              <w:left w:val="single" w:sz="4" w:space="0" w:color="auto"/>
              <w:bottom w:val="single" w:sz="4" w:space="0" w:color="auto"/>
              <w:right w:val="single" w:sz="4" w:space="0" w:color="auto"/>
            </w:tcBorders>
          </w:tcPr>
          <w:p w14:paraId="5E887D54" w14:textId="77777777" w:rsidR="005D5E13" w:rsidRPr="007D7379" w:rsidRDefault="005D5E13" w:rsidP="00591C83">
            <w:pPr>
              <w:keepNext/>
              <w:spacing w:before="0" w:after="0"/>
              <w:jc w:val="center"/>
              <w:rPr>
                <w:rFonts w:ascii="Arial Narrow" w:eastAsia="MS Gothic" w:hAnsi="Arial Narrow" w:cs="Times New Roman"/>
                <w:sz w:val="20"/>
                <w:szCs w:val="20"/>
                <w:lang w:eastAsia="en-AU"/>
              </w:rPr>
            </w:pPr>
            <w:r w:rsidRPr="007D7379">
              <w:rPr>
                <w:rFonts w:ascii="Arial Narrow" w:hAnsi="Arial Narrow"/>
                <w:sz w:val="20"/>
                <w:szCs w:val="20"/>
              </w:rPr>
              <w:t>0.87</w:t>
            </w:r>
          </w:p>
        </w:tc>
        <w:tc>
          <w:tcPr>
            <w:tcW w:w="591" w:type="pct"/>
            <w:tcBorders>
              <w:top w:val="single" w:sz="4" w:space="0" w:color="auto"/>
              <w:left w:val="single" w:sz="4" w:space="0" w:color="auto"/>
              <w:bottom w:val="single" w:sz="4" w:space="0" w:color="auto"/>
              <w:right w:val="single" w:sz="4" w:space="0" w:color="auto"/>
            </w:tcBorders>
          </w:tcPr>
          <w:p w14:paraId="353CEC63" w14:textId="77777777" w:rsidR="005D5E13" w:rsidRPr="007D7379" w:rsidRDefault="005D5E13" w:rsidP="00591C83">
            <w:pPr>
              <w:keepNext/>
              <w:spacing w:before="0" w:after="0"/>
              <w:jc w:val="center"/>
              <w:rPr>
                <w:rFonts w:ascii="Arial Narrow" w:eastAsia="MS Gothic" w:hAnsi="Arial Narrow" w:cs="Times New Roman"/>
                <w:sz w:val="20"/>
                <w:szCs w:val="20"/>
                <w:lang w:eastAsia="en-AU"/>
              </w:rPr>
            </w:pPr>
            <w:r w:rsidRPr="007D7379">
              <w:rPr>
                <w:rFonts w:ascii="Arial Narrow" w:hAnsi="Arial Narrow"/>
                <w:sz w:val="20"/>
                <w:szCs w:val="20"/>
              </w:rPr>
              <w:t>0.60</w:t>
            </w:r>
          </w:p>
        </w:tc>
        <w:tc>
          <w:tcPr>
            <w:tcW w:w="591" w:type="pct"/>
            <w:tcBorders>
              <w:top w:val="single" w:sz="4" w:space="0" w:color="auto"/>
              <w:left w:val="single" w:sz="4" w:space="0" w:color="auto"/>
              <w:bottom w:val="single" w:sz="4" w:space="0" w:color="auto"/>
              <w:right w:val="single" w:sz="4" w:space="0" w:color="auto"/>
            </w:tcBorders>
          </w:tcPr>
          <w:p w14:paraId="7D4568E1" w14:textId="77777777" w:rsidR="005D5E13" w:rsidRPr="007D7379" w:rsidRDefault="005D5E13" w:rsidP="00591C83">
            <w:pPr>
              <w:keepNext/>
              <w:spacing w:before="0" w:after="0"/>
              <w:jc w:val="center"/>
              <w:rPr>
                <w:rFonts w:ascii="Arial Narrow" w:eastAsia="MS Gothic" w:hAnsi="Arial Narrow" w:cs="Times New Roman"/>
                <w:sz w:val="20"/>
                <w:szCs w:val="20"/>
                <w:lang w:eastAsia="en-AU"/>
              </w:rPr>
            </w:pPr>
            <w:r w:rsidRPr="007D7379">
              <w:rPr>
                <w:rFonts w:ascii="Arial Narrow" w:hAnsi="Arial Narrow"/>
                <w:sz w:val="20"/>
                <w:szCs w:val="20"/>
              </w:rPr>
              <w:t>100%</w:t>
            </w:r>
          </w:p>
        </w:tc>
      </w:tr>
    </w:tbl>
    <w:p w14:paraId="5875FDC6" w14:textId="696F0FCA" w:rsidR="005D5E13" w:rsidRPr="00EF2E8A" w:rsidRDefault="005D5E13" w:rsidP="00591C83">
      <w:pPr>
        <w:pStyle w:val="TableFigureFooter"/>
      </w:pPr>
      <w:r w:rsidRPr="00EF2E8A">
        <w:t>Source: Table 3.8</w:t>
      </w:r>
      <w:r w:rsidR="00A46D2B">
        <w:noBreakHyphen/>
      </w:r>
      <w:r w:rsidRPr="00EF2E8A">
        <w:t>4, p197 of the submission.</w:t>
      </w:r>
    </w:p>
    <w:p w14:paraId="36490358" w14:textId="5B739A47" w:rsidR="005D5E13" w:rsidRPr="00EF2E8A" w:rsidRDefault="005D5E13" w:rsidP="00591C83">
      <w:pPr>
        <w:pStyle w:val="TableFigureFooter"/>
        <w:rPr>
          <w:rFonts w:eastAsiaTheme="minorHAnsi"/>
        </w:rPr>
      </w:pPr>
      <w:r w:rsidRPr="00EF2E8A">
        <w:rPr>
          <w:rFonts w:eastAsiaTheme="minorHAnsi"/>
        </w:rPr>
        <w:t xml:space="preserve">BEVA = bevacizumab; ICC = investigators choice of chemotherapy; MIRV = </w:t>
      </w:r>
      <w:r w:rsidR="00EB42B1" w:rsidRPr="00EF2E8A">
        <w:rPr>
          <w:rFonts w:eastAsiaTheme="minorHAnsi"/>
        </w:rPr>
        <w:t>mirvetuximab</w:t>
      </w:r>
      <w:r w:rsidRPr="00EF2E8A">
        <w:rPr>
          <w:rFonts w:eastAsiaTheme="minorHAnsi"/>
        </w:rPr>
        <w:t xml:space="preserve"> soravtansine; QALYs= quality</w:t>
      </w:r>
      <w:r w:rsidR="00A46D2B">
        <w:rPr>
          <w:rFonts w:eastAsiaTheme="minorHAnsi"/>
        </w:rPr>
        <w:noBreakHyphen/>
      </w:r>
      <w:r w:rsidRPr="00EF2E8A">
        <w:rPr>
          <w:rFonts w:eastAsiaTheme="minorHAnsi"/>
        </w:rPr>
        <w:t>adjusted life years</w:t>
      </w:r>
    </w:p>
    <w:p w14:paraId="2D719EF4" w14:textId="24362ED1" w:rsidR="00BE6EDA" w:rsidRPr="00EF2E8A" w:rsidRDefault="00BE6EDA" w:rsidP="00591C83">
      <w:pPr>
        <w:pStyle w:val="ListParagraph"/>
      </w:pPr>
      <w:r w:rsidRPr="00EF2E8A">
        <w:t>Incremental life years and QALYs gained were predominantly accrued in the post</w:t>
      </w:r>
      <w:r w:rsidR="00A46D2B">
        <w:noBreakHyphen/>
      </w:r>
      <w:r w:rsidRPr="00EF2E8A">
        <w:t>progression health state for MIRV. In the pre</w:t>
      </w:r>
      <w:r w:rsidR="00A46D2B">
        <w:noBreakHyphen/>
      </w:r>
      <w:r w:rsidRPr="00EF2E8A">
        <w:t>progression health state, life years and QALYs gained were greater in the BEVA + ICC arm than in the MIRV arm; this was consistent with the PFS HR of 1.11 for MIRV vs BEVA + ICC derived from the MAIC.</w:t>
      </w:r>
    </w:p>
    <w:p w14:paraId="096EBB98" w14:textId="433CB964" w:rsidR="003C1353" w:rsidRPr="00EF2E8A" w:rsidRDefault="003C1353" w:rsidP="00591C83">
      <w:pPr>
        <w:pStyle w:val="ListParagraph"/>
      </w:pPr>
      <w:r w:rsidRPr="00EF2E8A">
        <w:rPr>
          <w:rStyle w:val="TableFooterChar"/>
          <w:rFonts w:asciiTheme="minorHAnsi" w:eastAsiaTheme="minorEastAsia" w:hAnsiTheme="minorHAnsi" w:cstheme="minorBidi"/>
          <w:color w:val="auto"/>
          <w:sz w:val="24"/>
          <w:szCs w:val="24"/>
        </w:rPr>
        <w:t>Overall, the</w:t>
      </w:r>
      <w:r w:rsidR="0000546C" w:rsidRPr="00EF2E8A">
        <w:rPr>
          <w:rStyle w:val="TableFooterChar"/>
          <w:rFonts w:asciiTheme="minorHAnsi" w:eastAsiaTheme="minorEastAsia" w:hAnsiTheme="minorHAnsi" w:cstheme="minorBidi"/>
          <w:color w:val="auto"/>
          <w:sz w:val="24"/>
          <w:szCs w:val="24"/>
        </w:rPr>
        <w:t xml:space="preserve"> evaluation considered that the</w:t>
      </w:r>
      <w:r w:rsidRPr="00EF2E8A">
        <w:rPr>
          <w:rStyle w:val="TableFooterChar"/>
          <w:rFonts w:asciiTheme="minorHAnsi" w:eastAsiaTheme="minorEastAsia" w:hAnsiTheme="minorHAnsi" w:cstheme="minorBidi"/>
          <w:color w:val="auto"/>
          <w:sz w:val="24"/>
          <w:szCs w:val="24"/>
        </w:rPr>
        <w:t xml:space="preserve"> health care resource items and unit costs applied in the economic model were appropriate. </w:t>
      </w:r>
    </w:p>
    <w:p w14:paraId="7AEBC995" w14:textId="0BA0F7EA" w:rsidR="00BE6EDA" w:rsidRPr="00EF2E8A" w:rsidRDefault="00BE6EDA" w:rsidP="00591C83">
      <w:pPr>
        <w:pStyle w:val="ListParagraph"/>
      </w:pPr>
      <w:r w:rsidRPr="00EF2E8A">
        <w:t>A summary of the key drivers of the model is presented in</w:t>
      </w:r>
      <w:r w:rsidR="00EF6E37" w:rsidRPr="00EF2E8A">
        <w:t xml:space="preserve"> </w:t>
      </w:r>
      <w:r w:rsidR="00836EC5">
        <w:fldChar w:fldCharType="begin" w:fldLock="1"/>
      </w:r>
      <w:r w:rsidR="00836EC5">
        <w:instrText xml:space="preserve"> REF _Ref205198940 \h </w:instrText>
      </w:r>
      <w:r w:rsidR="00836EC5">
        <w:fldChar w:fldCharType="separate"/>
      </w:r>
      <w:r w:rsidR="00CC5CAD">
        <w:t xml:space="preserve">Table </w:t>
      </w:r>
      <w:r w:rsidR="00CC5CAD">
        <w:rPr>
          <w:noProof/>
        </w:rPr>
        <w:t>20</w:t>
      </w:r>
      <w:r w:rsidR="00836EC5">
        <w:fldChar w:fldCharType="end"/>
      </w:r>
      <w:r w:rsidR="006A22FC" w:rsidRPr="00EF2E8A">
        <w:t>.</w:t>
      </w:r>
    </w:p>
    <w:p w14:paraId="0D289B15" w14:textId="3BE5C603" w:rsidR="000C7336" w:rsidRDefault="000C7336" w:rsidP="00591C83">
      <w:pPr>
        <w:pStyle w:val="Caption"/>
      </w:pPr>
      <w:bookmarkStart w:id="78" w:name="_Ref205198940"/>
      <w:r>
        <w:t xml:space="preserve">Table </w:t>
      </w:r>
      <w:r w:rsidR="00CC5CAD">
        <w:fldChar w:fldCharType="begin" w:fldLock="1"/>
      </w:r>
      <w:r w:rsidR="00CC5CAD">
        <w:instrText xml:space="preserve"> SEQ Table \* ARABIC </w:instrText>
      </w:r>
      <w:r w:rsidR="00CC5CAD">
        <w:fldChar w:fldCharType="separate"/>
      </w:r>
      <w:r w:rsidR="00CC5CAD">
        <w:rPr>
          <w:noProof/>
        </w:rPr>
        <w:t>20</w:t>
      </w:r>
      <w:r w:rsidR="00CC5CAD">
        <w:rPr>
          <w:noProof/>
        </w:rPr>
        <w:fldChar w:fldCharType="end"/>
      </w:r>
      <w:bookmarkEnd w:id="78"/>
      <w:r>
        <w:t xml:space="preserve">: </w:t>
      </w:r>
      <w:r w:rsidRPr="00883DB5">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0: Key drivers of the model"/>
      </w:tblPr>
      <w:tblGrid>
        <w:gridCol w:w="1074"/>
        <w:gridCol w:w="3001"/>
        <w:gridCol w:w="4941"/>
      </w:tblGrid>
      <w:tr w:rsidR="00BE6EDA" w:rsidRPr="00EF2E8A" w14:paraId="07C50005" w14:textId="77777777" w:rsidTr="00CE12B3">
        <w:trPr>
          <w:tblHeader/>
        </w:trPr>
        <w:tc>
          <w:tcPr>
            <w:tcW w:w="596" w:type="pct"/>
          </w:tcPr>
          <w:p w14:paraId="0BCAB425" w14:textId="77777777" w:rsidR="00BE6EDA" w:rsidRPr="00EF2E8A" w:rsidRDefault="00BE6EDA" w:rsidP="00591C83">
            <w:pPr>
              <w:keepNext/>
              <w:spacing w:before="0" w:after="0"/>
              <w:jc w:val="left"/>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Description</w:t>
            </w:r>
          </w:p>
        </w:tc>
        <w:tc>
          <w:tcPr>
            <w:tcW w:w="1664" w:type="pct"/>
          </w:tcPr>
          <w:p w14:paraId="7A6D9C3F" w14:textId="77777777" w:rsidR="00BE6EDA" w:rsidRPr="00EF2E8A" w:rsidRDefault="00BE6EDA" w:rsidP="00591C83">
            <w:pPr>
              <w:keepNext/>
              <w:spacing w:before="0" w:after="0"/>
              <w:jc w:val="left"/>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Method/Value</w:t>
            </w:r>
          </w:p>
        </w:tc>
        <w:tc>
          <w:tcPr>
            <w:tcW w:w="2740" w:type="pct"/>
          </w:tcPr>
          <w:p w14:paraId="5A100E8D" w14:textId="77777777" w:rsidR="00BE6EDA" w:rsidRPr="00EF2E8A" w:rsidRDefault="00BE6EDA" w:rsidP="00591C83">
            <w:pPr>
              <w:keepNext/>
              <w:spacing w:before="0" w:after="0"/>
              <w:jc w:val="left"/>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Impact</w:t>
            </w:r>
          </w:p>
          <w:p w14:paraId="350B2631" w14:textId="19BAEBD4" w:rsidR="00BE6EDA" w:rsidRPr="00EF2E8A" w:rsidRDefault="00BE6EDA" w:rsidP="00591C83">
            <w:pPr>
              <w:spacing w:before="0" w:after="0"/>
              <w:jc w:val="left"/>
              <w:rPr>
                <w:rFonts w:ascii="Arial Narrow" w:hAnsi="Arial Narrow"/>
                <w:sz w:val="20"/>
              </w:rPr>
            </w:pPr>
            <w:r w:rsidRPr="00EF2E8A">
              <w:rPr>
                <w:rFonts w:ascii="Arial Narrow" w:hAnsi="Arial Narrow" w:cs="Arial"/>
                <w:b/>
                <w:sz w:val="20"/>
                <w:szCs w:val="20"/>
              </w:rPr>
              <w:t>Base case ICER: $</w:t>
            </w:r>
            <w:r w:rsidR="00AF3C7B" w:rsidRPr="00AF3C7B">
              <w:rPr>
                <w:rFonts w:ascii="Arial Narrow" w:hAnsi="Arial Narrow" w:cs="Arial"/>
                <w:b/>
                <w:color w:val="000000"/>
                <w:spacing w:val="58"/>
                <w:sz w:val="20"/>
                <w:szCs w:val="20"/>
                <w:shd w:val="solid" w:color="000000" w:fill="000000"/>
                <w:fitText w:val="360" w:id="-629962231"/>
                <w14:textFill>
                  <w14:solidFill>
                    <w14:srgbClr w14:val="000000">
                      <w14:alpha w14:val="100000"/>
                    </w14:srgbClr>
                  </w14:solidFill>
                </w14:textFill>
              </w:rPr>
              <w:t>|||</w:t>
            </w:r>
            <w:r w:rsidR="00AF3C7B" w:rsidRPr="00AF3C7B">
              <w:rPr>
                <w:rFonts w:ascii="Arial Narrow" w:hAnsi="Arial Narrow" w:cs="Arial"/>
                <w:b/>
                <w:color w:val="000000"/>
                <w:spacing w:val="3"/>
                <w:sz w:val="20"/>
                <w:szCs w:val="20"/>
                <w:shd w:val="solid" w:color="000000" w:fill="000000"/>
                <w:fitText w:val="360" w:id="-629962231"/>
                <w14:textFill>
                  <w14:solidFill>
                    <w14:srgbClr w14:val="000000">
                      <w14:alpha w14:val="100000"/>
                    </w14:srgbClr>
                  </w14:solidFill>
                </w14:textFill>
              </w:rPr>
              <w:t>|</w:t>
            </w:r>
            <w:r w:rsidR="00BB69E1" w:rsidRPr="00BB69E1">
              <w:rPr>
                <w:rFonts w:ascii="Arial Narrow" w:hAnsi="Arial Narrow" w:cs="Arial"/>
                <w:b/>
                <w:sz w:val="20"/>
                <w:szCs w:val="20"/>
                <w:vertAlign w:val="superscript"/>
              </w:rPr>
              <w:t>1</w:t>
            </w:r>
            <w:r w:rsidRPr="00EF2E8A">
              <w:rPr>
                <w:rFonts w:ascii="Arial Narrow" w:hAnsi="Arial Narrow" w:cs="Arial"/>
                <w:b/>
                <w:sz w:val="20"/>
                <w:szCs w:val="20"/>
              </w:rPr>
              <w:t>/QALY gained</w:t>
            </w:r>
          </w:p>
        </w:tc>
      </w:tr>
      <w:tr w:rsidR="00BE6EDA" w:rsidRPr="00EF2E8A" w14:paraId="09F33E3D" w14:textId="77777777" w:rsidTr="00CE12B3">
        <w:tc>
          <w:tcPr>
            <w:tcW w:w="596" w:type="pct"/>
          </w:tcPr>
          <w:p w14:paraId="2B9E679B" w14:textId="77777777" w:rsidR="00BE6EDA" w:rsidRPr="00EF2E8A" w:rsidRDefault="00BE6EDA" w:rsidP="00591C83">
            <w:pPr>
              <w:spacing w:before="0" w:after="0"/>
              <w:jc w:val="left"/>
              <w:rPr>
                <w:rFonts w:ascii="Arial Narrow" w:hAnsi="Arial Narrow"/>
                <w:sz w:val="20"/>
              </w:rPr>
            </w:pPr>
            <w:r w:rsidRPr="00EF2E8A">
              <w:rPr>
                <w:rFonts w:ascii="Arial Narrow" w:hAnsi="Arial Narrow"/>
                <w:sz w:val="20"/>
              </w:rPr>
              <w:t>Time Horizon</w:t>
            </w:r>
          </w:p>
        </w:tc>
        <w:tc>
          <w:tcPr>
            <w:tcW w:w="1664" w:type="pct"/>
          </w:tcPr>
          <w:p w14:paraId="76F96A17" w14:textId="77777777" w:rsidR="00BE6EDA" w:rsidRPr="00EF2E8A" w:rsidRDefault="00BE6EDA" w:rsidP="00591C83">
            <w:pPr>
              <w:spacing w:before="0" w:after="0"/>
              <w:jc w:val="left"/>
              <w:rPr>
                <w:rFonts w:ascii="Arial Narrow" w:hAnsi="Arial Narrow"/>
                <w:sz w:val="20"/>
              </w:rPr>
            </w:pPr>
            <w:r w:rsidRPr="00EF2E8A">
              <w:rPr>
                <w:rFonts w:ascii="Arial Narrow" w:hAnsi="Arial Narrow"/>
                <w:sz w:val="20"/>
              </w:rPr>
              <w:t>10 years in the base case</w:t>
            </w:r>
          </w:p>
        </w:tc>
        <w:tc>
          <w:tcPr>
            <w:tcW w:w="2740" w:type="pct"/>
          </w:tcPr>
          <w:p w14:paraId="5967EAD1" w14:textId="77777777" w:rsidR="00BE6EDA" w:rsidRPr="00EF2E8A" w:rsidRDefault="00BE6EDA" w:rsidP="00591C83">
            <w:pPr>
              <w:spacing w:before="0" w:after="0"/>
              <w:jc w:val="left"/>
              <w:rPr>
                <w:rFonts w:ascii="Arial Narrow" w:hAnsi="Arial Narrow"/>
                <w:sz w:val="20"/>
                <w:szCs w:val="20"/>
              </w:rPr>
            </w:pPr>
            <w:r w:rsidRPr="00EF2E8A">
              <w:rPr>
                <w:rFonts w:ascii="Arial Narrow" w:hAnsi="Arial Narrow"/>
                <w:sz w:val="20"/>
                <w:szCs w:val="20"/>
              </w:rPr>
              <w:t>Moderate, favours MIRV</w:t>
            </w:r>
          </w:p>
          <w:p w14:paraId="02A83483" w14:textId="11E0B7B5" w:rsidR="00BE6EDA" w:rsidRPr="00EF2E8A" w:rsidRDefault="00BE6EDA" w:rsidP="00591C83">
            <w:pPr>
              <w:spacing w:before="0" w:after="0"/>
              <w:jc w:val="left"/>
              <w:rPr>
                <w:rFonts w:ascii="Arial Narrow" w:hAnsi="Arial Narrow"/>
                <w:sz w:val="20"/>
                <w:szCs w:val="20"/>
              </w:rPr>
            </w:pPr>
            <w:r w:rsidRPr="00EF2E8A">
              <w:rPr>
                <w:rFonts w:ascii="Arial Narrow" w:hAnsi="Arial Narrow"/>
                <w:sz w:val="20"/>
                <w:szCs w:val="20"/>
              </w:rPr>
              <w:t xml:space="preserve">Use of a </w:t>
            </w:r>
            <w:r w:rsidR="00F22DE3" w:rsidRPr="00EF2E8A">
              <w:rPr>
                <w:rFonts w:ascii="Arial Narrow" w:hAnsi="Arial Narrow"/>
                <w:sz w:val="20"/>
                <w:szCs w:val="20"/>
              </w:rPr>
              <w:t>7.5</w:t>
            </w:r>
            <w:r w:rsidR="00A46D2B">
              <w:rPr>
                <w:rFonts w:ascii="Arial Narrow" w:hAnsi="Arial Narrow"/>
                <w:sz w:val="20"/>
                <w:szCs w:val="20"/>
              </w:rPr>
              <w:noBreakHyphen/>
            </w:r>
            <w:r w:rsidR="00F22DE3" w:rsidRPr="00EF2E8A">
              <w:rPr>
                <w:rFonts w:ascii="Arial Narrow" w:hAnsi="Arial Narrow"/>
                <w:sz w:val="20"/>
                <w:szCs w:val="20"/>
              </w:rPr>
              <w:t>year</w:t>
            </w:r>
            <w:r w:rsidRPr="00EF2E8A">
              <w:rPr>
                <w:rFonts w:ascii="Arial Narrow" w:hAnsi="Arial Narrow"/>
                <w:sz w:val="20"/>
                <w:szCs w:val="20"/>
              </w:rPr>
              <w:t xml:space="preserve"> time horizon increased the ICER to $</w:t>
            </w:r>
            <w:r w:rsidR="00AF3C7B" w:rsidRPr="00AF3C7B">
              <w:rPr>
                <w:rFonts w:ascii="Arial Narrow" w:hAnsi="Arial Narrow"/>
                <w:color w:val="000000"/>
                <w:spacing w:val="51"/>
                <w:sz w:val="20"/>
                <w:szCs w:val="20"/>
                <w:shd w:val="solid" w:color="000000" w:fill="000000"/>
                <w:fitText w:val="324" w:id="-629962230"/>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324" w:id="-629962230"/>
                <w14:textFill>
                  <w14:solidFill>
                    <w14:srgbClr w14:val="000000">
                      <w14:alpha w14:val="100000"/>
                    </w14:srgbClr>
                  </w14:solidFill>
                </w14:textFill>
              </w:rPr>
              <w:t>|</w:t>
            </w:r>
            <w:r w:rsidR="00AF65B2" w:rsidRPr="00AF65B2">
              <w:rPr>
                <w:rFonts w:ascii="Arial Narrow" w:hAnsi="Arial Narrow"/>
                <w:sz w:val="20"/>
                <w:szCs w:val="20"/>
                <w:vertAlign w:val="superscript"/>
              </w:rPr>
              <w:t>2</w:t>
            </w:r>
            <w:r w:rsidRPr="00EF2E8A">
              <w:rPr>
                <w:rFonts w:ascii="Arial Narrow" w:hAnsi="Arial Narrow"/>
                <w:sz w:val="20"/>
                <w:szCs w:val="20"/>
              </w:rPr>
              <w:t>/QALY gained (+</w:t>
            </w:r>
            <w:r w:rsidR="00AF3C7B" w:rsidRPr="00AF3C7B">
              <w:rPr>
                <w:rFonts w:ascii="Arial Narrow" w:hAnsi="Arial Narrow"/>
                <w:color w:val="000000"/>
                <w:spacing w:val="55"/>
                <w:sz w:val="20"/>
                <w:szCs w:val="20"/>
                <w:shd w:val="solid" w:color="000000" w:fill="000000"/>
                <w:fitText w:val="336" w:id="-629962229"/>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336" w:id="-629962229"/>
                <w14:textFill>
                  <w14:solidFill>
                    <w14:srgbClr w14:val="000000">
                      <w14:alpha w14:val="100000"/>
                    </w14:srgbClr>
                  </w14:solidFill>
                </w14:textFill>
              </w:rPr>
              <w:t>|</w:t>
            </w:r>
            <w:r w:rsidRPr="00EF2E8A">
              <w:rPr>
                <w:rFonts w:ascii="Arial Narrow" w:hAnsi="Arial Narrow"/>
                <w:sz w:val="20"/>
                <w:szCs w:val="20"/>
              </w:rPr>
              <w:t>%)</w:t>
            </w:r>
          </w:p>
        </w:tc>
      </w:tr>
      <w:tr w:rsidR="00BE6EDA" w:rsidRPr="00EF2E8A" w14:paraId="422FC2D9" w14:textId="77777777" w:rsidTr="00CE12B3">
        <w:tc>
          <w:tcPr>
            <w:tcW w:w="596" w:type="pct"/>
          </w:tcPr>
          <w:p w14:paraId="53A769ED" w14:textId="77777777" w:rsidR="00BE6EDA" w:rsidRPr="00EF2E8A" w:rsidRDefault="00BE6EDA" w:rsidP="00591C83">
            <w:pPr>
              <w:spacing w:before="0" w:after="0"/>
              <w:jc w:val="left"/>
              <w:rPr>
                <w:rFonts w:ascii="Arial Narrow" w:hAnsi="Arial Narrow"/>
                <w:sz w:val="20"/>
              </w:rPr>
            </w:pPr>
            <w:r w:rsidRPr="00EF2E8A">
              <w:rPr>
                <w:rFonts w:ascii="Arial Narrow" w:hAnsi="Arial Narrow"/>
                <w:sz w:val="20"/>
              </w:rPr>
              <w:t>Extrapolation</w:t>
            </w:r>
          </w:p>
        </w:tc>
        <w:tc>
          <w:tcPr>
            <w:tcW w:w="1664" w:type="pct"/>
          </w:tcPr>
          <w:p w14:paraId="589789AB" w14:textId="24820AE6" w:rsidR="00BE6EDA" w:rsidRPr="00EF2E8A" w:rsidRDefault="00BE6EDA" w:rsidP="00591C83">
            <w:pPr>
              <w:spacing w:before="0" w:after="0"/>
              <w:jc w:val="left"/>
              <w:rPr>
                <w:rFonts w:ascii="Arial Narrow" w:hAnsi="Arial Narrow"/>
                <w:sz w:val="20"/>
              </w:rPr>
            </w:pPr>
            <w:r w:rsidRPr="00EF2E8A">
              <w:rPr>
                <w:rFonts w:ascii="Arial Narrow" w:hAnsi="Arial Narrow"/>
                <w:sz w:val="20"/>
              </w:rPr>
              <w:t>Choice of parametric survival model to extrapolate OS in MIRV arm (base case = Log</w:t>
            </w:r>
            <w:r w:rsidR="00A46D2B">
              <w:rPr>
                <w:rFonts w:ascii="Arial Narrow" w:hAnsi="Arial Narrow"/>
                <w:sz w:val="20"/>
              </w:rPr>
              <w:noBreakHyphen/>
            </w:r>
            <w:r w:rsidRPr="00EF2E8A">
              <w:rPr>
                <w:rFonts w:ascii="Arial Narrow" w:hAnsi="Arial Narrow"/>
                <w:sz w:val="20"/>
              </w:rPr>
              <w:t>logistic)</w:t>
            </w:r>
          </w:p>
          <w:p w14:paraId="48895B35" w14:textId="77777777" w:rsidR="00BE6EDA" w:rsidRPr="00EF2E8A" w:rsidRDefault="00BE6EDA" w:rsidP="00591C83">
            <w:pPr>
              <w:spacing w:before="0" w:after="0"/>
              <w:jc w:val="left"/>
              <w:rPr>
                <w:rFonts w:ascii="Arial Narrow" w:hAnsi="Arial Narrow"/>
                <w:sz w:val="20"/>
              </w:rPr>
            </w:pPr>
          </w:p>
        </w:tc>
        <w:tc>
          <w:tcPr>
            <w:tcW w:w="2740" w:type="pct"/>
          </w:tcPr>
          <w:p w14:paraId="587CE448" w14:textId="77777777" w:rsidR="00BE6EDA" w:rsidRPr="00EF2E8A" w:rsidRDefault="00BE6EDA" w:rsidP="00591C83">
            <w:pPr>
              <w:spacing w:before="0" w:after="0"/>
              <w:jc w:val="left"/>
              <w:rPr>
                <w:rFonts w:ascii="Arial Narrow" w:hAnsi="Arial Narrow"/>
                <w:sz w:val="20"/>
                <w:szCs w:val="20"/>
              </w:rPr>
            </w:pPr>
            <w:r w:rsidRPr="00EF2E8A">
              <w:rPr>
                <w:rFonts w:ascii="Arial Narrow" w:hAnsi="Arial Narrow"/>
                <w:sz w:val="20"/>
                <w:szCs w:val="20"/>
              </w:rPr>
              <w:t>High, favours MIRV</w:t>
            </w:r>
          </w:p>
          <w:p w14:paraId="4A4E8ACD" w14:textId="5B6DDE55" w:rsidR="00BE6EDA" w:rsidRPr="00EF2E8A" w:rsidRDefault="00BE6EDA" w:rsidP="00591C83">
            <w:pPr>
              <w:spacing w:before="0" w:after="0"/>
              <w:jc w:val="left"/>
              <w:rPr>
                <w:rFonts w:ascii="Arial Narrow" w:hAnsi="Arial Narrow"/>
                <w:sz w:val="20"/>
              </w:rPr>
            </w:pPr>
            <w:r w:rsidRPr="00EF2E8A">
              <w:rPr>
                <w:rFonts w:ascii="Arial Narrow" w:hAnsi="Arial Narrow"/>
                <w:sz w:val="20"/>
              </w:rPr>
              <w:t xml:space="preserve">Use of the </w:t>
            </w:r>
            <w:r w:rsidR="00AD0FE3" w:rsidRPr="00EF2E8A">
              <w:rPr>
                <w:rFonts w:ascii="Arial Narrow" w:hAnsi="Arial Narrow"/>
                <w:sz w:val="20"/>
              </w:rPr>
              <w:t>g</w:t>
            </w:r>
            <w:r w:rsidRPr="00EF2E8A">
              <w:rPr>
                <w:rFonts w:ascii="Arial Narrow" w:hAnsi="Arial Narrow"/>
                <w:sz w:val="20"/>
              </w:rPr>
              <w:t xml:space="preserve">amma </w:t>
            </w:r>
            <w:r w:rsidR="00936A34" w:rsidRPr="00EF2E8A">
              <w:rPr>
                <w:rFonts w:ascii="Arial Narrow" w:hAnsi="Arial Narrow"/>
                <w:sz w:val="20"/>
              </w:rPr>
              <w:t>distribution</w:t>
            </w:r>
            <w:r w:rsidRPr="00EF2E8A">
              <w:rPr>
                <w:rFonts w:ascii="Arial Narrow" w:hAnsi="Arial Narrow"/>
                <w:sz w:val="20"/>
              </w:rPr>
              <w:t xml:space="preserve"> (best fit based on AIC/BIC statistics and </w:t>
            </w:r>
            <w:r w:rsidR="00AD0FE3" w:rsidRPr="00EF2E8A">
              <w:rPr>
                <w:rFonts w:ascii="Arial Narrow" w:hAnsi="Arial Narrow"/>
                <w:sz w:val="20"/>
              </w:rPr>
              <w:t>considered more clinically plausible</w:t>
            </w:r>
            <w:r w:rsidRPr="00EF2E8A">
              <w:rPr>
                <w:rFonts w:ascii="Arial Narrow" w:hAnsi="Arial Narrow"/>
                <w:sz w:val="20"/>
              </w:rPr>
              <w:t>), increased the ICER to $</w:t>
            </w:r>
            <w:r w:rsidR="00AF3C7B" w:rsidRPr="00AF3C7B">
              <w:rPr>
                <w:rFonts w:ascii="Arial Narrow" w:hAnsi="Arial Narrow"/>
                <w:color w:val="000000"/>
                <w:spacing w:val="51"/>
                <w:sz w:val="20"/>
                <w:shd w:val="solid" w:color="000000" w:fill="000000"/>
                <w:fitText w:val="324" w:id="-629962228"/>
                <w14:textFill>
                  <w14:solidFill>
                    <w14:srgbClr w14:val="000000">
                      <w14:alpha w14:val="100000"/>
                    </w14:srgbClr>
                  </w14:solidFill>
                </w14:textFill>
              </w:rPr>
              <w:t>|||</w:t>
            </w:r>
            <w:r w:rsidR="00AF3C7B" w:rsidRPr="00AF3C7B">
              <w:rPr>
                <w:rFonts w:ascii="Arial Narrow" w:hAnsi="Arial Narrow"/>
                <w:color w:val="000000"/>
                <w:spacing w:val="1"/>
                <w:sz w:val="20"/>
                <w:shd w:val="solid" w:color="000000" w:fill="000000"/>
                <w:fitText w:val="324" w:id="-629962228"/>
                <w14:textFill>
                  <w14:solidFill>
                    <w14:srgbClr w14:val="000000">
                      <w14:alpha w14:val="100000"/>
                    </w14:srgbClr>
                  </w14:solidFill>
                </w14:textFill>
              </w:rPr>
              <w:t>|</w:t>
            </w:r>
            <w:r w:rsidR="00AF65B2" w:rsidRPr="00AF65B2">
              <w:rPr>
                <w:rFonts w:ascii="Arial Narrow" w:hAnsi="Arial Narrow"/>
                <w:sz w:val="20"/>
                <w:vertAlign w:val="superscript"/>
              </w:rPr>
              <w:t>3</w:t>
            </w:r>
            <w:r w:rsidRPr="00EF2E8A">
              <w:rPr>
                <w:rFonts w:ascii="Arial Narrow" w:hAnsi="Arial Narrow"/>
                <w:sz w:val="20"/>
              </w:rPr>
              <w:t>/QALY gained (+</w:t>
            </w:r>
            <w:r w:rsidR="00AF3C7B" w:rsidRPr="00AF3C7B">
              <w:rPr>
                <w:rFonts w:ascii="Arial Narrow" w:hAnsi="Arial Narrow"/>
                <w:color w:val="000000"/>
                <w:spacing w:val="51"/>
                <w:sz w:val="20"/>
                <w:shd w:val="solid" w:color="000000" w:fill="000000"/>
                <w:fitText w:val="324" w:id="-629962227"/>
                <w14:textFill>
                  <w14:solidFill>
                    <w14:srgbClr w14:val="000000">
                      <w14:alpha w14:val="100000"/>
                    </w14:srgbClr>
                  </w14:solidFill>
                </w14:textFill>
              </w:rPr>
              <w:t>|||</w:t>
            </w:r>
            <w:r w:rsidR="00AF3C7B" w:rsidRPr="00AF3C7B">
              <w:rPr>
                <w:rFonts w:ascii="Arial Narrow" w:hAnsi="Arial Narrow"/>
                <w:color w:val="000000"/>
                <w:spacing w:val="1"/>
                <w:sz w:val="20"/>
                <w:shd w:val="solid" w:color="000000" w:fill="000000"/>
                <w:fitText w:val="324" w:id="-629962227"/>
                <w14:textFill>
                  <w14:solidFill>
                    <w14:srgbClr w14:val="000000">
                      <w14:alpha w14:val="100000"/>
                    </w14:srgbClr>
                  </w14:solidFill>
                </w14:textFill>
              </w:rPr>
              <w:t>|</w:t>
            </w:r>
            <w:r w:rsidRPr="00EF2E8A">
              <w:rPr>
                <w:rFonts w:ascii="Arial Narrow" w:hAnsi="Arial Narrow"/>
                <w:sz w:val="20"/>
              </w:rPr>
              <w:t>%)</w:t>
            </w:r>
          </w:p>
        </w:tc>
      </w:tr>
      <w:tr w:rsidR="00BE6EDA" w:rsidRPr="00EF2E8A" w14:paraId="67CF56EA" w14:textId="77777777" w:rsidTr="00CE12B3">
        <w:tc>
          <w:tcPr>
            <w:tcW w:w="596" w:type="pct"/>
          </w:tcPr>
          <w:p w14:paraId="3D52D9A5" w14:textId="77777777" w:rsidR="00BE6EDA" w:rsidRPr="00EF2E8A" w:rsidRDefault="00BE6EDA" w:rsidP="00591C83">
            <w:pPr>
              <w:spacing w:before="0" w:after="0"/>
              <w:jc w:val="left"/>
              <w:rPr>
                <w:rFonts w:ascii="Arial Narrow" w:hAnsi="Arial Narrow"/>
                <w:sz w:val="20"/>
              </w:rPr>
            </w:pPr>
            <w:r w:rsidRPr="00EF2E8A">
              <w:rPr>
                <w:rFonts w:ascii="Arial Narrow" w:hAnsi="Arial Narrow"/>
                <w:sz w:val="20"/>
              </w:rPr>
              <w:t>Utilities</w:t>
            </w:r>
          </w:p>
        </w:tc>
        <w:tc>
          <w:tcPr>
            <w:tcW w:w="1664" w:type="pct"/>
          </w:tcPr>
          <w:p w14:paraId="2E746E7A" w14:textId="325FBF4D" w:rsidR="00BE6EDA" w:rsidRPr="00EF2E8A" w:rsidRDefault="00BE6EDA" w:rsidP="00591C83">
            <w:pPr>
              <w:spacing w:before="0" w:after="0"/>
              <w:jc w:val="left"/>
              <w:rPr>
                <w:rFonts w:ascii="Arial Narrow" w:hAnsi="Arial Narrow"/>
                <w:sz w:val="20"/>
                <w:szCs w:val="20"/>
              </w:rPr>
            </w:pPr>
            <w:r w:rsidRPr="00EF2E8A">
              <w:rPr>
                <w:rFonts w:ascii="Arial Narrow" w:hAnsi="Arial Narrow"/>
                <w:sz w:val="20"/>
                <w:szCs w:val="20"/>
              </w:rPr>
              <w:t>Base case = treatment dependent utility values for pre</w:t>
            </w:r>
            <w:r w:rsidR="00A46D2B">
              <w:rPr>
                <w:rFonts w:ascii="Arial Narrow" w:hAnsi="Arial Narrow"/>
                <w:sz w:val="20"/>
                <w:szCs w:val="20"/>
              </w:rPr>
              <w:noBreakHyphen/>
            </w:r>
            <w:r w:rsidRPr="00EF2E8A">
              <w:rPr>
                <w:rFonts w:ascii="Arial Narrow" w:hAnsi="Arial Narrow"/>
                <w:sz w:val="20"/>
                <w:szCs w:val="20"/>
              </w:rPr>
              <w:t>progression and post</w:t>
            </w:r>
            <w:r w:rsidR="00A46D2B">
              <w:rPr>
                <w:rFonts w:ascii="Arial Narrow" w:hAnsi="Arial Narrow"/>
                <w:sz w:val="20"/>
                <w:szCs w:val="20"/>
              </w:rPr>
              <w:noBreakHyphen/>
            </w:r>
            <w:r w:rsidRPr="00EF2E8A">
              <w:rPr>
                <w:rFonts w:ascii="Arial Narrow" w:hAnsi="Arial Narrow"/>
                <w:sz w:val="20"/>
                <w:szCs w:val="20"/>
              </w:rPr>
              <w:t xml:space="preserve">progression health states </w:t>
            </w:r>
          </w:p>
        </w:tc>
        <w:tc>
          <w:tcPr>
            <w:tcW w:w="2740" w:type="pct"/>
          </w:tcPr>
          <w:p w14:paraId="43BF0880" w14:textId="77777777" w:rsidR="00BE6EDA" w:rsidRPr="00EF2E8A" w:rsidRDefault="00BE6EDA" w:rsidP="00591C83">
            <w:pPr>
              <w:spacing w:before="0" w:after="0"/>
              <w:jc w:val="left"/>
              <w:rPr>
                <w:rFonts w:ascii="Arial Narrow" w:hAnsi="Arial Narrow"/>
                <w:color w:val="3366FF"/>
                <w:sz w:val="20"/>
                <w:szCs w:val="20"/>
              </w:rPr>
            </w:pPr>
            <w:r w:rsidRPr="00EF2E8A">
              <w:rPr>
                <w:rFonts w:ascii="Arial Narrow" w:hAnsi="Arial Narrow"/>
                <w:sz w:val="20"/>
                <w:szCs w:val="20"/>
              </w:rPr>
              <w:t>Moderate, favours MIRV</w:t>
            </w:r>
            <w:r w:rsidRPr="00EF2E8A">
              <w:rPr>
                <w:rFonts w:ascii="Arial Narrow" w:hAnsi="Arial Narrow"/>
                <w:color w:val="3366FF"/>
                <w:sz w:val="20"/>
                <w:szCs w:val="20"/>
              </w:rPr>
              <w:t xml:space="preserve"> </w:t>
            </w:r>
          </w:p>
          <w:p w14:paraId="12B5E999" w14:textId="4D16F7FF" w:rsidR="00BE6EDA" w:rsidRPr="00EF2E8A" w:rsidRDefault="00BE6EDA" w:rsidP="00591C83">
            <w:pPr>
              <w:spacing w:before="0" w:after="0"/>
              <w:jc w:val="left"/>
              <w:rPr>
                <w:rFonts w:ascii="Arial Narrow" w:hAnsi="Arial Narrow"/>
                <w:sz w:val="20"/>
                <w:szCs w:val="20"/>
              </w:rPr>
            </w:pPr>
            <w:r w:rsidRPr="00EF2E8A">
              <w:rPr>
                <w:rFonts w:ascii="Arial Narrow" w:hAnsi="Arial Narrow"/>
                <w:sz w:val="20"/>
                <w:szCs w:val="20"/>
              </w:rPr>
              <w:t>Use of pooled utility values (sourced from MIRASOL) for the pre</w:t>
            </w:r>
            <w:r w:rsidR="00A46D2B">
              <w:rPr>
                <w:rFonts w:ascii="Arial Narrow" w:hAnsi="Arial Narrow"/>
                <w:sz w:val="20"/>
                <w:szCs w:val="20"/>
              </w:rPr>
              <w:noBreakHyphen/>
            </w:r>
            <w:r w:rsidRPr="00EF2E8A">
              <w:rPr>
                <w:rFonts w:ascii="Arial Narrow" w:hAnsi="Arial Narrow"/>
                <w:sz w:val="20"/>
                <w:szCs w:val="20"/>
              </w:rPr>
              <w:t>progression and post</w:t>
            </w:r>
            <w:r w:rsidR="00A46D2B">
              <w:rPr>
                <w:rFonts w:ascii="Arial Narrow" w:hAnsi="Arial Narrow"/>
                <w:sz w:val="20"/>
                <w:szCs w:val="20"/>
              </w:rPr>
              <w:noBreakHyphen/>
            </w:r>
            <w:r w:rsidRPr="00EF2E8A">
              <w:rPr>
                <w:rFonts w:ascii="Arial Narrow" w:hAnsi="Arial Narrow"/>
                <w:sz w:val="20"/>
                <w:szCs w:val="20"/>
              </w:rPr>
              <w:t>progression health states increased the ICER to $</w:t>
            </w:r>
            <w:r w:rsidR="00AF3C7B" w:rsidRPr="00AF3C7B">
              <w:rPr>
                <w:rFonts w:ascii="Arial Narrow" w:hAnsi="Arial Narrow"/>
                <w:color w:val="000000"/>
                <w:spacing w:val="55"/>
                <w:sz w:val="20"/>
                <w:szCs w:val="20"/>
                <w:shd w:val="solid" w:color="000000" w:fill="000000"/>
                <w:fitText w:val="336" w:id="-629962226"/>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336" w:id="-629962226"/>
                <w14:textFill>
                  <w14:solidFill>
                    <w14:srgbClr w14:val="000000">
                      <w14:alpha w14:val="100000"/>
                    </w14:srgbClr>
                  </w14:solidFill>
                </w14:textFill>
              </w:rPr>
              <w:t>|</w:t>
            </w:r>
            <w:r w:rsidR="00AF65B2" w:rsidRPr="00AF65B2">
              <w:rPr>
                <w:rFonts w:ascii="Arial Narrow" w:hAnsi="Arial Narrow"/>
                <w:sz w:val="20"/>
                <w:szCs w:val="20"/>
                <w:vertAlign w:val="superscript"/>
              </w:rPr>
              <w:t>2</w:t>
            </w:r>
            <w:r w:rsidRPr="00EF2E8A">
              <w:rPr>
                <w:rFonts w:ascii="Arial Narrow" w:hAnsi="Arial Narrow"/>
                <w:sz w:val="20"/>
                <w:szCs w:val="20"/>
              </w:rPr>
              <w:t>/QALY gained.(+</w:t>
            </w:r>
            <w:r w:rsidR="00AF3C7B" w:rsidRPr="00AF3C7B">
              <w:rPr>
                <w:rFonts w:ascii="Arial Narrow" w:hAnsi="Arial Narrow"/>
                <w:color w:val="000000"/>
                <w:spacing w:val="51"/>
                <w:sz w:val="20"/>
                <w:szCs w:val="20"/>
                <w:shd w:val="solid" w:color="000000" w:fill="000000"/>
                <w:fitText w:val="324" w:id="-629962225"/>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324" w:id="-629962225"/>
                <w14:textFill>
                  <w14:solidFill>
                    <w14:srgbClr w14:val="000000">
                      <w14:alpha w14:val="100000"/>
                    </w14:srgbClr>
                  </w14:solidFill>
                </w14:textFill>
              </w:rPr>
              <w:t>|</w:t>
            </w:r>
            <w:r w:rsidRPr="00EF2E8A">
              <w:rPr>
                <w:rFonts w:ascii="Arial Narrow" w:hAnsi="Arial Narrow"/>
                <w:sz w:val="20"/>
                <w:szCs w:val="20"/>
              </w:rPr>
              <w:t>%).</w:t>
            </w:r>
          </w:p>
        </w:tc>
      </w:tr>
    </w:tbl>
    <w:p w14:paraId="18464207" w14:textId="77777777" w:rsidR="00BE6EDA" w:rsidRPr="00EF2E8A" w:rsidRDefault="00BE6EDA" w:rsidP="00591C83">
      <w:pPr>
        <w:pStyle w:val="TableFigureFooter"/>
      </w:pPr>
      <w:r w:rsidRPr="00EF2E8A">
        <w:t>Source: Developed during the evaluation.</w:t>
      </w:r>
    </w:p>
    <w:p w14:paraId="05478E9A" w14:textId="77777777" w:rsidR="00E46C0F" w:rsidRDefault="00F94BCA" w:rsidP="00E46C0F">
      <w:pPr>
        <w:pStyle w:val="TableFigureFooter"/>
      </w:pPr>
      <w:r w:rsidRPr="00EF2E8A">
        <w:t>AIC= Akaike Information Criterion;</w:t>
      </w:r>
      <w:r w:rsidR="00A443D7" w:rsidRPr="00EF2E8A">
        <w:t xml:space="preserve"> BIC=Bayesian Information Criterion; </w:t>
      </w:r>
      <w:r w:rsidR="00BE6EDA" w:rsidRPr="00EF2E8A">
        <w:t>ICER = incremental cost</w:t>
      </w:r>
      <w:r w:rsidR="00A46D2B">
        <w:noBreakHyphen/>
      </w:r>
      <w:r w:rsidR="00BE6EDA" w:rsidRPr="00EF2E8A">
        <w:t xml:space="preserve">effectiveness ratio; MIRV = </w:t>
      </w:r>
      <w:r w:rsidR="002764AD" w:rsidRPr="00EF2E8A">
        <w:t>mirvetuximab</w:t>
      </w:r>
      <w:r w:rsidR="00BE6EDA" w:rsidRPr="00EF2E8A">
        <w:t xml:space="preserve"> soravtansine; OS = overall survival; QALY = quality</w:t>
      </w:r>
      <w:r w:rsidR="00A46D2B">
        <w:noBreakHyphen/>
      </w:r>
      <w:r w:rsidR="00BE6EDA" w:rsidRPr="00EF2E8A">
        <w:t>adjusted life year.</w:t>
      </w:r>
      <w:r w:rsidR="00E46C0F" w:rsidRPr="00E46C0F">
        <w:t xml:space="preserve"> </w:t>
      </w:r>
    </w:p>
    <w:p w14:paraId="22878383" w14:textId="7DA3858E" w:rsidR="00E46C0F" w:rsidRPr="00E02234" w:rsidRDefault="00E46C0F" w:rsidP="00E46C0F">
      <w:pPr>
        <w:pStyle w:val="TableFigureFooter"/>
        <w:rPr>
          <w:i/>
          <w:iCs/>
        </w:rPr>
      </w:pPr>
      <w:r w:rsidRPr="00E02234">
        <w:rPr>
          <w:i/>
          <w:iCs/>
        </w:rPr>
        <w:t xml:space="preserve">The redacted values correspond to the following </w:t>
      </w:r>
      <w:proofErr w:type="gramStart"/>
      <w:r w:rsidRPr="00E02234">
        <w:rPr>
          <w:i/>
          <w:iCs/>
        </w:rPr>
        <w:t>ranges:.</w:t>
      </w:r>
      <w:proofErr w:type="gramEnd"/>
    </w:p>
    <w:p w14:paraId="04DFC3F8" w14:textId="77777777" w:rsidR="00AF65B2" w:rsidRPr="00E02234" w:rsidRDefault="00E46C0F" w:rsidP="00BB69E1">
      <w:pPr>
        <w:pStyle w:val="TableFigureFooter"/>
        <w:rPr>
          <w:i/>
          <w:iCs/>
        </w:rPr>
      </w:pPr>
      <w:r w:rsidRPr="00E02234">
        <w:rPr>
          <w:i/>
          <w:iCs/>
          <w:vertAlign w:val="superscript"/>
        </w:rPr>
        <w:t>1</w:t>
      </w:r>
      <w:r w:rsidRPr="00E02234">
        <w:rPr>
          <w:i/>
          <w:iCs/>
        </w:rPr>
        <w:t xml:space="preserve"> </w:t>
      </w:r>
      <w:r w:rsidR="00BB69E1" w:rsidRPr="00E02234">
        <w:rPr>
          <w:i/>
          <w:iCs/>
        </w:rPr>
        <w:t xml:space="preserve">$75,000 to &lt; $95,000 </w:t>
      </w:r>
    </w:p>
    <w:p w14:paraId="3A3A1120" w14:textId="2585461E" w:rsidR="00BB69E1" w:rsidRPr="00E02234" w:rsidRDefault="00AF65B2" w:rsidP="00BB69E1">
      <w:pPr>
        <w:pStyle w:val="TableFigureFooter"/>
        <w:rPr>
          <w:i/>
          <w:iCs/>
        </w:rPr>
      </w:pPr>
      <w:r w:rsidRPr="00E02234">
        <w:rPr>
          <w:i/>
          <w:iCs/>
          <w:vertAlign w:val="superscript"/>
        </w:rPr>
        <w:t>2</w:t>
      </w:r>
      <w:r w:rsidRPr="00E02234">
        <w:rPr>
          <w:i/>
          <w:iCs/>
        </w:rPr>
        <w:t xml:space="preserve"> $95,000 to &lt; $115,000</w:t>
      </w:r>
    </w:p>
    <w:p w14:paraId="13A26D87" w14:textId="2CDCE9CB" w:rsidR="00E02234" w:rsidRPr="00E02234" w:rsidRDefault="00E02234" w:rsidP="00BB69E1">
      <w:pPr>
        <w:pStyle w:val="TableFigureFooter"/>
        <w:rPr>
          <w:i/>
          <w:iCs/>
        </w:rPr>
      </w:pPr>
      <w:r w:rsidRPr="00E02234">
        <w:rPr>
          <w:i/>
          <w:iCs/>
          <w:vertAlign w:val="superscript"/>
        </w:rPr>
        <w:t xml:space="preserve">3 </w:t>
      </w:r>
      <w:r w:rsidRPr="00E02234">
        <w:rPr>
          <w:i/>
          <w:iCs/>
        </w:rPr>
        <w:t>$135,000 to &lt; $155,000</w:t>
      </w:r>
    </w:p>
    <w:p w14:paraId="7AB23460" w14:textId="61BBD9AB" w:rsidR="008E5062" w:rsidRPr="00EF2E8A" w:rsidRDefault="008E5062" w:rsidP="00591C83">
      <w:pPr>
        <w:pStyle w:val="ListParagraph"/>
        <w:rPr>
          <w:color w:val="auto"/>
        </w:rPr>
      </w:pPr>
      <w:r w:rsidRPr="00EF2E8A">
        <w:rPr>
          <w:color w:val="auto"/>
        </w:rPr>
        <w:t>The results of the stepped economic evaluation are presented in</w:t>
      </w:r>
      <w:r w:rsidR="003842BE" w:rsidRPr="00EF2E8A">
        <w:rPr>
          <w:color w:val="auto"/>
        </w:rPr>
        <w:t xml:space="preserve"> </w:t>
      </w:r>
      <w:r w:rsidR="00836EC5">
        <w:rPr>
          <w:color w:val="auto"/>
        </w:rPr>
        <w:fldChar w:fldCharType="begin" w:fldLock="1"/>
      </w:r>
      <w:r w:rsidR="00836EC5">
        <w:rPr>
          <w:color w:val="auto"/>
        </w:rPr>
        <w:instrText xml:space="preserve"> REF _Ref205198966 \h </w:instrText>
      </w:r>
      <w:r w:rsidR="00836EC5">
        <w:rPr>
          <w:color w:val="auto"/>
        </w:rPr>
      </w:r>
      <w:r w:rsidR="00836EC5">
        <w:rPr>
          <w:color w:val="auto"/>
        </w:rPr>
        <w:fldChar w:fldCharType="separate"/>
      </w:r>
      <w:r w:rsidR="00CC5CAD">
        <w:t xml:space="preserve">Table </w:t>
      </w:r>
      <w:r w:rsidR="00CC5CAD">
        <w:rPr>
          <w:noProof/>
        </w:rPr>
        <w:t>21</w:t>
      </w:r>
      <w:r w:rsidR="00836EC5">
        <w:rPr>
          <w:color w:val="auto"/>
        </w:rPr>
        <w:fldChar w:fldCharType="end"/>
      </w:r>
      <w:r w:rsidR="006A22FC" w:rsidRPr="00EF2E8A">
        <w:rPr>
          <w:color w:val="auto"/>
        </w:rPr>
        <w:t>.</w:t>
      </w:r>
    </w:p>
    <w:p w14:paraId="44204B96" w14:textId="6CBE891C" w:rsidR="00836EC5" w:rsidRDefault="00836EC5" w:rsidP="00591C83">
      <w:pPr>
        <w:pStyle w:val="Caption"/>
      </w:pPr>
      <w:bookmarkStart w:id="79" w:name="_Ref205198966"/>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21</w:t>
      </w:r>
      <w:r w:rsidR="00CC5CAD">
        <w:rPr>
          <w:noProof/>
        </w:rPr>
        <w:fldChar w:fldCharType="end"/>
      </w:r>
      <w:bookmarkEnd w:id="79"/>
      <w:r>
        <w:t xml:space="preserve">: </w:t>
      </w:r>
      <w:r w:rsidRPr="00CA4F61">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1: Results of the stepped economic evaluation"/>
      </w:tblPr>
      <w:tblGrid>
        <w:gridCol w:w="2009"/>
        <w:gridCol w:w="1780"/>
        <w:gridCol w:w="1666"/>
        <w:gridCol w:w="1242"/>
        <w:gridCol w:w="1077"/>
        <w:gridCol w:w="1242"/>
      </w:tblGrid>
      <w:tr w:rsidR="008E5062" w:rsidRPr="00EF2E8A" w14:paraId="0EDB1E5D" w14:textId="77777777">
        <w:trPr>
          <w:tblHeader/>
        </w:trPr>
        <w:tc>
          <w:tcPr>
            <w:tcW w:w="1114" w:type="pct"/>
            <w:vAlign w:val="center"/>
          </w:tcPr>
          <w:p w14:paraId="4F3F44BC" w14:textId="77777777" w:rsidR="008E5062" w:rsidRPr="00EF2E8A" w:rsidRDefault="008E5062" w:rsidP="00591C83">
            <w:pPr>
              <w:keepNext/>
              <w:spacing w:before="0" w:after="0"/>
              <w:jc w:val="left"/>
              <w:rPr>
                <w:rFonts w:ascii="Arial Narrow" w:eastAsiaTheme="majorEastAsia" w:hAnsi="Arial Narrow" w:cs="Times New Roman"/>
                <w:b/>
                <w:sz w:val="20"/>
                <w:szCs w:val="20"/>
                <w:lang w:eastAsia="en-AU"/>
              </w:rPr>
            </w:pPr>
            <w:r w:rsidRPr="00EF2E8A">
              <w:rPr>
                <w:rFonts w:ascii="Arial Narrow" w:eastAsiaTheme="majorEastAsia" w:hAnsi="Arial Narrow" w:cs="Times New Roman"/>
                <w:b/>
                <w:sz w:val="20"/>
                <w:szCs w:val="20"/>
                <w:lang w:eastAsia="en-AU"/>
              </w:rPr>
              <w:t>Step and component</w:t>
            </w:r>
          </w:p>
        </w:tc>
        <w:tc>
          <w:tcPr>
            <w:tcW w:w="987" w:type="pct"/>
            <w:vAlign w:val="center"/>
          </w:tcPr>
          <w:p w14:paraId="493CBB09" w14:textId="77777777" w:rsidR="008E5062" w:rsidRPr="00EF2E8A" w:rsidRDefault="008E5062" w:rsidP="00591C83">
            <w:pPr>
              <w:keepNext/>
              <w:spacing w:before="0" w:after="0"/>
              <w:jc w:val="center"/>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MIRV</w:t>
            </w:r>
          </w:p>
        </w:tc>
        <w:tc>
          <w:tcPr>
            <w:tcW w:w="924" w:type="pct"/>
            <w:vAlign w:val="center"/>
          </w:tcPr>
          <w:p w14:paraId="39E020D6" w14:textId="77777777" w:rsidR="008E5062" w:rsidRPr="00EF2E8A" w:rsidRDefault="008E5062" w:rsidP="00591C83">
            <w:pPr>
              <w:keepNext/>
              <w:spacing w:before="0" w:after="0"/>
              <w:jc w:val="center"/>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ICC</w:t>
            </w:r>
          </w:p>
        </w:tc>
        <w:tc>
          <w:tcPr>
            <w:tcW w:w="689" w:type="pct"/>
            <w:vAlign w:val="center"/>
          </w:tcPr>
          <w:p w14:paraId="6658800A" w14:textId="77777777" w:rsidR="008E5062" w:rsidRPr="00EF2E8A" w:rsidRDefault="008E5062" w:rsidP="00591C83">
            <w:pPr>
              <w:keepNext/>
              <w:spacing w:before="0" w:after="0"/>
              <w:jc w:val="center"/>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Increment</w:t>
            </w:r>
          </w:p>
        </w:tc>
        <w:tc>
          <w:tcPr>
            <w:tcW w:w="597" w:type="pct"/>
          </w:tcPr>
          <w:p w14:paraId="6C34F8B7" w14:textId="77777777" w:rsidR="008E5062" w:rsidRPr="00EF2E8A" w:rsidRDefault="008E5062" w:rsidP="00591C83">
            <w:pPr>
              <w:keepNext/>
              <w:spacing w:before="0" w:after="0"/>
              <w:jc w:val="center"/>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BEVA + ICC</w:t>
            </w:r>
          </w:p>
        </w:tc>
        <w:tc>
          <w:tcPr>
            <w:tcW w:w="689" w:type="pct"/>
          </w:tcPr>
          <w:p w14:paraId="473672B3" w14:textId="77777777" w:rsidR="008E5062" w:rsidRPr="00EF2E8A" w:rsidRDefault="008E5062" w:rsidP="00591C83">
            <w:pPr>
              <w:keepNext/>
              <w:spacing w:before="0" w:after="0"/>
              <w:jc w:val="center"/>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Increment</w:t>
            </w:r>
          </w:p>
        </w:tc>
      </w:tr>
      <w:tr w:rsidR="008E5062" w:rsidRPr="00EF2E8A" w14:paraId="38DEC43F" w14:textId="77777777">
        <w:tc>
          <w:tcPr>
            <w:tcW w:w="5000" w:type="pct"/>
            <w:gridSpan w:val="6"/>
            <w:vAlign w:val="center"/>
          </w:tcPr>
          <w:p w14:paraId="07288764" w14:textId="3462E4FE" w:rsidR="008E5062" w:rsidRPr="00EF2E8A" w:rsidRDefault="008E5062" w:rsidP="00591C83">
            <w:pPr>
              <w:keepNext/>
              <w:spacing w:before="0" w:after="0"/>
              <w:jc w:val="left"/>
              <w:rPr>
                <w:rFonts w:ascii="Arial Narrow" w:hAnsi="Arial Narrow"/>
                <w:b/>
                <w:bCs/>
                <w:sz w:val="20"/>
              </w:rPr>
            </w:pPr>
            <w:r w:rsidRPr="00EF2E8A">
              <w:rPr>
                <w:rFonts w:ascii="Arial Narrow" w:hAnsi="Arial Narrow"/>
                <w:b/>
                <w:bCs/>
                <w:sz w:val="20"/>
              </w:rPr>
              <w:t>Step 1: Trial</w:t>
            </w:r>
            <w:r w:rsidR="00A46D2B">
              <w:rPr>
                <w:rFonts w:ascii="Arial Narrow" w:hAnsi="Arial Narrow"/>
                <w:b/>
                <w:bCs/>
                <w:sz w:val="20"/>
              </w:rPr>
              <w:noBreakHyphen/>
            </w:r>
            <w:r w:rsidRPr="00EF2E8A">
              <w:rPr>
                <w:rFonts w:ascii="Arial Narrow" w:hAnsi="Arial Narrow"/>
                <w:b/>
                <w:bCs/>
                <w:sz w:val="20"/>
              </w:rPr>
              <w:t>based costs and outcomes (last reliable observation of clinical data = 21 months)</w:t>
            </w:r>
          </w:p>
        </w:tc>
      </w:tr>
      <w:tr w:rsidR="008E5062" w:rsidRPr="00EF2E8A" w14:paraId="16922EB1" w14:textId="77777777">
        <w:tc>
          <w:tcPr>
            <w:tcW w:w="1114" w:type="pct"/>
            <w:vAlign w:val="center"/>
          </w:tcPr>
          <w:p w14:paraId="551B7236" w14:textId="77777777" w:rsidR="008E5062" w:rsidRPr="00EF2E8A" w:rsidRDefault="008E5062" w:rsidP="00591C83">
            <w:pPr>
              <w:keepNext/>
              <w:spacing w:before="0" w:after="0"/>
              <w:jc w:val="left"/>
              <w:rPr>
                <w:rFonts w:ascii="Times" w:hAnsi="Times"/>
                <w:sz w:val="20"/>
              </w:rPr>
            </w:pPr>
            <w:r w:rsidRPr="00EF2E8A">
              <w:rPr>
                <w:rFonts w:ascii="Arial Narrow" w:hAnsi="Arial Narrow"/>
                <w:sz w:val="20"/>
              </w:rPr>
              <w:t>Costs</w:t>
            </w:r>
          </w:p>
        </w:tc>
        <w:tc>
          <w:tcPr>
            <w:tcW w:w="987" w:type="pct"/>
          </w:tcPr>
          <w:p w14:paraId="18F96CD8" w14:textId="1914A0CD"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c>
          <w:tcPr>
            <w:tcW w:w="924" w:type="pct"/>
          </w:tcPr>
          <w:p w14:paraId="33D14B2C"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$29,850</w:t>
            </w:r>
          </w:p>
        </w:tc>
        <w:tc>
          <w:tcPr>
            <w:tcW w:w="689" w:type="pct"/>
          </w:tcPr>
          <w:p w14:paraId="7F3DB35E" w14:textId="553AC988"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c>
          <w:tcPr>
            <w:tcW w:w="597" w:type="pct"/>
          </w:tcPr>
          <w:p w14:paraId="7D171BEC"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$40,763</w:t>
            </w:r>
          </w:p>
        </w:tc>
        <w:tc>
          <w:tcPr>
            <w:tcW w:w="689" w:type="pct"/>
          </w:tcPr>
          <w:p w14:paraId="7A9739D2" w14:textId="122A60D2"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r>
      <w:tr w:rsidR="008E5062" w:rsidRPr="00EF2E8A" w14:paraId="61A348B0" w14:textId="77777777">
        <w:tc>
          <w:tcPr>
            <w:tcW w:w="1114" w:type="pct"/>
            <w:vAlign w:val="center"/>
          </w:tcPr>
          <w:p w14:paraId="01160A75" w14:textId="77777777" w:rsidR="008E5062" w:rsidRPr="00EF2E8A" w:rsidRDefault="008E5062" w:rsidP="00591C83">
            <w:pPr>
              <w:keepNext/>
              <w:spacing w:before="0" w:after="0"/>
              <w:jc w:val="left"/>
              <w:rPr>
                <w:rFonts w:ascii="Times" w:hAnsi="Times"/>
                <w:sz w:val="20"/>
              </w:rPr>
            </w:pPr>
            <w:r w:rsidRPr="00EF2E8A">
              <w:rPr>
                <w:rFonts w:ascii="Arial Narrow" w:hAnsi="Arial Narrow"/>
                <w:sz w:val="20"/>
              </w:rPr>
              <w:t>LYG</w:t>
            </w:r>
          </w:p>
        </w:tc>
        <w:tc>
          <w:tcPr>
            <w:tcW w:w="987" w:type="pct"/>
          </w:tcPr>
          <w:p w14:paraId="459BC8ED"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1.23</w:t>
            </w:r>
          </w:p>
        </w:tc>
        <w:tc>
          <w:tcPr>
            <w:tcW w:w="924" w:type="pct"/>
          </w:tcPr>
          <w:p w14:paraId="0477FC33"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1.06</w:t>
            </w:r>
          </w:p>
        </w:tc>
        <w:tc>
          <w:tcPr>
            <w:tcW w:w="689" w:type="pct"/>
          </w:tcPr>
          <w:p w14:paraId="0A12F624"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0.17</w:t>
            </w:r>
          </w:p>
        </w:tc>
        <w:tc>
          <w:tcPr>
            <w:tcW w:w="597" w:type="pct"/>
          </w:tcPr>
          <w:p w14:paraId="14796CBE"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1.00</w:t>
            </w:r>
          </w:p>
        </w:tc>
        <w:tc>
          <w:tcPr>
            <w:tcW w:w="689" w:type="pct"/>
          </w:tcPr>
          <w:p w14:paraId="114D6834"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0.23</w:t>
            </w:r>
          </w:p>
        </w:tc>
      </w:tr>
      <w:tr w:rsidR="008E5062" w:rsidRPr="00BD7B57" w14:paraId="12F1E5BC" w14:textId="77777777">
        <w:tc>
          <w:tcPr>
            <w:tcW w:w="1114" w:type="pct"/>
            <w:vAlign w:val="center"/>
          </w:tcPr>
          <w:p w14:paraId="502871CF" w14:textId="77777777" w:rsidR="008E5062" w:rsidRPr="00BD7B57" w:rsidRDefault="008E5062" w:rsidP="00591C83">
            <w:pPr>
              <w:keepNext/>
              <w:spacing w:before="0" w:after="0"/>
              <w:jc w:val="left"/>
              <w:rPr>
                <w:rFonts w:ascii="Arial Narrow" w:hAnsi="Arial Narrow"/>
                <w:sz w:val="20"/>
              </w:rPr>
            </w:pPr>
            <w:r w:rsidRPr="00BD7B57">
              <w:rPr>
                <w:rFonts w:ascii="Arial Narrow" w:hAnsi="Arial Narrow"/>
                <w:sz w:val="20"/>
              </w:rPr>
              <w:t>ICER ($/LYG)</w:t>
            </w:r>
          </w:p>
        </w:tc>
        <w:tc>
          <w:tcPr>
            <w:tcW w:w="987" w:type="pct"/>
          </w:tcPr>
          <w:p w14:paraId="3AA3054A" w14:textId="4B95AC96" w:rsidR="008E5062" w:rsidRPr="00BD7B57" w:rsidRDefault="00A46D2B" w:rsidP="00591C83">
            <w:pPr>
              <w:keepNext/>
              <w:spacing w:before="0" w:after="0"/>
              <w:jc w:val="center"/>
              <w:rPr>
                <w:rFonts w:ascii="Arial Narrow" w:hAnsi="Arial Narrow"/>
                <w:sz w:val="20"/>
                <w:szCs w:val="20"/>
              </w:rPr>
            </w:pPr>
            <w:r>
              <w:rPr>
                <w:rFonts w:ascii="Arial Narrow" w:hAnsi="Arial Narrow"/>
                <w:sz w:val="20"/>
                <w:szCs w:val="20"/>
              </w:rPr>
              <w:noBreakHyphen/>
            </w:r>
          </w:p>
        </w:tc>
        <w:tc>
          <w:tcPr>
            <w:tcW w:w="924" w:type="pct"/>
          </w:tcPr>
          <w:p w14:paraId="1B0EC1B9" w14:textId="61CA5FD8" w:rsidR="008E5062" w:rsidRPr="00BD7B57" w:rsidRDefault="00A46D2B" w:rsidP="00591C83">
            <w:pPr>
              <w:keepNext/>
              <w:spacing w:before="0" w:after="0"/>
              <w:jc w:val="center"/>
              <w:rPr>
                <w:rFonts w:ascii="Arial Narrow" w:hAnsi="Arial Narrow"/>
                <w:sz w:val="20"/>
                <w:szCs w:val="20"/>
              </w:rPr>
            </w:pPr>
            <w:r>
              <w:rPr>
                <w:rFonts w:ascii="Arial Narrow" w:hAnsi="Arial Narrow"/>
                <w:sz w:val="20"/>
                <w:szCs w:val="20"/>
              </w:rPr>
              <w:noBreakHyphen/>
            </w:r>
          </w:p>
        </w:tc>
        <w:tc>
          <w:tcPr>
            <w:tcW w:w="689" w:type="pct"/>
          </w:tcPr>
          <w:p w14:paraId="202AA7E2" w14:textId="427360DC" w:rsidR="008E5062" w:rsidRPr="00BD7B57" w:rsidRDefault="008E5062" w:rsidP="00591C83">
            <w:pPr>
              <w:keepNext/>
              <w:spacing w:before="0" w:after="0"/>
              <w:jc w:val="center"/>
              <w:rPr>
                <w:rFonts w:ascii="Arial Narrow" w:hAnsi="Arial Narrow"/>
                <w:sz w:val="20"/>
                <w:szCs w:val="20"/>
              </w:rPr>
            </w:pPr>
            <w:r w:rsidRPr="00BD7B57">
              <w:rPr>
                <w:rFonts w:ascii="Arial Narrow" w:hAnsi="Arial Narrow"/>
                <w:sz w:val="20"/>
                <w:szCs w:val="20"/>
              </w:rPr>
              <w:t>$</w:t>
            </w:r>
            <w:r w:rsidR="00AF3C7B" w:rsidRPr="00AF3C7B">
              <w:rPr>
                <w:rFonts w:ascii="Arial Narrow" w:hAnsi="Arial Narrow"/>
                <w:color w:val="000000"/>
                <w:spacing w:val="44"/>
                <w:sz w:val="20"/>
                <w:szCs w:val="20"/>
                <w:shd w:val="solid" w:color="000000" w:fill="000000"/>
                <w:fitText w:val="216" w:id="-629962224"/>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216" w:id="-629962224"/>
                <w14:textFill>
                  <w14:solidFill>
                    <w14:srgbClr w14:val="000000">
                      <w14:alpha w14:val="100000"/>
                    </w14:srgbClr>
                  </w14:solidFill>
                </w14:textFill>
              </w:rPr>
              <w:t>|</w:t>
            </w:r>
            <w:r w:rsidR="0027077A" w:rsidRPr="0027077A">
              <w:rPr>
                <w:rFonts w:ascii="Arial Narrow" w:hAnsi="Arial Narrow"/>
                <w:sz w:val="20"/>
                <w:szCs w:val="20"/>
                <w:vertAlign w:val="superscript"/>
              </w:rPr>
              <w:t>1</w:t>
            </w:r>
            <w:r w:rsidRPr="00BD7B57">
              <w:rPr>
                <w:rFonts w:ascii="Arial Narrow" w:hAnsi="Arial Narrow"/>
                <w:sz w:val="20"/>
                <w:szCs w:val="20"/>
              </w:rPr>
              <w:t>/LYG</w:t>
            </w:r>
          </w:p>
        </w:tc>
        <w:tc>
          <w:tcPr>
            <w:tcW w:w="597" w:type="pct"/>
          </w:tcPr>
          <w:p w14:paraId="1F773C21" w14:textId="4239933C" w:rsidR="008E5062" w:rsidRPr="00BD7B57" w:rsidRDefault="00A46D2B" w:rsidP="00591C83">
            <w:pPr>
              <w:keepNext/>
              <w:spacing w:before="0" w:after="0"/>
              <w:jc w:val="center"/>
              <w:rPr>
                <w:rFonts w:ascii="Arial Narrow" w:hAnsi="Arial Narrow"/>
                <w:sz w:val="20"/>
                <w:szCs w:val="20"/>
              </w:rPr>
            </w:pPr>
            <w:r>
              <w:rPr>
                <w:rFonts w:ascii="Arial Narrow" w:hAnsi="Arial Narrow"/>
                <w:sz w:val="20"/>
                <w:szCs w:val="20"/>
              </w:rPr>
              <w:noBreakHyphen/>
            </w:r>
          </w:p>
        </w:tc>
        <w:tc>
          <w:tcPr>
            <w:tcW w:w="689" w:type="pct"/>
          </w:tcPr>
          <w:p w14:paraId="3C4A8C37" w14:textId="2CDF4C35" w:rsidR="008E5062" w:rsidRPr="00BD7B57" w:rsidRDefault="008E5062" w:rsidP="00591C83">
            <w:pPr>
              <w:keepNext/>
              <w:spacing w:before="0" w:after="0"/>
              <w:jc w:val="center"/>
              <w:rPr>
                <w:rFonts w:ascii="Arial Narrow" w:hAnsi="Arial Narrow"/>
                <w:sz w:val="20"/>
                <w:szCs w:val="20"/>
              </w:rPr>
            </w:pPr>
            <w:r w:rsidRPr="00BD7B57">
              <w:rPr>
                <w:rFonts w:ascii="Arial Narrow" w:hAnsi="Arial Narrow"/>
                <w:sz w:val="20"/>
                <w:szCs w:val="20"/>
              </w:rPr>
              <w:t>$</w:t>
            </w:r>
            <w:r w:rsidR="00AF3C7B" w:rsidRPr="00AF3C7B">
              <w:rPr>
                <w:rFonts w:ascii="Arial Narrow" w:hAnsi="Arial Narrow"/>
                <w:color w:val="000000"/>
                <w:spacing w:val="44"/>
                <w:sz w:val="20"/>
                <w:szCs w:val="20"/>
                <w:shd w:val="solid" w:color="000000" w:fill="000000"/>
                <w:fitText w:val="216" w:id="-629962240"/>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216" w:id="-629962240"/>
                <w14:textFill>
                  <w14:solidFill>
                    <w14:srgbClr w14:val="000000">
                      <w14:alpha w14:val="100000"/>
                    </w14:srgbClr>
                  </w14:solidFill>
                </w14:textFill>
              </w:rPr>
              <w:t>|</w:t>
            </w:r>
            <w:r w:rsidR="002F62A2" w:rsidRPr="002F62A2">
              <w:rPr>
                <w:rFonts w:ascii="Arial Narrow" w:hAnsi="Arial Narrow"/>
                <w:sz w:val="20"/>
                <w:szCs w:val="20"/>
                <w:vertAlign w:val="superscript"/>
              </w:rPr>
              <w:t>2</w:t>
            </w:r>
            <w:r w:rsidRPr="00BD7B57">
              <w:rPr>
                <w:rFonts w:ascii="Arial Narrow" w:hAnsi="Arial Narrow"/>
                <w:sz w:val="20"/>
                <w:szCs w:val="20"/>
              </w:rPr>
              <w:t>/LYG</w:t>
            </w:r>
          </w:p>
        </w:tc>
      </w:tr>
      <w:tr w:rsidR="008E5062" w:rsidRPr="00EF2E8A" w14:paraId="1D6E2896" w14:textId="77777777" w:rsidTr="0047407F">
        <w:tc>
          <w:tcPr>
            <w:tcW w:w="1114" w:type="pct"/>
            <w:vAlign w:val="center"/>
          </w:tcPr>
          <w:p w14:paraId="65072946" w14:textId="77777777" w:rsidR="008E5062" w:rsidRPr="00EF2E8A" w:rsidRDefault="008E5062" w:rsidP="00591C83">
            <w:pPr>
              <w:keepNext/>
              <w:spacing w:before="0" w:after="0"/>
              <w:jc w:val="right"/>
              <w:rPr>
                <w:rFonts w:ascii="Arial Narrow" w:hAnsi="Arial Narrow"/>
                <w:b/>
                <w:bCs/>
                <w:sz w:val="20"/>
              </w:rPr>
            </w:pPr>
            <w:r w:rsidRPr="00EF2E8A">
              <w:rPr>
                <w:rFonts w:ascii="Arial Narrow" w:hAnsi="Arial Narrow"/>
                <w:b/>
                <w:bCs/>
                <w:sz w:val="20"/>
              </w:rPr>
              <w:t>Weighted ICER ($/LYG)</w:t>
            </w:r>
          </w:p>
        </w:tc>
        <w:tc>
          <w:tcPr>
            <w:tcW w:w="3886" w:type="pct"/>
            <w:gridSpan w:val="5"/>
            <w:vAlign w:val="center"/>
          </w:tcPr>
          <w:p w14:paraId="5EC7434F" w14:textId="4DBC9357" w:rsidR="008E5062" w:rsidRPr="00EF2E8A" w:rsidRDefault="008E5062" w:rsidP="00591C83">
            <w:pPr>
              <w:keepNext/>
              <w:spacing w:before="0" w:after="0"/>
              <w:jc w:val="right"/>
              <w:rPr>
                <w:rFonts w:ascii="Arial Narrow" w:hAnsi="Arial Narrow"/>
                <w:b/>
                <w:bCs/>
                <w:sz w:val="20"/>
                <w:szCs w:val="20"/>
              </w:rPr>
            </w:pPr>
            <w:r w:rsidRPr="00EF2E8A">
              <w:rPr>
                <w:rFonts w:ascii="Arial Narrow" w:hAnsi="Arial Narrow"/>
                <w:b/>
                <w:bCs/>
                <w:sz w:val="20"/>
                <w:szCs w:val="20"/>
              </w:rPr>
              <w:t>$</w:t>
            </w:r>
            <w:r w:rsidR="00AF3C7B" w:rsidRPr="00AF3C7B">
              <w:rPr>
                <w:rFonts w:ascii="Arial Narrow" w:hAnsi="Arial Narrow"/>
                <w:b/>
                <w:bCs/>
                <w:color w:val="000000"/>
                <w:sz w:val="20"/>
                <w:szCs w:val="20"/>
                <w:shd w:val="solid" w:color="000000" w:fill="000000"/>
                <w14:textFill>
                  <w14:solidFill>
                    <w14:srgbClr w14:val="000000">
                      <w14:alpha w14:val="100000"/>
                    </w14:srgbClr>
                  </w14:solidFill>
                </w14:textFill>
              </w:rPr>
              <w:t>|</w:t>
            </w:r>
            <w:r w:rsidR="002F62A2" w:rsidRPr="0027077A">
              <w:rPr>
                <w:rFonts w:ascii="Arial Narrow" w:hAnsi="Arial Narrow"/>
                <w:sz w:val="20"/>
                <w:szCs w:val="20"/>
                <w:vertAlign w:val="superscript"/>
              </w:rPr>
              <w:t>1</w:t>
            </w:r>
            <w:r w:rsidRPr="00EF2E8A">
              <w:rPr>
                <w:rFonts w:ascii="Arial Narrow" w:hAnsi="Arial Narrow"/>
                <w:b/>
                <w:bCs/>
                <w:sz w:val="20"/>
                <w:szCs w:val="20"/>
              </w:rPr>
              <w:t>/LYG</w:t>
            </w:r>
          </w:p>
        </w:tc>
      </w:tr>
      <w:tr w:rsidR="008E5062" w:rsidRPr="00EF2E8A" w14:paraId="68979504" w14:textId="77777777">
        <w:tc>
          <w:tcPr>
            <w:tcW w:w="1114" w:type="pct"/>
            <w:vAlign w:val="center"/>
          </w:tcPr>
          <w:p w14:paraId="2617B1C6" w14:textId="77777777" w:rsidR="008E5062" w:rsidRPr="00EF2E8A" w:rsidRDefault="008E5062" w:rsidP="00591C83">
            <w:pPr>
              <w:keepNext/>
              <w:spacing w:before="0" w:after="0"/>
              <w:jc w:val="left"/>
              <w:rPr>
                <w:rFonts w:ascii="Arial Narrow" w:hAnsi="Arial Narrow"/>
                <w:sz w:val="20"/>
              </w:rPr>
            </w:pPr>
            <w:r w:rsidRPr="00EF2E8A">
              <w:rPr>
                <w:rFonts w:ascii="Arial Narrow" w:hAnsi="Arial Narrow"/>
                <w:sz w:val="20"/>
              </w:rPr>
              <w:t>QALYs</w:t>
            </w:r>
          </w:p>
        </w:tc>
        <w:tc>
          <w:tcPr>
            <w:tcW w:w="987" w:type="pct"/>
          </w:tcPr>
          <w:p w14:paraId="760BC401"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0.88</w:t>
            </w:r>
          </w:p>
        </w:tc>
        <w:tc>
          <w:tcPr>
            <w:tcW w:w="924" w:type="pct"/>
          </w:tcPr>
          <w:p w14:paraId="3C6B5AB7"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0.71</w:t>
            </w:r>
          </w:p>
        </w:tc>
        <w:tc>
          <w:tcPr>
            <w:tcW w:w="689" w:type="pct"/>
          </w:tcPr>
          <w:p w14:paraId="7D83FE29"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0.17</w:t>
            </w:r>
          </w:p>
        </w:tc>
        <w:tc>
          <w:tcPr>
            <w:tcW w:w="597" w:type="pct"/>
          </w:tcPr>
          <w:p w14:paraId="4BBA6960"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0.70</w:t>
            </w:r>
          </w:p>
        </w:tc>
        <w:tc>
          <w:tcPr>
            <w:tcW w:w="689" w:type="pct"/>
          </w:tcPr>
          <w:p w14:paraId="496952BA"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0.18</w:t>
            </w:r>
          </w:p>
        </w:tc>
      </w:tr>
      <w:tr w:rsidR="008E5062" w:rsidRPr="00BD7B57" w14:paraId="2041353C" w14:textId="77777777">
        <w:tc>
          <w:tcPr>
            <w:tcW w:w="1114" w:type="pct"/>
            <w:vAlign w:val="center"/>
          </w:tcPr>
          <w:p w14:paraId="1A3CA66D" w14:textId="77777777" w:rsidR="008E5062" w:rsidRPr="00BD7B57" w:rsidRDefault="008E5062" w:rsidP="00591C83">
            <w:pPr>
              <w:keepNext/>
              <w:spacing w:before="0" w:after="0"/>
              <w:jc w:val="left"/>
              <w:rPr>
                <w:rFonts w:ascii="Arial Narrow" w:hAnsi="Arial Narrow"/>
                <w:sz w:val="20"/>
              </w:rPr>
            </w:pPr>
            <w:r w:rsidRPr="00BD7B57">
              <w:rPr>
                <w:rFonts w:ascii="Arial Narrow" w:hAnsi="Arial Narrow"/>
                <w:sz w:val="20"/>
              </w:rPr>
              <w:t>ICER ($/QALY)</w:t>
            </w:r>
          </w:p>
        </w:tc>
        <w:tc>
          <w:tcPr>
            <w:tcW w:w="987" w:type="pct"/>
          </w:tcPr>
          <w:p w14:paraId="23C973A0" w14:textId="5B24A2A1" w:rsidR="008E5062" w:rsidRPr="00BD7B57" w:rsidRDefault="00A46D2B" w:rsidP="00591C83">
            <w:pPr>
              <w:keepNext/>
              <w:spacing w:before="0" w:after="0"/>
              <w:jc w:val="center"/>
              <w:rPr>
                <w:rFonts w:ascii="Arial Narrow" w:hAnsi="Arial Narrow"/>
                <w:sz w:val="20"/>
              </w:rPr>
            </w:pPr>
            <w:r>
              <w:rPr>
                <w:rFonts w:ascii="Arial Narrow" w:hAnsi="Arial Narrow"/>
                <w:sz w:val="20"/>
                <w:szCs w:val="20"/>
              </w:rPr>
              <w:noBreakHyphen/>
            </w:r>
          </w:p>
        </w:tc>
        <w:tc>
          <w:tcPr>
            <w:tcW w:w="924" w:type="pct"/>
          </w:tcPr>
          <w:p w14:paraId="0265744E" w14:textId="7200BE25" w:rsidR="008E5062" w:rsidRPr="00BD7B57" w:rsidRDefault="00A46D2B" w:rsidP="00591C83">
            <w:pPr>
              <w:keepNext/>
              <w:spacing w:before="0" w:after="0"/>
              <w:jc w:val="center"/>
              <w:rPr>
                <w:rFonts w:ascii="Arial Narrow" w:hAnsi="Arial Narrow"/>
                <w:sz w:val="20"/>
              </w:rPr>
            </w:pPr>
            <w:r>
              <w:rPr>
                <w:rFonts w:ascii="Arial Narrow" w:hAnsi="Arial Narrow"/>
                <w:sz w:val="20"/>
                <w:szCs w:val="20"/>
              </w:rPr>
              <w:noBreakHyphen/>
            </w:r>
          </w:p>
        </w:tc>
        <w:tc>
          <w:tcPr>
            <w:tcW w:w="689" w:type="pct"/>
          </w:tcPr>
          <w:p w14:paraId="092B8A23" w14:textId="54C2ED3D" w:rsidR="008E5062" w:rsidRPr="00BD7B57" w:rsidRDefault="008E5062" w:rsidP="00591C83">
            <w:pPr>
              <w:keepNext/>
              <w:spacing w:before="0" w:after="0"/>
              <w:jc w:val="center"/>
              <w:rPr>
                <w:rFonts w:ascii="Arial Narrow" w:hAnsi="Arial Narrow"/>
                <w:sz w:val="20"/>
              </w:rPr>
            </w:pPr>
            <w:r w:rsidRPr="00BD7B57">
              <w:rPr>
                <w:rFonts w:ascii="Arial Narrow" w:hAnsi="Arial Narrow"/>
                <w:sz w:val="20"/>
                <w:szCs w:val="20"/>
              </w:rPr>
              <w:t>$</w:t>
            </w:r>
            <w:r w:rsidR="00AF3C7B" w:rsidRPr="00AF3C7B">
              <w:rPr>
                <w:rFonts w:ascii="Arial Narrow" w:hAnsi="Arial Narrow"/>
                <w:color w:val="000000"/>
                <w:spacing w:val="190"/>
                <w:sz w:val="20"/>
                <w:szCs w:val="20"/>
                <w:shd w:val="solid" w:color="000000" w:fill="000000"/>
                <w:fitText w:val="276" w:id="-629962239"/>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276" w:id="-629962239"/>
                <w14:textFill>
                  <w14:solidFill>
                    <w14:srgbClr w14:val="000000">
                      <w14:alpha w14:val="100000"/>
                    </w14:srgbClr>
                  </w14:solidFill>
                </w14:textFill>
              </w:rPr>
              <w:t>|</w:t>
            </w:r>
            <w:r w:rsidR="00AF7033" w:rsidRPr="0027077A">
              <w:rPr>
                <w:rFonts w:ascii="Arial Narrow" w:hAnsi="Arial Narrow"/>
                <w:sz w:val="20"/>
                <w:szCs w:val="20"/>
                <w:vertAlign w:val="superscript"/>
              </w:rPr>
              <w:t>1</w:t>
            </w:r>
            <w:r w:rsidRPr="00BD7B57">
              <w:rPr>
                <w:rFonts w:ascii="Arial Narrow" w:hAnsi="Arial Narrow"/>
                <w:sz w:val="20"/>
                <w:szCs w:val="20"/>
              </w:rPr>
              <w:t>/QALY</w:t>
            </w:r>
          </w:p>
        </w:tc>
        <w:tc>
          <w:tcPr>
            <w:tcW w:w="597" w:type="pct"/>
          </w:tcPr>
          <w:p w14:paraId="665F243A" w14:textId="00E98981" w:rsidR="008E5062" w:rsidRPr="00BD7B57" w:rsidRDefault="00A46D2B" w:rsidP="00591C83">
            <w:pPr>
              <w:keepNext/>
              <w:spacing w:before="0" w:after="0"/>
              <w:jc w:val="center"/>
              <w:rPr>
                <w:rFonts w:ascii="Arial Narrow" w:hAnsi="Arial Narrow"/>
                <w:sz w:val="20"/>
              </w:rPr>
            </w:pPr>
            <w:r>
              <w:rPr>
                <w:rFonts w:ascii="Arial Narrow" w:hAnsi="Arial Narrow"/>
                <w:sz w:val="20"/>
                <w:szCs w:val="20"/>
              </w:rPr>
              <w:noBreakHyphen/>
            </w:r>
          </w:p>
        </w:tc>
        <w:tc>
          <w:tcPr>
            <w:tcW w:w="689" w:type="pct"/>
          </w:tcPr>
          <w:p w14:paraId="6AFDA8CA" w14:textId="6AA9B128" w:rsidR="008E5062" w:rsidRPr="00BD7B57" w:rsidRDefault="008E5062" w:rsidP="00591C83">
            <w:pPr>
              <w:keepNext/>
              <w:spacing w:before="0" w:after="0"/>
              <w:jc w:val="center"/>
              <w:rPr>
                <w:rFonts w:ascii="Arial Narrow" w:hAnsi="Arial Narrow"/>
                <w:sz w:val="20"/>
              </w:rPr>
            </w:pPr>
            <w:r w:rsidRPr="00BD7B57">
              <w:rPr>
                <w:rFonts w:ascii="Arial Narrow" w:hAnsi="Arial Narrow"/>
                <w:sz w:val="20"/>
                <w:szCs w:val="20"/>
              </w:rPr>
              <w:t>$</w:t>
            </w:r>
            <w:r w:rsidR="00AF3C7B" w:rsidRPr="00AF3C7B">
              <w:rPr>
                <w:rFonts w:ascii="Arial Narrow" w:hAnsi="Arial Narrow"/>
                <w:color w:val="000000"/>
                <w:spacing w:val="190"/>
                <w:sz w:val="20"/>
                <w:szCs w:val="20"/>
                <w:shd w:val="solid" w:color="000000" w:fill="000000"/>
                <w:fitText w:val="276" w:id="-629962238"/>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276" w:id="-629962238"/>
                <w14:textFill>
                  <w14:solidFill>
                    <w14:srgbClr w14:val="000000">
                      <w14:alpha w14:val="100000"/>
                    </w14:srgbClr>
                  </w14:solidFill>
                </w14:textFill>
              </w:rPr>
              <w:t>|</w:t>
            </w:r>
            <w:r w:rsidR="00AF7033" w:rsidRPr="0027077A">
              <w:rPr>
                <w:rFonts w:ascii="Arial Narrow" w:hAnsi="Arial Narrow"/>
                <w:sz w:val="20"/>
                <w:szCs w:val="20"/>
                <w:vertAlign w:val="superscript"/>
              </w:rPr>
              <w:t>1</w:t>
            </w:r>
            <w:r w:rsidRPr="00BD7B57">
              <w:rPr>
                <w:rFonts w:ascii="Arial Narrow" w:hAnsi="Arial Narrow"/>
                <w:sz w:val="20"/>
                <w:szCs w:val="20"/>
              </w:rPr>
              <w:t>/QALY</w:t>
            </w:r>
          </w:p>
        </w:tc>
      </w:tr>
      <w:tr w:rsidR="008E5062" w:rsidRPr="00EF2E8A" w14:paraId="235DF16A" w14:textId="77777777">
        <w:tc>
          <w:tcPr>
            <w:tcW w:w="1114" w:type="pct"/>
            <w:vAlign w:val="center"/>
          </w:tcPr>
          <w:p w14:paraId="00A40F59" w14:textId="77777777" w:rsidR="008E5062" w:rsidRPr="00EF2E8A" w:rsidRDefault="008E5062" w:rsidP="00591C83">
            <w:pPr>
              <w:keepNext/>
              <w:spacing w:before="0" w:after="0"/>
              <w:jc w:val="right"/>
              <w:rPr>
                <w:rFonts w:ascii="Arial Narrow" w:hAnsi="Arial Narrow"/>
                <w:b/>
                <w:bCs/>
                <w:sz w:val="20"/>
              </w:rPr>
            </w:pPr>
            <w:r w:rsidRPr="00EF2E8A">
              <w:rPr>
                <w:rFonts w:ascii="Arial Narrow" w:hAnsi="Arial Narrow"/>
                <w:b/>
                <w:bCs/>
                <w:sz w:val="20"/>
              </w:rPr>
              <w:t>Weighted ICER ($/QALY)</w:t>
            </w:r>
          </w:p>
        </w:tc>
        <w:tc>
          <w:tcPr>
            <w:tcW w:w="3886" w:type="pct"/>
            <w:gridSpan w:val="5"/>
            <w:vAlign w:val="center"/>
          </w:tcPr>
          <w:p w14:paraId="30ED86ED" w14:textId="7DCE1C5A" w:rsidR="008E5062" w:rsidRPr="00EF2E8A" w:rsidRDefault="008E5062" w:rsidP="00591C83">
            <w:pPr>
              <w:keepNext/>
              <w:spacing w:before="0" w:after="0"/>
              <w:jc w:val="right"/>
              <w:rPr>
                <w:rFonts w:ascii="Arial Narrow" w:hAnsi="Arial Narrow"/>
                <w:sz w:val="20"/>
              </w:rPr>
            </w:pPr>
            <w:r w:rsidRPr="00EF2E8A">
              <w:rPr>
                <w:rFonts w:ascii="Arial Narrow" w:hAnsi="Arial Narrow"/>
                <w:b/>
                <w:bCs/>
                <w:sz w:val="20"/>
                <w:szCs w:val="20"/>
              </w:rPr>
              <w:t>$</w:t>
            </w:r>
            <w:r w:rsidR="00AF3C7B" w:rsidRPr="00AF3C7B">
              <w:rPr>
                <w:rFonts w:ascii="Arial Narrow" w:hAnsi="Arial Narrow"/>
                <w:b/>
                <w:bCs/>
                <w:color w:val="000000"/>
                <w:sz w:val="20"/>
                <w:szCs w:val="20"/>
                <w:shd w:val="solid" w:color="000000" w:fill="000000"/>
                <w14:textFill>
                  <w14:solidFill>
                    <w14:srgbClr w14:val="000000">
                      <w14:alpha w14:val="100000"/>
                    </w14:srgbClr>
                  </w14:solidFill>
                </w14:textFill>
              </w:rPr>
              <w:t>|</w:t>
            </w:r>
            <w:r w:rsidR="00AF7033" w:rsidRPr="0027077A">
              <w:rPr>
                <w:rFonts w:ascii="Arial Narrow" w:hAnsi="Arial Narrow"/>
                <w:sz w:val="20"/>
                <w:szCs w:val="20"/>
                <w:vertAlign w:val="superscript"/>
              </w:rPr>
              <w:t>1</w:t>
            </w:r>
            <w:r w:rsidRPr="00EF2E8A">
              <w:rPr>
                <w:rFonts w:ascii="Arial Narrow" w:hAnsi="Arial Narrow"/>
                <w:b/>
                <w:bCs/>
                <w:sz w:val="20"/>
                <w:szCs w:val="20"/>
              </w:rPr>
              <w:t>/QALY</w:t>
            </w:r>
          </w:p>
        </w:tc>
      </w:tr>
      <w:tr w:rsidR="008E5062" w:rsidRPr="00EF2E8A" w14:paraId="25E6EB2B" w14:textId="77777777">
        <w:tc>
          <w:tcPr>
            <w:tcW w:w="5000" w:type="pct"/>
            <w:gridSpan w:val="6"/>
            <w:vAlign w:val="center"/>
          </w:tcPr>
          <w:p w14:paraId="66034124" w14:textId="77777777" w:rsidR="008E5062" w:rsidRPr="00EF2E8A" w:rsidRDefault="008E5062" w:rsidP="00591C83">
            <w:pPr>
              <w:keepNext/>
              <w:spacing w:before="0" w:after="0"/>
              <w:jc w:val="left"/>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Step 2: Time horizon extended to 10 years</w:t>
            </w:r>
          </w:p>
        </w:tc>
      </w:tr>
      <w:tr w:rsidR="008E5062" w:rsidRPr="00EF2E8A" w14:paraId="74BE129C" w14:textId="77777777">
        <w:tc>
          <w:tcPr>
            <w:tcW w:w="1114" w:type="pct"/>
            <w:vAlign w:val="center"/>
          </w:tcPr>
          <w:p w14:paraId="26D88DC4" w14:textId="77777777" w:rsidR="008E5062" w:rsidRPr="00EF2E8A" w:rsidRDefault="008E5062" w:rsidP="00591C83">
            <w:pPr>
              <w:keepNext/>
              <w:spacing w:before="0" w:after="0"/>
              <w:jc w:val="left"/>
              <w:rPr>
                <w:rFonts w:ascii="Times" w:hAnsi="Times"/>
                <w:sz w:val="20"/>
              </w:rPr>
            </w:pPr>
            <w:r w:rsidRPr="00EF2E8A">
              <w:rPr>
                <w:rFonts w:ascii="Arial Narrow" w:hAnsi="Arial Narrow"/>
                <w:sz w:val="20"/>
              </w:rPr>
              <w:t>Costs</w:t>
            </w:r>
          </w:p>
        </w:tc>
        <w:tc>
          <w:tcPr>
            <w:tcW w:w="987" w:type="pct"/>
          </w:tcPr>
          <w:p w14:paraId="5CC35412" w14:textId="78A7B44B"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c>
          <w:tcPr>
            <w:tcW w:w="924" w:type="pct"/>
          </w:tcPr>
          <w:p w14:paraId="4C7D1566"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$31,067</w:t>
            </w:r>
          </w:p>
        </w:tc>
        <w:tc>
          <w:tcPr>
            <w:tcW w:w="689" w:type="pct"/>
          </w:tcPr>
          <w:p w14:paraId="75AAC23E" w14:textId="7C26CC2E"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c>
          <w:tcPr>
            <w:tcW w:w="597" w:type="pct"/>
          </w:tcPr>
          <w:p w14:paraId="32EABCB6"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$44,042</w:t>
            </w:r>
          </w:p>
        </w:tc>
        <w:tc>
          <w:tcPr>
            <w:tcW w:w="689" w:type="pct"/>
          </w:tcPr>
          <w:p w14:paraId="72565314" w14:textId="00C49B92"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r>
      <w:tr w:rsidR="008E5062" w:rsidRPr="00EF2E8A" w14:paraId="090489BD" w14:textId="77777777">
        <w:tc>
          <w:tcPr>
            <w:tcW w:w="1114" w:type="pct"/>
            <w:vAlign w:val="center"/>
          </w:tcPr>
          <w:p w14:paraId="3ADCDDB0" w14:textId="77777777" w:rsidR="008E5062" w:rsidRPr="00EF2E8A" w:rsidRDefault="008E5062" w:rsidP="00591C83">
            <w:pPr>
              <w:keepNext/>
              <w:spacing w:before="0" w:after="0"/>
              <w:jc w:val="left"/>
              <w:rPr>
                <w:rFonts w:ascii="Times" w:hAnsi="Times"/>
                <w:sz w:val="20"/>
              </w:rPr>
            </w:pPr>
            <w:r w:rsidRPr="00EF2E8A">
              <w:rPr>
                <w:rFonts w:ascii="Arial Narrow" w:hAnsi="Arial Narrow"/>
                <w:sz w:val="20"/>
              </w:rPr>
              <w:t>LYG</w:t>
            </w:r>
          </w:p>
        </w:tc>
        <w:tc>
          <w:tcPr>
            <w:tcW w:w="987" w:type="pct"/>
          </w:tcPr>
          <w:p w14:paraId="46317BE2"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2.34</w:t>
            </w:r>
          </w:p>
        </w:tc>
        <w:tc>
          <w:tcPr>
            <w:tcW w:w="924" w:type="pct"/>
          </w:tcPr>
          <w:p w14:paraId="736A69DC"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1.23</w:t>
            </w:r>
          </w:p>
        </w:tc>
        <w:tc>
          <w:tcPr>
            <w:tcW w:w="689" w:type="pct"/>
          </w:tcPr>
          <w:p w14:paraId="546C182E"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1.11</w:t>
            </w:r>
          </w:p>
        </w:tc>
        <w:tc>
          <w:tcPr>
            <w:tcW w:w="597" w:type="pct"/>
          </w:tcPr>
          <w:p w14:paraId="51E86EE8"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1.35</w:t>
            </w:r>
          </w:p>
        </w:tc>
        <w:tc>
          <w:tcPr>
            <w:tcW w:w="689" w:type="pct"/>
          </w:tcPr>
          <w:p w14:paraId="5CF39E16"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0.99</w:t>
            </w:r>
          </w:p>
        </w:tc>
      </w:tr>
      <w:tr w:rsidR="008E5062" w:rsidRPr="00BD7B57" w14:paraId="3E88C0CB" w14:textId="77777777">
        <w:tc>
          <w:tcPr>
            <w:tcW w:w="1114" w:type="pct"/>
            <w:vAlign w:val="center"/>
          </w:tcPr>
          <w:p w14:paraId="0E24BFAD" w14:textId="77777777" w:rsidR="008E5062" w:rsidRPr="00BD7B57" w:rsidRDefault="008E5062" w:rsidP="00591C83">
            <w:pPr>
              <w:keepNext/>
              <w:spacing w:before="0" w:after="0"/>
              <w:jc w:val="left"/>
              <w:rPr>
                <w:rFonts w:ascii="Arial Narrow" w:hAnsi="Arial Narrow"/>
                <w:sz w:val="20"/>
              </w:rPr>
            </w:pPr>
            <w:r w:rsidRPr="00BD7B57">
              <w:rPr>
                <w:rFonts w:ascii="Arial Narrow" w:hAnsi="Arial Narrow"/>
                <w:sz w:val="20"/>
              </w:rPr>
              <w:t>ICER ($/LYG)</w:t>
            </w:r>
          </w:p>
        </w:tc>
        <w:tc>
          <w:tcPr>
            <w:tcW w:w="987" w:type="pct"/>
          </w:tcPr>
          <w:p w14:paraId="32DA032D" w14:textId="1034AB5C" w:rsidR="008E5062" w:rsidRPr="00BD7B57" w:rsidRDefault="00A46D2B" w:rsidP="00591C83">
            <w:pPr>
              <w:keepNext/>
              <w:spacing w:before="0" w:after="0"/>
              <w:jc w:val="center"/>
              <w:rPr>
                <w:rFonts w:ascii="Arial Narrow" w:hAnsi="Arial Narrow"/>
                <w:sz w:val="20"/>
                <w:szCs w:val="20"/>
              </w:rPr>
            </w:pPr>
            <w:r>
              <w:rPr>
                <w:rFonts w:ascii="Arial Narrow" w:hAnsi="Arial Narrow"/>
                <w:sz w:val="20"/>
                <w:szCs w:val="20"/>
              </w:rPr>
              <w:noBreakHyphen/>
            </w:r>
          </w:p>
        </w:tc>
        <w:tc>
          <w:tcPr>
            <w:tcW w:w="924" w:type="pct"/>
          </w:tcPr>
          <w:p w14:paraId="70B89915" w14:textId="12191071" w:rsidR="008E5062" w:rsidRPr="00BD7B57" w:rsidRDefault="00A46D2B" w:rsidP="00591C83">
            <w:pPr>
              <w:keepNext/>
              <w:spacing w:before="0" w:after="0"/>
              <w:jc w:val="center"/>
              <w:rPr>
                <w:rFonts w:ascii="Arial Narrow" w:hAnsi="Arial Narrow"/>
                <w:sz w:val="20"/>
                <w:szCs w:val="20"/>
              </w:rPr>
            </w:pPr>
            <w:r>
              <w:rPr>
                <w:rFonts w:ascii="Arial Narrow" w:hAnsi="Arial Narrow"/>
                <w:sz w:val="20"/>
                <w:szCs w:val="20"/>
              </w:rPr>
              <w:noBreakHyphen/>
            </w:r>
          </w:p>
        </w:tc>
        <w:tc>
          <w:tcPr>
            <w:tcW w:w="689" w:type="pct"/>
          </w:tcPr>
          <w:p w14:paraId="74D59C42" w14:textId="207FA492" w:rsidR="008E5062" w:rsidRPr="00BD7B57" w:rsidRDefault="008E5062" w:rsidP="00591C83">
            <w:pPr>
              <w:keepNext/>
              <w:spacing w:before="0" w:after="0"/>
              <w:jc w:val="center"/>
              <w:rPr>
                <w:rFonts w:ascii="Arial Narrow" w:hAnsi="Arial Narrow"/>
                <w:sz w:val="20"/>
                <w:szCs w:val="20"/>
              </w:rPr>
            </w:pPr>
            <w:r w:rsidRPr="00BD7B57">
              <w:rPr>
                <w:rFonts w:ascii="Arial Narrow" w:hAnsi="Arial Narrow"/>
                <w:sz w:val="20"/>
                <w:szCs w:val="20"/>
              </w:rPr>
              <w:t>$</w:t>
            </w:r>
            <w:r w:rsidR="00AF3C7B" w:rsidRPr="00AF3C7B">
              <w:rPr>
                <w:rFonts w:ascii="Arial Narrow" w:hAnsi="Arial Narrow"/>
                <w:color w:val="000000"/>
                <w:spacing w:val="44"/>
                <w:sz w:val="20"/>
                <w:szCs w:val="20"/>
                <w:shd w:val="solid" w:color="000000" w:fill="000000"/>
                <w:fitText w:val="216" w:id="-629961984"/>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216" w:id="-629961984"/>
                <w14:textFill>
                  <w14:solidFill>
                    <w14:srgbClr w14:val="000000">
                      <w14:alpha w14:val="100000"/>
                    </w14:srgbClr>
                  </w14:solidFill>
                </w14:textFill>
              </w:rPr>
              <w:t>|</w:t>
            </w:r>
            <w:r w:rsidR="0085551B" w:rsidRPr="0085551B">
              <w:rPr>
                <w:rFonts w:ascii="Arial Narrow" w:hAnsi="Arial Narrow"/>
                <w:sz w:val="20"/>
                <w:szCs w:val="20"/>
                <w:vertAlign w:val="superscript"/>
              </w:rPr>
              <w:t>3</w:t>
            </w:r>
            <w:r w:rsidRPr="00BD7B57">
              <w:rPr>
                <w:rFonts w:ascii="Arial Narrow" w:hAnsi="Arial Narrow"/>
                <w:sz w:val="20"/>
                <w:szCs w:val="20"/>
              </w:rPr>
              <w:t>/LYG</w:t>
            </w:r>
          </w:p>
        </w:tc>
        <w:tc>
          <w:tcPr>
            <w:tcW w:w="597" w:type="pct"/>
          </w:tcPr>
          <w:p w14:paraId="41D883E4" w14:textId="03378228" w:rsidR="008E5062" w:rsidRPr="00BD7B57" w:rsidRDefault="00A46D2B" w:rsidP="00591C83">
            <w:pPr>
              <w:keepNext/>
              <w:spacing w:before="0" w:after="0"/>
              <w:jc w:val="center"/>
              <w:rPr>
                <w:rFonts w:ascii="Arial Narrow" w:hAnsi="Arial Narrow"/>
                <w:sz w:val="20"/>
                <w:szCs w:val="20"/>
              </w:rPr>
            </w:pPr>
            <w:r>
              <w:rPr>
                <w:rFonts w:ascii="Arial Narrow" w:hAnsi="Arial Narrow"/>
                <w:sz w:val="20"/>
                <w:szCs w:val="20"/>
              </w:rPr>
              <w:noBreakHyphen/>
            </w:r>
          </w:p>
        </w:tc>
        <w:tc>
          <w:tcPr>
            <w:tcW w:w="689" w:type="pct"/>
          </w:tcPr>
          <w:p w14:paraId="2A489BAB" w14:textId="66071897" w:rsidR="008E5062" w:rsidRPr="00BD7B57" w:rsidRDefault="008E5062" w:rsidP="00591C83">
            <w:pPr>
              <w:keepNext/>
              <w:spacing w:before="0" w:after="0"/>
              <w:jc w:val="center"/>
              <w:rPr>
                <w:rFonts w:ascii="Arial Narrow" w:hAnsi="Arial Narrow"/>
                <w:sz w:val="20"/>
                <w:szCs w:val="20"/>
              </w:rPr>
            </w:pPr>
            <w:r w:rsidRPr="00BD7B57">
              <w:rPr>
                <w:rFonts w:ascii="Arial Narrow" w:hAnsi="Arial Narrow"/>
                <w:sz w:val="20"/>
                <w:szCs w:val="20"/>
              </w:rPr>
              <w:t>$</w:t>
            </w:r>
            <w:r w:rsidR="00AF3C7B" w:rsidRPr="00AF3C7B">
              <w:rPr>
                <w:rFonts w:ascii="Arial Narrow" w:hAnsi="Arial Narrow"/>
                <w:color w:val="000000"/>
                <w:spacing w:val="44"/>
                <w:sz w:val="20"/>
                <w:szCs w:val="20"/>
                <w:shd w:val="solid" w:color="000000" w:fill="000000"/>
                <w:fitText w:val="216" w:id="-629961983"/>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216" w:id="-629961983"/>
                <w14:textFill>
                  <w14:solidFill>
                    <w14:srgbClr w14:val="000000">
                      <w14:alpha w14:val="100000"/>
                    </w14:srgbClr>
                  </w14:solidFill>
                </w14:textFill>
              </w:rPr>
              <w:t>|</w:t>
            </w:r>
            <w:r w:rsidR="00252BC9" w:rsidRPr="00252BC9">
              <w:rPr>
                <w:rFonts w:ascii="Arial Narrow" w:hAnsi="Arial Narrow"/>
                <w:sz w:val="20"/>
                <w:szCs w:val="20"/>
                <w:vertAlign w:val="superscript"/>
              </w:rPr>
              <w:t>4</w:t>
            </w:r>
            <w:r w:rsidRPr="00BD7B57">
              <w:rPr>
                <w:rFonts w:ascii="Arial Narrow" w:hAnsi="Arial Narrow"/>
                <w:sz w:val="20"/>
                <w:szCs w:val="20"/>
              </w:rPr>
              <w:t>/LYG</w:t>
            </w:r>
          </w:p>
        </w:tc>
      </w:tr>
      <w:tr w:rsidR="008E5062" w:rsidRPr="00EF2E8A" w14:paraId="2F1D324E" w14:textId="77777777" w:rsidTr="0047407F">
        <w:tc>
          <w:tcPr>
            <w:tcW w:w="1114" w:type="pct"/>
            <w:vAlign w:val="center"/>
          </w:tcPr>
          <w:p w14:paraId="1F590523" w14:textId="77777777" w:rsidR="008E5062" w:rsidRPr="00EF2E8A" w:rsidRDefault="008E5062" w:rsidP="00591C83">
            <w:pPr>
              <w:keepNext/>
              <w:spacing w:before="0" w:after="0"/>
              <w:jc w:val="right"/>
              <w:rPr>
                <w:rFonts w:ascii="Arial Narrow" w:hAnsi="Arial Narrow"/>
                <w:b/>
                <w:bCs/>
                <w:sz w:val="20"/>
              </w:rPr>
            </w:pPr>
            <w:r w:rsidRPr="00EF2E8A">
              <w:rPr>
                <w:rFonts w:ascii="Arial Narrow" w:hAnsi="Arial Narrow"/>
                <w:b/>
                <w:bCs/>
                <w:sz w:val="20"/>
              </w:rPr>
              <w:t>Weighted ICER ($/LYG)</w:t>
            </w:r>
          </w:p>
        </w:tc>
        <w:tc>
          <w:tcPr>
            <w:tcW w:w="3886" w:type="pct"/>
            <w:gridSpan w:val="5"/>
            <w:vAlign w:val="center"/>
          </w:tcPr>
          <w:p w14:paraId="3526DDF1" w14:textId="271ED813" w:rsidR="008E5062" w:rsidRPr="00EF2E8A" w:rsidRDefault="008E5062" w:rsidP="00591C83">
            <w:pPr>
              <w:keepNext/>
              <w:spacing w:before="0" w:after="0"/>
              <w:jc w:val="right"/>
              <w:rPr>
                <w:rFonts w:ascii="Arial Narrow" w:hAnsi="Arial Narrow"/>
                <w:b/>
                <w:bCs/>
                <w:sz w:val="20"/>
                <w:szCs w:val="20"/>
              </w:rPr>
            </w:pPr>
            <w:r w:rsidRPr="00EF2E8A">
              <w:rPr>
                <w:rFonts w:ascii="Arial Narrow" w:hAnsi="Arial Narrow"/>
                <w:b/>
                <w:bCs/>
                <w:sz w:val="20"/>
                <w:szCs w:val="20"/>
              </w:rPr>
              <w:t>$</w:t>
            </w:r>
            <w:r w:rsidR="00AF3C7B" w:rsidRPr="00AF3C7B">
              <w:rPr>
                <w:rFonts w:ascii="Arial Narrow" w:hAnsi="Arial Narrow"/>
                <w:b/>
                <w:bCs/>
                <w:color w:val="000000"/>
                <w:sz w:val="20"/>
                <w:szCs w:val="20"/>
                <w:shd w:val="solid" w:color="000000" w:fill="000000"/>
                <w14:textFill>
                  <w14:solidFill>
                    <w14:srgbClr w14:val="000000">
                      <w14:alpha w14:val="100000"/>
                    </w14:srgbClr>
                  </w14:solidFill>
                </w14:textFill>
              </w:rPr>
              <w:t>|</w:t>
            </w:r>
            <w:r w:rsidR="00252BC9" w:rsidRPr="0085551B">
              <w:rPr>
                <w:rFonts w:ascii="Arial Narrow" w:hAnsi="Arial Narrow"/>
                <w:sz w:val="20"/>
                <w:szCs w:val="20"/>
                <w:vertAlign w:val="superscript"/>
              </w:rPr>
              <w:t>3</w:t>
            </w:r>
            <w:r w:rsidRPr="00EF2E8A">
              <w:rPr>
                <w:rFonts w:ascii="Arial Narrow" w:hAnsi="Arial Narrow"/>
                <w:b/>
                <w:bCs/>
                <w:sz w:val="20"/>
                <w:szCs w:val="20"/>
              </w:rPr>
              <w:t>/LYG</w:t>
            </w:r>
          </w:p>
        </w:tc>
      </w:tr>
      <w:tr w:rsidR="008E5062" w:rsidRPr="00EF2E8A" w14:paraId="42F8BE1B" w14:textId="77777777">
        <w:tc>
          <w:tcPr>
            <w:tcW w:w="1114" w:type="pct"/>
            <w:vAlign w:val="center"/>
          </w:tcPr>
          <w:p w14:paraId="0E1FA651" w14:textId="77777777" w:rsidR="008E5062" w:rsidRPr="00EF2E8A" w:rsidRDefault="008E5062" w:rsidP="00591C83">
            <w:pPr>
              <w:keepNext/>
              <w:spacing w:before="0" w:after="0"/>
              <w:jc w:val="left"/>
              <w:rPr>
                <w:rFonts w:ascii="Arial Narrow" w:hAnsi="Arial Narrow"/>
                <w:sz w:val="20"/>
              </w:rPr>
            </w:pPr>
            <w:r w:rsidRPr="00EF2E8A">
              <w:rPr>
                <w:rFonts w:ascii="Arial Narrow" w:hAnsi="Arial Narrow"/>
                <w:sz w:val="20"/>
              </w:rPr>
              <w:t>QALYs</w:t>
            </w:r>
          </w:p>
        </w:tc>
        <w:tc>
          <w:tcPr>
            <w:tcW w:w="987" w:type="pct"/>
          </w:tcPr>
          <w:p w14:paraId="6F3C2BF1"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1.64</w:t>
            </w:r>
          </w:p>
        </w:tc>
        <w:tc>
          <w:tcPr>
            <w:tcW w:w="924" w:type="pct"/>
          </w:tcPr>
          <w:p w14:paraId="726EB76E"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0.82</w:t>
            </w:r>
          </w:p>
        </w:tc>
        <w:tc>
          <w:tcPr>
            <w:tcW w:w="689" w:type="pct"/>
          </w:tcPr>
          <w:p w14:paraId="1C7FF2F8"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0.745</w:t>
            </w:r>
          </w:p>
        </w:tc>
        <w:tc>
          <w:tcPr>
            <w:tcW w:w="597" w:type="pct"/>
          </w:tcPr>
          <w:p w14:paraId="7398DF3E"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0.93</w:t>
            </w:r>
          </w:p>
        </w:tc>
        <w:tc>
          <w:tcPr>
            <w:tcW w:w="689" w:type="pct"/>
          </w:tcPr>
          <w:p w14:paraId="4AB954D8"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0.71</w:t>
            </w:r>
          </w:p>
        </w:tc>
      </w:tr>
      <w:tr w:rsidR="008E5062" w:rsidRPr="00BD7B57" w14:paraId="726C370A" w14:textId="77777777">
        <w:tc>
          <w:tcPr>
            <w:tcW w:w="1114" w:type="pct"/>
            <w:vAlign w:val="center"/>
          </w:tcPr>
          <w:p w14:paraId="5BA1F144" w14:textId="77777777" w:rsidR="008E5062" w:rsidRPr="00BD7B57" w:rsidRDefault="008E5062" w:rsidP="00591C83">
            <w:pPr>
              <w:keepNext/>
              <w:spacing w:before="0" w:after="0"/>
              <w:jc w:val="left"/>
              <w:rPr>
                <w:rFonts w:ascii="Arial Narrow" w:hAnsi="Arial Narrow"/>
                <w:sz w:val="20"/>
              </w:rPr>
            </w:pPr>
            <w:r w:rsidRPr="00BD7B57">
              <w:rPr>
                <w:rFonts w:ascii="Arial Narrow" w:hAnsi="Arial Narrow"/>
                <w:sz w:val="20"/>
              </w:rPr>
              <w:t>ICER ($/QALY)</w:t>
            </w:r>
          </w:p>
        </w:tc>
        <w:tc>
          <w:tcPr>
            <w:tcW w:w="987" w:type="pct"/>
          </w:tcPr>
          <w:p w14:paraId="6EB1A746" w14:textId="364BC07B" w:rsidR="008E5062" w:rsidRPr="00BD7B57" w:rsidRDefault="00A46D2B" w:rsidP="00591C83">
            <w:pPr>
              <w:keepNext/>
              <w:spacing w:before="0" w:after="0"/>
              <w:jc w:val="center"/>
              <w:rPr>
                <w:rFonts w:ascii="Arial Narrow" w:hAnsi="Arial Narrow"/>
                <w:sz w:val="20"/>
              </w:rPr>
            </w:pPr>
            <w:r>
              <w:rPr>
                <w:rFonts w:ascii="Arial Narrow" w:hAnsi="Arial Narrow"/>
                <w:sz w:val="20"/>
                <w:szCs w:val="20"/>
              </w:rPr>
              <w:noBreakHyphen/>
            </w:r>
          </w:p>
        </w:tc>
        <w:tc>
          <w:tcPr>
            <w:tcW w:w="924" w:type="pct"/>
          </w:tcPr>
          <w:p w14:paraId="306B2603" w14:textId="6650CA64" w:rsidR="008E5062" w:rsidRPr="00BD7B57" w:rsidRDefault="00A46D2B" w:rsidP="00591C83">
            <w:pPr>
              <w:keepNext/>
              <w:spacing w:before="0" w:after="0"/>
              <w:jc w:val="center"/>
              <w:rPr>
                <w:rFonts w:ascii="Arial Narrow" w:hAnsi="Arial Narrow"/>
                <w:sz w:val="20"/>
              </w:rPr>
            </w:pPr>
            <w:r>
              <w:rPr>
                <w:rFonts w:ascii="Arial Narrow" w:hAnsi="Arial Narrow"/>
                <w:sz w:val="20"/>
                <w:szCs w:val="20"/>
              </w:rPr>
              <w:noBreakHyphen/>
            </w:r>
          </w:p>
        </w:tc>
        <w:tc>
          <w:tcPr>
            <w:tcW w:w="689" w:type="pct"/>
          </w:tcPr>
          <w:p w14:paraId="199E050D" w14:textId="25D9615A" w:rsidR="008E5062" w:rsidRPr="00BD7B57" w:rsidRDefault="008E5062" w:rsidP="00591C83">
            <w:pPr>
              <w:keepNext/>
              <w:spacing w:before="0" w:after="0"/>
              <w:jc w:val="center"/>
              <w:rPr>
                <w:rFonts w:ascii="Arial Narrow" w:hAnsi="Arial Narrow"/>
                <w:sz w:val="20"/>
              </w:rPr>
            </w:pPr>
            <w:r w:rsidRPr="00BD7B57">
              <w:rPr>
                <w:rFonts w:ascii="Arial Narrow" w:hAnsi="Arial Narrow"/>
                <w:sz w:val="20"/>
                <w:szCs w:val="20"/>
              </w:rPr>
              <w:t>$</w:t>
            </w:r>
            <w:r w:rsidR="00AF3C7B" w:rsidRPr="00AF3C7B">
              <w:rPr>
                <w:rFonts w:ascii="Arial Narrow" w:hAnsi="Arial Narrow"/>
                <w:color w:val="000000"/>
                <w:spacing w:val="190"/>
                <w:sz w:val="20"/>
                <w:szCs w:val="20"/>
                <w:shd w:val="solid" w:color="000000" w:fill="000000"/>
                <w:fitText w:val="276" w:id="-629961982"/>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276" w:id="-629961982"/>
                <w14:textFill>
                  <w14:solidFill>
                    <w14:srgbClr w14:val="000000">
                      <w14:alpha w14:val="100000"/>
                    </w14:srgbClr>
                  </w14:solidFill>
                </w14:textFill>
              </w:rPr>
              <w:t>|</w:t>
            </w:r>
            <w:r w:rsidR="00040F30" w:rsidRPr="004472B9">
              <w:rPr>
                <w:rFonts w:ascii="Arial Narrow" w:hAnsi="Arial Narrow"/>
                <w:b/>
                <w:bCs/>
                <w:sz w:val="20"/>
                <w:szCs w:val="20"/>
                <w:vertAlign w:val="superscript"/>
              </w:rPr>
              <w:t>5</w:t>
            </w:r>
            <w:r w:rsidRPr="00BD7B57">
              <w:rPr>
                <w:rFonts w:ascii="Arial Narrow" w:hAnsi="Arial Narrow"/>
                <w:sz w:val="20"/>
                <w:szCs w:val="20"/>
              </w:rPr>
              <w:t>/QALY</w:t>
            </w:r>
          </w:p>
        </w:tc>
        <w:tc>
          <w:tcPr>
            <w:tcW w:w="597" w:type="pct"/>
          </w:tcPr>
          <w:p w14:paraId="5E3493E5" w14:textId="4BC5DEC5" w:rsidR="008E5062" w:rsidRPr="00BD7B57" w:rsidRDefault="00A46D2B" w:rsidP="00591C83">
            <w:pPr>
              <w:keepNext/>
              <w:spacing w:before="0" w:after="0"/>
              <w:jc w:val="center"/>
              <w:rPr>
                <w:rFonts w:ascii="Arial Narrow" w:hAnsi="Arial Narrow"/>
                <w:sz w:val="20"/>
              </w:rPr>
            </w:pPr>
            <w:r>
              <w:rPr>
                <w:rFonts w:ascii="Arial Narrow" w:hAnsi="Arial Narrow"/>
                <w:sz w:val="20"/>
                <w:szCs w:val="20"/>
              </w:rPr>
              <w:noBreakHyphen/>
            </w:r>
          </w:p>
        </w:tc>
        <w:tc>
          <w:tcPr>
            <w:tcW w:w="689" w:type="pct"/>
          </w:tcPr>
          <w:p w14:paraId="221A9FAB" w14:textId="547C346C" w:rsidR="008E5062" w:rsidRPr="00BD7B57" w:rsidRDefault="008E5062" w:rsidP="00591C83">
            <w:pPr>
              <w:keepNext/>
              <w:spacing w:before="0" w:after="0"/>
              <w:jc w:val="center"/>
              <w:rPr>
                <w:rFonts w:ascii="Arial Narrow" w:hAnsi="Arial Narrow"/>
                <w:sz w:val="20"/>
              </w:rPr>
            </w:pPr>
            <w:r w:rsidRPr="00BD7B57">
              <w:rPr>
                <w:rFonts w:ascii="Arial Narrow" w:hAnsi="Arial Narrow"/>
                <w:sz w:val="20"/>
                <w:szCs w:val="20"/>
              </w:rPr>
              <w:t>$</w:t>
            </w:r>
            <w:r w:rsidR="00AF3C7B" w:rsidRPr="00AF3C7B">
              <w:rPr>
                <w:rFonts w:ascii="Arial Narrow" w:hAnsi="Arial Narrow"/>
                <w:color w:val="000000"/>
                <w:spacing w:val="190"/>
                <w:sz w:val="20"/>
                <w:szCs w:val="20"/>
                <w:shd w:val="solid" w:color="000000" w:fill="000000"/>
                <w:fitText w:val="276" w:id="-629961981"/>
                <w14:textFill>
                  <w14:solidFill>
                    <w14:srgbClr w14:val="000000">
                      <w14:alpha w14:val="100000"/>
                    </w14:srgbClr>
                  </w14:solidFill>
                </w14:textFill>
              </w:rPr>
              <w:t>|</w:t>
            </w:r>
            <w:r w:rsidR="00AF3C7B" w:rsidRPr="00AF3C7B">
              <w:rPr>
                <w:rFonts w:ascii="Arial Narrow" w:hAnsi="Arial Narrow"/>
                <w:color w:val="000000"/>
                <w:spacing w:val="1"/>
                <w:sz w:val="20"/>
                <w:szCs w:val="20"/>
                <w:shd w:val="solid" w:color="000000" w:fill="000000"/>
                <w:fitText w:val="276" w:id="-629961981"/>
                <w14:textFill>
                  <w14:solidFill>
                    <w14:srgbClr w14:val="000000">
                      <w14:alpha w14:val="100000"/>
                    </w14:srgbClr>
                  </w14:solidFill>
                </w14:textFill>
              </w:rPr>
              <w:t>|</w:t>
            </w:r>
            <w:r w:rsidR="00252BC9" w:rsidRPr="0085551B">
              <w:rPr>
                <w:rFonts w:ascii="Arial Narrow" w:hAnsi="Arial Narrow"/>
                <w:sz w:val="20"/>
                <w:szCs w:val="20"/>
                <w:vertAlign w:val="superscript"/>
              </w:rPr>
              <w:t>3</w:t>
            </w:r>
            <w:r w:rsidRPr="00BD7B57">
              <w:rPr>
                <w:rFonts w:ascii="Arial Narrow" w:hAnsi="Arial Narrow"/>
                <w:sz w:val="20"/>
                <w:szCs w:val="20"/>
              </w:rPr>
              <w:t>/QALY</w:t>
            </w:r>
          </w:p>
        </w:tc>
      </w:tr>
      <w:tr w:rsidR="008E5062" w:rsidRPr="00EF2E8A" w14:paraId="6422BC41" w14:textId="77777777">
        <w:tc>
          <w:tcPr>
            <w:tcW w:w="1114" w:type="pct"/>
            <w:vAlign w:val="center"/>
          </w:tcPr>
          <w:p w14:paraId="3C886542" w14:textId="77777777" w:rsidR="008E5062" w:rsidRPr="00EF2E8A" w:rsidRDefault="008E5062" w:rsidP="00591C83">
            <w:pPr>
              <w:keepNext/>
              <w:spacing w:before="0" w:after="0"/>
              <w:jc w:val="right"/>
              <w:rPr>
                <w:rFonts w:ascii="Arial Narrow" w:hAnsi="Arial Narrow"/>
                <w:b/>
                <w:bCs/>
                <w:sz w:val="20"/>
              </w:rPr>
            </w:pPr>
            <w:r w:rsidRPr="00EF2E8A">
              <w:rPr>
                <w:rFonts w:ascii="Arial Narrow" w:hAnsi="Arial Narrow"/>
                <w:b/>
                <w:bCs/>
                <w:sz w:val="20"/>
              </w:rPr>
              <w:t>Weighted ICER ($/QALY)</w:t>
            </w:r>
          </w:p>
        </w:tc>
        <w:tc>
          <w:tcPr>
            <w:tcW w:w="3886" w:type="pct"/>
            <w:gridSpan w:val="5"/>
            <w:vAlign w:val="center"/>
          </w:tcPr>
          <w:p w14:paraId="57A15ABC" w14:textId="591480E8" w:rsidR="008E5062" w:rsidRPr="00EF2E8A" w:rsidRDefault="008E5062" w:rsidP="00591C83">
            <w:pPr>
              <w:keepNext/>
              <w:spacing w:before="0" w:after="0"/>
              <w:jc w:val="right"/>
              <w:rPr>
                <w:rFonts w:ascii="Arial Narrow" w:hAnsi="Arial Narrow"/>
                <w:sz w:val="20"/>
              </w:rPr>
            </w:pPr>
            <w:r w:rsidRPr="00EF2E8A">
              <w:rPr>
                <w:rFonts w:ascii="Arial Narrow" w:hAnsi="Arial Narrow"/>
                <w:b/>
                <w:bCs/>
                <w:sz w:val="20"/>
                <w:szCs w:val="20"/>
              </w:rPr>
              <w:t>$</w:t>
            </w:r>
            <w:r w:rsidR="00AF3C7B" w:rsidRPr="00AF3C7B">
              <w:rPr>
                <w:rFonts w:ascii="Arial Narrow" w:hAnsi="Arial Narrow"/>
                <w:b/>
                <w:bCs/>
                <w:color w:val="000000"/>
                <w:sz w:val="20"/>
                <w:szCs w:val="20"/>
                <w:shd w:val="solid" w:color="000000" w:fill="000000"/>
                <w14:textFill>
                  <w14:solidFill>
                    <w14:srgbClr w14:val="000000">
                      <w14:alpha w14:val="100000"/>
                    </w14:srgbClr>
                  </w14:solidFill>
                </w14:textFill>
              </w:rPr>
              <w:t>|</w:t>
            </w:r>
            <w:r w:rsidR="004472B9" w:rsidRPr="004472B9">
              <w:rPr>
                <w:rFonts w:ascii="Arial Narrow" w:hAnsi="Arial Narrow"/>
                <w:b/>
                <w:bCs/>
                <w:sz w:val="20"/>
                <w:szCs w:val="20"/>
                <w:vertAlign w:val="superscript"/>
              </w:rPr>
              <w:t>5</w:t>
            </w:r>
            <w:r w:rsidRPr="00EF2E8A">
              <w:rPr>
                <w:rFonts w:ascii="Arial Narrow" w:hAnsi="Arial Narrow"/>
                <w:b/>
                <w:bCs/>
                <w:sz w:val="20"/>
                <w:szCs w:val="20"/>
              </w:rPr>
              <w:t>/QALY</w:t>
            </w:r>
          </w:p>
        </w:tc>
      </w:tr>
      <w:tr w:rsidR="008E5062" w:rsidRPr="00EF2E8A" w14:paraId="5946B757" w14:textId="77777777">
        <w:tc>
          <w:tcPr>
            <w:tcW w:w="5000" w:type="pct"/>
            <w:gridSpan w:val="6"/>
            <w:vAlign w:val="center"/>
          </w:tcPr>
          <w:p w14:paraId="239D0147" w14:textId="391D7A42" w:rsidR="008E5062" w:rsidRPr="00EF2E8A" w:rsidRDefault="008E5062" w:rsidP="00591C83">
            <w:pPr>
              <w:keepNext/>
              <w:spacing w:before="0" w:after="0"/>
              <w:jc w:val="left"/>
              <w:rPr>
                <w:rFonts w:ascii="Arial Narrow" w:eastAsiaTheme="majorEastAsia" w:hAnsi="Arial Narrow" w:cs="Times New Roman"/>
                <w:b/>
                <w:sz w:val="20"/>
                <w:szCs w:val="24"/>
                <w:lang w:eastAsia="en-AU"/>
              </w:rPr>
            </w:pPr>
            <w:r w:rsidRPr="00EF2E8A">
              <w:rPr>
                <w:rFonts w:ascii="Arial Narrow" w:eastAsiaTheme="majorEastAsia" w:hAnsi="Arial Narrow" w:cs="Times New Roman"/>
                <w:b/>
                <w:sz w:val="20"/>
                <w:szCs w:val="24"/>
                <w:lang w:eastAsia="en-AU"/>
              </w:rPr>
              <w:t>Step 3: Discounting (</w:t>
            </w:r>
            <w:r w:rsidR="00AF3C7B" w:rsidRPr="00AF3C7B">
              <w:rPr>
                <w:rFonts w:ascii="Arial Narrow" w:eastAsiaTheme="majorEastAsia" w:hAnsi="Arial Narrow" w:cs="Times New Roman"/>
                <w:b/>
                <w:color w:val="000000"/>
                <w:spacing w:val="54"/>
                <w:sz w:val="20"/>
                <w:szCs w:val="24"/>
                <w:shd w:val="solid" w:color="000000" w:fill="000000"/>
                <w:fitText w:val="348" w:id="-629961980"/>
                <w:lang w:eastAsia="en-AU"/>
                <w14:textFill>
                  <w14:solidFill>
                    <w14:srgbClr w14:val="000000">
                      <w14:alpha w14:val="100000"/>
                    </w14:srgbClr>
                  </w14:solidFill>
                </w14:textFill>
              </w:rPr>
              <w:t>|||</w:t>
            </w:r>
            <w:r w:rsidR="00AF3C7B" w:rsidRPr="00AF3C7B">
              <w:rPr>
                <w:rFonts w:ascii="Arial Narrow" w:eastAsiaTheme="majorEastAsia" w:hAnsi="Arial Narrow" w:cs="Times New Roman"/>
                <w:b/>
                <w:color w:val="000000"/>
                <w:spacing w:val="3"/>
                <w:sz w:val="20"/>
                <w:szCs w:val="24"/>
                <w:shd w:val="solid" w:color="000000" w:fill="000000"/>
                <w:fitText w:val="348" w:id="-629961980"/>
                <w:lang w:eastAsia="en-AU"/>
                <w14:textFill>
                  <w14:solidFill>
                    <w14:srgbClr w14:val="000000">
                      <w14:alpha w14:val="100000"/>
                    </w14:srgbClr>
                  </w14:solidFill>
                </w14:textFill>
              </w:rPr>
              <w:t>|</w:t>
            </w:r>
            <w:r w:rsidRPr="00EF2E8A">
              <w:rPr>
                <w:rFonts w:ascii="Arial Narrow" w:eastAsiaTheme="majorEastAsia" w:hAnsi="Arial Narrow" w:cs="Times New Roman"/>
                <w:b/>
                <w:sz w:val="20"/>
                <w:szCs w:val="24"/>
                <w:lang w:eastAsia="en-AU"/>
              </w:rPr>
              <w:t>%) included</w:t>
            </w:r>
          </w:p>
        </w:tc>
      </w:tr>
      <w:tr w:rsidR="008E5062" w:rsidRPr="00EF2E8A" w14:paraId="3360F3EA" w14:textId="77777777">
        <w:tc>
          <w:tcPr>
            <w:tcW w:w="1114" w:type="pct"/>
            <w:vAlign w:val="center"/>
          </w:tcPr>
          <w:p w14:paraId="08F46771" w14:textId="77777777" w:rsidR="008E5062" w:rsidRPr="00EF2E8A" w:rsidRDefault="008E5062" w:rsidP="00591C83">
            <w:pPr>
              <w:keepNext/>
              <w:spacing w:before="0" w:after="0"/>
              <w:jc w:val="left"/>
              <w:rPr>
                <w:rFonts w:ascii="Times" w:hAnsi="Times"/>
                <w:sz w:val="20"/>
              </w:rPr>
            </w:pPr>
            <w:r w:rsidRPr="00EF2E8A">
              <w:rPr>
                <w:rFonts w:ascii="Arial Narrow" w:hAnsi="Arial Narrow"/>
                <w:sz w:val="20"/>
              </w:rPr>
              <w:t>Costs</w:t>
            </w:r>
          </w:p>
        </w:tc>
        <w:tc>
          <w:tcPr>
            <w:tcW w:w="987" w:type="pct"/>
          </w:tcPr>
          <w:p w14:paraId="2330FD92" w14:textId="1AD0F41C"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c>
          <w:tcPr>
            <w:tcW w:w="924" w:type="pct"/>
          </w:tcPr>
          <w:p w14:paraId="297C8143"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$30,578</w:t>
            </w:r>
          </w:p>
        </w:tc>
        <w:tc>
          <w:tcPr>
            <w:tcW w:w="689" w:type="pct"/>
          </w:tcPr>
          <w:p w14:paraId="2877BC29" w14:textId="43312214"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c>
          <w:tcPr>
            <w:tcW w:w="597" w:type="pct"/>
          </w:tcPr>
          <w:p w14:paraId="147A3C0D"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$42,854</w:t>
            </w:r>
          </w:p>
        </w:tc>
        <w:tc>
          <w:tcPr>
            <w:tcW w:w="689" w:type="pct"/>
          </w:tcPr>
          <w:p w14:paraId="305E7951" w14:textId="59ABFC0D"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w:t>
            </w:r>
            <w:r w:rsidR="00AF3C7B" w:rsidRPr="00AF3C7B">
              <w:rPr>
                <w:rFonts w:ascii="Arial Narrow" w:hAnsi="Arial Narrow"/>
                <w:color w:val="000000"/>
                <w:sz w:val="20"/>
                <w:szCs w:val="20"/>
                <w:shd w:val="solid" w:color="000000" w:fill="000000"/>
                <w14:textFill>
                  <w14:solidFill>
                    <w14:srgbClr w14:val="000000">
                      <w14:alpha w14:val="100000"/>
                    </w14:srgbClr>
                  </w14:solidFill>
                </w14:textFill>
              </w:rPr>
              <w:t>|</w:t>
            </w:r>
          </w:p>
        </w:tc>
      </w:tr>
      <w:tr w:rsidR="008E5062" w:rsidRPr="00EF2E8A" w14:paraId="74FFE54A" w14:textId="77777777">
        <w:tc>
          <w:tcPr>
            <w:tcW w:w="1114" w:type="pct"/>
            <w:vAlign w:val="center"/>
          </w:tcPr>
          <w:p w14:paraId="297A2988" w14:textId="77777777" w:rsidR="008E5062" w:rsidRPr="00EF2E8A" w:rsidRDefault="008E5062" w:rsidP="00591C83">
            <w:pPr>
              <w:keepNext/>
              <w:spacing w:before="0" w:after="0"/>
              <w:jc w:val="left"/>
              <w:rPr>
                <w:rFonts w:ascii="Times" w:hAnsi="Times"/>
                <w:sz w:val="20"/>
              </w:rPr>
            </w:pPr>
            <w:r w:rsidRPr="00EF2E8A">
              <w:rPr>
                <w:rFonts w:ascii="Arial Narrow" w:hAnsi="Arial Narrow"/>
                <w:sz w:val="20"/>
              </w:rPr>
              <w:t>LYG</w:t>
            </w:r>
          </w:p>
        </w:tc>
        <w:tc>
          <w:tcPr>
            <w:tcW w:w="987" w:type="pct"/>
          </w:tcPr>
          <w:p w14:paraId="4E9811DC"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2.08</w:t>
            </w:r>
          </w:p>
        </w:tc>
        <w:tc>
          <w:tcPr>
            <w:tcW w:w="924" w:type="pct"/>
          </w:tcPr>
          <w:p w14:paraId="3AF1FB64" w14:textId="77777777" w:rsidR="008E5062" w:rsidRPr="00EF2E8A" w:rsidRDefault="008E5062" w:rsidP="00591C83">
            <w:pPr>
              <w:keepNext/>
              <w:spacing w:before="0" w:after="0"/>
              <w:jc w:val="center"/>
              <w:rPr>
                <w:rFonts w:ascii="Times" w:hAnsi="Times"/>
                <w:sz w:val="20"/>
              </w:rPr>
            </w:pPr>
            <w:r w:rsidRPr="00EF2E8A">
              <w:rPr>
                <w:rFonts w:ascii="Arial Narrow" w:hAnsi="Arial Narrow"/>
                <w:sz w:val="20"/>
                <w:szCs w:val="20"/>
              </w:rPr>
              <w:t>1.18</w:t>
            </w:r>
          </w:p>
        </w:tc>
        <w:tc>
          <w:tcPr>
            <w:tcW w:w="689" w:type="pct"/>
          </w:tcPr>
          <w:p w14:paraId="7045F654"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0.91</w:t>
            </w:r>
          </w:p>
        </w:tc>
        <w:tc>
          <w:tcPr>
            <w:tcW w:w="597" w:type="pct"/>
          </w:tcPr>
          <w:p w14:paraId="4707EDE6"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1.26</w:t>
            </w:r>
          </w:p>
        </w:tc>
        <w:tc>
          <w:tcPr>
            <w:tcW w:w="689" w:type="pct"/>
          </w:tcPr>
          <w:p w14:paraId="163E744A"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0.82</w:t>
            </w:r>
          </w:p>
        </w:tc>
      </w:tr>
      <w:tr w:rsidR="008E5062" w:rsidRPr="00BD7B57" w14:paraId="257AA62A" w14:textId="77777777">
        <w:tc>
          <w:tcPr>
            <w:tcW w:w="1114" w:type="pct"/>
            <w:vAlign w:val="center"/>
          </w:tcPr>
          <w:p w14:paraId="180C40BF" w14:textId="77777777" w:rsidR="008E5062" w:rsidRPr="00BD7B57" w:rsidRDefault="008E5062" w:rsidP="00591C83">
            <w:pPr>
              <w:keepNext/>
              <w:spacing w:before="0" w:after="0"/>
              <w:jc w:val="left"/>
              <w:rPr>
                <w:rFonts w:ascii="Arial Narrow" w:hAnsi="Arial Narrow"/>
                <w:sz w:val="20"/>
              </w:rPr>
            </w:pPr>
            <w:r w:rsidRPr="00BD7B57">
              <w:rPr>
                <w:rFonts w:ascii="Arial Narrow" w:hAnsi="Arial Narrow"/>
                <w:sz w:val="20"/>
              </w:rPr>
              <w:t>ICER ($/LYG)</w:t>
            </w:r>
          </w:p>
        </w:tc>
        <w:tc>
          <w:tcPr>
            <w:tcW w:w="987" w:type="pct"/>
          </w:tcPr>
          <w:p w14:paraId="291C926A" w14:textId="77388B55" w:rsidR="008E5062" w:rsidRPr="00BD7B57" w:rsidRDefault="00A46D2B" w:rsidP="00591C83">
            <w:pPr>
              <w:keepNext/>
              <w:spacing w:before="0" w:after="0"/>
              <w:jc w:val="center"/>
              <w:rPr>
                <w:rFonts w:ascii="Arial Narrow" w:hAnsi="Arial Narrow"/>
                <w:sz w:val="20"/>
                <w:szCs w:val="20"/>
              </w:rPr>
            </w:pPr>
            <w:r>
              <w:rPr>
                <w:rFonts w:ascii="Arial Narrow" w:hAnsi="Arial Narrow"/>
                <w:sz w:val="20"/>
              </w:rPr>
              <w:noBreakHyphen/>
            </w:r>
          </w:p>
        </w:tc>
        <w:tc>
          <w:tcPr>
            <w:tcW w:w="924" w:type="pct"/>
          </w:tcPr>
          <w:p w14:paraId="4829BABC" w14:textId="5298E4A4" w:rsidR="008E5062" w:rsidRPr="00BD7B57" w:rsidRDefault="00A46D2B" w:rsidP="00591C83">
            <w:pPr>
              <w:keepNext/>
              <w:spacing w:before="0" w:after="0"/>
              <w:jc w:val="center"/>
              <w:rPr>
                <w:rFonts w:ascii="Arial Narrow" w:hAnsi="Arial Narrow"/>
                <w:sz w:val="20"/>
                <w:szCs w:val="20"/>
              </w:rPr>
            </w:pPr>
            <w:r>
              <w:rPr>
                <w:rFonts w:ascii="Arial Narrow" w:hAnsi="Arial Narrow"/>
                <w:sz w:val="20"/>
              </w:rPr>
              <w:noBreakHyphen/>
            </w:r>
          </w:p>
        </w:tc>
        <w:tc>
          <w:tcPr>
            <w:tcW w:w="689" w:type="pct"/>
          </w:tcPr>
          <w:p w14:paraId="03ED8A0E" w14:textId="7C8DE01E" w:rsidR="008E5062" w:rsidRPr="00BD7B57" w:rsidRDefault="008E5062" w:rsidP="00591C83">
            <w:pPr>
              <w:keepNext/>
              <w:spacing w:before="0" w:after="0"/>
              <w:jc w:val="center"/>
              <w:rPr>
                <w:rFonts w:ascii="Arial Narrow" w:hAnsi="Arial Narrow"/>
                <w:sz w:val="20"/>
                <w:szCs w:val="20"/>
              </w:rPr>
            </w:pPr>
            <w:r w:rsidRPr="00BD7B57">
              <w:rPr>
                <w:rFonts w:ascii="Arial Narrow" w:hAnsi="Arial Narrow"/>
                <w:sz w:val="20"/>
              </w:rPr>
              <w:t>$</w:t>
            </w:r>
            <w:r w:rsidR="00AF3C7B" w:rsidRPr="00AF3C7B">
              <w:rPr>
                <w:rFonts w:ascii="Arial Narrow" w:hAnsi="Arial Narrow"/>
                <w:color w:val="000000"/>
                <w:spacing w:val="44"/>
                <w:sz w:val="20"/>
                <w:shd w:val="solid" w:color="000000" w:fill="000000"/>
                <w:fitText w:val="216" w:id="-629961979"/>
                <w14:textFill>
                  <w14:solidFill>
                    <w14:srgbClr w14:val="000000">
                      <w14:alpha w14:val="100000"/>
                    </w14:srgbClr>
                  </w14:solidFill>
                </w14:textFill>
              </w:rPr>
              <w:t>||</w:t>
            </w:r>
            <w:r w:rsidR="00AF3C7B" w:rsidRPr="00AF3C7B">
              <w:rPr>
                <w:rFonts w:ascii="Arial Narrow" w:hAnsi="Arial Narrow"/>
                <w:color w:val="000000"/>
                <w:spacing w:val="1"/>
                <w:sz w:val="20"/>
                <w:shd w:val="solid" w:color="000000" w:fill="000000"/>
                <w:fitText w:val="216" w:id="-629961979"/>
                <w14:textFill>
                  <w14:solidFill>
                    <w14:srgbClr w14:val="000000">
                      <w14:alpha w14:val="100000"/>
                    </w14:srgbClr>
                  </w14:solidFill>
                </w14:textFill>
              </w:rPr>
              <w:t>|</w:t>
            </w:r>
            <w:r w:rsidR="00252BC9" w:rsidRPr="0085551B">
              <w:rPr>
                <w:rFonts w:ascii="Arial Narrow" w:hAnsi="Arial Narrow"/>
                <w:sz w:val="20"/>
                <w:szCs w:val="20"/>
                <w:vertAlign w:val="superscript"/>
              </w:rPr>
              <w:t>3</w:t>
            </w:r>
            <w:r w:rsidRPr="00BD7B57">
              <w:rPr>
                <w:rFonts w:ascii="Arial Narrow" w:hAnsi="Arial Narrow"/>
                <w:sz w:val="20"/>
              </w:rPr>
              <w:t>/LYG</w:t>
            </w:r>
          </w:p>
        </w:tc>
        <w:tc>
          <w:tcPr>
            <w:tcW w:w="597" w:type="pct"/>
          </w:tcPr>
          <w:p w14:paraId="4AD5E0B3" w14:textId="5D594AFF" w:rsidR="008E5062" w:rsidRPr="00BD7B57" w:rsidRDefault="00A46D2B" w:rsidP="00591C83">
            <w:pPr>
              <w:keepNext/>
              <w:spacing w:before="0" w:after="0"/>
              <w:jc w:val="center"/>
              <w:rPr>
                <w:rFonts w:ascii="Arial Narrow" w:hAnsi="Arial Narrow"/>
                <w:sz w:val="20"/>
                <w:szCs w:val="20"/>
              </w:rPr>
            </w:pPr>
            <w:r>
              <w:rPr>
                <w:rFonts w:ascii="Arial Narrow" w:hAnsi="Arial Narrow"/>
                <w:sz w:val="20"/>
              </w:rPr>
              <w:noBreakHyphen/>
            </w:r>
          </w:p>
        </w:tc>
        <w:tc>
          <w:tcPr>
            <w:tcW w:w="689" w:type="pct"/>
          </w:tcPr>
          <w:p w14:paraId="0A1A13EA" w14:textId="2C7E185E" w:rsidR="008E5062" w:rsidRPr="00BD7B57" w:rsidRDefault="008E5062" w:rsidP="00591C83">
            <w:pPr>
              <w:keepNext/>
              <w:spacing w:before="0" w:after="0"/>
              <w:jc w:val="center"/>
              <w:rPr>
                <w:rFonts w:ascii="Arial Narrow" w:hAnsi="Arial Narrow"/>
                <w:sz w:val="20"/>
                <w:szCs w:val="20"/>
              </w:rPr>
            </w:pPr>
            <w:r w:rsidRPr="00BD7B57">
              <w:rPr>
                <w:rFonts w:ascii="Arial Narrow" w:hAnsi="Arial Narrow"/>
                <w:sz w:val="20"/>
              </w:rPr>
              <w:t>$</w:t>
            </w:r>
            <w:r w:rsidR="00AF3C7B" w:rsidRPr="00AF3C7B">
              <w:rPr>
                <w:rFonts w:ascii="Arial Narrow" w:hAnsi="Arial Narrow"/>
                <w:color w:val="000000"/>
                <w:spacing w:val="44"/>
                <w:sz w:val="20"/>
                <w:shd w:val="solid" w:color="000000" w:fill="000000"/>
                <w:fitText w:val="216" w:id="-629961978"/>
                <w14:textFill>
                  <w14:solidFill>
                    <w14:srgbClr w14:val="000000">
                      <w14:alpha w14:val="100000"/>
                    </w14:srgbClr>
                  </w14:solidFill>
                </w14:textFill>
              </w:rPr>
              <w:t>||</w:t>
            </w:r>
            <w:r w:rsidR="00AF3C7B" w:rsidRPr="00AF3C7B">
              <w:rPr>
                <w:rFonts w:ascii="Arial Narrow" w:hAnsi="Arial Narrow"/>
                <w:color w:val="000000"/>
                <w:spacing w:val="1"/>
                <w:sz w:val="20"/>
                <w:shd w:val="solid" w:color="000000" w:fill="000000"/>
                <w:fitText w:val="216" w:id="-629961978"/>
                <w14:textFill>
                  <w14:solidFill>
                    <w14:srgbClr w14:val="000000">
                      <w14:alpha w14:val="100000"/>
                    </w14:srgbClr>
                  </w14:solidFill>
                </w14:textFill>
              </w:rPr>
              <w:t>|</w:t>
            </w:r>
            <w:r w:rsidR="00252BC9" w:rsidRPr="0085551B">
              <w:rPr>
                <w:rFonts w:ascii="Arial Narrow" w:hAnsi="Arial Narrow"/>
                <w:sz w:val="20"/>
                <w:szCs w:val="20"/>
                <w:vertAlign w:val="superscript"/>
              </w:rPr>
              <w:t>3</w:t>
            </w:r>
            <w:r w:rsidRPr="00BD7B57">
              <w:rPr>
                <w:rFonts w:ascii="Arial Narrow" w:hAnsi="Arial Narrow"/>
                <w:sz w:val="20"/>
              </w:rPr>
              <w:t>/LYG</w:t>
            </w:r>
          </w:p>
        </w:tc>
      </w:tr>
      <w:tr w:rsidR="008E5062" w:rsidRPr="00EF2E8A" w14:paraId="249536C7" w14:textId="77777777">
        <w:tc>
          <w:tcPr>
            <w:tcW w:w="1114" w:type="pct"/>
            <w:vAlign w:val="center"/>
          </w:tcPr>
          <w:p w14:paraId="6D456EE6" w14:textId="77777777" w:rsidR="008E5062" w:rsidRPr="00EF2E8A" w:rsidRDefault="008E5062" w:rsidP="00591C83">
            <w:pPr>
              <w:keepNext/>
              <w:spacing w:before="0" w:after="0"/>
              <w:jc w:val="left"/>
              <w:rPr>
                <w:rFonts w:ascii="Arial Narrow" w:hAnsi="Arial Narrow"/>
                <w:b/>
                <w:bCs/>
                <w:sz w:val="20"/>
              </w:rPr>
            </w:pPr>
            <w:r w:rsidRPr="00EF2E8A">
              <w:rPr>
                <w:rFonts w:ascii="Arial Narrow" w:hAnsi="Arial Narrow"/>
                <w:b/>
                <w:bCs/>
                <w:sz w:val="20"/>
              </w:rPr>
              <w:t>Weighted ICER ($/LYG)</w:t>
            </w:r>
          </w:p>
        </w:tc>
        <w:tc>
          <w:tcPr>
            <w:tcW w:w="3886" w:type="pct"/>
            <w:gridSpan w:val="5"/>
          </w:tcPr>
          <w:p w14:paraId="1BBC5F00" w14:textId="7380FA8A" w:rsidR="008E5062" w:rsidRPr="00EF2E8A" w:rsidRDefault="008E5062" w:rsidP="00591C83">
            <w:pPr>
              <w:keepNext/>
              <w:spacing w:before="0" w:after="0"/>
              <w:jc w:val="right"/>
              <w:rPr>
                <w:rFonts w:ascii="Arial Narrow" w:hAnsi="Arial Narrow"/>
                <w:sz w:val="20"/>
                <w:szCs w:val="20"/>
              </w:rPr>
            </w:pPr>
            <w:r w:rsidRPr="00EF2E8A">
              <w:rPr>
                <w:rFonts w:ascii="Arial Narrow" w:hAnsi="Arial Narrow"/>
                <w:b/>
                <w:bCs/>
                <w:sz w:val="20"/>
              </w:rPr>
              <w:t>$</w:t>
            </w:r>
            <w:r w:rsidR="00AF3C7B" w:rsidRPr="00AF3C7B">
              <w:rPr>
                <w:rFonts w:ascii="Arial Narrow" w:hAnsi="Arial Narrow"/>
                <w:b/>
                <w:bCs/>
                <w:color w:val="000000"/>
                <w:sz w:val="20"/>
                <w:shd w:val="solid" w:color="000000" w:fill="000000"/>
                <w14:textFill>
                  <w14:solidFill>
                    <w14:srgbClr w14:val="000000">
                      <w14:alpha w14:val="100000"/>
                    </w14:srgbClr>
                  </w14:solidFill>
                </w14:textFill>
              </w:rPr>
              <w:t>|</w:t>
            </w:r>
            <w:r w:rsidR="00252BC9" w:rsidRPr="0085551B">
              <w:rPr>
                <w:rFonts w:ascii="Arial Narrow" w:hAnsi="Arial Narrow"/>
                <w:sz w:val="20"/>
                <w:szCs w:val="20"/>
                <w:vertAlign w:val="superscript"/>
              </w:rPr>
              <w:t>3</w:t>
            </w:r>
            <w:r w:rsidRPr="00EF2E8A">
              <w:rPr>
                <w:rFonts w:ascii="Arial Narrow" w:hAnsi="Arial Narrow"/>
                <w:b/>
                <w:bCs/>
                <w:sz w:val="20"/>
              </w:rPr>
              <w:t>/LYG</w:t>
            </w:r>
          </w:p>
        </w:tc>
      </w:tr>
      <w:tr w:rsidR="008E5062" w:rsidRPr="00EF2E8A" w14:paraId="593BFF2E" w14:textId="77777777">
        <w:tc>
          <w:tcPr>
            <w:tcW w:w="1114" w:type="pct"/>
            <w:vAlign w:val="center"/>
          </w:tcPr>
          <w:p w14:paraId="0B63377A" w14:textId="77777777" w:rsidR="008E5062" w:rsidRPr="00EF2E8A" w:rsidRDefault="008E5062" w:rsidP="00591C83">
            <w:pPr>
              <w:keepNext/>
              <w:spacing w:before="0" w:after="0"/>
              <w:jc w:val="left"/>
              <w:rPr>
                <w:rFonts w:ascii="Arial Narrow" w:hAnsi="Arial Narrow"/>
                <w:sz w:val="20"/>
              </w:rPr>
            </w:pPr>
            <w:r w:rsidRPr="00EF2E8A">
              <w:rPr>
                <w:rFonts w:ascii="Arial Narrow" w:hAnsi="Arial Narrow"/>
                <w:sz w:val="20"/>
              </w:rPr>
              <w:t>QALYs</w:t>
            </w:r>
          </w:p>
        </w:tc>
        <w:tc>
          <w:tcPr>
            <w:tcW w:w="987" w:type="pct"/>
          </w:tcPr>
          <w:p w14:paraId="78540C39"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1.46</w:t>
            </w:r>
          </w:p>
        </w:tc>
        <w:tc>
          <w:tcPr>
            <w:tcW w:w="924" w:type="pct"/>
          </w:tcPr>
          <w:p w14:paraId="4B65DCCB"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0.79</w:t>
            </w:r>
          </w:p>
        </w:tc>
        <w:tc>
          <w:tcPr>
            <w:tcW w:w="689" w:type="pct"/>
          </w:tcPr>
          <w:p w14:paraId="1DD43BC7"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0.68</w:t>
            </w:r>
          </w:p>
        </w:tc>
        <w:tc>
          <w:tcPr>
            <w:tcW w:w="597" w:type="pct"/>
          </w:tcPr>
          <w:p w14:paraId="72060793"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0.87</w:t>
            </w:r>
          </w:p>
        </w:tc>
        <w:tc>
          <w:tcPr>
            <w:tcW w:w="689" w:type="pct"/>
          </w:tcPr>
          <w:p w14:paraId="6C5D7AC6" w14:textId="77777777" w:rsidR="008E5062" w:rsidRPr="00EF2E8A" w:rsidRDefault="008E5062" w:rsidP="00591C83">
            <w:pPr>
              <w:keepNext/>
              <w:spacing w:before="0" w:after="0"/>
              <w:jc w:val="center"/>
              <w:rPr>
                <w:rFonts w:ascii="Arial Narrow" w:hAnsi="Arial Narrow"/>
                <w:sz w:val="20"/>
              </w:rPr>
            </w:pPr>
            <w:r w:rsidRPr="00EF2E8A">
              <w:rPr>
                <w:rFonts w:ascii="Arial Narrow" w:hAnsi="Arial Narrow"/>
                <w:sz w:val="20"/>
                <w:szCs w:val="20"/>
              </w:rPr>
              <w:t>0.60</w:t>
            </w:r>
          </w:p>
        </w:tc>
      </w:tr>
      <w:tr w:rsidR="008E5062" w:rsidRPr="00EF2E8A" w14:paraId="4B85207A" w14:textId="77777777">
        <w:tc>
          <w:tcPr>
            <w:tcW w:w="1114" w:type="pct"/>
            <w:vAlign w:val="center"/>
          </w:tcPr>
          <w:p w14:paraId="6DB96E49" w14:textId="77777777" w:rsidR="008E5062" w:rsidRPr="00EF2E8A" w:rsidRDefault="008E5062" w:rsidP="00591C83">
            <w:pPr>
              <w:keepNext/>
              <w:spacing w:before="0" w:after="0"/>
              <w:jc w:val="left"/>
              <w:rPr>
                <w:rFonts w:ascii="Arial Narrow" w:hAnsi="Arial Narrow"/>
                <w:b/>
                <w:bCs/>
                <w:sz w:val="20"/>
              </w:rPr>
            </w:pPr>
            <w:r w:rsidRPr="00EF2E8A">
              <w:rPr>
                <w:rFonts w:ascii="Arial Narrow" w:hAnsi="Arial Narrow"/>
                <w:b/>
                <w:bCs/>
                <w:sz w:val="20"/>
              </w:rPr>
              <w:t>ICER ($/QALY)</w:t>
            </w:r>
          </w:p>
        </w:tc>
        <w:tc>
          <w:tcPr>
            <w:tcW w:w="987" w:type="pct"/>
          </w:tcPr>
          <w:p w14:paraId="7DC8D9E8" w14:textId="010D7E5D" w:rsidR="008E5062" w:rsidRPr="00EF2E8A" w:rsidRDefault="00A46D2B" w:rsidP="00591C83">
            <w:pPr>
              <w:keepNext/>
              <w:spacing w:before="0" w:after="0"/>
              <w:jc w:val="center"/>
              <w:rPr>
                <w:rFonts w:ascii="Arial Narrow" w:hAnsi="Arial Narrow"/>
                <w:sz w:val="20"/>
              </w:rPr>
            </w:pPr>
            <w:r>
              <w:rPr>
                <w:rFonts w:ascii="Arial Narrow" w:hAnsi="Arial Narrow"/>
                <w:b/>
                <w:bCs/>
                <w:sz w:val="20"/>
                <w:szCs w:val="20"/>
              </w:rPr>
              <w:noBreakHyphen/>
            </w:r>
          </w:p>
        </w:tc>
        <w:tc>
          <w:tcPr>
            <w:tcW w:w="924" w:type="pct"/>
          </w:tcPr>
          <w:p w14:paraId="1D5C8EFF" w14:textId="320472FE" w:rsidR="008E5062" w:rsidRPr="00EF2E8A" w:rsidRDefault="00A46D2B" w:rsidP="00591C83">
            <w:pPr>
              <w:keepNext/>
              <w:spacing w:before="0" w:after="0"/>
              <w:jc w:val="center"/>
              <w:rPr>
                <w:rFonts w:ascii="Arial Narrow" w:hAnsi="Arial Narrow"/>
                <w:sz w:val="20"/>
              </w:rPr>
            </w:pPr>
            <w:r>
              <w:rPr>
                <w:rFonts w:ascii="Arial Narrow" w:hAnsi="Arial Narrow"/>
                <w:b/>
                <w:bCs/>
                <w:sz w:val="20"/>
                <w:szCs w:val="20"/>
              </w:rPr>
              <w:noBreakHyphen/>
            </w:r>
          </w:p>
        </w:tc>
        <w:tc>
          <w:tcPr>
            <w:tcW w:w="689" w:type="pct"/>
          </w:tcPr>
          <w:p w14:paraId="02E68DE7" w14:textId="14272100" w:rsidR="008E5062" w:rsidRPr="00EF2E8A" w:rsidRDefault="008E5062" w:rsidP="00591C83">
            <w:pPr>
              <w:keepNext/>
              <w:spacing w:before="0" w:after="0"/>
              <w:jc w:val="center"/>
              <w:rPr>
                <w:rFonts w:ascii="Arial Narrow" w:hAnsi="Arial Narrow"/>
                <w:sz w:val="20"/>
              </w:rPr>
            </w:pPr>
            <w:r w:rsidRPr="00EF2E8A">
              <w:rPr>
                <w:rFonts w:ascii="Arial Narrow" w:hAnsi="Arial Narrow"/>
                <w:b/>
                <w:bCs/>
                <w:sz w:val="20"/>
                <w:szCs w:val="20"/>
              </w:rPr>
              <w:t>$</w:t>
            </w:r>
            <w:r w:rsidR="00AF3C7B" w:rsidRPr="00AF3C7B">
              <w:rPr>
                <w:rFonts w:ascii="Arial Narrow" w:hAnsi="Arial Narrow"/>
                <w:b/>
                <w:bCs/>
                <w:color w:val="000000"/>
                <w:spacing w:val="46"/>
                <w:sz w:val="20"/>
                <w:szCs w:val="20"/>
                <w:shd w:val="solid" w:color="000000" w:fill="000000"/>
                <w:fitText w:val="324" w:id="-629961977"/>
                <w14:textFill>
                  <w14:solidFill>
                    <w14:srgbClr w14:val="000000">
                      <w14:alpha w14:val="100000"/>
                    </w14:srgbClr>
                  </w14:solidFill>
                </w14:textFill>
              </w:rPr>
              <w:t>|||</w:t>
            </w:r>
            <w:r w:rsidR="00AF3C7B" w:rsidRPr="00AF3C7B">
              <w:rPr>
                <w:rFonts w:ascii="Arial Narrow" w:hAnsi="Arial Narrow"/>
                <w:b/>
                <w:bCs/>
                <w:color w:val="000000"/>
                <w:spacing w:val="3"/>
                <w:sz w:val="20"/>
                <w:szCs w:val="20"/>
                <w:shd w:val="solid" w:color="000000" w:fill="000000"/>
                <w:fitText w:val="324" w:id="-629961977"/>
                <w14:textFill>
                  <w14:solidFill>
                    <w14:srgbClr w14:val="000000">
                      <w14:alpha w14:val="100000"/>
                    </w14:srgbClr>
                  </w14:solidFill>
                </w14:textFill>
              </w:rPr>
              <w:t>|</w:t>
            </w:r>
            <w:r w:rsidR="00920802" w:rsidRPr="004472B9">
              <w:rPr>
                <w:rFonts w:ascii="Arial Narrow" w:hAnsi="Arial Narrow"/>
                <w:b/>
                <w:bCs/>
                <w:sz w:val="20"/>
                <w:szCs w:val="20"/>
                <w:vertAlign w:val="superscript"/>
              </w:rPr>
              <w:t>5</w:t>
            </w:r>
            <w:r w:rsidRPr="00EF2E8A">
              <w:rPr>
                <w:rFonts w:ascii="Arial Narrow" w:hAnsi="Arial Narrow"/>
                <w:b/>
                <w:bCs/>
                <w:sz w:val="20"/>
                <w:szCs w:val="20"/>
              </w:rPr>
              <w:t>/QALY</w:t>
            </w:r>
          </w:p>
        </w:tc>
        <w:tc>
          <w:tcPr>
            <w:tcW w:w="597" w:type="pct"/>
          </w:tcPr>
          <w:p w14:paraId="61DE9269" w14:textId="227BA1AE" w:rsidR="008E5062" w:rsidRPr="00EF2E8A" w:rsidRDefault="00A46D2B" w:rsidP="00591C83">
            <w:pPr>
              <w:keepNext/>
              <w:spacing w:before="0" w:after="0"/>
              <w:jc w:val="center"/>
              <w:rPr>
                <w:rFonts w:ascii="Arial Narrow" w:hAnsi="Arial Narrow"/>
                <w:sz w:val="20"/>
              </w:rPr>
            </w:pPr>
            <w:r>
              <w:rPr>
                <w:rFonts w:ascii="Arial Narrow" w:hAnsi="Arial Narrow"/>
                <w:b/>
                <w:bCs/>
                <w:sz w:val="20"/>
                <w:szCs w:val="20"/>
              </w:rPr>
              <w:noBreakHyphen/>
            </w:r>
          </w:p>
        </w:tc>
        <w:tc>
          <w:tcPr>
            <w:tcW w:w="689" w:type="pct"/>
          </w:tcPr>
          <w:p w14:paraId="32A3A887" w14:textId="5D3AC4CF" w:rsidR="008E5062" w:rsidRPr="00EF2E8A" w:rsidRDefault="008E5062" w:rsidP="00591C83">
            <w:pPr>
              <w:keepNext/>
              <w:spacing w:before="0" w:after="0"/>
              <w:jc w:val="center"/>
              <w:rPr>
                <w:rFonts w:ascii="Arial Narrow" w:hAnsi="Arial Narrow"/>
                <w:sz w:val="20"/>
              </w:rPr>
            </w:pPr>
            <w:r w:rsidRPr="00EF2E8A">
              <w:rPr>
                <w:rFonts w:ascii="Arial Narrow" w:hAnsi="Arial Narrow"/>
                <w:b/>
                <w:bCs/>
                <w:sz w:val="20"/>
                <w:szCs w:val="20"/>
              </w:rPr>
              <w:t>$</w:t>
            </w:r>
            <w:r w:rsidR="00AF3C7B" w:rsidRPr="00AF3C7B">
              <w:rPr>
                <w:rFonts w:ascii="Arial Narrow" w:hAnsi="Arial Narrow"/>
                <w:b/>
                <w:bCs/>
                <w:color w:val="000000"/>
                <w:spacing w:val="46"/>
                <w:sz w:val="20"/>
                <w:szCs w:val="20"/>
                <w:shd w:val="solid" w:color="000000" w:fill="000000"/>
                <w:fitText w:val="324" w:id="-629961976"/>
                <w14:textFill>
                  <w14:solidFill>
                    <w14:srgbClr w14:val="000000">
                      <w14:alpha w14:val="100000"/>
                    </w14:srgbClr>
                  </w14:solidFill>
                </w14:textFill>
              </w:rPr>
              <w:t>|||</w:t>
            </w:r>
            <w:r w:rsidR="00AF3C7B" w:rsidRPr="00AF3C7B">
              <w:rPr>
                <w:rFonts w:ascii="Arial Narrow" w:hAnsi="Arial Narrow"/>
                <w:b/>
                <w:bCs/>
                <w:color w:val="000000"/>
                <w:spacing w:val="3"/>
                <w:sz w:val="20"/>
                <w:szCs w:val="20"/>
                <w:shd w:val="solid" w:color="000000" w:fill="000000"/>
                <w:fitText w:val="324" w:id="-629961976"/>
                <w14:textFill>
                  <w14:solidFill>
                    <w14:srgbClr w14:val="000000">
                      <w14:alpha w14:val="100000"/>
                    </w14:srgbClr>
                  </w14:solidFill>
                </w14:textFill>
              </w:rPr>
              <w:t>|</w:t>
            </w:r>
            <w:r w:rsidR="00040F30" w:rsidRPr="004472B9">
              <w:rPr>
                <w:rFonts w:ascii="Arial Narrow" w:hAnsi="Arial Narrow"/>
                <w:b/>
                <w:bCs/>
                <w:sz w:val="20"/>
                <w:szCs w:val="20"/>
                <w:vertAlign w:val="superscript"/>
              </w:rPr>
              <w:t>5</w:t>
            </w:r>
            <w:r w:rsidRPr="00EF2E8A">
              <w:rPr>
                <w:rFonts w:ascii="Arial Narrow" w:hAnsi="Arial Narrow"/>
                <w:b/>
                <w:bCs/>
                <w:sz w:val="20"/>
                <w:szCs w:val="20"/>
              </w:rPr>
              <w:t>/QALY</w:t>
            </w:r>
          </w:p>
        </w:tc>
      </w:tr>
      <w:tr w:rsidR="008E5062" w:rsidRPr="00EF2E8A" w14:paraId="52EC65BF" w14:textId="77777777">
        <w:tc>
          <w:tcPr>
            <w:tcW w:w="1114" w:type="pct"/>
            <w:vAlign w:val="center"/>
          </w:tcPr>
          <w:p w14:paraId="4D3BD591" w14:textId="77777777" w:rsidR="008E5062" w:rsidRPr="00EF2E8A" w:rsidRDefault="008E5062" w:rsidP="00591C83">
            <w:pPr>
              <w:keepNext/>
              <w:spacing w:before="0" w:after="0"/>
              <w:jc w:val="right"/>
              <w:rPr>
                <w:rFonts w:ascii="Arial Narrow" w:hAnsi="Arial Narrow"/>
                <w:b/>
                <w:bCs/>
                <w:sz w:val="20"/>
              </w:rPr>
            </w:pPr>
            <w:r w:rsidRPr="00EF2E8A">
              <w:rPr>
                <w:rFonts w:ascii="Arial Narrow" w:hAnsi="Arial Narrow"/>
                <w:b/>
                <w:bCs/>
                <w:sz w:val="20"/>
              </w:rPr>
              <w:t>Weighted ICER ($/QALY)</w:t>
            </w:r>
          </w:p>
        </w:tc>
        <w:tc>
          <w:tcPr>
            <w:tcW w:w="3886" w:type="pct"/>
            <w:gridSpan w:val="5"/>
            <w:vAlign w:val="center"/>
          </w:tcPr>
          <w:p w14:paraId="0B7CEF13" w14:textId="1B122CDB" w:rsidR="008E5062" w:rsidRPr="00EF2E8A" w:rsidRDefault="008E5062" w:rsidP="00591C83">
            <w:pPr>
              <w:keepNext/>
              <w:spacing w:before="0" w:after="0"/>
              <w:jc w:val="right"/>
              <w:rPr>
                <w:rFonts w:ascii="Arial Narrow" w:hAnsi="Arial Narrow"/>
                <w:sz w:val="20"/>
              </w:rPr>
            </w:pPr>
            <w:r w:rsidRPr="00EF2E8A">
              <w:rPr>
                <w:rFonts w:ascii="Arial Narrow" w:hAnsi="Arial Narrow"/>
                <w:b/>
                <w:bCs/>
                <w:sz w:val="20"/>
                <w:szCs w:val="20"/>
              </w:rPr>
              <w:t>$</w:t>
            </w:r>
            <w:r w:rsidR="00AF3C7B" w:rsidRPr="00AF3C7B">
              <w:rPr>
                <w:rFonts w:ascii="Arial Narrow" w:hAnsi="Arial Narrow"/>
                <w:b/>
                <w:bCs/>
                <w:color w:val="000000"/>
                <w:sz w:val="20"/>
                <w:szCs w:val="20"/>
                <w:shd w:val="solid" w:color="000000" w:fill="000000"/>
                <w14:textFill>
                  <w14:solidFill>
                    <w14:srgbClr w14:val="000000">
                      <w14:alpha w14:val="100000"/>
                    </w14:srgbClr>
                  </w14:solidFill>
                </w14:textFill>
              </w:rPr>
              <w:t>|</w:t>
            </w:r>
            <w:r w:rsidR="00040F30" w:rsidRPr="004472B9">
              <w:rPr>
                <w:rFonts w:ascii="Arial Narrow" w:hAnsi="Arial Narrow"/>
                <w:b/>
                <w:bCs/>
                <w:sz w:val="20"/>
                <w:szCs w:val="20"/>
                <w:vertAlign w:val="superscript"/>
              </w:rPr>
              <w:t>5</w:t>
            </w:r>
            <w:r w:rsidRPr="00EF2E8A">
              <w:rPr>
                <w:rFonts w:ascii="Arial Narrow" w:hAnsi="Arial Narrow"/>
                <w:b/>
                <w:bCs/>
                <w:sz w:val="20"/>
                <w:szCs w:val="20"/>
              </w:rPr>
              <w:t>/QALY</w:t>
            </w:r>
          </w:p>
        </w:tc>
      </w:tr>
    </w:tbl>
    <w:p w14:paraId="520832EB" w14:textId="163ADAD5" w:rsidR="008E5062" w:rsidRPr="00EF2E8A" w:rsidRDefault="008E5062" w:rsidP="00591C83">
      <w:pPr>
        <w:spacing w:before="0" w:after="0"/>
        <w:contextualSpacing/>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Source: Table 3.8</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5, p197 and Table 3.8</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6, p198 of the submission.</w:t>
      </w:r>
    </w:p>
    <w:p w14:paraId="2AD5248A" w14:textId="77777777" w:rsidR="00A479C0" w:rsidRDefault="008E5062" w:rsidP="00591C83">
      <w:pPr>
        <w:spacing w:before="0" w:after="0"/>
        <w:contextualSpacing/>
      </w:pPr>
      <w:r w:rsidRPr="00EF2E8A">
        <w:rPr>
          <w:rFonts w:ascii="Arial Narrow" w:eastAsia="Times New Roman" w:hAnsi="Arial Narrow" w:cs="Arial"/>
          <w:snapToGrid w:val="0"/>
          <w:sz w:val="18"/>
          <w:szCs w:val="20"/>
        </w:rPr>
        <w:t>BEVA = bevacizumab; ICC = investigators choice of chemotherapy; ICER = incremental cost</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 xml:space="preserve">effectiveness ratio; LYG = life years gained; MIRV = </w:t>
      </w:r>
      <w:r w:rsidR="002764AD" w:rsidRPr="00EF2E8A">
        <w:rPr>
          <w:rFonts w:ascii="Arial Narrow" w:eastAsia="Times New Roman" w:hAnsi="Arial Narrow" w:cs="Arial"/>
          <w:snapToGrid w:val="0"/>
          <w:sz w:val="18"/>
          <w:szCs w:val="20"/>
        </w:rPr>
        <w:t>mirvetuximab</w:t>
      </w:r>
      <w:r w:rsidRPr="00EF2E8A">
        <w:rPr>
          <w:rFonts w:ascii="Arial Narrow" w:eastAsia="Times New Roman" w:hAnsi="Arial Narrow" w:cs="Arial"/>
          <w:snapToGrid w:val="0"/>
          <w:sz w:val="18"/>
          <w:szCs w:val="20"/>
        </w:rPr>
        <w:t xml:space="preserve"> soravtansine; QALY = quality</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adjusted life years.</w:t>
      </w:r>
      <w:r w:rsidR="00A479C0" w:rsidRPr="00A479C0">
        <w:t xml:space="preserve"> </w:t>
      </w:r>
    </w:p>
    <w:p w14:paraId="54BC37BE" w14:textId="77777777" w:rsidR="00AF7033" w:rsidRPr="00E02234" w:rsidRDefault="00A479C0" w:rsidP="00591C83">
      <w:pPr>
        <w:spacing w:before="0" w:after="0"/>
        <w:contextualSpacing/>
        <w:rPr>
          <w:rFonts w:ascii="Arial Narrow" w:eastAsia="Times New Roman" w:hAnsi="Arial Narrow" w:cs="Arial"/>
          <w:i/>
          <w:iCs/>
          <w:snapToGrid w:val="0"/>
          <w:sz w:val="18"/>
          <w:szCs w:val="20"/>
        </w:rPr>
      </w:pPr>
      <w:r w:rsidRPr="00E02234">
        <w:rPr>
          <w:rFonts w:ascii="Arial Narrow" w:eastAsia="Times New Roman" w:hAnsi="Arial Narrow" w:cs="Arial"/>
          <w:i/>
          <w:iCs/>
          <w:snapToGrid w:val="0"/>
          <w:sz w:val="18"/>
          <w:szCs w:val="20"/>
        </w:rPr>
        <w:t>The redacted values correspond to the following ranges:</w:t>
      </w:r>
      <w:r w:rsidR="00AF7033" w:rsidRPr="00E02234">
        <w:rPr>
          <w:rFonts w:ascii="Arial Narrow" w:eastAsia="Times New Roman" w:hAnsi="Arial Narrow" w:cs="Arial"/>
          <w:i/>
          <w:iCs/>
          <w:snapToGrid w:val="0"/>
          <w:sz w:val="18"/>
          <w:szCs w:val="20"/>
        </w:rPr>
        <w:t xml:space="preserve"> </w:t>
      </w:r>
    </w:p>
    <w:p w14:paraId="5F47A9A9" w14:textId="6EB4BB4A" w:rsidR="0085551B" w:rsidRPr="00E02234" w:rsidRDefault="00AF7033" w:rsidP="00591C83">
      <w:pPr>
        <w:spacing w:before="0" w:after="0"/>
        <w:contextualSpacing/>
        <w:rPr>
          <w:rFonts w:ascii="Arial Narrow" w:eastAsia="Times New Roman" w:hAnsi="Arial Narrow" w:cs="Arial"/>
          <w:i/>
          <w:iCs/>
          <w:snapToGrid w:val="0"/>
          <w:sz w:val="18"/>
          <w:szCs w:val="20"/>
        </w:rPr>
      </w:pPr>
      <w:r w:rsidRPr="00E02234">
        <w:rPr>
          <w:rFonts w:ascii="Arial Narrow" w:eastAsia="Times New Roman" w:hAnsi="Arial Narrow" w:cs="Arial"/>
          <w:i/>
          <w:iCs/>
          <w:snapToGrid w:val="0"/>
          <w:sz w:val="18"/>
          <w:szCs w:val="20"/>
          <w:vertAlign w:val="superscript"/>
        </w:rPr>
        <w:t>1</w:t>
      </w:r>
      <w:r w:rsidRPr="00E02234">
        <w:rPr>
          <w:rFonts w:ascii="Arial Narrow" w:eastAsia="Times New Roman" w:hAnsi="Arial Narrow" w:cs="Arial"/>
          <w:i/>
          <w:iCs/>
          <w:snapToGrid w:val="0"/>
          <w:sz w:val="18"/>
          <w:szCs w:val="20"/>
        </w:rPr>
        <w:t xml:space="preserve"> $255,000 to &lt; $355,000</w:t>
      </w:r>
      <w:r w:rsidR="0085551B" w:rsidRPr="00E02234">
        <w:rPr>
          <w:rFonts w:ascii="Arial Narrow" w:eastAsia="Times New Roman" w:hAnsi="Arial Narrow" w:cs="Arial"/>
          <w:i/>
          <w:iCs/>
          <w:snapToGrid w:val="0"/>
          <w:sz w:val="18"/>
          <w:szCs w:val="20"/>
        </w:rPr>
        <w:t xml:space="preserve"> </w:t>
      </w:r>
    </w:p>
    <w:p w14:paraId="3F89FF67" w14:textId="77777777" w:rsidR="00252BC9" w:rsidRPr="00E02234" w:rsidRDefault="0085551B" w:rsidP="00591C83">
      <w:pPr>
        <w:spacing w:before="0" w:after="0"/>
        <w:contextualSpacing/>
        <w:rPr>
          <w:rFonts w:ascii="Arial Narrow" w:eastAsia="Times New Roman" w:hAnsi="Arial Narrow" w:cs="Arial"/>
          <w:i/>
          <w:iCs/>
          <w:snapToGrid w:val="0"/>
          <w:sz w:val="18"/>
          <w:szCs w:val="20"/>
        </w:rPr>
      </w:pPr>
      <w:r w:rsidRPr="00E02234">
        <w:rPr>
          <w:rFonts w:ascii="Arial Narrow" w:eastAsia="Times New Roman" w:hAnsi="Arial Narrow" w:cs="Arial"/>
          <w:i/>
          <w:iCs/>
          <w:snapToGrid w:val="0"/>
          <w:sz w:val="18"/>
          <w:szCs w:val="20"/>
          <w:vertAlign w:val="superscript"/>
        </w:rPr>
        <w:t>2</w:t>
      </w:r>
      <w:r w:rsidRPr="00E02234">
        <w:rPr>
          <w:rFonts w:ascii="Arial Narrow" w:eastAsia="Times New Roman" w:hAnsi="Arial Narrow" w:cs="Arial"/>
          <w:i/>
          <w:iCs/>
          <w:snapToGrid w:val="0"/>
          <w:sz w:val="18"/>
          <w:szCs w:val="20"/>
        </w:rPr>
        <w:t xml:space="preserve"> $155,000 to &lt; $255,000</w:t>
      </w:r>
      <w:r w:rsidR="00252BC9" w:rsidRPr="00E02234">
        <w:rPr>
          <w:rFonts w:ascii="Arial Narrow" w:eastAsia="Times New Roman" w:hAnsi="Arial Narrow" w:cs="Arial"/>
          <w:i/>
          <w:iCs/>
          <w:snapToGrid w:val="0"/>
          <w:sz w:val="18"/>
          <w:szCs w:val="20"/>
        </w:rPr>
        <w:t xml:space="preserve"> </w:t>
      </w:r>
    </w:p>
    <w:p w14:paraId="43C28134" w14:textId="77777777" w:rsidR="004472B9" w:rsidRPr="00E02234" w:rsidRDefault="00252BC9" w:rsidP="00591C83">
      <w:pPr>
        <w:spacing w:before="0" w:after="0"/>
        <w:contextualSpacing/>
        <w:rPr>
          <w:rFonts w:ascii="Arial Narrow" w:eastAsia="Times New Roman" w:hAnsi="Arial Narrow" w:cs="Arial"/>
          <w:i/>
          <w:iCs/>
          <w:snapToGrid w:val="0"/>
          <w:sz w:val="18"/>
          <w:szCs w:val="20"/>
        </w:rPr>
      </w:pPr>
      <w:r w:rsidRPr="00E02234">
        <w:rPr>
          <w:rFonts w:ascii="Arial Narrow" w:eastAsia="Times New Roman" w:hAnsi="Arial Narrow" w:cs="Arial"/>
          <w:i/>
          <w:iCs/>
          <w:snapToGrid w:val="0"/>
          <w:sz w:val="18"/>
          <w:szCs w:val="20"/>
          <w:vertAlign w:val="superscript"/>
        </w:rPr>
        <w:t>3</w:t>
      </w:r>
      <w:r w:rsidRPr="00E02234">
        <w:rPr>
          <w:rFonts w:ascii="Arial Narrow" w:eastAsia="Times New Roman" w:hAnsi="Arial Narrow" w:cs="Arial"/>
          <w:i/>
          <w:iCs/>
          <w:snapToGrid w:val="0"/>
          <w:sz w:val="18"/>
          <w:szCs w:val="20"/>
        </w:rPr>
        <w:t xml:space="preserve"> $55,000 to &lt; $75,000</w:t>
      </w:r>
      <w:r w:rsidR="004472B9" w:rsidRPr="00E02234">
        <w:rPr>
          <w:rFonts w:ascii="Arial Narrow" w:eastAsia="Times New Roman" w:hAnsi="Arial Narrow" w:cs="Arial"/>
          <w:i/>
          <w:iCs/>
          <w:snapToGrid w:val="0"/>
          <w:sz w:val="18"/>
          <w:szCs w:val="20"/>
        </w:rPr>
        <w:t xml:space="preserve"> </w:t>
      </w:r>
    </w:p>
    <w:p w14:paraId="2A4B3E48" w14:textId="77777777" w:rsidR="00040F30" w:rsidRPr="00E02234" w:rsidRDefault="004472B9" w:rsidP="00591C83">
      <w:pPr>
        <w:spacing w:before="0" w:after="0"/>
        <w:contextualSpacing/>
        <w:rPr>
          <w:rFonts w:ascii="Arial Narrow" w:eastAsia="Times New Roman" w:hAnsi="Arial Narrow" w:cs="Arial"/>
          <w:i/>
          <w:iCs/>
          <w:snapToGrid w:val="0"/>
          <w:sz w:val="18"/>
          <w:szCs w:val="20"/>
        </w:rPr>
      </w:pPr>
      <w:r w:rsidRPr="00E02234">
        <w:rPr>
          <w:rFonts w:ascii="Arial Narrow" w:eastAsia="Times New Roman" w:hAnsi="Arial Narrow" w:cs="Arial"/>
          <w:i/>
          <w:iCs/>
          <w:snapToGrid w:val="0"/>
          <w:sz w:val="18"/>
          <w:szCs w:val="20"/>
          <w:vertAlign w:val="superscript"/>
        </w:rPr>
        <w:t>4</w:t>
      </w:r>
      <w:r w:rsidRPr="00E02234">
        <w:rPr>
          <w:rFonts w:ascii="Arial Narrow" w:eastAsia="Times New Roman" w:hAnsi="Arial Narrow" w:cs="Arial"/>
          <w:i/>
          <w:iCs/>
          <w:snapToGrid w:val="0"/>
          <w:sz w:val="18"/>
          <w:szCs w:val="20"/>
        </w:rPr>
        <w:t xml:space="preserve"> $45,000 to &lt; $55,000</w:t>
      </w:r>
      <w:r w:rsidR="00040F30" w:rsidRPr="00E02234">
        <w:rPr>
          <w:rFonts w:ascii="Arial Narrow" w:eastAsia="Times New Roman" w:hAnsi="Arial Narrow" w:cs="Arial"/>
          <w:i/>
          <w:iCs/>
          <w:snapToGrid w:val="0"/>
          <w:sz w:val="18"/>
          <w:szCs w:val="20"/>
        </w:rPr>
        <w:t xml:space="preserve"> </w:t>
      </w:r>
    </w:p>
    <w:p w14:paraId="1F9635BE" w14:textId="218945E6" w:rsidR="008E5062" w:rsidRPr="00E02234" w:rsidRDefault="00040F30" w:rsidP="00591C83">
      <w:pPr>
        <w:spacing w:before="0" w:after="0"/>
        <w:contextualSpacing/>
        <w:rPr>
          <w:rFonts w:ascii="Arial Narrow" w:eastAsia="Times New Roman" w:hAnsi="Arial Narrow" w:cs="Arial"/>
          <w:i/>
          <w:iCs/>
          <w:snapToGrid w:val="0"/>
          <w:sz w:val="18"/>
          <w:szCs w:val="20"/>
        </w:rPr>
      </w:pPr>
      <w:r w:rsidRPr="00E02234">
        <w:rPr>
          <w:rFonts w:ascii="Arial Narrow" w:eastAsia="Times New Roman" w:hAnsi="Arial Narrow" w:cs="Arial"/>
          <w:i/>
          <w:iCs/>
          <w:snapToGrid w:val="0"/>
          <w:sz w:val="18"/>
          <w:szCs w:val="20"/>
          <w:vertAlign w:val="superscript"/>
        </w:rPr>
        <w:t>5</w:t>
      </w:r>
      <w:r w:rsidRPr="00E02234">
        <w:rPr>
          <w:rFonts w:ascii="Arial Narrow" w:eastAsia="Times New Roman" w:hAnsi="Arial Narrow" w:cs="Arial"/>
          <w:i/>
          <w:iCs/>
          <w:snapToGrid w:val="0"/>
          <w:sz w:val="18"/>
          <w:szCs w:val="20"/>
        </w:rPr>
        <w:t xml:space="preserve"> $75,000 to &lt; $95,000</w:t>
      </w:r>
    </w:p>
    <w:p w14:paraId="45D44D82" w14:textId="77777777" w:rsidR="008E5062" w:rsidRPr="00EF2E8A" w:rsidRDefault="008E5062" w:rsidP="00591C83">
      <w:pPr>
        <w:spacing w:before="0" w:after="0"/>
        <w:contextualSpacing/>
        <w:rPr>
          <w:rFonts w:ascii="Arial Narrow" w:eastAsia="Times New Roman" w:hAnsi="Arial Narrow" w:cs="Arial"/>
          <w:snapToGrid w:val="0"/>
          <w:sz w:val="18"/>
          <w:szCs w:val="20"/>
        </w:rPr>
      </w:pPr>
    </w:p>
    <w:p w14:paraId="1935D0C1" w14:textId="1A80C01E" w:rsidR="008E5062" w:rsidRPr="00EF2E8A" w:rsidRDefault="008E5062" w:rsidP="00591C83">
      <w:pPr>
        <w:pStyle w:val="ListParagraph"/>
        <w:rPr>
          <w:color w:val="3366FF"/>
        </w:rPr>
      </w:pPr>
      <w:r w:rsidRPr="00EF2E8A">
        <w:t xml:space="preserve">The results of the economic evaluation were most sensitive to the step taken to extrapolate </w:t>
      </w:r>
      <w:r w:rsidR="002C7024" w:rsidRPr="00EF2E8A">
        <w:t xml:space="preserve">data over </w:t>
      </w:r>
      <w:r w:rsidRPr="00EF2E8A">
        <w:t>the</w:t>
      </w:r>
      <w:r w:rsidR="002C7024" w:rsidRPr="00EF2E8A">
        <w:t xml:space="preserve"> </w:t>
      </w:r>
      <w:r w:rsidR="00F22DE3" w:rsidRPr="00EF2E8A">
        <w:t>10</w:t>
      </w:r>
      <w:r w:rsidR="00A46D2B">
        <w:noBreakHyphen/>
      </w:r>
      <w:r w:rsidR="00F22DE3" w:rsidRPr="00EF2E8A">
        <w:t>year</w:t>
      </w:r>
      <w:r w:rsidRPr="00EF2E8A">
        <w:t xml:space="preserve"> time horizon. </w:t>
      </w:r>
      <w:r w:rsidR="002C7024" w:rsidRPr="00EF2E8A">
        <w:t>T</w:t>
      </w:r>
      <w:r w:rsidRPr="00EF2E8A">
        <w:t xml:space="preserve">his is due to the choice of parametric survival model applied to extrapolate OS for MIRV and the time horizon used in the base case (10 years), both of which were key drivers of the ICER, favouring MIRV. </w:t>
      </w:r>
    </w:p>
    <w:p w14:paraId="40963DC0" w14:textId="311F64E9" w:rsidR="008E5062" w:rsidRPr="00EF2E8A" w:rsidRDefault="008E5062" w:rsidP="00591C83">
      <w:pPr>
        <w:pStyle w:val="ListParagraph"/>
        <w:rPr>
          <w:color w:val="3366FF"/>
        </w:rPr>
      </w:pPr>
      <w:r w:rsidRPr="00EF2E8A">
        <w:t>The results of key univariate and multivariate sensitivity analyses are summarised below</w:t>
      </w:r>
      <w:r w:rsidR="00893D98" w:rsidRPr="00EF2E8A">
        <w:t xml:space="preserve"> in</w:t>
      </w:r>
      <w:r w:rsidR="003842BE" w:rsidRPr="00EF2E8A">
        <w:t xml:space="preserve"> </w:t>
      </w:r>
      <w:r w:rsidR="00836EC5">
        <w:fldChar w:fldCharType="begin" w:fldLock="1"/>
      </w:r>
      <w:r w:rsidR="00836EC5">
        <w:instrText xml:space="preserve"> REF _Ref205198997 \h </w:instrText>
      </w:r>
      <w:r w:rsidR="00836EC5">
        <w:fldChar w:fldCharType="separate"/>
      </w:r>
      <w:r w:rsidR="00CC5CAD">
        <w:t xml:space="preserve">Table </w:t>
      </w:r>
      <w:r w:rsidR="00CC5CAD">
        <w:rPr>
          <w:noProof/>
        </w:rPr>
        <w:t>22</w:t>
      </w:r>
      <w:r w:rsidR="00836EC5">
        <w:fldChar w:fldCharType="end"/>
      </w:r>
      <w:r w:rsidR="003842BE" w:rsidRPr="00EF2E8A">
        <w:fldChar w:fldCharType="begin" w:fldLock="1"/>
      </w:r>
      <w:r w:rsidR="003842BE" w:rsidRPr="00EF2E8A">
        <w:instrText xml:space="preserve"> REF _Ref198628243 \h </w:instrText>
      </w:r>
      <w:r w:rsidR="00356178" w:rsidRPr="00EF2E8A">
        <w:instrText xml:space="preserve"> \* MERGEFORMAT </w:instrText>
      </w:r>
      <w:r w:rsidR="003842BE" w:rsidRPr="00EF2E8A">
        <w:fldChar w:fldCharType="end"/>
      </w:r>
      <w:r w:rsidRPr="00EF2E8A">
        <w:t>.</w:t>
      </w:r>
      <w:r w:rsidR="00B65B3F">
        <w:t xml:space="preserve"> </w:t>
      </w:r>
    </w:p>
    <w:p w14:paraId="5F0113A2" w14:textId="49CDE46A" w:rsidR="00836EC5" w:rsidRDefault="00836EC5" w:rsidP="00F276FE">
      <w:pPr>
        <w:pStyle w:val="Caption"/>
      </w:pPr>
      <w:bookmarkStart w:id="80" w:name="_Ref205198997"/>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22</w:t>
      </w:r>
      <w:r w:rsidR="00CC5CAD">
        <w:rPr>
          <w:noProof/>
        </w:rPr>
        <w:fldChar w:fldCharType="end"/>
      </w:r>
      <w:bookmarkEnd w:id="80"/>
      <w:r>
        <w:t xml:space="preserve">: </w:t>
      </w:r>
      <w:r w:rsidRPr="00142D9D">
        <w:t>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2: Sensitivity analyses"/>
      </w:tblPr>
      <w:tblGrid>
        <w:gridCol w:w="2278"/>
        <w:gridCol w:w="1041"/>
        <w:gridCol w:w="995"/>
        <w:gridCol w:w="840"/>
        <w:gridCol w:w="961"/>
        <w:gridCol w:w="1080"/>
        <w:gridCol w:w="840"/>
        <w:gridCol w:w="981"/>
      </w:tblGrid>
      <w:tr w:rsidR="008E5062" w:rsidRPr="00EF2E8A" w14:paraId="206BE074" w14:textId="77777777" w:rsidTr="00E50025">
        <w:trPr>
          <w:tblHeader/>
        </w:trPr>
        <w:tc>
          <w:tcPr>
            <w:tcW w:w="1263" w:type="pct"/>
            <w:vMerge w:val="restart"/>
            <w:tcMar>
              <w:left w:w="40" w:type="dxa"/>
              <w:right w:w="40" w:type="dxa"/>
            </w:tcMar>
          </w:tcPr>
          <w:p w14:paraId="75414312" w14:textId="77777777" w:rsidR="008E5062" w:rsidRPr="00EF2E8A" w:rsidRDefault="008E5062" w:rsidP="00F276FE">
            <w:pPr>
              <w:pStyle w:val="In-tableHeading"/>
              <w:rPr>
                <w:szCs w:val="20"/>
                <w:lang w:val="en-AU"/>
              </w:rPr>
            </w:pPr>
            <w:r w:rsidRPr="00EF2E8A">
              <w:rPr>
                <w:szCs w:val="20"/>
                <w:lang w:val="en-AU"/>
              </w:rPr>
              <w:t>Analyses</w:t>
            </w:r>
          </w:p>
        </w:tc>
        <w:tc>
          <w:tcPr>
            <w:tcW w:w="1595" w:type="pct"/>
            <w:gridSpan w:val="3"/>
            <w:tcMar>
              <w:left w:w="20" w:type="dxa"/>
              <w:right w:w="20" w:type="dxa"/>
            </w:tcMar>
          </w:tcPr>
          <w:p w14:paraId="63B70864" w14:textId="7D86D48B" w:rsidR="008E5062" w:rsidRPr="00EF2E8A" w:rsidRDefault="008E5062" w:rsidP="00F276FE">
            <w:pPr>
              <w:pStyle w:val="In-tableHeading"/>
              <w:jc w:val="center"/>
              <w:rPr>
                <w:szCs w:val="20"/>
                <w:lang w:val="en-AU"/>
              </w:rPr>
            </w:pPr>
            <w:r w:rsidRPr="00EF2E8A">
              <w:rPr>
                <w:szCs w:val="20"/>
                <w:lang w:val="en-AU"/>
              </w:rPr>
              <w:t>MIRV vs ICC</w:t>
            </w:r>
          </w:p>
        </w:tc>
        <w:tc>
          <w:tcPr>
            <w:tcW w:w="1598" w:type="pct"/>
            <w:gridSpan w:val="3"/>
            <w:tcMar>
              <w:left w:w="20" w:type="dxa"/>
              <w:right w:w="20" w:type="dxa"/>
            </w:tcMar>
          </w:tcPr>
          <w:p w14:paraId="7FC9D218" w14:textId="77777777" w:rsidR="008E5062" w:rsidRPr="00EF2E8A" w:rsidRDefault="008E5062" w:rsidP="00F276FE">
            <w:pPr>
              <w:pStyle w:val="In-tableHeading"/>
              <w:jc w:val="center"/>
              <w:rPr>
                <w:szCs w:val="20"/>
                <w:lang w:val="en-AU"/>
              </w:rPr>
            </w:pPr>
            <w:r w:rsidRPr="00EF2E8A">
              <w:rPr>
                <w:szCs w:val="20"/>
                <w:lang w:val="en-AU"/>
              </w:rPr>
              <w:t>MIRV vs BEVA + ICC</w:t>
            </w:r>
          </w:p>
        </w:tc>
        <w:tc>
          <w:tcPr>
            <w:tcW w:w="544" w:type="pct"/>
            <w:vMerge w:val="restart"/>
            <w:tcMar>
              <w:left w:w="20" w:type="dxa"/>
              <w:right w:w="20" w:type="dxa"/>
            </w:tcMar>
          </w:tcPr>
          <w:p w14:paraId="7C8DE6E4" w14:textId="77777777" w:rsidR="008E5062" w:rsidRPr="00EF2E8A" w:rsidRDefault="008E5062" w:rsidP="00F276FE">
            <w:pPr>
              <w:pStyle w:val="In-tableHeading"/>
              <w:jc w:val="center"/>
              <w:rPr>
                <w:szCs w:val="20"/>
                <w:lang w:val="en-AU"/>
              </w:rPr>
            </w:pPr>
            <w:r w:rsidRPr="00EF2E8A">
              <w:rPr>
                <w:szCs w:val="20"/>
                <w:lang w:val="en-AU"/>
              </w:rPr>
              <w:t>Weighted ICER</w:t>
            </w:r>
          </w:p>
          <w:p w14:paraId="6ADFA28D" w14:textId="77777777" w:rsidR="008E5062" w:rsidRPr="00EF2E8A" w:rsidRDefault="008E5062" w:rsidP="00F276FE">
            <w:pPr>
              <w:pStyle w:val="In-tableHeading"/>
              <w:jc w:val="center"/>
              <w:rPr>
                <w:szCs w:val="20"/>
                <w:lang w:val="en-AU"/>
              </w:rPr>
            </w:pPr>
          </w:p>
        </w:tc>
      </w:tr>
      <w:tr w:rsidR="00A632FF" w:rsidRPr="00EF2E8A" w14:paraId="6692E3F4" w14:textId="77777777" w:rsidTr="00AF3C7B">
        <w:trPr>
          <w:tblHeader/>
        </w:trPr>
        <w:tc>
          <w:tcPr>
            <w:tcW w:w="1263" w:type="pct"/>
            <w:vMerge/>
            <w:tcMar>
              <w:left w:w="40" w:type="dxa"/>
              <w:right w:w="40" w:type="dxa"/>
            </w:tcMar>
          </w:tcPr>
          <w:p w14:paraId="658E84E6" w14:textId="77777777" w:rsidR="008E5062" w:rsidRPr="00EF2E8A" w:rsidRDefault="008E5062" w:rsidP="00F276FE">
            <w:pPr>
              <w:pStyle w:val="In-tableHeading"/>
              <w:rPr>
                <w:szCs w:val="20"/>
                <w:lang w:val="en-AU"/>
              </w:rPr>
            </w:pPr>
          </w:p>
        </w:tc>
        <w:tc>
          <w:tcPr>
            <w:tcW w:w="577" w:type="pct"/>
            <w:tcBorders>
              <w:bottom w:val="single" w:sz="4" w:space="0" w:color="auto"/>
            </w:tcBorders>
            <w:tcMar>
              <w:left w:w="20" w:type="dxa"/>
              <w:right w:w="20" w:type="dxa"/>
            </w:tcMar>
          </w:tcPr>
          <w:p w14:paraId="278D65B1" w14:textId="0FACE50A" w:rsidR="008E5062" w:rsidRPr="00EF2E8A" w:rsidRDefault="008E5062" w:rsidP="00F276FE">
            <w:pPr>
              <w:pStyle w:val="In-tableHeading"/>
              <w:jc w:val="center"/>
              <w:rPr>
                <w:szCs w:val="20"/>
                <w:lang w:val="en-AU"/>
              </w:rPr>
            </w:pPr>
            <w:r w:rsidRPr="00EF2E8A">
              <w:rPr>
                <w:szCs w:val="20"/>
                <w:lang w:val="en-AU"/>
              </w:rPr>
              <w:t>Incremental cost</w:t>
            </w:r>
            <w:r w:rsidR="0009348B">
              <w:rPr>
                <w:szCs w:val="20"/>
                <w:lang w:val="en-AU"/>
              </w:rPr>
              <w:t xml:space="preserve"> ($)</w:t>
            </w:r>
          </w:p>
        </w:tc>
        <w:tc>
          <w:tcPr>
            <w:tcW w:w="552" w:type="pct"/>
            <w:tcMar>
              <w:left w:w="20" w:type="dxa"/>
              <w:right w:w="20" w:type="dxa"/>
            </w:tcMar>
          </w:tcPr>
          <w:p w14:paraId="7682ED9F" w14:textId="77777777" w:rsidR="008E5062" w:rsidRPr="00EF2E8A" w:rsidRDefault="008E5062" w:rsidP="00F276FE">
            <w:pPr>
              <w:pStyle w:val="In-tableHeading"/>
              <w:jc w:val="center"/>
              <w:rPr>
                <w:szCs w:val="20"/>
                <w:lang w:val="en-AU"/>
              </w:rPr>
            </w:pPr>
            <w:r w:rsidRPr="00EF2E8A">
              <w:rPr>
                <w:szCs w:val="20"/>
                <w:lang w:val="en-AU"/>
              </w:rPr>
              <w:t>Incremental QALY</w:t>
            </w:r>
          </w:p>
        </w:tc>
        <w:tc>
          <w:tcPr>
            <w:tcW w:w="466" w:type="pct"/>
            <w:tcMar>
              <w:left w:w="20" w:type="dxa"/>
              <w:right w:w="20" w:type="dxa"/>
            </w:tcMar>
          </w:tcPr>
          <w:p w14:paraId="17E2E10E" w14:textId="77777777" w:rsidR="008E5062" w:rsidRPr="00EF2E8A" w:rsidRDefault="008E5062" w:rsidP="00F276FE">
            <w:pPr>
              <w:pStyle w:val="In-tableHeading"/>
              <w:jc w:val="center"/>
              <w:rPr>
                <w:szCs w:val="20"/>
                <w:lang w:val="en-AU"/>
              </w:rPr>
            </w:pPr>
            <w:r w:rsidRPr="00EF2E8A">
              <w:rPr>
                <w:szCs w:val="20"/>
                <w:lang w:val="en-AU"/>
              </w:rPr>
              <w:t>ICER</w:t>
            </w:r>
          </w:p>
          <w:p w14:paraId="75E085F6" w14:textId="77777777" w:rsidR="008E5062" w:rsidRPr="00EF2E8A" w:rsidRDefault="008E5062" w:rsidP="00F276FE">
            <w:pPr>
              <w:pStyle w:val="In-tableHeading"/>
              <w:jc w:val="center"/>
              <w:rPr>
                <w:szCs w:val="20"/>
                <w:lang w:val="en-AU"/>
              </w:rPr>
            </w:pPr>
          </w:p>
        </w:tc>
        <w:tc>
          <w:tcPr>
            <w:tcW w:w="533" w:type="pct"/>
            <w:tcBorders>
              <w:bottom w:val="single" w:sz="4" w:space="0" w:color="auto"/>
            </w:tcBorders>
            <w:tcMar>
              <w:left w:w="20" w:type="dxa"/>
              <w:right w:w="20" w:type="dxa"/>
            </w:tcMar>
          </w:tcPr>
          <w:p w14:paraId="41803131" w14:textId="7AE95E72" w:rsidR="008E5062" w:rsidRPr="00EF2E8A" w:rsidRDefault="008E5062" w:rsidP="00F276FE">
            <w:pPr>
              <w:pStyle w:val="In-tableHeading"/>
              <w:jc w:val="center"/>
              <w:rPr>
                <w:szCs w:val="20"/>
                <w:lang w:val="en-AU"/>
              </w:rPr>
            </w:pPr>
            <w:r w:rsidRPr="00EF2E8A">
              <w:rPr>
                <w:szCs w:val="20"/>
                <w:lang w:val="en-AU"/>
              </w:rPr>
              <w:t>Incremental cost</w:t>
            </w:r>
            <w:r w:rsidR="004E407B">
              <w:rPr>
                <w:szCs w:val="20"/>
                <w:lang w:val="en-AU"/>
              </w:rPr>
              <w:t xml:space="preserve"> ($)</w:t>
            </w:r>
          </w:p>
        </w:tc>
        <w:tc>
          <w:tcPr>
            <w:tcW w:w="599" w:type="pct"/>
            <w:tcMar>
              <w:left w:w="20" w:type="dxa"/>
              <w:right w:w="20" w:type="dxa"/>
            </w:tcMar>
          </w:tcPr>
          <w:p w14:paraId="6DEC0455" w14:textId="77777777" w:rsidR="008E5062" w:rsidRPr="00EF2E8A" w:rsidRDefault="008E5062" w:rsidP="00F276FE">
            <w:pPr>
              <w:pStyle w:val="In-tableHeading"/>
              <w:jc w:val="center"/>
              <w:rPr>
                <w:szCs w:val="20"/>
                <w:lang w:val="en-AU"/>
              </w:rPr>
            </w:pPr>
            <w:r w:rsidRPr="00EF2E8A">
              <w:rPr>
                <w:szCs w:val="20"/>
                <w:lang w:val="en-AU"/>
              </w:rPr>
              <w:t>Incremental QALY</w:t>
            </w:r>
          </w:p>
        </w:tc>
        <w:tc>
          <w:tcPr>
            <w:tcW w:w="466" w:type="pct"/>
            <w:tcMar>
              <w:left w:w="20" w:type="dxa"/>
              <w:right w:w="20" w:type="dxa"/>
            </w:tcMar>
          </w:tcPr>
          <w:p w14:paraId="126F216D" w14:textId="77777777" w:rsidR="008E5062" w:rsidRPr="00EF2E8A" w:rsidRDefault="008E5062" w:rsidP="00F276FE">
            <w:pPr>
              <w:pStyle w:val="In-tableHeading"/>
              <w:jc w:val="center"/>
              <w:rPr>
                <w:szCs w:val="20"/>
                <w:lang w:val="en-AU"/>
              </w:rPr>
            </w:pPr>
            <w:r w:rsidRPr="00EF2E8A">
              <w:rPr>
                <w:szCs w:val="20"/>
                <w:lang w:val="en-AU"/>
              </w:rPr>
              <w:t>ICER</w:t>
            </w:r>
          </w:p>
        </w:tc>
        <w:tc>
          <w:tcPr>
            <w:tcW w:w="544" w:type="pct"/>
            <w:vMerge/>
            <w:tcMar>
              <w:left w:w="20" w:type="dxa"/>
              <w:right w:w="20" w:type="dxa"/>
            </w:tcMar>
          </w:tcPr>
          <w:p w14:paraId="4C61FF7B" w14:textId="77777777" w:rsidR="008E5062" w:rsidRPr="00EF2E8A" w:rsidRDefault="008E5062" w:rsidP="00F276FE">
            <w:pPr>
              <w:pStyle w:val="In-tableHeading"/>
              <w:jc w:val="center"/>
              <w:rPr>
                <w:szCs w:val="20"/>
                <w:lang w:val="en-AU"/>
              </w:rPr>
            </w:pPr>
          </w:p>
        </w:tc>
      </w:tr>
      <w:tr w:rsidR="00A632FF" w:rsidRPr="00EF2E8A" w14:paraId="733D3916" w14:textId="77777777" w:rsidTr="00AF3C7B">
        <w:trPr>
          <w:tblHeader/>
        </w:trPr>
        <w:tc>
          <w:tcPr>
            <w:tcW w:w="1263" w:type="pct"/>
            <w:tcMar>
              <w:left w:w="40" w:type="dxa"/>
              <w:right w:w="40" w:type="dxa"/>
            </w:tcMar>
          </w:tcPr>
          <w:p w14:paraId="2C3FF26A" w14:textId="77777777" w:rsidR="008E5062" w:rsidRPr="00EF2E8A" w:rsidRDefault="008E5062" w:rsidP="00F276FE">
            <w:pPr>
              <w:pStyle w:val="TableText"/>
              <w:keepNext/>
              <w:widowControl/>
              <w:rPr>
                <w:b/>
                <w:szCs w:val="20"/>
              </w:rPr>
            </w:pPr>
            <w:r w:rsidRPr="00EF2E8A">
              <w:rPr>
                <w:b/>
                <w:szCs w:val="20"/>
              </w:rPr>
              <w:t>Base case</w:t>
            </w:r>
          </w:p>
        </w:tc>
        <w:tc>
          <w:tcPr>
            <w:tcW w:w="577" w:type="pct"/>
            <w:shd w:val="solid" w:color="000000" w:fill="000000"/>
            <w:tcMar>
              <w:left w:w="20" w:type="dxa"/>
              <w:right w:w="20" w:type="dxa"/>
            </w:tcMar>
          </w:tcPr>
          <w:p w14:paraId="2C43A021" w14:textId="4BD2B676" w:rsidR="008E5062" w:rsidRPr="00EF2E8A" w:rsidRDefault="00AF3C7B" w:rsidP="00F276FE">
            <w:pPr>
              <w:pStyle w:val="TableText"/>
              <w:keepNext/>
              <w:widowControl/>
              <w:jc w:val="center"/>
              <w:rPr>
                <w:b/>
                <w:szCs w:val="20"/>
              </w:rPr>
            </w:pPr>
            <w:r w:rsidRPr="00AF3C7B">
              <w:rPr>
                <w:rFonts w:hint="eastAsia"/>
                <w:b/>
                <w:color w:val="000000"/>
                <w:w w:val="18"/>
                <w:szCs w:val="20"/>
                <w:fitText w:val="84" w:id="-629961975"/>
                <w14:textFill>
                  <w14:solidFill>
                    <w14:srgbClr w14:val="000000">
                      <w14:alpha w14:val="100000"/>
                    </w14:srgbClr>
                  </w14:solidFill>
                </w14:textFill>
              </w:rPr>
              <w:t xml:space="preserve">　</w:t>
            </w:r>
            <w:r w:rsidRPr="00AF3C7B">
              <w:rPr>
                <w:b/>
                <w:color w:val="000000"/>
                <w:w w:val="18"/>
                <w:szCs w:val="20"/>
                <w:fitText w:val="84" w:id="-629961975"/>
                <w14:textFill>
                  <w14:solidFill>
                    <w14:srgbClr w14:val="000000">
                      <w14:alpha w14:val="100000"/>
                    </w14:srgbClr>
                  </w14:solidFill>
                </w14:textFill>
              </w:rPr>
              <w:t>|</w:t>
            </w:r>
            <w:r w:rsidRPr="00AF3C7B">
              <w:rPr>
                <w:rFonts w:hint="eastAsia"/>
                <w:b/>
                <w:color w:val="000000"/>
                <w:w w:val="18"/>
                <w:szCs w:val="20"/>
                <w:fitText w:val="84" w:id="-629961975"/>
                <w14:textFill>
                  <w14:solidFill>
                    <w14:srgbClr w14:val="000000">
                      <w14:alpha w14:val="100000"/>
                    </w14:srgbClr>
                  </w14:solidFill>
                </w14:textFill>
              </w:rPr>
              <w:t xml:space="preserve">　</w:t>
            </w:r>
          </w:p>
        </w:tc>
        <w:tc>
          <w:tcPr>
            <w:tcW w:w="552" w:type="pct"/>
            <w:tcMar>
              <w:left w:w="20" w:type="dxa"/>
              <w:right w:w="20" w:type="dxa"/>
            </w:tcMar>
          </w:tcPr>
          <w:p w14:paraId="3962E0BD" w14:textId="77777777" w:rsidR="008E5062" w:rsidRPr="00EF2E8A" w:rsidRDefault="008E5062" w:rsidP="00F276FE">
            <w:pPr>
              <w:pStyle w:val="TableText"/>
              <w:keepNext/>
              <w:widowControl/>
              <w:jc w:val="center"/>
              <w:rPr>
                <w:b/>
                <w:szCs w:val="20"/>
              </w:rPr>
            </w:pPr>
            <w:r w:rsidRPr="00EF2E8A">
              <w:rPr>
                <w:b/>
                <w:szCs w:val="20"/>
              </w:rPr>
              <w:t>0.68</w:t>
            </w:r>
          </w:p>
        </w:tc>
        <w:tc>
          <w:tcPr>
            <w:tcW w:w="466" w:type="pct"/>
            <w:tcMar>
              <w:left w:w="20" w:type="dxa"/>
              <w:right w:w="20" w:type="dxa"/>
            </w:tcMar>
          </w:tcPr>
          <w:p w14:paraId="215488D4" w14:textId="77DA5890" w:rsidR="008E5062" w:rsidRPr="004E407B" w:rsidRDefault="00AF3C7B" w:rsidP="00F276FE">
            <w:pPr>
              <w:pStyle w:val="TableText"/>
              <w:keepNext/>
              <w:widowControl/>
              <w:jc w:val="center"/>
              <w:rPr>
                <w:b/>
                <w:szCs w:val="20"/>
                <w:highlight w:val="darkGray"/>
              </w:rPr>
            </w:pPr>
            <w:r w:rsidRPr="00AF3C7B">
              <w:rPr>
                <w:b/>
                <w:color w:val="000000"/>
                <w:spacing w:val="45"/>
                <w:szCs w:val="20"/>
                <w:shd w:val="solid" w:color="000000" w:fill="000000"/>
                <w:fitText w:val="228" w:id="-629961974"/>
                <w14:textFill>
                  <w14:solidFill>
                    <w14:srgbClr w14:val="000000">
                      <w14:alpha w14:val="100000"/>
                    </w14:srgbClr>
                  </w14:solidFill>
                </w14:textFill>
              </w:rPr>
              <w:t>||</w:t>
            </w:r>
            <w:r w:rsidRPr="00AF3C7B">
              <w:rPr>
                <w:b/>
                <w:color w:val="000000"/>
                <w:spacing w:val="1"/>
                <w:szCs w:val="20"/>
                <w:shd w:val="solid" w:color="000000" w:fill="000000"/>
                <w:fitText w:val="228" w:id="-629961974"/>
                <w14:textFill>
                  <w14:solidFill>
                    <w14:srgbClr w14:val="000000">
                      <w14:alpha w14:val="100000"/>
                    </w14:srgbClr>
                  </w14:solidFill>
                </w14:textFill>
              </w:rPr>
              <w:t>|</w:t>
            </w:r>
            <w:r w:rsidR="00C41CCA" w:rsidRPr="00C41CCA">
              <w:rPr>
                <w:b/>
                <w:szCs w:val="20"/>
                <w:vertAlign w:val="superscript"/>
              </w:rPr>
              <w:t>1</w:t>
            </w:r>
          </w:p>
        </w:tc>
        <w:tc>
          <w:tcPr>
            <w:tcW w:w="533" w:type="pct"/>
            <w:shd w:val="solid" w:color="000000" w:fill="000000"/>
            <w:tcMar>
              <w:left w:w="20" w:type="dxa"/>
              <w:right w:w="20" w:type="dxa"/>
            </w:tcMar>
          </w:tcPr>
          <w:p w14:paraId="43120282" w14:textId="36F00041" w:rsidR="008E5062" w:rsidRPr="004E407B" w:rsidRDefault="00AF3C7B" w:rsidP="00F276FE">
            <w:pPr>
              <w:pStyle w:val="TableText"/>
              <w:keepNext/>
              <w:widowControl/>
              <w:jc w:val="center"/>
              <w:rPr>
                <w:b/>
                <w:szCs w:val="20"/>
                <w:highlight w:val="darkGray"/>
              </w:rPr>
            </w:pPr>
            <w:r w:rsidRPr="00AF3C7B">
              <w:rPr>
                <w:rFonts w:hint="eastAsia"/>
                <w:b/>
                <w:color w:val="000000"/>
                <w:w w:val="26"/>
                <w:szCs w:val="20"/>
                <w:fitText w:val="120" w:id="-629961973"/>
                <w14:textFill>
                  <w14:solidFill>
                    <w14:srgbClr w14:val="000000">
                      <w14:alpha w14:val="100000"/>
                    </w14:srgbClr>
                  </w14:solidFill>
                </w14:textFill>
              </w:rPr>
              <w:t xml:space="preserve">　</w:t>
            </w:r>
            <w:r w:rsidRPr="00AF3C7B">
              <w:rPr>
                <w:b/>
                <w:color w:val="000000"/>
                <w:w w:val="26"/>
                <w:szCs w:val="20"/>
                <w:fitText w:val="120" w:id="-629961973"/>
                <w14:textFill>
                  <w14:solidFill>
                    <w14:srgbClr w14:val="000000">
                      <w14:alpha w14:val="100000"/>
                    </w14:srgbClr>
                  </w14:solidFill>
                </w14:textFill>
              </w:rPr>
              <w:t>|</w:t>
            </w:r>
            <w:r w:rsidRPr="00AF3C7B">
              <w:rPr>
                <w:rFonts w:hint="eastAsia"/>
                <w:b/>
                <w:color w:val="000000"/>
                <w:w w:val="26"/>
                <w:szCs w:val="20"/>
                <w:fitText w:val="120" w:id="-629961973"/>
                <w14:textFill>
                  <w14:solidFill>
                    <w14:srgbClr w14:val="000000">
                      <w14:alpha w14:val="100000"/>
                    </w14:srgbClr>
                  </w14:solidFill>
                </w14:textFill>
              </w:rPr>
              <w:t xml:space="preserve">　</w:t>
            </w:r>
          </w:p>
        </w:tc>
        <w:tc>
          <w:tcPr>
            <w:tcW w:w="599" w:type="pct"/>
            <w:tcMar>
              <w:left w:w="20" w:type="dxa"/>
              <w:right w:w="20" w:type="dxa"/>
            </w:tcMar>
          </w:tcPr>
          <w:p w14:paraId="24F718BC" w14:textId="77777777" w:rsidR="008E5062" w:rsidRPr="00EF2E8A" w:rsidRDefault="008E5062" w:rsidP="00F276FE">
            <w:pPr>
              <w:pStyle w:val="TableText"/>
              <w:keepNext/>
              <w:widowControl/>
              <w:jc w:val="center"/>
              <w:rPr>
                <w:b/>
                <w:szCs w:val="20"/>
              </w:rPr>
            </w:pPr>
            <w:r w:rsidRPr="00EF2E8A">
              <w:rPr>
                <w:b/>
                <w:szCs w:val="20"/>
              </w:rPr>
              <w:t>0.60</w:t>
            </w:r>
          </w:p>
        </w:tc>
        <w:tc>
          <w:tcPr>
            <w:tcW w:w="466" w:type="pct"/>
            <w:tcMar>
              <w:left w:w="20" w:type="dxa"/>
              <w:right w:w="20" w:type="dxa"/>
            </w:tcMar>
          </w:tcPr>
          <w:p w14:paraId="367CA02A" w14:textId="760CDBD1" w:rsidR="008E5062" w:rsidRPr="004E407B" w:rsidRDefault="00AF3C7B" w:rsidP="00F276FE">
            <w:pPr>
              <w:pStyle w:val="TableText"/>
              <w:keepNext/>
              <w:widowControl/>
              <w:jc w:val="center"/>
              <w:rPr>
                <w:b/>
                <w:szCs w:val="20"/>
                <w:highlight w:val="darkGray"/>
              </w:rPr>
            </w:pPr>
            <w:r w:rsidRPr="00AF3C7B">
              <w:rPr>
                <w:b/>
                <w:color w:val="000000"/>
                <w:spacing w:val="45"/>
                <w:szCs w:val="20"/>
                <w:shd w:val="solid" w:color="000000" w:fill="000000"/>
                <w:fitText w:val="228" w:id="-629961972"/>
                <w14:textFill>
                  <w14:solidFill>
                    <w14:srgbClr w14:val="000000">
                      <w14:alpha w14:val="100000"/>
                    </w14:srgbClr>
                  </w14:solidFill>
                </w14:textFill>
              </w:rPr>
              <w:t>||</w:t>
            </w:r>
            <w:r w:rsidRPr="00AF3C7B">
              <w:rPr>
                <w:b/>
                <w:color w:val="000000"/>
                <w:spacing w:val="1"/>
                <w:szCs w:val="20"/>
                <w:shd w:val="solid" w:color="000000" w:fill="000000"/>
                <w:fitText w:val="228" w:id="-629961972"/>
                <w14:textFill>
                  <w14:solidFill>
                    <w14:srgbClr w14:val="000000">
                      <w14:alpha w14:val="100000"/>
                    </w14:srgbClr>
                  </w14:solidFill>
                </w14:textFill>
              </w:rPr>
              <w:t>|</w:t>
            </w:r>
            <w:r w:rsidR="008467E8" w:rsidRPr="00C41CCA">
              <w:rPr>
                <w:b/>
                <w:szCs w:val="20"/>
                <w:vertAlign w:val="superscript"/>
              </w:rPr>
              <w:t>1</w:t>
            </w:r>
          </w:p>
        </w:tc>
        <w:tc>
          <w:tcPr>
            <w:tcW w:w="544" w:type="pct"/>
            <w:tcMar>
              <w:left w:w="20" w:type="dxa"/>
              <w:right w:w="20" w:type="dxa"/>
            </w:tcMar>
          </w:tcPr>
          <w:p w14:paraId="66194A1D" w14:textId="1C4B55BD" w:rsidR="008E5062" w:rsidRPr="00EF2E8A" w:rsidRDefault="00AF3C7B" w:rsidP="00F276FE">
            <w:pPr>
              <w:pStyle w:val="TableText"/>
              <w:keepNext/>
              <w:widowControl/>
              <w:jc w:val="center"/>
              <w:rPr>
                <w:b/>
                <w:szCs w:val="20"/>
              </w:rPr>
            </w:pPr>
            <w:r w:rsidRPr="00AF3C7B">
              <w:rPr>
                <w:rFonts w:hint="eastAsia"/>
                <w:b/>
                <w:color w:val="000000"/>
                <w:w w:val="32"/>
                <w:szCs w:val="20"/>
                <w:shd w:val="solid" w:color="000000" w:fill="000000"/>
                <w:fitText w:val="144" w:id="-629961971"/>
                <w14:textFill>
                  <w14:solidFill>
                    <w14:srgbClr w14:val="000000">
                      <w14:alpha w14:val="100000"/>
                    </w14:srgbClr>
                  </w14:solidFill>
                </w14:textFill>
              </w:rPr>
              <w:t xml:space="preserve">　</w:t>
            </w:r>
            <w:r w:rsidRPr="00AF3C7B">
              <w:rPr>
                <w:b/>
                <w:color w:val="000000"/>
                <w:w w:val="32"/>
                <w:szCs w:val="20"/>
                <w:shd w:val="solid" w:color="000000" w:fill="000000"/>
                <w:fitText w:val="144" w:id="-629961971"/>
                <w14:textFill>
                  <w14:solidFill>
                    <w14:srgbClr w14:val="000000">
                      <w14:alpha w14:val="100000"/>
                    </w14:srgbClr>
                  </w14:solidFill>
                </w14:textFill>
              </w:rPr>
              <w:t>|</w:t>
            </w:r>
            <w:r w:rsidRPr="00AF3C7B">
              <w:rPr>
                <w:rFonts w:hint="eastAsia"/>
                <w:b/>
                <w:color w:val="000000"/>
                <w:spacing w:val="4"/>
                <w:w w:val="32"/>
                <w:szCs w:val="20"/>
                <w:shd w:val="solid" w:color="000000" w:fill="000000"/>
                <w:fitText w:val="144" w:id="-629961971"/>
                <w14:textFill>
                  <w14:solidFill>
                    <w14:srgbClr w14:val="000000">
                      <w14:alpha w14:val="100000"/>
                    </w14:srgbClr>
                  </w14:solidFill>
                </w14:textFill>
              </w:rPr>
              <w:t xml:space="preserve">　</w:t>
            </w:r>
            <w:r w:rsidR="008467E8" w:rsidRPr="00C41CCA">
              <w:rPr>
                <w:b/>
                <w:szCs w:val="20"/>
                <w:vertAlign w:val="superscript"/>
              </w:rPr>
              <w:t>1</w:t>
            </w:r>
          </w:p>
        </w:tc>
      </w:tr>
      <w:tr w:rsidR="008E5062" w:rsidRPr="00EF2E8A" w14:paraId="0F3B1AAD" w14:textId="77777777" w:rsidTr="00D875B2">
        <w:tc>
          <w:tcPr>
            <w:tcW w:w="5000" w:type="pct"/>
            <w:gridSpan w:val="8"/>
            <w:tcBorders>
              <w:bottom w:val="nil"/>
            </w:tcBorders>
            <w:tcMar>
              <w:left w:w="20" w:type="dxa"/>
              <w:right w:w="20" w:type="dxa"/>
            </w:tcMar>
          </w:tcPr>
          <w:p w14:paraId="0EC3F92E" w14:textId="77777777" w:rsidR="008E5062" w:rsidRPr="00EF2E8A" w:rsidRDefault="008E5062" w:rsidP="00F276FE">
            <w:pPr>
              <w:pStyle w:val="TableText"/>
              <w:keepNext/>
              <w:widowControl/>
              <w:rPr>
                <w:szCs w:val="20"/>
              </w:rPr>
            </w:pPr>
            <w:r w:rsidRPr="00EF2E8A">
              <w:rPr>
                <w:b/>
                <w:szCs w:val="20"/>
              </w:rPr>
              <w:t>Univariate analyses</w:t>
            </w:r>
          </w:p>
        </w:tc>
      </w:tr>
      <w:tr w:rsidR="00160F82" w:rsidRPr="00EF2E8A" w14:paraId="3FF5B29E" w14:textId="77777777" w:rsidTr="00AF3C7B">
        <w:tc>
          <w:tcPr>
            <w:tcW w:w="1263" w:type="pct"/>
            <w:tcBorders>
              <w:bottom w:val="nil"/>
            </w:tcBorders>
            <w:tcMar>
              <w:left w:w="40" w:type="dxa"/>
              <w:right w:w="40" w:type="dxa"/>
            </w:tcMar>
          </w:tcPr>
          <w:p w14:paraId="239EE391" w14:textId="1DD8F94E" w:rsidR="00160F82" w:rsidRPr="00E07EE9" w:rsidRDefault="00160F82" w:rsidP="00F276FE">
            <w:pPr>
              <w:pStyle w:val="TableText"/>
              <w:keepNext/>
              <w:widowControl/>
              <w:rPr>
                <w:szCs w:val="20"/>
              </w:rPr>
            </w:pPr>
            <w:r w:rsidRPr="00E07EE9">
              <w:rPr>
                <w:szCs w:val="20"/>
              </w:rPr>
              <w:t>Pre</w:t>
            </w:r>
            <w:r w:rsidR="00A46D2B">
              <w:rPr>
                <w:szCs w:val="20"/>
              </w:rPr>
              <w:noBreakHyphen/>
            </w:r>
            <w:r w:rsidRPr="00E07EE9">
              <w:rPr>
                <w:szCs w:val="20"/>
              </w:rPr>
              <w:t xml:space="preserve">PBAC price reduction </w:t>
            </w:r>
            <w:r w:rsidRPr="00E07EE9">
              <w:rPr>
                <w:szCs w:val="20"/>
                <w:vertAlign w:val="superscript"/>
              </w:rPr>
              <w:t>a</w:t>
            </w:r>
          </w:p>
        </w:tc>
        <w:tc>
          <w:tcPr>
            <w:tcW w:w="577" w:type="pct"/>
            <w:tcBorders>
              <w:bottom w:val="single" w:sz="4" w:space="0" w:color="auto"/>
            </w:tcBorders>
            <w:shd w:val="solid" w:color="000000" w:fill="000000"/>
            <w:tcMar>
              <w:left w:w="20" w:type="dxa"/>
              <w:right w:w="20" w:type="dxa"/>
            </w:tcMar>
          </w:tcPr>
          <w:p w14:paraId="218D0A2B" w14:textId="0220E493" w:rsidR="00160F82" w:rsidRPr="0009348B" w:rsidRDefault="00AF3C7B" w:rsidP="00F276FE">
            <w:pPr>
              <w:pStyle w:val="TableText"/>
              <w:keepNext/>
              <w:widowControl/>
              <w:jc w:val="center"/>
              <w:rPr>
                <w:highlight w:val="darkGray"/>
              </w:rPr>
            </w:pPr>
            <w:r w:rsidRPr="00AF3C7B">
              <w:rPr>
                <w:rFonts w:hint="eastAsia"/>
                <w:color w:val="000000"/>
                <w:w w:val="15"/>
                <w:fitText w:val="48" w:id="-629961970"/>
                <w14:textFill>
                  <w14:solidFill>
                    <w14:srgbClr w14:val="000000">
                      <w14:alpha w14:val="100000"/>
                    </w14:srgbClr>
                  </w14:solidFill>
                </w14:textFill>
              </w:rPr>
              <w:t xml:space="preserve">　</w:t>
            </w:r>
            <w:r w:rsidRPr="00AF3C7B">
              <w:rPr>
                <w:color w:val="000000"/>
                <w:w w:val="15"/>
                <w:fitText w:val="48" w:id="-629961970"/>
                <w14:textFill>
                  <w14:solidFill>
                    <w14:srgbClr w14:val="000000">
                      <w14:alpha w14:val="100000"/>
                    </w14:srgbClr>
                  </w14:solidFill>
                </w14:textFill>
              </w:rPr>
              <w:t>|</w:t>
            </w:r>
            <w:r w:rsidRPr="00AF3C7B">
              <w:rPr>
                <w:rFonts w:hint="eastAsia"/>
                <w:color w:val="000000"/>
                <w:spacing w:val="-17"/>
                <w:w w:val="15"/>
                <w:fitText w:val="48" w:id="-629961970"/>
                <w14:textFill>
                  <w14:solidFill>
                    <w14:srgbClr w14:val="000000">
                      <w14:alpha w14:val="100000"/>
                    </w14:srgbClr>
                  </w14:solidFill>
                </w14:textFill>
              </w:rPr>
              <w:t xml:space="preserve">　</w:t>
            </w:r>
          </w:p>
        </w:tc>
        <w:tc>
          <w:tcPr>
            <w:tcW w:w="552" w:type="pct"/>
            <w:tcBorders>
              <w:bottom w:val="nil"/>
            </w:tcBorders>
            <w:tcMar>
              <w:left w:w="20" w:type="dxa"/>
              <w:right w:w="20" w:type="dxa"/>
            </w:tcMar>
          </w:tcPr>
          <w:p w14:paraId="3ACBDAF4" w14:textId="244F7A00" w:rsidR="00160F82" w:rsidRPr="00E07EE9" w:rsidRDefault="00160F82" w:rsidP="00F276FE">
            <w:pPr>
              <w:pStyle w:val="TableText"/>
              <w:keepNext/>
              <w:widowControl/>
              <w:jc w:val="center"/>
            </w:pPr>
            <w:r w:rsidRPr="00E07EE9">
              <w:t>0.68</w:t>
            </w:r>
          </w:p>
        </w:tc>
        <w:tc>
          <w:tcPr>
            <w:tcW w:w="466" w:type="pct"/>
            <w:tcBorders>
              <w:bottom w:val="nil"/>
            </w:tcBorders>
            <w:tcMar>
              <w:left w:w="20" w:type="dxa"/>
              <w:right w:w="20" w:type="dxa"/>
            </w:tcMar>
          </w:tcPr>
          <w:p w14:paraId="399B997C" w14:textId="342E4815" w:rsidR="00160F82" w:rsidRPr="004E407B" w:rsidRDefault="00AF3C7B" w:rsidP="00F276FE">
            <w:pPr>
              <w:pStyle w:val="TableText"/>
              <w:keepNext/>
              <w:widowControl/>
              <w:jc w:val="center"/>
              <w:rPr>
                <w:highlight w:val="darkGray"/>
              </w:rPr>
            </w:pPr>
            <w:r w:rsidRPr="00AF3C7B">
              <w:rPr>
                <w:color w:val="000000"/>
                <w:spacing w:val="82"/>
                <w:shd w:val="solid" w:color="000000" w:fill="000000"/>
                <w:fitText w:val="168" w:id="-629961969"/>
                <w14:textFill>
                  <w14:solidFill>
                    <w14:srgbClr w14:val="000000">
                      <w14:alpha w14:val="100000"/>
                    </w14:srgbClr>
                  </w14:solidFill>
                </w14:textFill>
              </w:rPr>
              <w:t>|</w:t>
            </w:r>
            <w:r w:rsidRPr="00AF3C7B">
              <w:rPr>
                <w:color w:val="000000"/>
                <w:spacing w:val="1"/>
                <w:shd w:val="solid" w:color="000000" w:fill="000000"/>
                <w:fitText w:val="168" w:id="-629961969"/>
                <w14:textFill>
                  <w14:solidFill>
                    <w14:srgbClr w14:val="000000">
                      <w14:alpha w14:val="100000"/>
                    </w14:srgbClr>
                  </w14:solidFill>
                </w14:textFill>
              </w:rPr>
              <w:t>|</w:t>
            </w:r>
            <w:r w:rsidR="008467E8" w:rsidRPr="00C41CCA">
              <w:rPr>
                <w:b/>
                <w:szCs w:val="20"/>
                <w:vertAlign w:val="superscript"/>
              </w:rPr>
              <w:t>1</w:t>
            </w:r>
          </w:p>
        </w:tc>
        <w:tc>
          <w:tcPr>
            <w:tcW w:w="533" w:type="pct"/>
            <w:tcBorders>
              <w:bottom w:val="single" w:sz="4" w:space="0" w:color="auto"/>
            </w:tcBorders>
            <w:shd w:val="solid" w:color="000000" w:fill="000000"/>
            <w:tcMar>
              <w:left w:w="20" w:type="dxa"/>
              <w:right w:w="20" w:type="dxa"/>
            </w:tcMar>
          </w:tcPr>
          <w:p w14:paraId="215BF188" w14:textId="0EA89ABE" w:rsidR="00160F82" w:rsidRPr="004E407B" w:rsidRDefault="00AF3C7B" w:rsidP="00F276FE">
            <w:pPr>
              <w:pStyle w:val="TableText"/>
              <w:keepNext/>
              <w:widowControl/>
              <w:jc w:val="center"/>
              <w:rPr>
                <w:highlight w:val="darkGray"/>
              </w:rPr>
            </w:pPr>
            <w:r w:rsidRPr="00AF3C7B">
              <w:rPr>
                <w:rFonts w:hint="eastAsia"/>
                <w:color w:val="000000"/>
                <w:w w:val="21"/>
                <w:fitText w:val="96" w:id="-629961968"/>
                <w14:textFill>
                  <w14:solidFill>
                    <w14:srgbClr w14:val="000000">
                      <w14:alpha w14:val="100000"/>
                    </w14:srgbClr>
                  </w14:solidFill>
                </w14:textFill>
              </w:rPr>
              <w:t xml:space="preserve">　</w:t>
            </w:r>
            <w:r w:rsidRPr="00AF3C7B">
              <w:rPr>
                <w:color w:val="000000"/>
                <w:w w:val="21"/>
                <w:fitText w:val="96" w:id="-629961968"/>
                <w14:textFill>
                  <w14:solidFill>
                    <w14:srgbClr w14:val="000000">
                      <w14:alpha w14:val="100000"/>
                    </w14:srgbClr>
                  </w14:solidFill>
                </w14:textFill>
              </w:rPr>
              <w:t>|</w:t>
            </w:r>
            <w:r w:rsidRPr="00AF3C7B">
              <w:rPr>
                <w:rFonts w:hint="eastAsia"/>
                <w:color w:val="000000"/>
                <w:w w:val="21"/>
                <w:fitText w:val="96" w:id="-629961968"/>
                <w14:textFill>
                  <w14:solidFill>
                    <w14:srgbClr w14:val="000000">
                      <w14:alpha w14:val="100000"/>
                    </w14:srgbClr>
                  </w14:solidFill>
                </w14:textFill>
              </w:rPr>
              <w:t xml:space="preserve">　</w:t>
            </w:r>
          </w:p>
        </w:tc>
        <w:tc>
          <w:tcPr>
            <w:tcW w:w="599" w:type="pct"/>
            <w:tcBorders>
              <w:bottom w:val="nil"/>
            </w:tcBorders>
            <w:tcMar>
              <w:left w:w="20" w:type="dxa"/>
              <w:right w:w="20" w:type="dxa"/>
            </w:tcMar>
          </w:tcPr>
          <w:p w14:paraId="5F4DACD2" w14:textId="67474949" w:rsidR="00160F82" w:rsidRPr="00E07EE9" w:rsidRDefault="00160F82" w:rsidP="00F276FE">
            <w:pPr>
              <w:pStyle w:val="TableText"/>
              <w:keepNext/>
              <w:widowControl/>
              <w:jc w:val="center"/>
            </w:pPr>
            <w:r w:rsidRPr="00E07EE9">
              <w:t>0.60</w:t>
            </w:r>
          </w:p>
        </w:tc>
        <w:tc>
          <w:tcPr>
            <w:tcW w:w="466" w:type="pct"/>
            <w:tcBorders>
              <w:bottom w:val="nil"/>
            </w:tcBorders>
            <w:tcMar>
              <w:left w:w="20" w:type="dxa"/>
              <w:right w:w="20" w:type="dxa"/>
            </w:tcMar>
          </w:tcPr>
          <w:p w14:paraId="41EBD9E4" w14:textId="5D55F594" w:rsidR="00160F82" w:rsidRPr="00E07EE9" w:rsidRDefault="00AF3C7B" w:rsidP="00F276FE">
            <w:pPr>
              <w:pStyle w:val="TableText"/>
              <w:keepNext/>
              <w:widowControl/>
              <w:jc w:val="center"/>
            </w:pPr>
            <w:r w:rsidRPr="00AF3C7B">
              <w:rPr>
                <w:color w:val="000000"/>
                <w:spacing w:val="82"/>
                <w:shd w:val="solid" w:color="000000" w:fill="000000"/>
                <w:fitText w:val="168" w:id="-629961984"/>
                <w14:textFill>
                  <w14:solidFill>
                    <w14:srgbClr w14:val="000000">
                      <w14:alpha w14:val="100000"/>
                    </w14:srgbClr>
                  </w14:solidFill>
                </w14:textFill>
              </w:rPr>
              <w:t>|</w:t>
            </w:r>
            <w:r w:rsidRPr="00AF3C7B">
              <w:rPr>
                <w:color w:val="000000"/>
                <w:spacing w:val="1"/>
                <w:shd w:val="solid" w:color="000000" w:fill="000000"/>
                <w:fitText w:val="168" w:id="-629961984"/>
                <w14:textFill>
                  <w14:solidFill>
                    <w14:srgbClr w14:val="000000">
                      <w14:alpha w14:val="100000"/>
                    </w14:srgbClr>
                  </w14:solidFill>
                </w14:textFill>
              </w:rPr>
              <w:t>|</w:t>
            </w:r>
            <w:r w:rsidR="001A1392" w:rsidRPr="001A1392">
              <w:rPr>
                <w:vertAlign w:val="superscript"/>
              </w:rPr>
              <w:t>2</w:t>
            </w:r>
          </w:p>
        </w:tc>
        <w:tc>
          <w:tcPr>
            <w:tcW w:w="544" w:type="pct"/>
            <w:tcBorders>
              <w:bottom w:val="nil"/>
            </w:tcBorders>
            <w:tcMar>
              <w:left w:w="20" w:type="dxa"/>
              <w:right w:w="20" w:type="dxa"/>
            </w:tcMar>
          </w:tcPr>
          <w:p w14:paraId="638B0132" w14:textId="36FADF13" w:rsidR="00160F82" w:rsidRPr="00E07EE9" w:rsidRDefault="00AF3C7B" w:rsidP="00F276FE">
            <w:pPr>
              <w:pStyle w:val="TableText"/>
              <w:keepNext/>
              <w:widowControl/>
              <w:jc w:val="center"/>
            </w:pPr>
            <w:r w:rsidRPr="00AF3C7B">
              <w:rPr>
                <w:rFonts w:hint="eastAsia"/>
                <w:color w:val="000000"/>
                <w:w w:val="21"/>
                <w:shd w:val="solid" w:color="000000" w:fill="000000"/>
                <w:fitText w:val="96" w:id="-629961983"/>
                <w14:textFill>
                  <w14:solidFill>
                    <w14:srgbClr w14:val="000000">
                      <w14:alpha w14:val="100000"/>
                    </w14:srgbClr>
                  </w14:solidFill>
                </w14:textFill>
              </w:rPr>
              <w:t xml:space="preserve">　</w:t>
            </w:r>
            <w:r w:rsidRPr="00AF3C7B">
              <w:rPr>
                <w:color w:val="000000"/>
                <w:w w:val="21"/>
                <w:shd w:val="solid" w:color="000000" w:fill="000000"/>
                <w:fitText w:val="96" w:id="-629961983"/>
                <w14:textFill>
                  <w14:solidFill>
                    <w14:srgbClr w14:val="000000">
                      <w14:alpha w14:val="100000"/>
                    </w14:srgbClr>
                  </w14:solidFill>
                </w14:textFill>
              </w:rPr>
              <w:t>|</w:t>
            </w:r>
            <w:r w:rsidRPr="00AF3C7B">
              <w:rPr>
                <w:rFonts w:hint="eastAsia"/>
                <w:color w:val="000000"/>
                <w:spacing w:val="5"/>
                <w:w w:val="21"/>
                <w:shd w:val="solid" w:color="000000" w:fill="000000"/>
                <w:fitText w:val="96" w:id="-629961983"/>
                <w14:textFill>
                  <w14:solidFill>
                    <w14:srgbClr w14:val="000000">
                      <w14:alpha w14:val="100000"/>
                    </w14:srgbClr>
                  </w14:solidFill>
                </w14:textFill>
              </w:rPr>
              <w:t xml:space="preserve">　</w:t>
            </w:r>
            <w:r w:rsidR="009540A2" w:rsidRPr="001A1392">
              <w:rPr>
                <w:vertAlign w:val="superscript"/>
              </w:rPr>
              <w:t>2</w:t>
            </w:r>
          </w:p>
          <w:p w14:paraId="1012E55C" w14:textId="655558F8" w:rsidR="00E07EE9" w:rsidRPr="00E07EE9" w:rsidRDefault="00E07EE9" w:rsidP="00F276FE">
            <w:pPr>
              <w:pStyle w:val="TableText"/>
              <w:keepNext/>
              <w:widowControl/>
              <w:jc w:val="center"/>
            </w:pPr>
            <w:r w:rsidRPr="00E07EE9">
              <w:t>(</w:t>
            </w:r>
            <w:r w:rsidR="00A46D2B">
              <w:noBreakHyphen/>
            </w:r>
            <w:r w:rsidR="00AF3C7B" w:rsidRPr="00AF3C7B">
              <w:rPr>
                <w:color w:val="000000"/>
                <w:spacing w:val="154"/>
                <w:shd w:val="solid" w:color="000000" w:fill="000000"/>
                <w:fitText w:val="240" w:id="-629961982"/>
                <w14:textFill>
                  <w14:solidFill>
                    <w14:srgbClr w14:val="000000">
                      <w14:alpha w14:val="100000"/>
                    </w14:srgbClr>
                  </w14:solidFill>
                </w14:textFill>
              </w:rPr>
              <w:t>|</w:t>
            </w:r>
            <w:r w:rsidR="00AF3C7B" w:rsidRPr="00AF3C7B">
              <w:rPr>
                <w:color w:val="000000"/>
                <w:spacing w:val="1"/>
                <w:shd w:val="solid" w:color="000000" w:fill="000000"/>
                <w:fitText w:val="240" w:id="-629961982"/>
                <w14:textFill>
                  <w14:solidFill>
                    <w14:srgbClr w14:val="000000">
                      <w14:alpha w14:val="100000"/>
                    </w14:srgbClr>
                  </w14:solidFill>
                </w14:textFill>
              </w:rPr>
              <w:t>|</w:t>
            </w:r>
            <w:r w:rsidRPr="00E07EE9">
              <w:t>%)</w:t>
            </w:r>
          </w:p>
        </w:tc>
      </w:tr>
      <w:tr w:rsidR="00160F82" w:rsidRPr="00EF2E8A" w14:paraId="09640AB1" w14:textId="77777777" w:rsidTr="00AF3C7B">
        <w:tc>
          <w:tcPr>
            <w:tcW w:w="1263" w:type="pct"/>
            <w:tcBorders>
              <w:top w:val="single" w:sz="4" w:space="0" w:color="auto"/>
              <w:bottom w:val="nil"/>
            </w:tcBorders>
            <w:tcMar>
              <w:left w:w="40" w:type="dxa"/>
              <w:right w:w="40" w:type="dxa"/>
            </w:tcMar>
          </w:tcPr>
          <w:p w14:paraId="697B24D4" w14:textId="19DEE166" w:rsidR="00160F82" w:rsidRPr="00EF2E8A" w:rsidRDefault="00160F82" w:rsidP="00F276FE">
            <w:pPr>
              <w:pStyle w:val="TableText"/>
              <w:keepNext/>
              <w:widowControl/>
              <w:rPr>
                <w:szCs w:val="20"/>
              </w:rPr>
            </w:pPr>
            <w:r w:rsidRPr="00EF2E8A">
              <w:rPr>
                <w:szCs w:val="20"/>
              </w:rPr>
              <w:t>Time horizon (base case 10 years)</w:t>
            </w:r>
          </w:p>
        </w:tc>
        <w:tc>
          <w:tcPr>
            <w:tcW w:w="577" w:type="pct"/>
            <w:tcBorders>
              <w:top w:val="single" w:sz="4" w:space="0" w:color="auto"/>
              <w:bottom w:val="nil"/>
            </w:tcBorders>
            <w:tcMar>
              <w:left w:w="20" w:type="dxa"/>
              <w:right w:w="20" w:type="dxa"/>
            </w:tcMar>
          </w:tcPr>
          <w:p w14:paraId="3440CBE2" w14:textId="77777777" w:rsidR="00160F82" w:rsidRPr="0009348B" w:rsidRDefault="00160F82" w:rsidP="00F276FE">
            <w:pPr>
              <w:pStyle w:val="TableText"/>
              <w:keepNext/>
              <w:widowControl/>
              <w:jc w:val="center"/>
              <w:rPr>
                <w:szCs w:val="20"/>
                <w:highlight w:val="darkGray"/>
              </w:rPr>
            </w:pPr>
          </w:p>
        </w:tc>
        <w:tc>
          <w:tcPr>
            <w:tcW w:w="552" w:type="pct"/>
            <w:tcBorders>
              <w:top w:val="single" w:sz="4" w:space="0" w:color="auto"/>
              <w:bottom w:val="nil"/>
            </w:tcBorders>
            <w:tcMar>
              <w:left w:w="20" w:type="dxa"/>
              <w:right w:w="20" w:type="dxa"/>
            </w:tcMar>
          </w:tcPr>
          <w:p w14:paraId="34DA6209" w14:textId="77777777" w:rsidR="00160F82" w:rsidRPr="00EF2E8A" w:rsidRDefault="00160F82" w:rsidP="00F276FE">
            <w:pPr>
              <w:pStyle w:val="TableText"/>
              <w:keepNext/>
              <w:widowControl/>
              <w:jc w:val="center"/>
              <w:rPr>
                <w:szCs w:val="20"/>
              </w:rPr>
            </w:pPr>
          </w:p>
        </w:tc>
        <w:tc>
          <w:tcPr>
            <w:tcW w:w="466" w:type="pct"/>
            <w:tcBorders>
              <w:top w:val="single" w:sz="4" w:space="0" w:color="auto"/>
              <w:bottom w:val="nil"/>
            </w:tcBorders>
            <w:tcMar>
              <w:left w:w="20" w:type="dxa"/>
              <w:right w:w="20" w:type="dxa"/>
            </w:tcMar>
          </w:tcPr>
          <w:p w14:paraId="38EFD14E" w14:textId="77777777" w:rsidR="00160F82" w:rsidRPr="004E407B" w:rsidRDefault="00160F82" w:rsidP="00F276FE">
            <w:pPr>
              <w:pStyle w:val="TableText"/>
              <w:keepNext/>
              <w:widowControl/>
              <w:jc w:val="center"/>
              <w:rPr>
                <w:szCs w:val="20"/>
                <w:highlight w:val="darkGray"/>
              </w:rPr>
            </w:pPr>
          </w:p>
        </w:tc>
        <w:tc>
          <w:tcPr>
            <w:tcW w:w="533" w:type="pct"/>
            <w:tcBorders>
              <w:top w:val="single" w:sz="4" w:space="0" w:color="auto"/>
              <w:bottom w:val="nil"/>
            </w:tcBorders>
            <w:tcMar>
              <w:left w:w="20" w:type="dxa"/>
              <w:right w:w="20" w:type="dxa"/>
            </w:tcMar>
          </w:tcPr>
          <w:p w14:paraId="633D759A" w14:textId="77777777" w:rsidR="00160F82" w:rsidRPr="004E407B" w:rsidRDefault="00160F82" w:rsidP="00F276FE">
            <w:pPr>
              <w:pStyle w:val="TableText"/>
              <w:keepNext/>
              <w:widowControl/>
              <w:jc w:val="center"/>
              <w:rPr>
                <w:szCs w:val="20"/>
                <w:highlight w:val="darkGray"/>
              </w:rPr>
            </w:pPr>
          </w:p>
        </w:tc>
        <w:tc>
          <w:tcPr>
            <w:tcW w:w="599" w:type="pct"/>
            <w:tcBorders>
              <w:bottom w:val="nil"/>
            </w:tcBorders>
            <w:tcMar>
              <w:left w:w="20" w:type="dxa"/>
              <w:right w:w="20" w:type="dxa"/>
            </w:tcMar>
          </w:tcPr>
          <w:p w14:paraId="47D56DBC" w14:textId="77777777" w:rsidR="00160F82" w:rsidRPr="00EF2E8A" w:rsidRDefault="00160F82" w:rsidP="00F276FE">
            <w:pPr>
              <w:pStyle w:val="TableText"/>
              <w:keepNext/>
              <w:widowControl/>
              <w:jc w:val="center"/>
              <w:rPr>
                <w:szCs w:val="20"/>
              </w:rPr>
            </w:pPr>
          </w:p>
        </w:tc>
        <w:tc>
          <w:tcPr>
            <w:tcW w:w="466" w:type="pct"/>
            <w:tcBorders>
              <w:bottom w:val="nil"/>
            </w:tcBorders>
            <w:tcMar>
              <w:left w:w="20" w:type="dxa"/>
              <w:right w:w="20" w:type="dxa"/>
            </w:tcMar>
          </w:tcPr>
          <w:p w14:paraId="61DFA880" w14:textId="77777777" w:rsidR="00160F82" w:rsidRPr="00EF2E8A" w:rsidRDefault="00160F82" w:rsidP="00F276FE">
            <w:pPr>
              <w:pStyle w:val="TableText"/>
              <w:keepNext/>
              <w:widowControl/>
              <w:jc w:val="center"/>
              <w:rPr>
                <w:szCs w:val="20"/>
              </w:rPr>
            </w:pPr>
          </w:p>
        </w:tc>
        <w:tc>
          <w:tcPr>
            <w:tcW w:w="544" w:type="pct"/>
            <w:tcBorders>
              <w:bottom w:val="nil"/>
            </w:tcBorders>
            <w:tcMar>
              <w:left w:w="20" w:type="dxa"/>
              <w:right w:w="20" w:type="dxa"/>
            </w:tcMar>
          </w:tcPr>
          <w:p w14:paraId="5C502338" w14:textId="77777777" w:rsidR="00160F82" w:rsidRPr="00EF2E8A" w:rsidRDefault="00160F82" w:rsidP="00F276FE">
            <w:pPr>
              <w:pStyle w:val="TableText"/>
              <w:keepNext/>
              <w:widowControl/>
              <w:jc w:val="center"/>
              <w:rPr>
                <w:szCs w:val="20"/>
              </w:rPr>
            </w:pPr>
          </w:p>
        </w:tc>
      </w:tr>
      <w:tr w:rsidR="00160F82" w:rsidRPr="00EF2E8A" w14:paraId="4F62535F" w14:textId="77777777" w:rsidTr="00AF3C7B">
        <w:tc>
          <w:tcPr>
            <w:tcW w:w="1263" w:type="pct"/>
            <w:tcBorders>
              <w:top w:val="nil"/>
              <w:bottom w:val="nil"/>
            </w:tcBorders>
            <w:tcMar>
              <w:left w:w="40" w:type="dxa"/>
              <w:right w:w="40" w:type="dxa"/>
            </w:tcMar>
          </w:tcPr>
          <w:p w14:paraId="1DDFA2F5" w14:textId="4BE6CB8C" w:rsidR="00160F82" w:rsidRPr="00EF2E8A" w:rsidRDefault="00160F82" w:rsidP="00F276FE">
            <w:pPr>
              <w:pStyle w:val="TableText"/>
              <w:keepNext/>
              <w:widowControl/>
              <w:numPr>
                <w:ilvl w:val="0"/>
                <w:numId w:val="12"/>
              </w:numPr>
              <w:ind w:left="240" w:hanging="120"/>
              <w:rPr>
                <w:szCs w:val="20"/>
              </w:rPr>
            </w:pPr>
            <w:r w:rsidRPr="00EF2E8A">
              <w:t>5 years</w:t>
            </w:r>
          </w:p>
        </w:tc>
        <w:tc>
          <w:tcPr>
            <w:tcW w:w="577" w:type="pct"/>
            <w:tcBorders>
              <w:top w:val="nil"/>
              <w:bottom w:val="nil"/>
            </w:tcBorders>
            <w:shd w:val="solid" w:color="000000" w:fill="000000"/>
            <w:tcMar>
              <w:left w:w="20" w:type="dxa"/>
              <w:right w:w="20" w:type="dxa"/>
            </w:tcMar>
          </w:tcPr>
          <w:p w14:paraId="277B6334" w14:textId="515A072A" w:rsidR="00160F82" w:rsidRPr="0009348B" w:rsidRDefault="00AF3C7B" w:rsidP="00F276FE">
            <w:pPr>
              <w:pStyle w:val="TableText"/>
              <w:keepNext/>
              <w:widowControl/>
              <w:jc w:val="center"/>
              <w:rPr>
                <w:szCs w:val="20"/>
                <w:highlight w:val="darkGray"/>
              </w:rPr>
            </w:pPr>
            <w:r w:rsidRPr="00AF3C7B">
              <w:rPr>
                <w:rFonts w:hint="eastAsia"/>
                <w:color w:val="000000"/>
                <w:w w:val="15"/>
                <w:fitText w:val="48" w:id="-629961981"/>
                <w14:textFill>
                  <w14:solidFill>
                    <w14:srgbClr w14:val="000000">
                      <w14:alpha w14:val="100000"/>
                    </w14:srgbClr>
                  </w14:solidFill>
                </w14:textFill>
              </w:rPr>
              <w:t xml:space="preserve">　</w:t>
            </w:r>
            <w:r w:rsidRPr="00AF3C7B">
              <w:rPr>
                <w:color w:val="000000"/>
                <w:w w:val="15"/>
                <w:fitText w:val="48" w:id="-629961981"/>
                <w14:textFill>
                  <w14:solidFill>
                    <w14:srgbClr w14:val="000000">
                      <w14:alpha w14:val="100000"/>
                    </w14:srgbClr>
                  </w14:solidFill>
                </w14:textFill>
              </w:rPr>
              <w:t>|</w:t>
            </w:r>
            <w:r w:rsidRPr="00AF3C7B">
              <w:rPr>
                <w:rFonts w:hint="eastAsia"/>
                <w:color w:val="000000"/>
                <w:spacing w:val="-17"/>
                <w:w w:val="15"/>
                <w:fitText w:val="48" w:id="-629961981"/>
                <w14:textFill>
                  <w14:solidFill>
                    <w14:srgbClr w14:val="000000">
                      <w14:alpha w14:val="100000"/>
                    </w14:srgbClr>
                  </w14:solidFill>
                </w14:textFill>
              </w:rPr>
              <w:t xml:space="preserve">　</w:t>
            </w:r>
          </w:p>
        </w:tc>
        <w:tc>
          <w:tcPr>
            <w:tcW w:w="552" w:type="pct"/>
            <w:tcBorders>
              <w:top w:val="nil"/>
              <w:bottom w:val="nil"/>
            </w:tcBorders>
            <w:tcMar>
              <w:left w:w="20" w:type="dxa"/>
              <w:right w:w="20" w:type="dxa"/>
            </w:tcMar>
          </w:tcPr>
          <w:p w14:paraId="43997F55" w14:textId="6B0CC212" w:rsidR="00160F82" w:rsidRPr="00EF2E8A" w:rsidRDefault="00160F82" w:rsidP="00F276FE">
            <w:pPr>
              <w:pStyle w:val="TableText"/>
              <w:keepNext/>
              <w:widowControl/>
              <w:jc w:val="center"/>
              <w:rPr>
                <w:szCs w:val="20"/>
              </w:rPr>
            </w:pPr>
            <w:r w:rsidRPr="00EF2E8A">
              <w:t>0.50</w:t>
            </w:r>
          </w:p>
        </w:tc>
        <w:tc>
          <w:tcPr>
            <w:tcW w:w="466" w:type="pct"/>
            <w:tcBorders>
              <w:top w:val="nil"/>
              <w:bottom w:val="nil"/>
            </w:tcBorders>
            <w:tcMar>
              <w:left w:w="20" w:type="dxa"/>
              <w:right w:w="20" w:type="dxa"/>
            </w:tcMar>
          </w:tcPr>
          <w:p w14:paraId="72B6B79E" w14:textId="674D2066" w:rsidR="00160F82" w:rsidRPr="004E407B" w:rsidRDefault="00AF3C7B" w:rsidP="00F276FE">
            <w:pPr>
              <w:pStyle w:val="TableText"/>
              <w:keepNext/>
              <w:widowControl/>
              <w:jc w:val="center"/>
              <w:rPr>
                <w:szCs w:val="20"/>
                <w:highlight w:val="darkGray"/>
              </w:rPr>
            </w:pPr>
            <w:r w:rsidRPr="00AF3C7B">
              <w:rPr>
                <w:color w:val="000000"/>
                <w:spacing w:val="82"/>
                <w:shd w:val="solid" w:color="000000" w:fill="000000"/>
                <w:fitText w:val="168" w:id="-629961980"/>
                <w14:textFill>
                  <w14:solidFill>
                    <w14:srgbClr w14:val="000000">
                      <w14:alpha w14:val="100000"/>
                    </w14:srgbClr>
                  </w14:solidFill>
                </w14:textFill>
              </w:rPr>
              <w:t>|</w:t>
            </w:r>
            <w:r w:rsidRPr="00AF3C7B">
              <w:rPr>
                <w:color w:val="000000"/>
                <w:spacing w:val="1"/>
                <w:shd w:val="solid" w:color="000000" w:fill="000000"/>
                <w:fitText w:val="168" w:id="-629961980"/>
                <w14:textFill>
                  <w14:solidFill>
                    <w14:srgbClr w14:val="000000">
                      <w14:alpha w14:val="100000"/>
                    </w14:srgbClr>
                  </w14:solidFill>
                </w14:textFill>
              </w:rPr>
              <w:t>|</w:t>
            </w:r>
            <w:r w:rsidR="00174C97" w:rsidRPr="00174C97">
              <w:rPr>
                <w:vertAlign w:val="superscript"/>
              </w:rPr>
              <w:t>3</w:t>
            </w:r>
          </w:p>
        </w:tc>
        <w:tc>
          <w:tcPr>
            <w:tcW w:w="533" w:type="pct"/>
            <w:tcBorders>
              <w:top w:val="nil"/>
              <w:bottom w:val="nil"/>
            </w:tcBorders>
            <w:shd w:val="solid" w:color="000000" w:fill="000000"/>
            <w:tcMar>
              <w:left w:w="20" w:type="dxa"/>
              <w:right w:w="20" w:type="dxa"/>
            </w:tcMar>
          </w:tcPr>
          <w:p w14:paraId="66AF1D22" w14:textId="3BFB55D2" w:rsidR="00160F82" w:rsidRPr="004E407B" w:rsidRDefault="00AF3C7B" w:rsidP="00F276FE">
            <w:pPr>
              <w:pStyle w:val="TableText"/>
              <w:keepNext/>
              <w:widowControl/>
              <w:jc w:val="center"/>
              <w:rPr>
                <w:szCs w:val="20"/>
                <w:highlight w:val="darkGray"/>
              </w:rPr>
            </w:pPr>
            <w:r w:rsidRPr="00AF3C7B">
              <w:rPr>
                <w:rFonts w:hint="eastAsia"/>
                <w:color w:val="000000"/>
                <w:w w:val="21"/>
                <w:fitText w:val="96" w:id="-629961979"/>
                <w14:textFill>
                  <w14:solidFill>
                    <w14:srgbClr w14:val="000000">
                      <w14:alpha w14:val="100000"/>
                    </w14:srgbClr>
                  </w14:solidFill>
                </w14:textFill>
              </w:rPr>
              <w:t xml:space="preserve">　</w:t>
            </w:r>
            <w:r w:rsidRPr="00AF3C7B">
              <w:rPr>
                <w:color w:val="000000"/>
                <w:w w:val="21"/>
                <w:fitText w:val="96" w:id="-629961979"/>
                <w14:textFill>
                  <w14:solidFill>
                    <w14:srgbClr w14:val="000000">
                      <w14:alpha w14:val="100000"/>
                    </w14:srgbClr>
                  </w14:solidFill>
                </w14:textFill>
              </w:rPr>
              <w:t>|</w:t>
            </w:r>
            <w:r w:rsidRPr="00AF3C7B">
              <w:rPr>
                <w:rFonts w:hint="eastAsia"/>
                <w:color w:val="000000"/>
                <w:w w:val="21"/>
                <w:fitText w:val="96" w:id="-629961979"/>
                <w14:textFill>
                  <w14:solidFill>
                    <w14:srgbClr w14:val="000000">
                      <w14:alpha w14:val="100000"/>
                    </w14:srgbClr>
                  </w14:solidFill>
                </w14:textFill>
              </w:rPr>
              <w:t xml:space="preserve">　</w:t>
            </w:r>
          </w:p>
        </w:tc>
        <w:tc>
          <w:tcPr>
            <w:tcW w:w="599" w:type="pct"/>
            <w:tcBorders>
              <w:top w:val="nil"/>
              <w:bottom w:val="nil"/>
            </w:tcBorders>
            <w:tcMar>
              <w:left w:w="20" w:type="dxa"/>
              <w:right w:w="20" w:type="dxa"/>
            </w:tcMar>
          </w:tcPr>
          <w:p w14:paraId="66FDA18D" w14:textId="4ABCA7C2" w:rsidR="00160F82" w:rsidRPr="00EF2E8A" w:rsidRDefault="00160F82" w:rsidP="00F276FE">
            <w:pPr>
              <w:pStyle w:val="TableText"/>
              <w:keepNext/>
              <w:widowControl/>
              <w:jc w:val="center"/>
              <w:rPr>
                <w:szCs w:val="20"/>
              </w:rPr>
            </w:pPr>
            <w:r w:rsidRPr="00EF2E8A">
              <w:t>0.45</w:t>
            </w:r>
          </w:p>
        </w:tc>
        <w:tc>
          <w:tcPr>
            <w:tcW w:w="466" w:type="pct"/>
            <w:tcBorders>
              <w:top w:val="nil"/>
              <w:bottom w:val="nil"/>
            </w:tcBorders>
            <w:tcMar>
              <w:left w:w="20" w:type="dxa"/>
              <w:right w:w="20" w:type="dxa"/>
            </w:tcMar>
          </w:tcPr>
          <w:p w14:paraId="2B2B9642" w14:textId="77777777" w:rsidR="00160F82" w:rsidRPr="00EF2E8A" w:rsidRDefault="00160F82" w:rsidP="00F276FE">
            <w:pPr>
              <w:pStyle w:val="TableText"/>
              <w:keepNext/>
              <w:widowControl/>
              <w:jc w:val="center"/>
              <w:rPr>
                <w:szCs w:val="20"/>
              </w:rPr>
            </w:pPr>
          </w:p>
        </w:tc>
        <w:tc>
          <w:tcPr>
            <w:tcW w:w="544" w:type="pct"/>
            <w:tcBorders>
              <w:top w:val="nil"/>
              <w:bottom w:val="nil"/>
            </w:tcBorders>
            <w:tcMar>
              <w:left w:w="20" w:type="dxa"/>
              <w:right w:w="20" w:type="dxa"/>
            </w:tcMar>
          </w:tcPr>
          <w:p w14:paraId="42303B5E" w14:textId="089C9BFB" w:rsidR="00160F82" w:rsidRPr="00EF2E8A" w:rsidRDefault="00AF3C7B" w:rsidP="00F276FE">
            <w:pPr>
              <w:pStyle w:val="TableText"/>
              <w:keepNext/>
              <w:widowControl/>
              <w:jc w:val="center"/>
              <w:rPr>
                <w:szCs w:val="20"/>
              </w:rPr>
            </w:pPr>
            <w:r w:rsidRPr="00AF3C7B">
              <w:rPr>
                <w:rFonts w:hint="eastAsia"/>
                <w:color w:val="000000"/>
                <w:w w:val="21"/>
                <w:shd w:val="solid" w:color="000000" w:fill="000000"/>
                <w:fitText w:val="96" w:id="-629961978"/>
                <w14:textFill>
                  <w14:solidFill>
                    <w14:srgbClr w14:val="000000">
                      <w14:alpha w14:val="100000"/>
                    </w14:srgbClr>
                  </w14:solidFill>
                </w14:textFill>
              </w:rPr>
              <w:t xml:space="preserve">　</w:t>
            </w:r>
            <w:r w:rsidRPr="00AF3C7B">
              <w:rPr>
                <w:color w:val="000000"/>
                <w:w w:val="21"/>
                <w:shd w:val="solid" w:color="000000" w:fill="000000"/>
                <w:fitText w:val="96" w:id="-629961978"/>
                <w14:textFill>
                  <w14:solidFill>
                    <w14:srgbClr w14:val="000000">
                      <w14:alpha w14:val="100000"/>
                    </w14:srgbClr>
                  </w14:solidFill>
                </w14:textFill>
              </w:rPr>
              <w:t>|</w:t>
            </w:r>
            <w:r w:rsidRPr="00AF3C7B">
              <w:rPr>
                <w:rFonts w:hint="eastAsia"/>
                <w:color w:val="000000"/>
                <w:spacing w:val="5"/>
                <w:w w:val="21"/>
                <w:shd w:val="solid" w:color="000000" w:fill="000000"/>
                <w:fitText w:val="96" w:id="-629961978"/>
                <w14:textFill>
                  <w14:solidFill>
                    <w14:srgbClr w14:val="000000">
                      <w14:alpha w14:val="100000"/>
                    </w14:srgbClr>
                  </w14:solidFill>
                </w14:textFill>
              </w:rPr>
              <w:t xml:space="preserve">　</w:t>
            </w:r>
            <w:r w:rsidR="00FA5458" w:rsidRPr="00174C97">
              <w:rPr>
                <w:vertAlign w:val="superscript"/>
              </w:rPr>
              <w:t>3</w:t>
            </w:r>
            <w:r w:rsidR="00160F82" w:rsidRPr="00EF2E8A">
              <w:t xml:space="preserve"> (+</w:t>
            </w:r>
            <w:r w:rsidRPr="00AF3C7B">
              <w:rPr>
                <w:color w:val="000000"/>
                <w:spacing w:val="166"/>
                <w:shd w:val="solid" w:color="000000" w:fill="000000"/>
                <w:fitText w:val="252" w:id="-629961977"/>
                <w14:textFill>
                  <w14:solidFill>
                    <w14:srgbClr w14:val="000000">
                      <w14:alpha w14:val="100000"/>
                    </w14:srgbClr>
                  </w14:solidFill>
                </w14:textFill>
              </w:rPr>
              <w:t>|</w:t>
            </w:r>
            <w:r w:rsidRPr="00AF3C7B">
              <w:rPr>
                <w:color w:val="000000"/>
                <w:spacing w:val="1"/>
                <w:shd w:val="solid" w:color="000000" w:fill="000000"/>
                <w:fitText w:val="252" w:id="-629961977"/>
                <w14:textFill>
                  <w14:solidFill>
                    <w14:srgbClr w14:val="000000">
                      <w14:alpha w14:val="100000"/>
                    </w14:srgbClr>
                  </w14:solidFill>
                </w14:textFill>
              </w:rPr>
              <w:t>|</w:t>
            </w:r>
            <w:r w:rsidR="00160F82" w:rsidRPr="00EF2E8A">
              <w:t>%)</w:t>
            </w:r>
          </w:p>
        </w:tc>
      </w:tr>
      <w:tr w:rsidR="00160F82" w:rsidRPr="00EF2E8A" w14:paraId="7C9673F9" w14:textId="77777777" w:rsidTr="00AF3C7B">
        <w:tc>
          <w:tcPr>
            <w:tcW w:w="1263" w:type="pct"/>
            <w:tcBorders>
              <w:top w:val="nil"/>
              <w:bottom w:val="nil"/>
            </w:tcBorders>
            <w:tcMar>
              <w:left w:w="40" w:type="dxa"/>
              <w:right w:w="40" w:type="dxa"/>
            </w:tcMar>
          </w:tcPr>
          <w:p w14:paraId="5DFAD8A1" w14:textId="3894C944" w:rsidR="00160F82" w:rsidRPr="00EF2E8A" w:rsidRDefault="00160F82" w:rsidP="00F276FE">
            <w:pPr>
              <w:pStyle w:val="TableText"/>
              <w:keepNext/>
              <w:widowControl/>
              <w:numPr>
                <w:ilvl w:val="0"/>
                <w:numId w:val="12"/>
              </w:numPr>
              <w:ind w:left="240" w:hanging="120"/>
              <w:rPr>
                <w:szCs w:val="20"/>
              </w:rPr>
            </w:pPr>
            <w:r w:rsidRPr="00EF2E8A">
              <w:rPr>
                <w:szCs w:val="20"/>
              </w:rPr>
              <w:t>7.5 years</w:t>
            </w:r>
          </w:p>
        </w:tc>
        <w:tc>
          <w:tcPr>
            <w:tcW w:w="577" w:type="pct"/>
            <w:tcBorders>
              <w:top w:val="nil"/>
              <w:bottom w:val="single" w:sz="4" w:space="0" w:color="auto"/>
            </w:tcBorders>
            <w:shd w:val="solid" w:color="000000" w:fill="000000"/>
            <w:tcMar>
              <w:left w:w="20" w:type="dxa"/>
              <w:right w:w="20" w:type="dxa"/>
            </w:tcMar>
          </w:tcPr>
          <w:p w14:paraId="7B557865" w14:textId="33C4BE26" w:rsidR="00160F82" w:rsidRPr="0009348B" w:rsidRDefault="00AF3C7B" w:rsidP="00F276FE">
            <w:pPr>
              <w:pStyle w:val="TableText"/>
              <w:keepNext/>
              <w:widowControl/>
              <w:jc w:val="center"/>
              <w:rPr>
                <w:szCs w:val="20"/>
                <w:highlight w:val="darkGray"/>
              </w:rPr>
            </w:pPr>
            <w:r w:rsidRPr="00AF3C7B">
              <w:rPr>
                <w:rFonts w:hint="eastAsia"/>
                <w:color w:val="000000"/>
                <w:w w:val="15"/>
                <w:szCs w:val="20"/>
                <w:fitText w:val="48" w:id="-629961976"/>
                <w14:textFill>
                  <w14:solidFill>
                    <w14:srgbClr w14:val="000000">
                      <w14:alpha w14:val="100000"/>
                    </w14:srgbClr>
                  </w14:solidFill>
                </w14:textFill>
              </w:rPr>
              <w:t xml:space="preserve">　</w:t>
            </w:r>
            <w:r w:rsidRPr="00AF3C7B">
              <w:rPr>
                <w:color w:val="000000"/>
                <w:w w:val="15"/>
                <w:szCs w:val="20"/>
                <w:fitText w:val="48" w:id="-629961976"/>
                <w14:textFill>
                  <w14:solidFill>
                    <w14:srgbClr w14:val="000000">
                      <w14:alpha w14:val="100000"/>
                    </w14:srgbClr>
                  </w14:solidFill>
                </w14:textFill>
              </w:rPr>
              <w:t>|</w:t>
            </w:r>
            <w:r w:rsidRPr="00AF3C7B">
              <w:rPr>
                <w:rFonts w:hint="eastAsia"/>
                <w:color w:val="000000"/>
                <w:spacing w:val="-17"/>
                <w:w w:val="15"/>
                <w:szCs w:val="20"/>
                <w:fitText w:val="48" w:id="-629961976"/>
                <w14:textFill>
                  <w14:solidFill>
                    <w14:srgbClr w14:val="000000">
                      <w14:alpha w14:val="100000"/>
                    </w14:srgbClr>
                  </w14:solidFill>
                </w14:textFill>
              </w:rPr>
              <w:t xml:space="preserve">　</w:t>
            </w:r>
          </w:p>
        </w:tc>
        <w:tc>
          <w:tcPr>
            <w:tcW w:w="552" w:type="pct"/>
            <w:tcBorders>
              <w:top w:val="nil"/>
              <w:bottom w:val="nil"/>
            </w:tcBorders>
            <w:tcMar>
              <w:left w:w="20" w:type="dxa"/>
              <w:right w:w="20" w:type="dxa"/>
            </w:tcMar>
          </w:tcPr>
          <w:p w14:paraId="18F8A7B7" w14:textId="77777777" w:rsidR="00160F82" w:rsidRPr="00EF2E8A" w:rsidRDefault="00160F82" w:rsidP="00F276FE">
            <w:pPr>
              <w:pStyle w:val="TableText"/>
              <w:keepNext/>
              <w:widowControl/>
              <w:jc w:val="center"/>
              <w:rPr>
                <w:szCs w:val="20"/>
              </w:rPr>
            </w:pPr>
            <w:r w:rsidRPr="00EF2E8A">
              <w:rPr>
                <w:szCs w:val="20"/>
              </w:rPr>
              <w:t>0.62</w:t>
            </w:r>
          </w:p>
        </w:tc>
        <w:tc>
          <w:tcPr>
            <w:tcW w:w="466" w:type="pct"/>
            <w:tcBorders>
              <w:top w:val="nil"/>
              <w:bottom w:val="nil"/>
            </w:tcBorders>
            <w:tcMar>
              <w:left w:w="20" w:type="dxa"/>
              <w:right w:w="20" w:type="dxa"/>
            </w:tcMar>
          </w:tcPr>
          <w:p w14:paraId="1646D60C" w14:textId="59944C12" w:rsidR="00160F82" w:rsidRPr="0009348B" w:rsidRDefault="00AF3C7B" w:rsidP="00F276FE">
            <w:pPr>
              <w:pStyle w:val="TableText"/>
              <w:keepNext/>
              <w:widowControl/>
              <w:jc w:val="center"/>
              <w:rPr>
                <w:szCs w:val="20"/>
                <w:highlight w:val="darkGray"/>
              </w:rPr>
            </w:pPr>
            <w:r w:rsidRPr="00AF3C7B">
              <w:rPr>
                <w:color w:val="000000"/>
                <w:spacing w:val="82"/>
                <w:szCs w:val="20"/>
                <w:shd w:val="solid" w:color="000000" w:fill="000000"/>
                <w:fitText w:val="168" w:id="-629961975"/>
                <w14:textFill>
                  <w14:solidFill>
                    <w14:srgbClr w14:val="000000">
                      <w14:alpha w14:val="100000"/>
                    </w14:srgbClr>
                  </w14:solidFill>
                </w14:textFill>
              </w:rPr>
              <w:t>|</w:t>
            </w:r>
            <w:r w:rsidRPr="00AF3C7B">
              <w:rPr>
                <w:color w:val="000000"/>
                <w:spacing w:val="1"/>
                <w:szCs w:val="20"/>
                <w:shd w:val="solid" w:color="000000" w:fill="000000"/>
                <w:fitText w:val="168" w:id="-629961975"/>
                <w14:textFill>
                  <w14:solidFill>
                    <w14:srgbClr w14:val="000000">
                      <w14:alpha w14:val="100000"/>
                    </w14:srgbClr>
                  </w14:solidFill>
                </w14:textFill>
              </w:rPr>
              <w:t>|</w:t>
            </w:r>
            <w:r w:rsidR="00656DAA">
              <w:rPr>
                <w:vertAlign w:val="superscript"/>
              </w:rPr>
              <w:t>4</w:t>
            </w:r>
          </w:p>
        </w:tc>
        <w:tc>
          <w:tcPr>
            <w:tcW w:w="533" w:type="pct"/>
            <w:tcBorders>
              <w:top w:val="nil"/>
              <w:bottom w:val="single" w:sz="4" w:space="0" w:color="auto"/>
            </w:tcBorders>
            <w:shd w:val="solid" w:color="000000" w:fill="000000"/>
            <w:tcMar>
              <w:left w:w="20" w:type="dxa"/>
              <w:right w:w="20" w:type="dxa"/>
            </w:tcMar>
          </w:tcPr>
          <w:p w14:paraId="368E5789" w14:textId="66B56948" w:rsidR="00160F82" w:rsidRPr="00601E11" w:rsidRDefault="00AF3C7B" w:rsidP="00F276FE">
            <w:pPr>
              <w:pStyle w:val="TableText"/>
              <w:keepNext/>
              <w:widowControl/>
              <w:jc w:val="center"/>
              <w:rPr>
                <w:szCs w:val="20"/>
                <w:highlight w:val="darkGray"/>
              </w:rPr>
            </w:pPr>
            <w:r w:rsidRPr="00AF3C7B">
              <w:rPr>
                <w:rFonts w:hint="eastAsia"/>
                <w:color w:val="000000"/>
                <w:w w:val="21"/>
                <w:szCs w:val="20"/>
                <w:fitText w:val="96" w:id="-629961974"/>
                <w14:textFill>
                  <w14:solidFill>
                    <w14:srgbClr w14:val="000000">
                      <w14:alpha w14:val="100000"/>
                    </w14:srgbClr>
                  </w14:solidFill>
                </w14:textFill>
              </w:rPr>
              <w:t xml:space="preserve">　</w:t>
            </w:r>
            <w:r w:rsidRPr="00AF3C7B">
              <w:rPr>
                <w:color w:val="000000"/>
                <w:w w:val="21"/>
                <w:szCs w:val="20"/>
                <w:fitText w:val="96" w:id="-629961974"/>
                <w14:textFill>
                  <w14:solidFill>
                    <w14:srgbClr w14:val="000000">
                      <w14:alpha w14:val="100000"/>
                    </w14:srgbClr>
                  </w14:solidFill>
                </w14:textFill>
              </w:rPr>
              <w:t>|</w:t>
            </w:r>
            <w:r w:rsidRPr="00AF3C7B">
              <w:rPr>
                <w:rFonts w:hint="eastAsia"/>
                <w:color w:val="000000"/>
                <w:w w:val="21"/>
                <w:szCs w:val="20"/>
                <w:fitText w:val="96" w:id="-629961974"/>
                <w14:textFill>
                  <w14:solidFill>
                    <w14:srgbClr w14:val="000000">
                      <w14:alpha w14:val="100000"/>
                    </w14:srgbClr>
                  </w14:solidFill>
                </w14:textFill>
              </w:rPr>
              <w:t xml:space="preserve">　</w:t>
            </w:r>
          </w:p>
        </w:tc>
        <w:tc>
          <w:tcPr>
            <w:tcW w:w="599" w:type="pct"/>
            <w:tcBorders>
              <w:top w:val="nil"/>
              <w:bottom w:val="nil"/>
            </w:tcBorders>
            <w:tcMar>
              <w:left w:w="20" w:type="dxa"/>
              <w:right w:w="20" w:type="dxa"/>
            </w:tcMar>
          </w:tcPr>
          <w:p w14:paraId="0DC1000F" w14:textId="77777777" w:rsidR="00160F82" w:rsidRPr="00EF2E8A" w:rsidRDefault="00160F82" w:rsidP="00F276FE">
            <w:pPr>
              <w:pStyle w:val="TableText"/>
              <w:keepNext/>
              <w:widowControl/>
              <w:jc w:val="center"/>
              <w:rPr>
                <w:szCs w:val="20"/>
              </w:rPr>
            </w:pPr>
            <w:r w:rsidRPr="00EF2E8A">
              <w:rPr>
                <w:szCs w:val="20"/>
              </w:rPr>
              <w:t>0.54</w:t>
            </w:r>
          </w:p>
        </w:tc>
        <w:tc>
          <w:tcPr>
            <w:tcW w:w="466" w:type="pct"/>
            <w:tcBorders>
              <w:top w:val="nil"/>
              <w:bottom w:val="nil"/>
            </w:tcBorders>
            <w:tcMar>
              <w:left w:w="20" w:type="dxa"/>
              <w:right w:w="20" w:type="dxa"/>
            </w:tcMar>
          </w:tcPr>
          <w:p w14:paraId="402BF865" w14:textId="21A3FD9E" w:rsidR="00160F82" w:rsidRPr="00A257C8" w:rsidRDefault="00AF3C7B" w:rsidP="00F276FE">
            <w:pPr>
              <w:pStyle w:val="TableText"/>
              <w:keepNext/>
              <w:widowControl/>
              <w:jc w:val="center"/>
              <w:rPr>
                <w:szCs w:val="20"/>
                <w:highlight w:val="darkGray"/>
              </w:rPr>
            </w:pPr>
            <w:r w:rsidRPr="00AF3C7B">
              <w:rPr>
                <w:color w:val="000000"/>
                <w:spacing w:val="82"/>
                <w:szCs w:val="20"/>
                <w:shd w:val="solid" w:color="000000" w:fill="000000"/>
                <w:fitText w:val="168" w:id="-629961973"/>
                <w14:textFill>
                  <w14:solidFill>
                    <w14:srgbClr w14:val="000000">
                      <w14:alpha w14:val="100000"/>
                    </w14:srgbClr>
                  </w14:solidFill>
                </w14:textFill>
              </w:rPr>
              <w:t>|</w:t>
            </w:r>
            <w:r w:rsidRPr="00AF3C7B">
              <w:rPr>
                <w:color w:val="000000"/>
                <w:spacing w:val="1"/>
                <w:szCs w:val="20"/>
                <w:shd w:val="solid" w:color="000000" w:fill="000000"/>
                <w:fitText w:val="168" w:id="-629961973"/>
                <w14:textFill>
                  <w14:solidFill>
                    <w14:srgbClr w14:val="000000">
                      <w14:alpha w14:val="100000"/>
                    </w14:srgbClr>
                  </w14:solidFill>
                </w14:textFill>
              </w:rPr>
              <w:t>|</w:t>
            </w:r>
            <w:r w:rsidR="00D87D38" w:rsidRPr="00C41CCA">
              <w:rPr>
                <w:b/>
                <w:szCs w:val="20"/>
                <w:vertAlign w:val="superscript"/>
              </w:rPr>
              <w:t>1</w:t>
            </w:r>
          </w:p>
        </w:tc>
        <w:tc>
          <w:tcPr>
            <w:tcW w:w="544" w:type="pct"/>
            <w:tcBorders>
              <w:top w:val="nil"/>
              <w:bottom w:val="nil"/>
            </w:tcBorders>
            <w:tcMar>
              <w:left w:w="20" w:type="dxa"/>
              <w:right w:w="20" w:type="dxa"/>
            </w:tcMar>
          </w:tcPr>
          <w:p w14:paraId="71E51653" w14:textId="7B82B43D" w:rsidR="00160F82" w:rsidRPr="00EF2E8A" w:rsidRDefault="00AF3C7B" w:rsidP="00F276FE">
            <w:pPr>
              <w:pStyle w:val="TableText"/>
              <w:keepNext/>
              <w:widowControl/>
              <w:jc w:val="center"/>
              <w:rPr>
                <w:szCs w:val="20"/>
              </w:rPr>
            </w:pPr>
            <w:r w:rsidRPr="00AF3C7B">
              <w:rPr>
                <w:rFonts w:hint="eastAsia"/>
                <w:color w:val="000000"/>
                <w:w w:val="27"/>
                <w:szCs w:val="20"/>
                <w:shd w:val="solid" w:color="000000" w:fill="000000"/>
                <w:fitText w:val="120" w:id="-629961972"/>
                <w14:textFill>
                  <w14:solidFill>
                    <w14:srgbClr w14:val="000000">
                      <w14:alpha w14:val="100000"/>
                    </w14:srgbClr>
                  </w14:solidFill>
                </w14:textFill>
              </w:rPr>
              <w:t xml:space="preserve">　</w:t>
            </w:r>
            <w:r w:rsidRPr="00AF3C7B">
              <w:rPr>
                <w:color w:val="000000"/>
                <w:w w:val="27"/>
                <w:szCs w:val="20"/>
                <w:shd w:val="solid" w:color="000000" w:fill="000000"/>
                <w:fitText w:val="120" w:id="-629961972"/>
                <w14:textFill>
                  <w14:solidFill>
                    <w14:srgbClr w14:val="000000">
                      <w14:alpha w14:val="100000"/>
                    </w14:srgbClr>
                  </w14:solidFill>
                </w14:textFill>
              </w:rPr>
              <w:t>|</w:t>
            </w:r>
            <w:r w:rsidRPr="00AF3C7B">
              <w:rPr>
                <w:rFonts w:hint="eastAsia"/>
                <w:color w:val="000000"/>
                <w:spacing w:val="2"/>
                <w:w w:val="27"/>
                <w:szCs w:val="20"/>
                <w:shd w:val="solid" w:color="000000" w:fill="000000"/>
                <w:fitText w:val="120" w:id="-629961972"/>
                <w14:textFill>
                  <w14:solidFill>
                    <w14:srgbClr w14:val="000000">
                      <w14:alpha w14:val="100000"/>
                    </w14:srgbClr>
                  </w14:solidFill>
                </w14:textFill>
              </w:rPr>
              <w:t xml:space="preserve">　</w:t>
            </w:r>
            <w:r w:rsidR="00160F82" w:rsidRPr="00EF2E8A">
              <w:rPr>
                <w:szCs w:val="20"/>
              </w:rPr>
              <w:t xml:space="preserve"> </w:t>
            </w:r>
            <w:r w:rsidR="00ED196F">
              <w:rPr>
                <w:vertAlign w:val="superscript"/>
              </w:rPr>
              <w:t>4</w:t>
            </w:r>
            <w:r w:rsidR="00ED196F" w:rsidRPr="00EF2E8A">
              <w:rPr>
                <w:szCs w:val="20"/>
              </w:rPr>
              <w:t xml:space="preserve"> </w:t>
            </w:r>
            <w:r w:rsidR="00160F82" w:rsidRPr="00EF2E8A">
              <w:rPr>
                <w:szCs w:val="20"/>
              </w:rPr>
              <w:t>(+</w:t>
            </w:r>
            <w:r w:rsidRPr="00AF3C7B">
              <w:rPr>
                <w:color w:val="000000"/>
                <w:spacing w:val="166"/>
                <w:szCs w:val="20"/>
                <w:shd w:val="solid" w:color="000000" w:fill="000000"/>
                <w:fitText w:val="252" w:id="-629961971"/>
                <w14:textFill>
                  <w14:solidFill>
                    <w14:srgbClr w14:val="000000">
                      <w14:alpha w14:val="100000"/>
                    </w14:srgbClr>
                  </w14:solidFill>
                </w14:textFill>
              </w:rPr>
              <w:t>|</w:t>
            </w:r>
            <w:r w:rsidRPr="00AF3C7B">
              <w:rPr>
                <w:color w:val="000000"/>
                <w:spacing w:val="1"/>
                <w:szCs w:val="20"/>
                <w:shd w:val="solid" w:color="000000" w:fill="000000"/>
                <w:fitText w:val="252" w:id="-629961971"/>
                <w14:textFill>
                  <w14:solidFill>
                    <w14:srgbClr w14:val="000000">
                      <w14:alpha w14:val="100000"/>
                    </w14:srgbClr>
                  </w14:solidFill>
                </w14:textFill>
              </w:rPr>
              <w:t>|</w:t>
            </w:r>
            <w:r w:rsidR="00160F82" w:rsidRPr="00EF2E8A">
              <w:rPr>
                <w:szCs w:val="20"/>
              </w:rPr>
              <w:t>%)</w:t>
            </w:r>
          </w:p>
        </w:tc>
      </w:tr>
      <w:tr w:rsidR="00260646" w:rsidRPr="00EF2E8A" w14:paraId="325F878A" w14:textId="77777777" w:rsidTr="00AF3C7B">
        <w:tc>
          <w:tcPr>
            <w:tcW w:w="1263" w:type="pct"/>
            <w:vMerge w:val="restart"/>
            <w:tcMar>
              <w:left w:w="40" w:type="dxa"/>
              <w:right w:w="40" w:type="dxa"/>
            </w:tcMar>
          </w:tcPr>
          <w:p w14:paraId="157FCDAC" w14:textId="77777777" w:rsidR="00260646" w:rsidRPr="00EF2E8A" w:rsidRDefault="00260646" w:rsidP="00F276FE">
            <w:pPr>
              <w:pStyle w:val="TableText"/>
              <w:keepNext/>
              <w:widowControl/>
              <w:rPr>
                <w:szCs w:val="20"/>
              </w:rPr>
            </w:pPr>
            <w:r w:rsidRPr="00EF2E8A">
              <w:rPr>
                <w:rFonts w:cstheme="minorHAnsi"/>
                <w:szCs w:val="20"/>
              </w:rPr>
              <w:t>FRα testing population (base case = at primary diagnosis)</w:t>
            </w:r>
          </w:p>
          <w:p w14:paraId="573C52AD" w14:textId="6301F030" w:rsidR="00260646" w:rsidRPr="00EF2E8A" w:rsidRDefault="00260646" w:rsidP="00F276FE">
            <w:pPr>
              <w:pStyle w:val="TableText"/>
              <w:keepNext/>
              <w:widowControl/>
              <w:numPr>
                <w:ilvl w:val="0"/>
                <w:numId w:val="12"/>
              </w:numPr>
              <w:ind w:left="240" w:hanging="120"/>
              <w:rPr>
                <w:szCs w:val="20"/>
              </w:rPr>
            </w:pPr>
            <w:r w:rsidRPr="00EF2E8A">
              <w:rPr>
                <w:szCs w:val="20"/>
              </w:rPr>
              <w:t>At platinum resistance</w:t>
            </w:r>
          </w:p>
        </w:tc>
        <w:tc>
          <w:tcPr>
            <w:tcW w:w="577" w:type="pct"/>
            <w:tcBorders>
              <w:top w:val="single" w:sz="4" w:space="0" w:color="auto"/>
              <w:bottom w:val="nil"/>
            </w:tcBorders>
            <w:tcMar>
              <w:left w:w="20" w:type="dxa"/>
              <w:right w:w="20" w:type="dxa"/>
            </w:tcMar>
          </w:tcPr>
          <w:p w14:paraId="403C97CE" w14:textId="77777777" w:rsidR="00260646" w:rsidRPr="0009348B" w:rsidRDefault="00260646" w:rsidP="00F276FE">
            <w:pPr>
              <w:pStyle w:val="TableText"/>
              <w:keepNext/>
              <w:widowControl/>
              <w:jc w:val="center"/>
              <w:rPr>
                <w:szCs w:val="20"/>
                <w:highlight w:val="darkGray"/>
              </w:rPr>
            </w:pPr>
          </w:p>
        </w:tc>
        <w:tc>
          <w:tcPr>
            <w:tcW w:w="552" w:type="pct"/>
            <w:tcBorders>
              <w:bottom w:val="nil"/>
            </w:tcBorders>
            <w:tcMar>
              <w:left w:w="20" w:type="dxa"/>
              <w:right w:w="20" w:type="dxa"/>
            </w:tcMar>
          </w:tcPr>
          <w:p w14:paraId="6F989552" w14:textId="77777777" w:rsidR="00260646" w:rsidRPr="00EF2E8A" w:rsidRDefault="00260646" w:rsidP="00F276FE">
            <w:pPr>
              <w:pStyle w:val="TableText"/>
              <w:keepNext/>
              <w:widowControl/>
              <w:jc w:val="center"/>
              <w:rPr>
                <w:szCs w:val="20"/>
              </w:rPr>
            </w:pPr>
          </w:p>
        </w:tc>
        <w:tc>
          <w:tcPr>
            <w:tcW w:w="466" w:type="pct"/>
            <w:tcBorders>
              <w:bottom w:val="nil"/>
            </w:tcBorders>
            <w:tcMar>
              <w:left w:w="20" w:type="dxa"/>
              <w:right w:w="20" w:type="dxa"/>
            </w:tcMar>
          </w:tcPr>
          <w:p w14:paraId="4BA562AD" w14:textId="77777777" w:rsidR="00260646" w:rsidRPr="0009348B" w:rsidRDefault="00260646" w:rsidP="00F276FE">
            <w:pPr>
              <w:pStyle w:val="TableText"/>
              <w:keepNext/>
              <w:widowControl/>
              <w:jc w:val="center"/>
              <w:rPr>
                <w:szCs w:val="20"/>
                <w:highlight w:val="darkGray"/>
              </w:rPr>
            </w:pPr>
          </w:p>
        </w:tc>
        <w:tc>
          <w:tcPr>
            <w:tcW w:w="533" w:type="pct"/>
            <w:tcBorders>
              <w:top w:val="single" w:sz="4" w:space="0" w:color="auto"/>
              <w:bottom w:val="nil"/>
            </w:tcBorders>
            <w:tcMar>
              <w:left w:w="20" w:type="dxa"/>
              <w:right w:w="20" w:type="dxa"/>
            </w:tcMar>
          </w:tcPr>
          <w:p w14:paraId="22C7524D" w14:textId="77777777" w:rsidR="00260646" w:rsidRPr="00601E11" w:rsidRDefault="00260646" w:rsidP="00F276FE">
            <w:pPr>
              <w:pStyle w:val="TableText"/>
              <w:keepNext/>
              <w:widowControl/>
              <w:jc w:val="center"/>
              <w:rPr>
                <w:szCs w:val="20"/>
                <w:highlight w:val="darkGray"/>
              </w:rPr>
            </w:pPr>
          </w:p>
        </w:tc>
        <w:tc>
          <w:tcPr>
            <w:tcW w:w="599" w:type="pct"/>
            <w:tcBorders>
              <w:bottom w:val="nil"/>
            </w:tcBorders>
            <w:tcMar>
              <w:left w:w="20" w:type="dxa"/>
              <w:right w:w="20" w:type="dxa"/>
            </w:tcMar>
          </w:tcPr>
          <w:p w14:paraId="53AD2A70" w14:textId="77777777" w:rsidR="00260646" w:rsidRPr="00EF2E8A" w:rsidRDefault="00260646" w:rsidP="00F276FE">
            <w:pPr>
              <w:pStyle w:val="TableText"/>
              <w:keepNext/>
              <w:widowControl/>
              <w:jc w:val="center"/>
              <w:rPr>
                <w:szCs w:val="20"/>
              </w:rPr>
            </w:pPr>
          </w:p>
        </w:tc>
        <w:tc>
          <w:tcPr>
            <w:tcW w:w="466" w:type="pct"/>
            <w:tcBorders>
              <w:bottom w:val="nil"/>
            </w:tcBorders>
            <w:tcMar>
              <w:left w:w="20" w:type="dxa"/>
              <w:right w:w="20" w:type="dxa"/>
            </w:tcMar>
          </w:tcPr>
          <w:p w14:paraId="3541FC0E" w14:textId="77777777" w:rsidR="00260646" w:rsidRPr="00A257C8" w:rsidRDefault="00260646" w:rsidP="00F276FE">
            <w:pPr>
              <w:pStyle w:val="TableText"/>
              <w:keepNext/>
              <w:widowControl/>
              <w:jc w:val="center"/>
              <w:rPr>
                <w:szCs w:val="20"/>
                <w:highlight w:val="darkGray"/>
              </w:rPr>
            </w:pPr>
          </w:p>
        </w:tc>
        <w:tc>
          <w:tcPr>
            <w:tcW w:w="544" w:type="pct"/>
            <w:tcBorders>
              <w:bottom w:val="nil"/>
            </w:tcBorders>
            <w:tcMar>
              <w:left w:w="20" w:type="dxa"/>
              <w:right w:w="20" w:type="dxa"/>
            </w:tcMar>
          </w:tcPr>
          <w:p w14:paraId="3F6F781B" w14:textId="77777777" w:rsidR="00260646" w:rsidRPr="00EF2E8A" w:rsidRDefault="00260646" w:rsidP="00F276FE">
            <w:pPr>
              <w:pStyle w:val="TableText"/>
              <w:keepNext/>
              <w:widowControl/>
              <w:jc w:val="center"/>
              <w:rPr>
                <w:szCs w:val="20"/>
              </w:rPr>
            </w:pPr>
          </w:p>
        </w:tc>
      </w:tr>
      <w:tr w:rsidR="00260646" w:rsidRPr="00EF2E8A" w14:paraId="0CBC7BCC" w14:textId="77777777" w:rsidTr="00AF3C7B">
        <w:tc>
          <w:tcPr>
            <w:tcW w:w="1263" w:type="pct"/>
            <w:vMerge/>
            <w:tcMar>
              <w:left w:w="40" w:type="dxa"/>
              <w:right w:w="40" w:type="dxa"/>
            </w:tcMar>
          </w:tcPr>
          <w:p w14:paraId="15DF89E9" w14:textId="66BA6127" w:rsidR="00260646" w:rsidRPr="00EF2E8A" w:rsidRDefault="00260646" w:rsidP="00F276FE">
            <w:pPr>
              <w:pStyle w:val="TableText"/>
              <w:keepNext/>
              <w:widowControl/>
              <w:numPr>
                <w:ilvl w:val="0"/>
                <w:numId w:val="12"/>
              </w:numPr>
              <w:ind w:left="240" w:hanging="120"/>
              <w:rPr>
                <w:szCs w:val="20"/>
              </w:rPr>
            </w:pPr>
          </w:p>
        </w:tc>
        <w:tc>
          <w:tcPr>
            <w:tcW w:w="577" w:type="pct"/>
            <w:tcBorders>
              <w:top w:val="nil"/>
            </w:tcBorders>
            <w:shd w:val="solid" w:color="000000" w:fill="000000"/>
            <w:tcMar>
              <w:left w:w="20" w:type="dxa"/>
              <w:right w:w="20" w:type="dxa"/>
            </w:tcMar>
          </w:tcPr>
          <w:p w14:paraId="3BBA5BC7" w14:textId="14A661AE" w:rsidR="00260646" w:rsidRPr="0009348B" w:rsidRDefault="00AF3C7B" w:rsidP="00F276FE">
            <w:pPr>
              <w:pStyle w:val="TableText"/>
              <w:keepNext/>
              <w:widowControl/>
              <w:jc w:val="center"/>
              <w:rPr>
                <w:szCs w:val="20"/>
                <w:highlight w:val="darkGray"/>
              </w:rPr>
            </w:pPr>
            <w:r w:rsidRPr="00AF3C7B">
              <w:rPr>
                <w:rFonts w:hint="eastAsia"/>
                <w:color w:val="000000"/>
                <w:w w:val="15"/>
                <w:szCs w:val="20"/>
                <w:fitText w:val="48" w:id="-629961970"/>
                <w14:textFill>
                  <w14:solidFill>
                    <w14:srgbClr w14:val="000000">
                      <w14:alpha w14:val="100000"/>
                    </w14:srgbClr>
                  </w14:solidFill>
                </w14:textFill>
              </w:rPr>
              <w:t xml:space="preserve">　</w:t>
            </w:r>
            <w:r w:rsidRPr="00AF3C7B">
              <w:rPr>
                <w:color w:val="000000"/>
                <w:w w:val="15"/>
                <w:szCs w:val="20"/>
                <w:fitText w:val="48" w:id="-629961970"/>
                <w14:textFill>
                  <w14:solidFill>
                    <w14:srgbClr w14:val="000000">
                      <w14:alpha w14:val="100000"/>
                    </w14:srgbClr>
                  </w14:solidFill>
                </w14:textFill>
              </w:rPr>
              <w:t>|</w:t>
            </w:r>
            <w:r w:rsidRPr="00AF3C7B">
              <w:rPr>
                <w:rFonts w:hint="eastAsia"/>
                <w:color w:val="000000"/>
                <w:spacing w:val="-17"/>
                <w:w w:val="15"/>
                <w:szCs w:val="20"/>
                <w:fitText w:val="48" w:id="-629961970"/>
                <w14:textFill>
                  <w14:solidFill>
                    <w14:srgbClr w14:val="000000">
                      <w14:alpha w14:val="100000"/>
                    </w14:srgbClr>
                  </w14:solidFill>
                </w14:textFill>
              </w:rPr>
              <w:t xml:space="preserve">　</w:t>
            </w:r>
          </w:p>
        </w:tc>
        <w:tc>
          <w:tcPr>
            <w:tcW w:w="552" w:type="pct"/>
            <w:tcBorders>
              <w:top w:val="nil"/>
            </w:tcBorders>
            <w:tcMar>
              <w:left w:w="20" w:type="dxa"/>
              <w:right w:w="20" w:type="dxa"/>
            </w:tcMar>
          </w:tcPr>
          <w:p w14:paraId="775FBA9B" w14:textId="77777777" w:rsidR="00260646" w:rsidRPr="00EF2E8A" w:rsidRDefault="00260646" w:rsidP="00F276FE">
            <w:pPr>
              <w:pStyle w:val="TableText"/>
              <w:keepNext/>
              <w:widowControl/>
              <w:jc w:val="center"/>
              <w:rPr>
                <w:szCs w:val="20"/>
              </w:rPr>
            </w:pPr>
            <w:r w:rsidRPr="00EF2E8A">
              <w:rPr>
                <w:szCs w:val="20"/>
              </w:rPr>
              <w:t>0.68</w:t>
            </w:r>
          </w:p>
        </w:tc>
        <w:tc>
          <w:tcPr>
            <w:tcW w:w="466" w:type="pct"/>
            <w:tcBorders>
              <w:top w:val="nil"/>
            </w:tcBorders>
            <w:tcMar>
              <w:left w:w="20" w:type="dxa"/>
              <w:right w:w="20" w:type="dxa"/>
            </w:tcMar>
          </w:tcPr>
          <w:p w14:paraId="2E86B9EE" w14:textId="437247A2" w:rsidR="00260646" w:rsidRPr="0009348B" w:rsidRDefault="00AF3C7B" w:rsidP="00F276FE">
            <w:pPr>
              <w:pStyle w:val="TableText"/>
              <w:keepNext/>
              <w:widowControl/>
              <w:jc w:val="center"/>
              <w:rPr>
                <w:szCs w:val="20"/>
                <w:highlight w:val="darkGray"/>
              </w:rPr>
            </w:pPr>
            <w:r w:rsidRPr="00AF3C7B">
              <w:rPr>
                <w:color w:val="000000"/>
                <w:spacing w:val="82"/>
                <w:szCs w:val="20"/>
                <w:shd w:val="solid" w:color="000000" w:fill="000000"/>
                <w:fitText w:val="168" w:id="-629961969"/>
                <w14:textFill>
                  <w14:solidFill>
                    <w14:srgbClr w14:val="000000">
                      <w14:alpha w14:val="100000"/>
                    </w14:srgbClr>
                  </w14:solidFill>
                </w14:textFill>
              </w:rPr>
              <w:t>|</w:t>
            </w:r>
            <w:r w:rsidRPr="00AF3C7B">
              <w:rPr>
                <w:color w:val="000000"/>
                <w:spacing w:val="1"/>
                <w:szCs w:val="20"/>
                <w:shd w:val="solid" w:color="000000" w:fill="000000"/>
                <w:fitText w:val="168" w:id="-629961969"/>
                <w14:textFill>
                  <w14:solidFill>
                    <w14:srgbClr w14:val="000000">
                      <w14:alpha w14:val="100000"/>
                    </w14:srgbClr>
                  </w14:solidFill>
                </w14:textFill>
              </w:rPr>
              <w:t>|</w:t>
            </w:r>
            <w:r w:rsidR="00D87D38" w:rsidRPr="00C41CCA">
              <w:rPr>
                <w:b/>
                <w:szCs w:val="20"/>
                <w:vertAlign w:val="superscript"/>
              </w:rPr>
              <w:t>1</w:t>
            </w:r>
          </w:p>
        </w:tc>
        <w:tc>
          <w:tcPr>
            <w:tcW w:w="533" w:type="pct"/>
            <w:tcBorders>
              <w:top w:val="nil"/>
            </w:tcBorders>
            <w:shd w:val="solid" w:color="000000" w:fill="000000"/>
            <w:tcMar>
              <w:left w:w="20" w:type="dxa"/>
              <w:right w:w="20" w:type="dxa"/>
            </w:tcMar>
          </w:tcPr>
          <w:p w14:paraId="0197AF6A" w14:textId="502F3327" w:rsidR="00260646" w:rsidRPr="00601E11" w:rsidRDefault="00AF3C7B" w:rsidP="00F276FE">
            <w:pPr>
              <w:pStyle w:val="TableText"/>
              <w:keepNext/>
              <w:widowControl/>
              <w:jc w:val="center"/>
              <w:rPr>
                <w:szCs w:val="20"/>
                <w:highlight w:val="darkGray"/>
              </w:rPr>
            </w:pPr>
            <w:r w:rsidRPr="00AF3C7B">
              <w:rPr>
                <w:rFonts w:hint="eastAsia"/>
                <w:color w:val="000000"/>
                <w:w w:val="21"/>
                <w:szCs w:val="20"/>
                <w:fitText w:val="96" w:id="-629961968"/>
                <w14:textFill>
                  <w14:solidFill>
                    <w14:srgbClr w14:val="000000">
                      <w14:alpha w14:val="100000"/>
                    </w14:srgbClr>
                  </w14:solidFill>
                </w14:textFill>
              </w:rPr>
              <w:t xml:space="preserve">　</w:t>
            </w:r>
            <w:r w:rsidRPr="00AF3C7B">
              <w:rPr>
                <w:color w:val="000000"/>
                <w:w w:val="21"/>
                <w:szCs w:val="20"/>
                <w:fitText w:val="96" w:id="-629961968"/>
                <w14:textFill>
                  <w14:solidFill>
                    <w14:srgbClr w14:val="000000">
                      <w14:alpha w14:val="100000"/>
                    </w14:srgbClr>
                  </w14:solidFill>
                </w14:textFill>
              </w:rPr>
              <w:t>|</w:t>
            </w:r>
            <w:r w:rsidRPr="00AF3C7B">
              <w:rPr>
                <w:rFonts w:hint="eastAsia"/>
                <w:color w:val="000000"/>
                <w:w w:val="21"/>
                <w:szCs w:val="20"/>
                <w:fitText w:val="96" w:id="-629961968"/>
                <w14:textFill>
                  <w14:solidFill>
                    <w14:srgbClr w14:val="000000">
                      <w14:alpha w14:val="100000"/>
                    </w14:srgbClr>
                  </w14:solidFill>
                </w14:textFill>
              </w:rPr>
              <w:t xml:space="preserve">　</w:t>
            </w:r>
          </w:p>
        </w:tc>
        <w:tc>
          <w:tcPr>
            <w:tcW w:w="599" w:type="pct"/>
            <w:tcBorders>
              <w:top w:val="nil"/>
            </w:tcBorders>
            <w:tcMar>
              <w:left w:w="20" w:type="dxa"/>
              <w:right w:w="20" w:type="dxa"/>
            </w:tcMar>
          </w:tcPr>
          <w:p w14:paraId="333121B7" w14:textId="77777777" w:rsidR="00260646" w:rsidRPr="00EF2E8A" w:rsidRDefault="00260646" w:rsidP="00F276FE">
            <w:pPr>
              <w:pStyle w:val="TableText"/>
              <w:keepNext/>
              <w:widowControl/>
              <w:jc w:val="center"/>
              <w:rPr>
                <w:szCs w:val="20"/>
              </w:rPr>
            </w:pPr>
            <w:r w:rsidRPr="00EF2E8A">
              <w:rPr>
                <w:szCs w:val="20"/>
              </w:rPr>
              <w:t>0.60</w:t>
            </w:r>
          </w:p>
        </w:tc>
        <w:tc>
          <w:tcPr>
            <w:tcW w:w="466" w:type="pct"/>
            <w:tcBorders>
              <w:top w:val="nil"/>
            </w:tcBorders>
            <w:tcMar>
              <w:left w:w="20" w:type="dxa"/>
              <w:right w:w="20" w:type="dxa"/>
            </w:tcMar>
          </w:tcPr>
          <w:p w14:paraId="7EE749C3" w14:textId="5CA8279B" w:rsidR="00260646" w:rsidRPr="00A257C8" w:rsidRDefault="00AF3C7B" w:rsidP="00F276FE">
            <w:pPr>
              <w:pStyle w:val="TableText"/>
              <w:keepNext/>
              <w:widowControl/>
              <w:jc w:val="center"/>
              <w:rPr>
                <w:szCs w:val="20"/>
                <w:highlight w:val="darkGray"/>
              </w:rPr>
            </w:pPr>
            <w:r w:rsidRPr="00AF3C7B">
              <w:rPr>
                <w:color w:val="000000"/>
                <w:spacing w:val="82"/>
                <w:szCs w:val="20"/>
                <w:shd w:val="solid" w:color="000000" w:fill="000000"/>
                <w:fitText w:val="168" w:id="-629961984"/>
                <w14:textFill>
                  <w14:solidFill>
                    <w14:srgbClr w14:val="000000">
                      <w14:alpha w14:val="100000"/>
                    </w14:srgbClr>
                  </w14:solidFill>
                </w14:textFill>
              </w:rPr>
              <w:t>|</w:t>
            </w:r>
            <w:r w:rsidRPr="00AF3C7B">
              <w:rPr>
                <w:color w:val="000000"/>
                <w:spacing w:val="1"/>
                <w:szCs w:val="20"/>
                <w:shd w:val="solid" w:color="000000" w:fill="000000"/>
                <w:fitText w:val="168" w:id="-629961984"/>
                <w14:textFill>
                  <w14:solidFill>
                    <w14:srgbClr w14:val="000000">
                      <w14:alpha w14:val="100000"/>
                    </w14:srgbClr>
                  </w14:solidFill>
                </w14:textFill>
              </w:rPr>
              <w:t>|</w:t>
            </w:r>
            <w:r w:rsidR="00D87D38" w:rsidRPr="00C41CCA">
              <w:rPr>
                <w:b/>
                <w:szCs w:val="20"/>
                <w:vertAlign w:val="superscript"/>
              </w:rPr>
              <w:t>1</w:t>
            </w:r>
          </w:p>
        </w:tc>
        <w:tc>
          <w:tcPr>
            <w:tcW w:w="544" w:type="pct"/>
            <w:tcBorders>
              <w:top w:val="nil"/>
            </w:tcBorders>
            <w:tcMar>
              <w:left w:w="20" w:type="dxa"/>
              <w:right w:w="20" w:type="dxa"/>
            </w:tcMar>
          </w:tcPr>
          <w:p w14:paraId="0A05B2D8" w14:textId="76BBB30F" w:rsidR="00260646" w:rsidRPr="00EF2E8A" w:rsidRDefault="00AF3C7B" w:rsidP="00F276FE">
            <w:pPr>
              <w:pStyle w:val="TableText"/>
              <w:keepNext/>
              <w:widowControl/>
              <w:jc w:val="center"/>
              <w:rPr>
                <w:rFonts w:cstheme="minorHAnsi"/>
                <w:szCs w:val="20"/>
              </w:rPr>
            </w:pPr>
            <w:r w:rsidRPr="00AF3C7B">
              <w:rPr>
                <w:rFonts w:cstheme="minorHAnsi" w:hint="eastAsia"/>
                <w:color w:val="000000"/>
                <w:w w:val="21"/>
                <w:szCs w:val="20"/>
                <w:shd w:val="solid" w:color="000000" w:fill="000000"/>
                <w:fitText w:val="96" w:id="-629961983"/>
                <w14:textFill>
                  <w14:solidFill>
                    <w14:srgbClr w14:val="000000">
                      <w14:alpha w14:val="100000"/>
                    </w14:srgbClr>
                  </w14:solidFill>
                </w14:textFill>
              </w:rPr>
              <w:t xml:space="preserve">　</w:t>
            </w:r>
            <w:r w:rsidRPr="00AF3C7B">
              <w:rPr>
                <w:rFonts w:cstheme="minorHAnsi"/>
                <w:color w:val="000000"/>
                <w:w w:val="21"/>
                <w:szCs w:val="20"/>
                <w:shd w:val="solid" w:color="000000" w:fill="000000"/>
                <w:fitText w:val="96" w:id="-629961983"/>
                <w14:textFill>
                  <w14:solidFill>
                    <w14:srgbClr w14:val="000000">
                      <w14:alpha w14:val="100000"/>
                    </w14:srgbClr>
                  </w14:solidFill>
                </w14:textFill>
              </w:rPr>
              <w:t>|</w:t>
            </w:r>
            <w:r w:rsidRPr="00AF3C7B">
              <w:rPr>
                <w:rFonts w:cstheme="minorHAnsi" w:hint="eastAsia"/>
                <w:color w:val="000000"/>
                <w:spacing w:val="5"/>
                <w:w w:val="21"/>
                <w:szCs w:val="20"/>
                <w:shd w:val="solid" w:color="000000" w:fill="000000"/>
                <w:fitText w:val="96" w:id="-629961983"/>
                <w14:textFill>
                  <w14:solidFill>
                    <w14:srgbClr w14:val="000000">
                      <w14:alpha w14:val="100000"/>
                    </w14:srgbClr>
                  </w14:solidFill>
                </w14:textFill>
              </w:rPr>
              <w:t xml:space="preserve">　</w:t>
            </w:r>
            <w:r w:rsidR="00D87D38" w:rsidRPr="00C41CCA">
              <w:rPr>
                <w:b/>
                <w:szCs w:val="20"/>
                <w:vertAlign w:val="superscript"/>
              </w:rPr>
              <w:t>1</w:t>
            </w:r>
          </w:p>
          <w:p w14:paraId="17AAC10B" w14:textId="1D89933A" w:rsidR="00260646" w:rsidRPr="00EF2E8A" w:rsidRDefault="00260646" w:rsidP="00F276FE">
            <w:pPr>
              <w:pStyle w:val="TableText"/>
              <w:keepNext/>
              <w:widowControl/>
              <w:jc w:val="center"/>
              <w:rPr>
                <w:szCs w:val="20"/>
              </w:rPr>
            </w:pPr>
            <w:r w:rsidRPr="00EF2E8A">
              <w:rPr>
                <w:rFonts w:cstheme="minorHAnsi"/>
                <w:szCs w:val="20"/>
              </w:rPr>
              <w:t>(&lt;</w:t>
            </w:r>
            <w:r w:rsidR="00A46D2B">
              <w:rPr>
                <w:rFonts w:cstheme="minorHAnsi"/>
                <w:szCs w:val="20"/>
              </w:rPr>
              <w:noBreakHyphen/>
            </w:r>
            <w:r w:rsidR="00AF3C7B" w:rsidRPr="00AF3C7B">
              <w:rPr>
                <w:rFonts w:cstheme="minorHAnsi"/>
                <w:color w:val="000000"/>
                <w:spacing w:val="202"/>
                <w:szCs w:val="20"/>
                <w:shd w:val="solid" w:color="000000" w:fill="000000"/>
                <w:fitText w:val="288" w:id="-629961982"/>
                <w14:textFill>
                  <w14:solidFill>
                    <w14:srgbClr w14:val="000000">
                      <w14:alpha w14:val="100000"/>
                    </w14:srgbClr>
                  </w14:solidFill>
                </w14:textFill>
              </w:rPr>
              <w:t>|</w:t>
            </w:r>
            <w:r w:rsidR="00AF3C7B" w:rsidRPr="00AF3C7B">
              <w:rPr>
                <w:rFonts w:cstheme="minorHAnsi"/>
                <w:color w:val="000000"/>
                <w:spacing w:val="1"/>
                <w:szCs w:val="20"/>
                <w:shd w:val="solid" w:color="000000" w:fill="000000"/>
                <w:fitText w:val="288" w:id="-629961982"/>
                <w14:textFill>
                  <w14:solidFill>
                    <w14:srgbClr w14:val="000000">
                      <w14:alpha w14:val="100000"/>
                    </w14:srgbClr>
                  </w14:solidFill>
                </w14:textFill>
              </w:rPr>
              <w:t>|</w:t>
            </w:r>
            <w:r w:rsidRPr="00EF2E8A">
              <w:rPr>
                <w:rFonts w:cstheme="minorHAnsi"/>
                <w:szCs w:val="20"/>
              </w:rPr>
              <w:t>%)</w:t>
            </w:r>
          </w:p>
        </w:tc>
      </w:tr>
      <w:tr w:rsidR="00260646" w:rsidRPr="00EF2E8A" w14:paraId="2164BBAA" w14:textId="77777777" w:rsidTr="00AF3C7B">
        <w:tc>
          <w:tcPr>
            <w:tcW w:w="1263" w:type="pct"/>
            <w:vMerge w:val="restart"/>
            <w:tcBorders>
              <w:top w:val="nil"/>
            </w:tcBorders>
            <w:tcMar>
              <w:left w:w="40" w:type="dxa"/>
              <w:right w:w="40" w:type="dxa"/>
            </w:tcMar>
          </w:tcPr>
          <w:p w14:paraId="28AAE080" w14:textId="5DC6A306" w:rsidR="00260646" w:rsidRPr="00EF2E8A" w:rsidRDefault="00260646" w:rsidP="00F276FE">
            <w:pPr>
              <w:pStyle w:val="TableText"/>
              <w:keepNext/>
              <w:widowControl/>
              <w:rPr>
                <w:szCs w:val="20"/>
              </w:rPr>
            </w:pPr>
            <w:r w:rsidRPr="00EF2E8A">
              <w:rPr>
                <w:szCs w:val="20"/>
              </w:rPr>
              <w:t>Extrapolation OS for MIRV (base case = Log</w:t>
            </w:r>
            <w:r w:rsidR="00A46D2B">
              <w:rPr>
                <w:szCs w:val="20"/>
              </w:rPr>
              <w:noBreakHyphen/>
            </w:r>
            <w:r w:rsidRPr="00EF2E8A">
              <w:rPr>
                <w:szCs w:val="20"/>
              </w:rPr>
              <w:t>logistic)</w:t>
            </w:r>
          </w:p>
          <w:p w14:paraId="35E5E873" w14:textId="3E735E26" w:rsidR="00260646" w:rsidRPr="00EF2E8A" w:rsidRDefault="00260646" w:rsidP="00F276FE">
            <w:pPr>
              <w:pStyle w:val="TableText"/>
              <w:keepNext/>
              <w:widowControl/>
              <w:numPr>
                <w:ilvl w:val="0"/>
                <w:numId w:val="12"/>
              </w:numPr>
              <w:ind w:left="240" w:hanging="120"/>
              <w:rPr>
                <w:szCs w:val="20"/>
              </w:rPr>
            </w:pPr>
            <w:r w:rsidRPr="00EF2E8A">
              <w:rPr>
                <w:szCs w:val="20"/>
              </w:rPr>
              <w:t>Gamma</w:t>
            </w:r>
          </w:p>
        </w:tc>
        <w:tc>
          <w:tcPr>
            <w:tcW w:w="577" w:type="pct"/>
            <w:tcBorders>
              <w:top w:val="nil"/>
              <w:bottom w:val="nil"/>
            </w:tcBorders>
            <w:tcMar>
              <w:left w:w="20" w:type="dxa"/>
              <w:right w:w="20" w:type="dxa"/>
            </w:tcMar>
          </w:tcPr>
          <w:p w14:paraId="5013451D" w14:textId="77777777" w:rsidR="00260646" w:rsidRPr="0009348B" w:rsidRDefault="00260646" w:rsidP="00F276FE">
            <w:pPr>
              <w:pStyle w:val="TableText"/>
              <w:keepNext/>
              <w:widowControl/>
              <w:jc w:val="center"/>
              <w:rPr>
                <w:szCs w:val="20"/>
                <w:highlight w:val="darkGray"/>
              </w:rPr>
            </w:pPr>
          </w:p>
        </w:tc>
        <w:tc>
          <w:tcPr>
            <w:tcW w:w="552" w:type="pct"/>
            <w:tcBorders>
              <w:top w:val="nil"/>
              <w:bottom w:val="nil"/>
            </w:tcBorders>
            <w:tcMar>
              <w:left w:w="20" w:type="dxa"/>
              <w:right w:w="20" w:type="dxa"/>
            </w:tcMar>
          </w:tcPr>
          <w:p w14:paraId="0E4F525D" w14:textId="77777777" w:rsidR="00260646" w:rsidRPr="00EF2E8A" w:rsidRDefault="00260646" w:rsidP="00F276FE">
            <w:pPr>
              <w:pStyle w:val="TableText"/>
              <w:keepNext/>
              <w:widowControl/>
              <w:jc w:val="center"/>
              <w:rPr>
                <w:szCs w:val="20"/>
              </w:rPr>
            </w:pPr>
          </w:p>
        </w:tc>
        <w:tc>
          <w:tcPr>
            <w:tcW w:w="466" w:type="pct"/>
            <w:tcBorders>
              <w:top w:val="nil"/>
              <w:bottom w:val="nil"/>
            </w:tcBorders>
            <w:tcMar>
              <w:left w:w="20" w:type="dxa"/>
              <w:right w:w="20" w:type="dxa"/>
            </w:tcMar>
          </w:tcPr>
          <w:p w14:paraId="141771AF" w14:textId="77777777" w:rsidR="00260646" w:rsidRPr="0009348B" w:rsidRDefault="00260646" w:rsidP="00F276FE">
            <w:pPr>
              <w:pStyle w:val="TableText"/>
              <w:keepNext/>
              <w:widowControl/>
              <w:jc w:val="center"/>
              <w:rPr>
                <w:szCs w:val="20"/>
                <w:highlight w:val="darkGray"/>
              </w:rPr>
            </w:pPr>
          </w:p>
        </w:tc>
        <w:tc>
          <w:tcPr>
            <w:tcW w:w="533" w:type="pct"/>
            <w:tcBorders>
              <w:top w:val="nil"/>
              <w:bottom w:val="nil"/>
            </w:tcBorders>
            <w:tcMar>
              <w:left w:w="20" w:type="dxa"/>
              <w:right w:w="20" w:type="dxa"/>
            </w:tcMar>
          </w:tcPr>
          <w:p w14:paraId="62710D61" w14:textId="77777777" w:rsidR="00260646" w:rsidRPr="00601E11" w:rsidRDefault="00260646" w:rsidP="00F276FE">
            <w:pPr>
              <w:pStyle w:val="TableText"/>
              <w:keepNext/>
              <w:widowControl/>
              <w:jc w:val="center"/>
              <w:rPr>
                <w:szCs w:val="20"/>
                <w:highlight w:val="darkGray"/>
              </w:rPr>
            </w:pPr>
          </w:p>
        </w:tc>
        <w:tc>
          <w:tcPr>
            <w:tcW w:w="599" w:type="pct"/>
            <w:tcBorders>
              <w:top w:val="nil"/>
              <w:bottom w:val="nil"/>
            </w:tcBorders>
            <w:tcMar>
              <w:left w:w="20" w:type="dxa"/>
              <w:right w:w="20" w:type="dxa"/>
            </w:tcMar>
          </w:tcPr>
          <w:p w14:paraId="261B3508" w14:textId="77777777" w:rsidR="00260646" w:rsidRPr="00EF2E8A" w:rsidRDefault="00260646" w:rsidP="00F276FE">
            <w:pPr>
              <w:pStyle w:val="TableText"/>
              <w:keepNext/>
              <w:widowControl/>
              <w:jc w:val="center"/>
              <w:rPr>
                <w:szCs w:val="20"/>
              </w:rPr>
            </w:pPr>
          </w:p>
        </w:tc>
        <w:tc>
          <w:tcPr>
            <w:tcW w:w="466" w:type="pct"/>
            <w:tcBorders>
              <w:top w:val="nil"/>
              <w:bottom w:val="nil"/>
            </w:tcBorders>
            <w:tcMar>
              <w:left w:w="20" w:type="dxa"/>
              <w:right w:w="20" w:type="dxa"/>
            </w:tcMar>
          </w:tcPr>
          <w:p w14:paraId="7CCE31DE" w14:textId="77777777" w:rsidR="00260646" w:rsidRPr="00A257C8" w:rsidRDefault="00260646" w:rsidP="00F276FE">
            <w:pPr>
              <w:pStyle w:val="TableText"/>
              <w:keepNext/>
              <w:widowControl/>
              <w:jc w:val="center"/>
              <w:rPr>
                <w:szCs w:val="20"/>
                <w:highlight w:val="darkGray"/>
              </w:rPr>
            </w:pPr>
          </w:p>
        </w:tc>
        <w:tc>
          <w:tcPr>
            <w:tcW w:w="544" w:type="pct"/>
            <w:tcBorders>
              <w:bottom w:val="nil"/>
            </w:tcBorders>
            <w:tcMar>
              <w:left w:w="20" w:type="dxa"/>
              <w:right w:w="20" w:type="dxa"/>
            </w:tcMar>
          </w:tcPr>
          <w:p w14:paraId="0D5C1A2C" w14:textId="77777777" w:rsidR="00260646" w:rsidRPr="00EF2E8A" w:rsidRDefault="00260646" w:rsidP="00F276FE">
            <w:pPr>
              <w:pStyle w:val="TableText"/>
              <w:keepNext/>
              <w:widowControl/>
              <w:jc w:val="center"/>
              <w:rPr>
                <w:rFonts w:cstheme="minorHAnsi"/>
                <w:szCs w:val="20"/>
              </w:rPr>
            </w:pPr>
          </w:p>
        </w:tc>
      </w:tr>
      <w:tr w:rsidR="00260646" w:rsidRPr="00EF2E8A" w14:paraId="5A0BAA16" w14:textId="77777777" w:rsidTr="00AF3C7B">
        <w:tc>
          <w:tcPr>
            <w:tcW w:w="1263" w:type="pct"/>
            <w:vMerge/>
            <w:tcMar>
              <w:left w:w="40" w:type="dxa"/>
              <w:right w:w="40" w:type="dxa"/>
            </w:tcMar>
          </w:tcPr>
          <w:p w14:paraId="30802CA5" w14:textId="5BA1D22A" w:rsidR="00260646" w:rsidRPr="00EF2E8A" w:rsidRDefault="00260646" w:rsidP="00F276FE">
            <w:pPr>
              <w:pStyle w:val="TableText"/>
              <w:keepNext/>
              <w:widowControl/>
              <w:numPr>
                <w:ilvl w:val="0"/>
                <w:numId w:val="12"/>
              </w:numPr>
              <w:ind w:left="240" w:hanging="120"/>
              <w:rPr>
                <w:szCs w:val="20"/>
              </w:rPr>
            </w:pPr>
          </w:p>
        </w:tc>
        <w:tc>
          <w:tcPr>
            <w:tcW w:w="577" w:type="pct"/>
            <w:tcBorders>
              <w:top w:val="nil"/>
            </w:tcBorders>
            <w:shd w:val="solid" w:color="000000" w:fill="000000"/>
            <w:tcMar>
              <w:left w:w="20" w:type="dxa"/>
              <w:right w:w="20" w:type="dxa"/>
            </w:tcMar>
          </w:tcPr>
          <w:p w14:paraId="403D7F26" w14:textId="3DB40BFC" w:rsidR="00260646" w:rsidRPr="0009348B" w:rsidRDefault="00AF3C7B" w:rsidP="00F276FE">
            <w:pPr>
              <w:pStyle w:val="TableText"/>
              <w:keepNext/>
              <w:widowControl/>
              <w:jc w:val="center"/>
              <w:rPr>
                <w:szCs w:val="20"/>
                <w:highlight w:val="darkGray"/>
              </w:rPr>
            </w:pPr>
            <w:r w:rsidRPr="00AF3C7B">
              <w:rPr>
                <w:rFonts w:hint="eastAsia"/>
                <w:color w:val="000000"/>
                <w:w w:val="15"/>
                <w:szCs w:val="20"/>
                <w:fitText w:val="48" w:id="-629961981"/>
                <w14:textFill>
                  <w14:solidFill>
                    <w14:srgbClr w14:val="000000">
                      <w14:alpha w14:val="100000"/>
                    </w14:srgbClr>
                  </w14:solidFill>
                </w14:textFill>
              </w:rPr>
              <w:t xml:space="preserve">　</w:t>
            </w:r>
            <w:r w:rsidRPr="00AF3C7B">
              <w:rPr>
                <w:color w:val="000000"/>
                <w:w w:val="15"/>
                <w:szCs w:val="20"/>
                <w:fitText w:val="48" w:id="-629961981"/>
                <w14:textFill>
                  <w14:solidFill>
                    <w14:srgbClr w14:val="000000">
                      <w14:alpha w14:val="100000"/>
                    </w14:srgbClr>
                  </w14:solidFill>
                </w14:textFill>
              </w:rPr>
              <w:t>|</w:t>
            </w:r>
            <w:r w:rsidRPr="00AF3C7B">
              <w:rPr>
                <w:rFonts w:hint="eastAsia"/>
                <w:color w:val="000000"/>
                <w:spacing w:val="-17"/>
                <w:w w:val="15"/>
                <w:szCs w:val="20"/>
                <w:fitText w:val="48" w:id="-629961981"/>
                <w14:textFill>
                  <w14:solidFill>
                    <w14:srgbClr w14:val="000000">
                      <w14:alpha w14:val="100000"/>
                    </w14:srgbClr>
                  </w14:solidFill>
                </w14:textFill>
              </w:rPr>
              <w:t xml:space="preserve">　</w:t>
            </w:r>
          </w:p>
        </w:tc>
        <w:tc>
          <w:tcPr>
            <w:tcW w:w="552" w:type="pct"/>
            <w:tcBorders>
              <w:top w:val="nil"/>
            </w:tcBorders>
            <w:tcMar>
              <w:left w:w="20" w:type="dxa"/>
              <w:right w:w="20" w:type="dxa"/>
            </w:tcMar>
          </w:tcPr>
          <w:p w14:paraId="12439A0B" w14:textId="77777777" w:rsidR="00260646" w:rsidRPr="00EF2E8A" w:rsidRDefault="00260646" w:rsidP="00F276FE">
            <w:pPr>
              <w:pStyle w:val="TableText"/>
              <w:keepNext/>
              <w:widowControl/>
              <w:jc w:val="center"/>
              <w:rPr>
                <w:szCs w:val="20"/>
              </w:rPr>
            </w:pPr>
            <w:r w:rsidRPr="00EF2E8A">
              <w:rPr>
                <w:szCs w:val="20"/>
              </w:rPr>
              <w:t>0.41</w:t>
            </w:r>
          </w:p>
        </w:tc>
        <w:tc>
          <w:tcPr>
            <w:tcW w:w="466" w:type="pct"/>
            <w:tcBorders>
              <w:top w:val="nil"/>
            </w:tcBorders>
            <w:tcMar>
              <w:left w:w="20" w:type="dxa"/>
              <w:right w:w="20" w:type="dxa"/>
            </w:tcMar>
          </w:tcPr>
          <w:p w14:paraId="4679452E" w14:textId="03877018" w:rsidR="00260646" w:rsidRPr="0009348B" w:rsidRDefault="00AF3C7B" w:rsidP="00F276FE">
            <w:pPr>
              <w:pStyle w:val="TableText"/>
              <w:keepNext/>
              <w:widowControl/>
              <w:jc w:val="center"/>
              <w:rPr>
                <w:szCs w:val="20"/>
                <w:highlight w:val="darkGray"/>
              </w:rPr>
            </w:pPr>
            <w:r w:rsidRPr="00AF3C7B">
              <w:rPr>
                <w:color w:val="000000"/>
                <w:spacing w:val="82"/>
                <w:szCs w:val="20"/>
                <w:shd w:val="solid" w:color="000000" w:fill="000000"/>
                <w:fitText w:val="168" w:id="-629961980"/>
                <w14:textFill>
                  <w14:solidFill>
                    <w14:srgbClr w14:val="000000">
                      <w14:alpha w14:val="100000"/>
                    </w14:srgbClr>
                  </w14:solidFill>
                </w14:textFill>
              </w:rPr>
              <w:t>|</w:t>
            </w:r>
            <w:r w:rsidRPr="00AF3C7B">
              <w:rPr>
                <w:color w:val="000000"/>
                <w:spacing w:val="1"/>
                <w:szCs w:val="20"/>
                <w:shd w:val="solid" w:color="000000" w:fill="000000"/>
                <w:fitText w:val="168" w:id="-629961980"/>
                <w14:textFill>
                  <w14:solidFill>
                    <w14:srgbClr w14:val="000000">
                      <w14:alpha w14:val="100000"/>
                    </w14:srgbClr>
                  </w14:solidFill>
                </w14:textFill>
              </w:rPr>
              <w:t>|</w:t>
            </w:r>
            <w:r w:rsidR="00853051" w:rsidRPr="00853051">
              <w:rPr>
                <w:szCs w:val="20"/>
                <w:vertAlign w:val="superscript"/>
              </w:rPr>
              <w:t>5</w:t>
            </w:r>
          </w:p>
        </w:tc>
        <w:tc>
          <w:tcPr>
            <w:tcW w:w="533" w:type="pct"/>
            <w:tcBorders>
              <w:top w:val="nil"/>
            </w:tcBorders>
            <w:shd w:val="solid" w:color="000000" w:fill="000000"/>
            <w:tcMar>
              <w:left w:w="20" w:type="dxa"/>
              <w:right w:w="20" w:type="dxa"/>
            </w:tcMar>
          </w:tcPr>
          <w:p w14:paraId="355FBD7E" w14:textId="194CCA64" w:rsidR="00260646" w:rsidRPr="00601E11" w:rsidRDefault="00AF3C7B" w:rsidP="00F276FE">
            <w:pPr>
              <w:pStyle w:val="TableText"/>
              <w:keepNext/>
              <w:widowControl/>
              <w:jc w:val="center"/>
              <w:rPr>
                <w:szCs w:val="20"/>
                <w:highlight w:val="darkGray"/>
              </w:rPr>
            </w:pPr>
            <w:r w:rsidRPr="00AF3C7B">
              <w:rPr>
                <w:rFonts w:hint="eastAsia"/>
                <w:color w:val="000000"/>
                <w:w w:val="21"/>
                <w:szCs w:val="20"/>
                <w:fitText w:val="96" w:id="-629961979"/>
                <w14:textFill>
                  <w14:solidFill>
                    <w14:srgbClr w14:val="000000">
                      <w14:alpha w14:val="100000"/>
                    </w14:srgbClr>
                  </w14:solidFill>
                </w14:textFill>
              </w:rPr>
              <w:t xml:space="preserve">　</w:t>
            </w:r>
            <w:r w:rsidRPr="00AF3C7B">
              <w:rPr>
                <w:color w:val="000000"/>
                <w:w w:val="21"/>
                <w:szCs w:val="20"/>
                <w:fitText w:val="96" w:id="-629961979"/>
                <w14:textFill>
                  <w14:solidFill>
                    <w14:srgbClr w14:val="000000">
                      <w14:alpha w14:val="100000"/>
                    </w14:srgbClr>
                  </w14:solidFill>
                </w14:textFill>
              </w:rPr>
              <w:t>|</w:t>
            </w:r>
            <w:r w:rsidRPr="00AF3C7B">
              <w:rPr>
                <w:rFonts w:hint="eastAsia"/>
                <w:color w:val="000000"/>
                <w:w w:val="21"/>
                <w:szCs w:val="20"/>
                <w:fitText w:val="96" w:id="-629961979"/>
                <w14:textFill>
                  <w14:solidFill>
                    <w14:srgbClr w14:val="000000">
                      <w14:alpha w14:val="100000"/>
                    </w14:srgbClr>
                  </w14:solidFill>
                </w14:textFill>
              </w:rPr>
              <w:t xml:space="preserve">　</w:t>
            </w:r>
          </w:p>
        </w:tc>
        <w:tc>
          <w:tcPr>
            <w:tcW w:w="599" w:type="pct"/>
            <w:tcBorders>
              <w:top w:val="nil"/>
            </w:tcBorders>
            <w:tcMar>
              <w:left w:w="20" w:type="dxa"/>
              <w:right w:w="20" w:type="dxa"/>
            </w:tcMar>
          </w:tcPr>
          <w:p w14:paraId="34F56510" w14:textId="77777777" w:rsidR="00260646" w:rsidRPr="00EF2E8A" w:rsidRDefault="00260646" w:rsidP="00F276FE">
            <w:pPr>
              <w:pStyle w:val="TableText"/>
              <w:keepNext/>
              <w:widowControl/>
              <w:jc w:val="center"/>
              <w:rPr>
                <w:szCs w:val="20"/>
              </w:rPr>
            </w:pPr>
            <w:r w:rsidRPr="00EF2E8A">
              <w:rPr>
                <w:szCs w:val="20"/>
              </w:rPr>
              <w:t>0.41</w:t>
            </w:r>
          </w:p>
        </w:tc>
        <w:tc>
          <w:tcPr>
            <w:tcW w:w="466" w:type="pct"/>
            <w:tcBorders>
              <w:top w:val="nil"/>
            </w:tcBorders>
            <w:tcMar>
              <w:left w:w="20" w:type="dxa"/>
              <w:right w:w="20" w:type="dxa"/>
            </w:tcMar>
          </w:tcPr>
          <w:p w14:paraId="4532EBEE" w14:textId="76151E43" w:rsidR="00260646" w:rsidRPr="00A257C8" w:rsidRDefault="00AF3C7B" w:rsidP="00F276FE">
            <w:pPr>
              <w:pStyle w:val="TableText"/>
              <w:keepNext/>
              <w:widowControl/>
              <w:jc w:val="center"/>
              <w:rPr>
                <w:szCs w:val="20"/>
                <w:highlight w:val="darkGray"/>
              </w:rPr>
            </w:pPr>
            <w:r w:rsidRPr="00AF3C7B">
              <w:rPr>
                <w:color w:val="000000"/>
                <w:spacing w:val="82"/>
                <w:szCs w:val="20"/>
                <w:shd w:val="solid" w:color="000000" w:fill="000000"/>
                <w:fitText w:val="168" w:id="-629961978"/>
                <w14:textFill>
                  <w14:solidFill>
                    <w14:srgbClr w14:val="000000">
                      <w14:alpha w14:val="100000"/>
                    </w14:srgbClr>
                  </w14:solidFill>
                </w14:textFill>
              </w:rPr>
              <w:t>|</w:t>
            </w:r>
            <w:r w:rsidRPr="00AF3C7B">
              <w:rPr>
                <w:color w:val="000000"/>
                <w:spacing w:val="1"/>
                <w:szCs w:val="20"/>
                <w:shd w:val="solid" w:color="000000" w:fill="000000"/>
                <w:fitText w:val="168" w:id="-629961978"/>
                <w14:textFill>
                  <w14:solidFill>
                    <w14:srgbClr w14:val="000000">
                      <w14:alpha w14:val="100000"/>
                    </w14:srgbClr>
                  </w14:solidFill>
                </w14:textFill>
              </w:rPr>
              <w:t>|</w:t>
            </w:r>
            <w:r w:rsidR="00970D74" w:rsidRPr="00174C97">
              <w:rPr>
                <w:vertAlign w:val="superscript"/>
              </w:rPr>
              <w:t>3</w:t>
            </w:r>
          </w:p>
        </w:tc>
        <w:tc>
          <w:tcPr>
            <w:tcW w:w="544" w:type="pct"/>
            <w:tcBorders>
              <w:top w:val="nil"/>
            </w:tcBorders>
            <w:tcMar>
              <w:left w:w="20" w:type="dxa"/>
              <w:right w:w="20" w:type="dxa"/>
            </w:tcMar>
          </w:tcPr>
          <w:p w14:paraId="4D91F07D" w14:textId="7CF32894" w:rsidR="00260646" w:rsidRPr="00EF2E8A" w:rsidRDefault="00AF3C7B" w:rsidP="00F276FE">
            <w:pPr>
              <w:pStyle w:val="TableText"/>
              <w:keepNext/>
              <w:widowControl/>
              <w:jc w:val="center"/>
              <w:rPr>
                <w:rFonts w:cstheme="minorHAnsi"/>
                <w:szCs w:val="20"/>
              </w:rPr>
            </w:pPr>
            <w:r w:rsidRPr="00AF3C7B">
              <w:rPr>
                <w:rFonts w:cstheme="minorHAnsi" w:hint="eastAsia"/>
                <w:color w:val="000000"/>
                <w:w w:val="21"/>
                <w:szCs w:val="20"/>
                <w:shd w:val="solid" w:color="000000" w:fill="000000"/>
                <w:fitText w:val="96" w:id="-629961977"/>
                <w14:textFill>
                  <w14:solidFill>
                    <w14:srgbClr w14:val="000000">
                      <w14:alpha w14:val="100000"/>
                    </w14:srgbClr>
                  </w14:solidFill>
                </w14:textFill>
              </w:rPr>
              <w:t xml:space="preserve">　</w:t>
            </w:r>
            <w:r w:rsidRPr="00AF3C7B">
              <w:rPr>
                <w:rFonts w:cstheme="minorHAnsi"/>
                <w:color w:val="000000"/>
                <w:w w:val="21"/>
                <w:szCs w:val="20"/>
                <w:shd w:val="solid" w:color="000000" w:fill="000000"/>
                <w:fitText w:val="96" w:id="-629961977"/>
                <w14:textFill>
                  <w14:solidFill>
                    <w14:srgbClr w14:val="000000">
                      <w14:alpha w14:val="100000"/>
                    </w14:srgbClr>
                  </w14:solidFill>
                </w14:textFill>
              </w:rPr>
              <w:t>|</w:t>
            </w:r>
            <w:r w:rsidRPr="00AF3C7B">
              <w:rPr>
                <w:rFonts w:cstheme="minorHAnsi" w:hint="eastAsia"/>
                <w:color w:val="000000"/>
                <w:spacing w:val="5"/>
                <w:w w:val="21"/>
                <w:szCs w:val="20"/>
                <w:shd w:val="solid" w:color="000000" w:fill="000000"/>
                <w:fitText w:val="96" w:id="-629961977"/>
                <w14:textFill>
                  <w14:solidFill>
                    <w14:srgbClr w14:val="000000">
                      <w14:alpha w14:val="100000"/>
                    </w14:srgbClr>
                  </w14:solidFill>
                </w14:textFill>
              </w:rPr>
              <w:t xml:space="preserve">　</w:t>
            </w:r>
            <w:r w:rsidR="007975C9" w:rsidRPr="00853051">
              <w:rPr>
                <w:szCs w:val="20"/>
                <w:vertAlign w:val="superscript"/>
              </w:rPr>
              <w:t>5</w:t>
            </w:r>
          </w:p>
          <w:p w14:paraId="72C3BBE1" w14:textId="5C6FE934" w:rsidR="00260646" w:rsidRPr="00EF2E8A" w:rsidRDefault="00260646" w:rsidP="00F276FE">
            <w:pPr>
              <w:pStyle w:val="TableText"/>
              <w:keepNext/>
              <w:widowControl/>
              <w:jc w:val="center"/>
              <w:rPr>
                <w:rFonts w:cstheme="minorHAnsi"/>
                <w:szCs w:val="20"/>
              </w:rPr>
            </w:pPr>
            <w:r w:rsidRPr="00EF2E8A">
              <w:rPr>
                <w:rFonts w:cstheme="minorHAnsi"/>
                <w:szCs w:val="20"/>
              </w:rPr>
              <w:t>(+</w:t>
            </w:r>
            <w:r w:rsidR="00AF3C7B" w:rsidRPr="00AF3C7B">
              <w:rPr>
                <w:rFonts w:cstheme="minorHAnsi"/>
                <w:color w:val="000000"/>
                <w:spacing w:val="166"/>
                <w:szCs w:val="20"/>
                <w:shd w:val="solid" w:color="000000" w:fill="000000"/>
                <w:fitText w:val="252" w:id="-629961976"/>
                <w14:textFill>
                  <w14:solidFill>
                    <w14:srgbClr w14:val="000000">
                      <w14:alpha w14:val="100000"/>
                    </w14:srgbClr>
                  </w14:solidFill>
                </w14:textFill>
              </w:rPr>
              <w:t>|</w:t>
            </w:r>
            <w:r w:rsidR="00AF3C7B" w:rsidRPr="00AF3C7B">
              <w:rPr>
                <w:rFonts w:cstheme="minorHAnsi"/>
                <w:color w:val="000000"/>
                <w:spacing w:val="1"/>
                <w:szCs w:val="20"/>
                <w:shd w:val="solid" w:color="000000" w:fill="000000"/>
                <w:fitText w:val="252" w:id="-629961976"/>
                <w14:textFill>
                  <w14:solidFill>
                    <w14:srgbClr w14:val="000000">
                      <w14:alpha w14:val="100000"/>
                    </w14:srgbClr>
                  </w14:solidFill>
                </w14:textFill>
              </w:rPr>
              <w:t>|</w:t>
            </w:r>
            <w:r w:rsidRPr="00EF2E8A">
              <w:rPr>
                <w:rFonts w:cstheme="minorHAnsi"/>
                <w:szCs w:val="20"/>
              </w:rPr>
              <w:t>%)</w:t>
            </w:r>
          </w:p>
        </w:tc>
      </w:tr>
      <w:tr w:rsidR="00160F82" w:rsidRPr="00EF2E8A" w14:paraId="5DDBA506" w14:textId="77777777" w:rsidTr="00AF3C7B">
        <w:tc>
          <w:tcPr>
            <w:tcW w:w="1263" w:type="pct"/>
            <w:tcBorders>
              <w:top w:val="nil"/>
              <w:bottom w:val="nil"/>
            </w:tcBorders>
            <w:tcMar>
              <w:left w:w="40" w:type="dxa"/>
              <w:right w:w="40" w:type="dxa"/>
            </w:tcMar>
          </w:tcPr>
          <w:p w14:paraId="0C88F7DF" w14:textId="03FB36C2" w:rsidR="00160F82" w:rsidRPr="00EF2E8A" w:rsidRDefault="00160F82" w:rsidP="00F276FE">
            <w:pPr>
              <w:pStyle w:val="TableText"/>
              <w:keepNext/>
              <w:widowControl/>
              <w:rPr>
                <w:szCs w:val="20"/>
              </w:rPr>
            </w:pPr>
            <w:r w:rsidRPr="00EF2E8A">
              <w:rPr>
                <w:szCs w:val="20"/>
              </w:rPr>
              <w:t>Health state utility values for pre</w:t>
            </w:r>
            <w:r w:rsidR="00A46D2B">
              <w:rPr>
                <w:szCs w:val="20"/>
              </w:rPr>
              <w:noBreakHyphen/>
            </w:r>
            <w:r w:rsidRPr="00EF2E8A">
              <w:rPr>
                <w:szCs w:val="20"/>
              </w:rPr>
              <w:t>progression and post</w:t>
            </w:r>
            <w:r w:rsidR="00A46D2B">
              <w:rPr>
                <w:szCs w:val="20"/>
              </w:rPr>
              <w:noBreakHyphen/>
            </w:r>
            <w:r w:rsidRPr="00EF2E8A">
              <w:rPr>
                <w:szCs w:val="20"/>
              </w:rPr>
              <w:t>progression health states (base case = treatment dependent utility values)</w:t>
            </w:r>
          </w:p>
        </w:tc>
        <w:tc>
          <w:tcPr>
            <w:tcW w:w="577" w:type="pct"/>
            <w:tcBorders>
              <w:top w:val="nil"/>
              <w:bottom w:val="nil"/>
            </w:tcBorders>
            <w:tcMar>
              <w:left w:w="20" w:type="dxa"/>
              <w:right w:w="20" w:type="dxa"/>
            </w:tcMar>
          </w:tcPr>
          <w:p w14:paraId="7D99CC5F" w14:textId="77777777" w:rsidR="00160F82" w:rsidRPr="0009348B" w:rsidRDefault="00160F82" w:rsidP="00F276FE">
            <w:pPr>
              <w:pStyle w:val="TableText"/>
              <w:keepNext/>
              <w:widowControl/>
              <w:jc w:val="center"/>
              <w:rPr>
                <w:szCs w:val="20"/>
                <w:highlight w:val="darkGray"/>
              </w:rPr>
            </w:pPr>
          </w:p>
        </w:tc>
        <w:tc>
          <w:tcPr>
            <w:tcW w:w="552" w:type="pct"/>
            <w:tcBorders>
              <w:top w:val="nil"/>
              <w:bottom w:val="nil"/>
            </w:tcBorders>
            <w:tcMar>
              <w:left w:w="20" w:type="dxa"/>
              <w:right w:w="20" w:type="dxa"/>
            </w:tcMar>
          </w:tcPr>
          <w:p w14:paraId="104258B8" w14:textId="77777777" w:rsidR="00160F82" w:rsidRPr="00EF2E8A" w:rsidRDefault="00160F82" w:rsidP="00F276FE">
            <w:pPr>
              <w:pStyle w:val="TableText"/>
              <w:keepNext/>
              <w:widowControl/>
              <w:jc w:val="center"/>
              <w:rPr>
                <w:szCs w:val="20"/>
              </w:rPr>
            </w:pPr>
          </w:p>
        </w:tc>
        <w:tc>
          <w:tcPr>
            <w:tcW w:w="466" w:type="pct"/>
            <w:tcBorders>
              <w:top w:val="nil"/>
              <w:bottom w:val="nil"/>
            </w:tcBorders>
            <w:tcMar>
              <w:left w:w="20" w:type="dxa"/>
              <w:right w:w="20" w:type="dxa"/>
            </w:tcMar>
          </w:tcPr>
          <w:p w14:paraId="5C52363A" w14:textId="77777777" w:rsidR="00160F82" w:rsidRPr="0009348B" w:rsidRDefault="00160F82" w:rsidP="00F276FE">
            <w:pPr>
              <w:pStyle w:val="TableText"/>
              <w:keepNext/>
              <w:widowControl/>
              <w:jc w:val="center"/>
              <w:rPr>
                <w:szCs w:val="20"/>
                <w:highlight w:val="darkGray"/>
              </w:rPr>
            </w:pPr>
          </w:p>
        </w:tc>
        <w:tc>
          <w:tcPr>
            <w:tcW w:w="533" w:type="pct"/>
            <w:tcBorders>
              <w:top w:val="nil"/>
              <w:bottom w:val="nil"/>
            </w:tcBorders>
            <w:tcMar>
              <w:left w:w="20" w:type="dxa"/>
              <w:right w:w="20" w:type="dxa"/>
            </w:tcMar>
          </w:tcPr>
          <w:p w14:paraId="58F72F6D" w14:textId="77777777" w:rsidR="00160F82" w:rsidRPr="00601E11" w:rsidRDefault="00160F82" w:rsidP="00F276FE">
            <w:pPr>
              <w:pStyle w:val="TableText"/>
              <w:keepNext/>
              <w:widowControl/>
              <w:jc w:val="center"/>
              <w:rPr>
                <w:szCs w:val="20"/>
                <w:highlight w:val="darkGray"/>
              </w:rPr>
            </w:pPr>
          </w:p>
        </w:tc>
        <w:tc>
          <w:tcPr>
            <w:tcW w:w="599" w:type="pct"/>
            <w:tcBorders>
              <w:top w:val="nil"/>
              <w:bottom w:val="nil"/>
            </w:tcBorders>
            <w:tcMar>
              <w:left w:w="20" w:type="dxa"/>
              <w:right w:w="20" w:type="dxa"/>
            </w:tcMar>
          </w:tcPr>
          <w:p w14:paraId="1DE35911" w14:textId="77777777" w:rsidR="00160F82" w:rsidRPr="00EF2E8A" w:rsidRDefault="00160F82" w:rsidP="00F276FE">
            <w:pPr>
              <w:pStyle w:val="TableText"/>
              <w:keepNext/>
              <w:widowControl/>
              <w:jc w:val="center"/>
              <w:rPr>
                <w:szCs w:val="20"/>
              </w:rPr>
            </w:pPr>
          </w:p>
        </w:tc>
        <w:tc>
          <w:tcPr>
            <w:tcW w:w="466" w:type="pct"/>
            <w:tcBorders>
              <w:top w:val="nil"/>
              <w:bottom w:val="nil"/>
            </w:tcBorders>
            <w:tcMar>
              <w:left w:w="20" w:type="dxa"/>
              <w:right w:w="20" w:type="dxa"/>
            </w:tcMar>
          </w:tcPr>
          <w:p w14:paraId="35DCAD4E" w14:textId="77777777" w:rsidR="00160F82" w:rsidRPr="00A257C8" w:rsidRDefault="00160F82" w:rsidP="00F276FE">
            <w:pPr>
              <w:pStyle w:val="TableText"/>
              <w:keepNext/>
              <w:widowControl/>
              <w:jc w:val="center"/>
              <w:rPr>
                <w:szCs w:val="20"/>
                <w:highlight w:val="darkGray"/>
              </w:rPr>
            </w:pPr>
          </w:p>
        </w:tc>
        <w:tc>
          <w:tcPr>
            <w:tcW w:w="544" w:type="pct"/>
            <w:tcBorders>
              <w:top w:val="nil"/>
              <w:bottom w:val="nil"/>
            </w:tcBorders>
            <w:tcMar>
              <w:left w:w="20" w:type="dxa"/>
              <w:right w:w="20" w:type="dxa"/>
            </w:tcMar>
          </w:tcPr>
          <w:p w14:paraId="6DF151CA" w14:textId="77777777" w:rsidR="00160F82" w:rsidRPr="00EF2E8A" w:rsidRDefault="00160F82" w:rsidP="00F276FE">
            <w:pPr>
              <w:pStyle w:val="TableText"/>
              <w:keepNext/>
              <w:widowControl/>
              <w:jc w:val="center"/>
              <w:rPr>
                <w:rFonts w:cstheme="minorHAnsi"/>
                <w:szCs w:val="20"/>
              </w:rPr>
            </w:pPr>
          </w:p>
        </w:tc>
      </w:tr>
      <w:tr w:rsidR="00160F82" w:rsidRPr="00EF2E8A" w14:paraId="045E7E44" w14:textId="77777777" w:rsidTr="00AF3C7B">
        <w:tc>
          <w:tcPr>
            <w:tcW w:w="1263" w:type="pct"/>
            <w:tcBorders>
              <w:top w:val="nil"/>
              <w:bottom w:val="nil"/>
            </w:tcBorders>
            <w:tcMar>
              <w:left w:w="40" w:type="dxa"/>
              <w:right w:w="40" w:type="dxa"/>
            </w:tcMar>
          </w:tcPr>
          <w:p w14:paraId="4E56ADB9" w14:textId="5BCA1297" w:rsidR="00160F82" w:rsidRPr="00EF2E8A" w:rsidRDefault="00160F82" w:rsidP="00F276FE">
            <w:pPr>
              <w:pStyle w:val="TableText"/>
              <w:keepNext/>
              <w:widowControl/>
              <w:numPr>
                <w:ilvl w:val="0"/>
                <w:numId w:val="12"/>
              </w:numPr>
              <w:ind w:left="240" w:hanging="120"/>
              <w:rPr>
                <w:szCs w:val="20"/>
              </w:rPr>
            </w:pPr>
            <w:r w:rsidRPr="00EF2E8A">
              <w:rPr>
                <w:szCs w:val="20"/>
              </w:rPr>
              <w:t>Pooled utility values pre</w:t>
            </w:r>
            <w:r w:rsidR="00A46D2B">
              <w:rPr>
                <w:szCs w:val="20"/>
              </w:rPr>
              <w:noBreakHyphen/>
            </w:r>
            <w:r w:rsidRPr="00EF2E8A">
              <w:rPr>
                <w:szCs w:val="20"/>
              </w:rPr>
              <w:t>progression and post</w:t>
            </w:r>
            <w:r w:rsidR="00A46D2B">
              <w:rPr>
                <w:szCs w:val="20"/>
              </w:rPr>
              <w:noBreakHyphen/>
            </w:r>
            <w:r w:rsidRPr="00EF2E8A">
              <w:rPr>
                <w:szCs w:val="20"/>
              </w:rPr>
              <w:t>progression</w:t>
            </w:r>
          </w:p>
        </w:tc>
        <w:tc>
          <w:tcPr>
            <w:tcW w:w="577" w:type="pct"/>
            <w:tcBorders>
              <w:top w:val="nil"/>
              <w:bottom w:val="nil"/>
            </w:tcBorders>
            <w:shd w:val="solid" w:color="000000" w:fill="000000"/>
            <w:tcMar>
              <w:left w:w="20" w:type="dxa"/>
              <w:right w:w="20" w:type="dxa"/>
            </w:tcMar>
          </w:tcPr>
          <w:p w14:paraId="6E53642D" w14:textId="7C93A22E" w:rsidR="00160F82" w:rsidRPr="0009348B" w:rsidRDefault="00AF3C7B" w:rsidP="00F276FE">
            <w:pPr>
              <w:pStyle w:val="TableText"/>
              <w:keepNext/>
              <w:widowControl/>
              <w:jc w:val="center"/>
              <w:rPr>
                <w:szCs w:val="20"/>
                <w:highlight w:val="darkGray"/>
              </w:rPr>
            </w:pPr>
            <w:r w:rsidRPr="00AF3C7B">
              <w:rPr>
                <w:rFonts w:hint="eastAsia"/>
                <w:color w:val="000000"/>
                <w:w w:val="15"/>
                <w:szCs w:val="20"/>
                <w:fitText w:val="48" w:id="-629961975"/>
                <w14:textFill>
                  <w14:solidFill>
                    <w14:srgbClr w14:val="000000">
                      <w14:alpha w14:val="100000"/>
                    </w14:srgbClr>
                  </w14:solidFill>
                </w14:textFill>
              </w:rPr>
              <w:t xml:space="preserve">　</w:t>
            </w:r>
            <w:r w:rsidRPr="00AF3C7B">
              <w:rPr>
                <w:color w:val="000000"/>
                <w:w w:val="15"/>
                <w:szCs w:val="20"/>
                <w:fitText w:val="48" w:id="-629961975"/>
                <w14:textFill>
                  <w14:solidFill>
                    <w14:srgbClr w14:val="000000">
                      <w14:alpha w14:val="100000"/>
                    </w14:srgbClr>
                  </w14:solidFill>
                </w14:textFill>
              </w:rPr>
              <w:t>|</w:t>
            </w:r>
            <w:r w:rsidRPr="00AF3C7B">
              <w:rPr>
                <w:rFonts w:hint="eastAsia"/>
                <w:color w:val="000000"/>
                <w:spacing w:val="-17"/>
                <w:w w:val="15"/>
                <w:szCs w:val="20"/>
                <w:fitText w:val="48" w:id="-629961975"/>
                <w14:textFill>
                  <w14:solidFill>
                    <w14:srgbClr w14:val="000000">
                      <w14:alpha w14:val="100000"/>
                    </w14:srgbClr>
                  </w14:solidFill>
                </w14:textFill>
              </w:rPr>
              <w:t xml:space="preserve">　</w:t>
            </w:r>
          </w:p>
        </w:tc>
        <w:tc>
          <w:tcPr>
            <w:tcW w:w="552" w:type="pct"/>
            <w:tcBorders>
              <w:top w:val="nil"/>
              <w:bottom w:val="nil"/>
            </w:tcBorders>
            <w:tcMar>
              <w:left w:w="20" w:type="dxa"/>
              <w:right w:w="20" w:type="dxa"/>
            </w:tcMar>
          </w:tcPr>
          <w:p w14:paraId="1037079D" w14:textId="77777777" w:rsidR="00160F82" w:rsidRPr="00EF2E8A" w:rsidRDefault="00160F82" w:rsidP="00F276FE">
            <w:pPr>
              <w:pStyle w:val="TableText"/>
              <w:keepNext/>
              <w:widowControl/>
              <w:jc w:val="center"/>
              <w:rPr>
                <w:szCs w:val="20"/>
              </w:rPr>
            </w:pPr>
            <w:r w:rsidRPr="00EF2E8A">
              <w:rPr>
                <w:szCs w:val="20"/>
              </w:rPr>
              <w:t>0.61</w:t>
            </w:r>
          </w:p>
        </w:tc>
        <w:tc>
          <w:tcPr>
            <w:tcW w:w="466" w:type="pct"/>
            <w:tcBorders>
              <w:top w:val="nil"/>
              <w:bottom w:val="nil"/>
            </w:tcBorders>
            <w:tcMar>
              <w:left w:w="20" w:type="dxa"/>
              <w:right w:w="20" w:type="dxa"/>
            </w:tcMar>
          </w:tcPr>
          <w:p w14:paraId="2A2BCFDA" w14:textId="404DC68F" w:rsidR="00160F82" w:rsidRPr="0009348B" w:rsidRDefault="00AF3C7B" w:rsidP="00F276FE">
            <w:pPr>
              <w:pStyle w:val="TableText"/>
              <w:keepNext/>
              <w:widowControl/>
              <w:jc w:val="center"/>
              <w:rPr>
                <w:szCs w:val="20"/>
                <w:highlight w:val="darkGray"/>
              </w:rPr>
            </w:pPr>
            <w:r w:rsidRPr="00AF3C7B">
              <w:rPr>
                <w:color w:val="000000"/>
                <w:spacing w:val="82"/>
                <w:szCs w:val="20"/>
                <w:shd w:val="solid" w:color="000000" w:fill="000000"/>
                <w:fitText w:val="168" w:id="-629961974"/>
                <w14:textFill>
                  <w14:solidFill>
                    <w14:srgbClr w14:val="000000">
                      <w14:alpha w14:val="100000"/>
                    </w14:srgbClr>
                  </w14:solidFill>
                </w14:textFill>
              </w:rPr>
              <w:t>|</w:t>
            </w:r>
            <w:r w:rsidRPr="00AF3C7B">
              <w:rPr>
                <w:color w:val="000000"/>
                <w:spacing w:val="1"/>
                <w:szCs w:val="20"/>
                <w:shd w:val="solid" w:color="000000" w:fill="000000"/>
                <w:fitText w:val="168" w:id="-629961974"/>
                <w14:textFill>
                  <w14:solidFill>
                    <w14:srgbClr w14:val="000000">
                      <w14:alpha w14:val="100000"/>
                    </w14:srgbClr>
                  </w14:solidFill>
                </w14:textFill>
              </w:rPr>
              <w:t>|</w:t>
            </w:r>
            <w:r w:rsidR="00ED196F">
              <w:rPr>
                <w:vertAlign w:val="superscript"/>
              </w:rPr>
              <w:t>4</w:t>
            </w:r>
          </w:p>
        </w:tc>
        <w:tc>
          <w:tcPr>
            <w:tcW w:w="533" w:type="pct"/>
            <w:tcBorders>
              <w:top w:val="nil"/>
              <w:bottom w:val="nil"/>
            </w:tcBorders>
            <w:shd w:val="solid" w:color="000000" w:fill="000000"/>
            <w:tcMar>
              <w:left w:w="20" w:type="dxa"/>
              <w:right w:w="20" w:type="dxa"/>
            </w:tcMar>
          </w:tcPr>
          <w:p w14:paraId="6DD1B26A" w14:textId="667F351A" w:rsidR="00160F82" w:rsidRPr="00601E11" w:rsidRDefault="00AF3C7B" w:rsidP="00F276FE">
            <w:pPr>
              <w:pStyle w:val="TableText"/>
              <w:keepNext/>
              <w:widowControl/>
              <w:jc w:val="center"/>
              <w:rPr>
                <w:szCs w:val="20"/>
                <w:highlight w:val="darkGray"/>
              </w:rPr>
            </w:pPr>
            <w:r w:rsidRPr="00AF3C7B">
              <w:rPr>
                <w:rFonts w:hint="eastAsia"/>
                <w:color w:val="000000"/>
                <w:w w:val="21"/>
                <w:szCs w:val="20"/>
                <w:fitText w:val="96" w:id="-629961973"/>
                <w14:textFill>
                  <w14:solidFill>
                    <w14:srgbClr w14:val="000000">
                      <w14:alpha w14:val="100000"/>
                    </w14:srgbClr>
                  </w14:solidFill>
                </w14:textFill>
              </w:rPr>
              <w:t xml:space="preserve">　</w:t>
            </w:r>
            <w:r w:rsidRPr="00AF3C7B">
              <w:rPr>
                <w:color w:val="000000"/>
                <w:w w:val="21"/>
                <w:szCs w:val="20"/>
                <w:fitText w:val="96" w:id="-629961973"/>
                <w14:textFill>
                  <w14:solidFill>
                    <w14:srgbClr w14:val="000000">
                      <w14:alpha w14:val="100000"/>
                    </w14:srgbClr>
                  </w14:solidFill>
                </w14:textFill>
              </w:rPr>
              <w:t>|</w:t>
            </w:r>
            <w:r w:rsidRPr="00AF3C7B">
              <w:rPr>
                <w:rFonts w:hint="eastAsia"/>
                <w:color w:val="000000"/>
                <w:w w:val="21"/>
                <w:szCs w:val="20"/>
                <w:fitText w:val="96" w:id="-629961973"/>
                <w14:textFill>
                  <w14:solidFill>
                    <w14:srgbClr w14:val="000000">
                      <w14:alpha w14:val="100000"/>
                    </w14:srgbClr>
                  </w14:solidFill>
                </w14:textFill>
              </w:rPr>
              <w:t xml:space="preserve">　</w:t>
            </w:r>
          </w:p>
        </w:tc>
        <w:tc>
          <w:tcPr>
            <w:tcW w:w="599" w:type="pct"/>
            <w:tcBorders>
              <w:top w:val="nil"/>
              <w:bottom w:val="nil"/>
            </w:tcBorders>
            <w:tcMar>
              <w:left w:w="20" w:type="dxa"/>
              <w:right w:w="20" w:type="dxa"/>
            </w:tcMar>
          </w:tcPr>
          <w:p w14:paraId="20B66CA5" w14:textId="77777777" w:rsidR="00160F82" w:rsidRPr="00EF2E8A" w:rsidRDefault="00160F82" w:rsidP="00F276FE">
            <w:pPr>
              <w:pStyle w:val="TableText"/>
              <w:keepNext/>
              <w:widowControl/>
              <w:jc w:val="center"/>
              <w:rPr>
                <w:szCs w:val="20"/>
              </w:rPr>
            </w:pPr>
            <w:r w:rsidRPr="00EF2E8A">
              <w:rPr>
                <w:szCs w:val="20"/>
              </w:rPr>
              <w:t>0.53</w:t>
            </w:r>
          </w:p>
        </w:tc>
        <w:tc>
          <w:tcPr>
            <w:tcW w:w="466" w:type="pct"/>
            <w:tcBorders>
              <w:top w:val="nil"/>
              <w:bottom w:val="nil"/>
            </w:tcBorders>
            <w:tcMar>
              <w:left w:w="20" w:type="dxa"/>
              <w:right w:w="20" w:type="dxa"/>
            </w:tcMar>
          </w:tcPr>
          <w:p w14:paraId="1172AB38" w14:textId="45BD712F" w:rsidR="00160F82" w:rsidRPr="00A257C8" w:rsidRDefault="00AF3C7B" w:rsidP="00F276FE">
            <w:pPr>
              <w:pStyle w:val="TableText"/>
              <w:keepNext/>
              <w:widowControl/>
              <w:jc w:val="center"/>
              <w:rPr>
                <w:szCs w:val="20"/>
                <w:highlight w:val="darkGray"/>
              </w:rPr>
            </w:pPr>
            <w:r w:rsidRPr="00AF3C7B">
              <w:rPr>
                <w:color w:val="000000"/>
                <w:spacing w:val="82"/>
                <w:szCs w:val="20"/>
                <w:shd w:val="solid" w:color="000000" w:fill="000000"/>
                <w:fitText w:val="168" w:id="-629961972"/>
                <w14:textFill>
                  <w14:solidFill>
                    <w14:srgbClr w14:val="000000">
                      <w14:alpha w14:val="100000"/>
                    </w14:srgbClr>
                  </w14:solidFill>
                </w14:textFill>
              </w:rPr>
              <w:t>|</w:t>
            </w:r>
            <w:r w:rsidRPr="00AF3C7B">
              <w:rPr>
                <w:color w:val="000000"/>
                <w:spacing w:val="1"/>
                <w:szCs w:val="20"/>
                <w:shd w:val="solid" w:color="000000" w:fill="000000"/>
                <w:fitText w:val="168" w:id="-629961972"/>
                <w14:textFill>
                  <w14:solidFill>
                    <w14:srgbClr w14:val="000000">
                      <w14:alpha w14:val="100000"/>
                    </w14:srgbClr>
                  </w14:solidFill>
                </w14:textFill>
              </w:rPr>
              <w:t>|</w:t>
            </w:r>
            <w:r w:rsidR="00ED196F">
              <w:rPr>
                <w:vertAlign w:val="superscript"/>
              </w:rPr>
              <w:t>4</w:t>
            </w:r>
          </w:p>
        </w:tc>
        <w:tc>
          <w:tcPr>
            <w:tcW w:w="544" w:type="pct"/>
            <w:tcBorders>
              <w:top w:val="nil"/>
              <w:bottom w:val="nil"/>
            </w:tcBorders>
            <w:tcMar>
              <w:left w:w="20" w:type="dxa"/>
              <w:right w:w="20" w:type="dxa"/>
            </w:tcMar>
          </w:tcPr>
          <w:p w14:paraId="771F3C70" w14:textId="72547EA3" w:rsidR="00160F82" w:rsidRPr="00EF2E8A" w:rsidRDefault="00AF3C7B" w:rsidP="00F276FE">
            <w:pPr>
              <w:pStyle w:val="TableText"/>
              <w:keepNext/>
              <w:widowControl/>
              <w:jc w:val="center"/>
              <w:rPr>
                <w:rFonts w:cstheme="minorHAnsi"/>
                <w:szCs w:val="20"/>
              </w:rPr>
            </w:pPr>
            <w:r w:rsidRPr="00AF3C7B">
              <w:rPr>
                <w:rFonts w:hint="eastAsia"/>
                <w:color w:val="000000"/>
                <w:w w:val="21"/>
                <w:szCs w:val="20"/>
                <w:shd w:val="solid" w:color="000000" w:fill="000000"/>
                <w:fitText w:val="96" w:id="-629961971"/>
                <w14:textFill>
                  <w14:solidFill>
                    <w14:srgbClr w14:val="000000">
                      <w14:alpha w14:val="100000"/>
                    </w14:srgbClr>
                  </w14:solidFill>
                </w14:textFill>
              </w:rPr>
              <w:t xml:space="preserve">　</w:t>
            </w:r>
            <w:r w:rsidRPr="00AF3C7B">
              <w:rPr>
                <w:color w:val="000000"/>
                <w:w w:val="21"/>
                <w:szCs w:val="20"/>
                <w:shd w:val="solid" w:color="000000" w:fill="000000"/>
                <w:fitText w:val="96" w:id="-629961971"/>
                <w14:textFill>
                  <w14:solidFill>
                    <w14:srgbClr w14:val="000000">
                      <w14:alpha w14:val="100000"/>
                    </w14:srgbClr>
                  </w14:solidFill>
                </w14:textFill>
              </w:rPr>
              <w:t>|</w:t>
            </w:r>
            <w:r w:rsidRPr="00AF3C7B">
              <w:rPr>
                <w:rFonts w:hint="eastAsia"/>
                <w:color w:val="000000"/>
                <w:spacing w:val="5"/>
                <w:w w:val="21"/>
                <w:szCs w:val="20"/>
                <w:shd w:val="solid" w:color="000000" w:fill="000000"/>
                <w:fitText w:val="96" w:id="-629961971"/>
                <w14:textFill>
                  <w14:solidFill>
                    <w14:srgbClr w14:val="000000">
                      <w14:alpha w14:val="100000"/>
                    </w14:srgbClr>
                  </w14:solidFill>
                </w14:textFill>
              </w:rPr>
              <w:t xml:space="preserve">　</w:t>
            </w:r>
            <w:r w:rsidR="00ED196F">
              <w:rPr>
                <w:vertAlign w:val="superscript"/>
              </w:rPr>
              <w:t>4</w:t>
            </w:r>
            <w:r w:rsidR="00160F82" w:rsidRPr="00EF2E8A">
              <w:rPr>
                <w:szCs w:val="20"/>
              </w:rPr>
              <w:t xml:space="preserve"> (+</w:t>
            </w:r>
            <w:r w:rsidRPr="00AF3C7B">
              <w:rPr>
                <w:color w:val="000000"/>
                <w:spacing w:val="166"/>
                <w:szCs w:val="20"/>
                <w:shd w:val="solid" w:color="000000" w:fill="000000"/>
                <w:fitText w:val="252" w:id="-629961970"/>
                <w14:textFill>
                  <w14:solidFill>
                    <w14:srgbClr w14:val="000000">
                      <w14:alpha w14:val="100000"/>
                    </w14:srgbClr>
                  </w14:solidFill>
                </w14:textFill>
              </w:rPr>
              <w:t>|</w:t>
            </w:r>
            <w:r w:rsidRPr="00AF3C7B">
              <w:rPr>
                <w:color w:val="000000"/>
                <w:spacing w:val="1"/>
                <w:szCs w:val="20"/>
                <w:shd w:val="solid" w:color="000000" w:fill="000000"/>
                <w:fitText w:val="252" w:id="-629961970"/>
                <w14:textFill>
                  <w14:solidFill>
                    <w14:srgbClr w14:val="000000">
                      <w14:alpha w14:val="100000"/>
                    </w14:srgbClr>
                  </w14:solidFill>
                </w14:textFill>
              </w:rPr>
              <w:t>|</w:t>
            </w:r>
            <w:r w:rsidR="00160F82" w:rsidRPr="00EF2E8A">
              <w:rPr>
                <w:szCs w:val="20"/>
              </w:rPr>
              <w:t>%)</w:t>
            </w:r>
          </w:p>
        </w:tc>
      </w:tr>
      <w:tr w:rsidR="00160F82" w:rsidRPr="00EF2E8A" w14:paraId="51DDE275" w14:textId="77777777" w:rsidTr="00AF3C7B">
        <w:tc>
          <w:tcPr>
            <w:tcW w:w="1263" w:type="pct"/>
            <w:tcBorders>
              <w:top w:val="nil"/>
            </w:tcBorders>
            <w:tcMar>
              <w:left w:w="40" w:type="dxa"/>
              <w:right w:w="40" w:type="dxa"/>
            </w:tcMar>
          </w:tcPr>
          <w:p w14:paraId="28E3AEE6" w14:textId="6C7D36CA" w:rsidR="00160F82" w:rsidRPr="00EF2E8A" w:rsidRDefault="00160F82" w:rsidP="00F276FE">
            <w:pPr>
              <w:pStyle w:val="TableText"/>
              <w:keepNext/>
              <w:widowControl/>
              <w:numPr>
                <w:ilvl w:val="0"/>
                <w:numId w:val="12"/>
              </w:numPr>
              <w:ind w:left="240" w:hanging="120"/>
              <w:rPr>
                <w:szCs w:val="20"/>
              </w:rPr>
            </w:pPr>
            <w:r w:rsidRPr="00EF2E8A">
              <w:rPr>
                <w:szCs w:val="20"/>
              </w:rPr>
              <w:t>Pooled utility value for post</w:t>
            </w:r>
            <w:r w:rsidR="00A46D2B">
              <w:rPr>
                <w:szCs w:val="20"/>
              </w:rPr>
              <w:noBreakHyphen/>
            </w:r>
            <w:r w:rsidRPr="00EF2E8A">
              <w:rPr>
                <w:szCs w:val="20"/>
              </w:rPr>
              <w:t>progression only</w:t>
            </w:r>
          </w:p>
        </w:tc>
        <w:tc>
          <w:tcPr>
            <w:tcW w:w="577" w:type="pct"/>
            <w:tcBorders>
              <w:top w:val="nil"/>
            </w:tcBorders>
            <w:shd w:val="solid" w:color="000000" w:fill="000000"/>
            <w:tcMar>
              <w:left w:w="20" w:type="dxa"/>
              <w:right w:w="20" w:type="dxa"/>
            </w:tcMar>
          </w:tcPr>
          <w:p w14:paraId="41B97CE7" w14:textId="47B89B8F" w:rsidR="00160F82" w:rsidRPr="0009348B" w:rsidRDefault="00AF3C7B" w:rsidP="00F276FE">
            <w:pPr>
              <w:pStyle w:val="TableText"/>
              <w:keepNext/>
              <w:widowControl/>
              <w:jc w:val="center"/>
              <w:rPr>
                <w:szCs w:val="20"/>
                <w:highlight w:val="darkGray"/>
              </w:rPr>
            </w:pPr>
            <w:r w:rsidRPr="00AF3C7B">
              <w:rPr>
                <w:rFonts w:hint="eastAsia"/>
                <w:color w:val="000000"/>
                <w:w w:val="15"/>
                <w:fitText w:val="48" w:id="-629961969"/>
                <w14:textFill>
                  <w14:solidFill>
                    <w14:srgbClr w14:val="000000">
                      <w14:alpha w14:val="100000"/>
                    </w14:srgbClr>
                  </w14:solidFill>
                </w14:textFill>
              </w:rPr>
              <w:t xml:space="preserve">　</w:t>
            </w:r>
            <w:r w:rsidRPr="00AF3C7B">
              <w:rPr>
                <w:color w:val="000000"/>
                <w:w w:val="15"/>
                <w:fitText w:val="48" w:id="-629961969"/>
                <w14:textFill>
                  <w14:solidFill>
                    <w14:srgbClr w14:val="000000">
                      <w14:alpha w14:val="100000"/>
                    </w14:srgbClr>
                  </w14:solidFill>
                </w14:textFill>
              </w:rPr>
              <w:t>|</w:t>
            </w:r>
            <w:r w:rsidRPr="00AF3C7B">
              <w:rPr>
                <w:rFonts w:hint="eastAsia"/>
                <w:color w:val="000000"/>
                <w:spacing w:val="-17"/>
                <w:w w:val="15"/>
                <w:fitText w:val="48" w:id="-629961969"/>
                <w14:textFill>
                  <w14:solidFill>
                    <w14:srgbClr w14:val="000000">
                      <w14:alpha w14:val="100000"/>
                    </w14:srgbClr>
                  </w14:solidFill>
                </w14:textFill>
              </w:rPr>
              <w:t xml:space="preserve">　</w:t>
            </w:r>
          </w:p>
        </w:tc>
        <w:tc>
          <w:tcPr>
            <w:tcW w:w="552" w:type="pct"/>
            <w:tcBorders>
              <w:top w:val="nil"/>
            </w:tcBorders>
            <w:tcMar>
              <w:left w:w="20" w:type="dxa"/>
              <w:right w:w="20" w:type="dxa"/>
            </w:tcMar>
          </w:tcPr>
          <w:p w14:paraId="03F99179" w14:textId="5AB3F44B" w:rsidR="00160F82" w:rsidRPr="00EF2E8A" w:rsidRDefault="00160F82" w:rsidP="00F276FE">
            <w:pPr>
              <w:pStyle w:val="TableText"/>
              <w:keepNext/>
              <w:widowControl/>
              <w:jc w:val="center"/>
              <w:rPr>
                <w:szCs w:val="20"/>
              </w:rPr>
            </w:pPr>
            <w:r w:rsidRPr="00EF2E8A">
              <w:t>0.62</w:t>
            </w:r>
          </w:p>
        </w:tc>
        <w:tc>
          <w:tcPr>
            <w:tcW w:w="466" w:type="pct"/>
            <w:tcBorders>
              <w:top w:val="nil"/>
            </w:tcBorders>
            <w:tcMar>
              <w:left w:w="20" w:type="dxa"/>
              <w:right w:w="20" w:type="dxa"/>
            </w:tcMar>
          </w:tcPr>
          <w:p w14:paraId="184E837C" w14:textId="6798D712" w:rsidR="00160F82" w:rsidRPr="0009348B" w:rsidRDefault="00AF3C7B" w:rsidP="00F276FE">
            <w:pPr>
              <w:pStyle w:val="TableText"/>
              <w:keepNext/>
              <w:widowControl/>
              <w:jc w:val="center"/>
              <w:rPr>
                <w:szCs w:val="20"/>
                <w:highlight w:val="darkGray"/>
              </w:rPr>
            </w:pPr>
            <w:r w:rsidRPr="00AF3C7B">
              <w:rPr>
                <w:color w:val="000000"/>
                <w:spacing w:val="82"/>
                <w:shd w:val="solid" w:color="000000" w:fill="000000"/>
                <w:fitText w:val="168" w:id="-629961968"/>
                <w14:textFill>
                  <w14:solidFill>
                    <w14:srgbClr w14:val="000000">
                      <w14:alpha w14:val="100000"/>
                    </w14:srgbClr>
                  </w14:solidFill>
                </w14:textFill>
              </w:rPr>
              <w:t>|</w:t>
            </w:r>
            <w:r w:rsidRPr="00AF3C7B">
              <w:rPr>
                <w:color w:val="000000"/>
                <w:spacing w:val="1"/>
                <w:shd w:val="solid" w:color="000000" w:fill="000000"/>
                <w:fitText w:val="168" w:id="-629961968"/>
                <w14:textFill>
                  <w14:solidFill>
                    <w14:srgbClr w14:val="000000">
                      <w14:alpha w14:val="100000"/>
                    </w14:srgbClr>
                  </w14:solidFill>
                </w14:textFill>
              </w:rPr>
              <w:t>|</w:t>
            </w:r>
            <w:r w:rsidR="00ED196F">
              <w:rPr>
                <w:vertAlign w:val="superscript"/>
              </w:rPr>
              <w:t>4</w:t>
            </w:r>
          </w:p>
        </w:tc>
        <w:tc>
          <w:tcPr>
            <w:tcW w:w="533" w:type="pct"/>
            <w:tcBorders>
              <w:top w:val="nil"/>
            </w:tcBorders>
            <w:shd w:val="solid" w:color="000000" w:fill="000000"/>
            <w:tcMar>
              <w:left w:w="20" w:type="dxa"/>
              <w:right w:w="20" w:type="dxa"/>
            </w:tcMar>
          </w:tcPr>
          <w:p w14:paraId="1716EC30" w14:textId="2359D733" w:rsidR="00160F82" w:rsidRPr="00601E11" w:rsidRDefault="00AF3C7B" w:rsidP="00F276FE">
            <w:pPr>
              <w:pStyle w:val="TableText"/>
              <w:keepNext/>
              <w:widowControl/>
              <w:jc w:val="center"/>
              <w:rPr>
                <w:szCs w:val="20"/>
                <w:highlight w:val="darkGray"/>
              </w:rPr>
            </w:pPr>
            <w:r w:rsidRPr="00AF3C7B">
              <w:rPr>
                <w:rFonts w:hint="eastAsia"/>
                <w:color w:val="000000"/>
                <w:w w:val="21"/>
                <w:fitText w:val="96" w:id="-629961984"/>
                <w14:textFill>
                  <w14:solidFill>
                    <w14:srgbClr w14:val="000000">
                      <w14:alpha w14:val="100000"/>
                    </w14:srgbClr>
                  </w14:solidFill>
                </w14:textFill>
              </w:rPr>
              <w:t xml:space="preserve">　</w:t>
            </w:r>
            <w:r w:rsidRPr="00AF3C7B">
              <w:rPr>
                <w:color w:val="000000"/>
                <w:w w:val="21"/>
                <w:fitText w:val="96" w:id="-629961984"/>
                <w14:textFill>
                  <w14:solidFill>
                    <w14:srgbClr w14:val="000000">
                      <w14:alpha w14:val="100000"/>
                    </w14:srgbClr>
                  </w14:solidFill>
                </w14:textFill>
              </w:rPr>
              <w:t>|</w:t>
            </w:r>
            <w:r w:rsidRPr="00AF3C7B">
              <w:rPr>
                <w:rFonts w:hint="eastAsia"/>
                <w:color w:val="000000"/>
                <w:w w:val="21"/>
                <w:fitText w:val="96" w:id="-629961984"/>
                <w14:textFill>
                  <w14:solidFill>
                    <w14:srgbClr w14:val="000000">
                      <w14:alpha w14:val="100000"/>
                    </w14:srgbClr>
                  </w14:solidFill>
                </w14:textFill>
              </w:rPr>
              <w:t xml:space="preserve">　</w:t>
            </w:r>
          </w:p>
        </w:tc>
        <w:tc>
          <w:tcPr>
            <w:tcW w:w="599" w:type="pct"/>
            <w:tcBorders>
              <w:top w:val="nil"/>
            </w:tcBorders>
            <w:tcMar>
              <w:left w:w="20" w:type="dxa"/>
              <w:right w:w="20" w:type="dxa"/>
            </w:tcMar>
          </w:tcPr>
          <w:p w14:paraId="656FB37E" w14:textId="239FBBEB" w:rsidR="00160F82" w:rsidRPr="00EF2E8A" w:rsidRDefault="00160F82" w:rsidP="00F276FE">
            <w:pPr>
              <w:pStyle w:val="TableText"/>
              <w:keepNext/>
              <w:widowControl/>
              <w:jc w:val="center"/>
              <w:rPr>
                <w:szCs w:val="20"/>
              </w:rPr>
            </w:pPr>
            <w:r w:rsidRPr="00EF2E8A">
              <w:t>0.55</w:t>
            </w:r>
          </w:p>
        </w:tc>
        <w:tc>
          <w:tcPr>
            <w:tcW w:w="466" w:type="pct"/>
            <w:tcBorders>
              <w:top w:val="nil"/>
            </w:tcBorders>
            <w:tcMar>
              <w:left w:w="20" w:type="dxa"/>
              <w:right w:w="20" w:type="dxa"/>
            </w:tcMar>
          </w:tcPr>
          <w:p w14:paraId="0945E29C" w14:textId="10346EC8" w:rsidR="00160F82" w:rsidRPr="00A257C8" w:rsidRDefault="00AF3C7B" w:rsidP="00F276FE">
            <w:pPr>
              <w:pStyle w:val="TableText"/>
              <w:keepNext/>
              <w:widowControl/>
              <w:jc w:val="center"/>
              <w:rPr>
                <w:szCs w:val="20"/>
                <w:highlight w:val="darkGray"/>
              </w:rPr>
            </w:pPr>
            <w:r w:rsidRPr="00AF3C7B">
              <w:rPr>
                <w:color w:val="000000"/>
                <w:spacing w:val="82"/>
                <w:shd w:val="solid" w:color="000000" w:fill="000000"/>
                <w:fitText w:val="168" w:id="-629961983"/>
                <w14:textFill>
                  <w14:solidFill>
                    <w14:srgbClr w14:val="000000">
                      <w14:alpha w14:val="100000"/>
                    </w14:srgbClr>
                  </w14:solidFill>
                </w14:textFill>
              </w:rPr>
              <w:t>|</w:t>
            </w:r>
            <w:r w:rsidRPr="00AF3C7B">
              <w:rPr>
                <w:color w:val="000000"/>
                <w:spacing w:val="1"/>
                <w:shd w:val="solid" w:color="000000" w:fill="000000"/>
                <w:fitText w:val="168" w:id="-629961983"/>
                <w14:textFill>
                  <w14:solidFill>
                    <w14:srgbClr w14:val="000000">
                      <w14:alpha w14:val="100000"/>
                    </w14:srgbClr>
                  </w14:solidFill>
                </w14:textFill>
              </w:rPr>
              <w:t>|</w:t>
            </w:r>
            <w:r w:rsidR="00D87D38" w:rsidRPr="00C41CCA">
              <w:rPr>
                <w:b/>
                <w:szCs w:val="20"/>
                <w:vertAlign w:val="superscript"/>
              </w:rPr>
              <w:t>1</w:t>
            </w:r>
          </w:p>
        </w:tc>
        <w:tc>
          <w:tcPr>
            <w:tcW w:w="544" w:type="pct"/>
            <w:tcBorders>
              <w:top w:val="nil"/>
            </w:tcBorders>
            <w:tcMar>
              <w:left w:w="20" w:type="dxa"/>
              <w:right w:w="20" w:type="dxa"/>
            </w:tcMar>
          </w:tcPr>
          <w:p w14:paraId="59133B7C" w14:textId="2986FD6B" w:rsidR="00160F82" w:rsidRPr="00EF2E8A" w:rsidRDefault="00AF3C7B" w:rsidP="00F276FE">
            <w:pPr>
              <w:pStyle w:val="TableText"/>
              <w:keepNext/>
              <w:widowControl/>
              <w:jc w:val="center"/>
              <w:rPr>
                <w:szCs w:val="20"/>
              </w:rPr>
            </w:pPr>
            <w:r w:rsidRPr="00AF3C7B">
              <w:rPr>
                <w:rFonts w:hint="eastAsia"/>
                <w:color w:val="000000"/>
                <w:w w:val="27"/>
                <w:shd w:val="solid" w:color="000000" w:fill="000000"/>
                <w:fitText w:val="120" w:id="-629961982"/>
                <w14:textFill>
                  <w14:solidFill>
                    <w14:srgbClr w14:val="000000">
                      <w14:alpha w14:val="100000"/>
                    </w14:srgbClr>
                  </w14:solidFill>
                </w14:textFill>
              </w:rPr>
              <w:t xml:space="preserve">　</w:t>
            </w:r>
            <w:r w:rsidRPr="00AF3C7B">
              <w:rPr>
                <w:color w:val="000000"/>
                <w:w w:val="27"/>
                <w:shd w:val="solid" w:color="000000" w:fill="000000"/>
                <w:fitText w:val="120" w:id="-629961982"/>
                <w14:textFill>
                  <w14:solidFill>
                    <w14:srgbClr w14:val="000000">
                      <w14:alpha w14:val="100000"/>
                    </w14:srgbClr>
                  </w14:solidFill>
                </w14:textFill>
              </w:rPr>
              <w:t>|</w:t>
            </w:r>
            <w:r w:rsidRPr="00AF3C7B">
              <w:rPr>
                <w:rFonts w:hint="eastAsia"/>
                <w:color w:val="000000"/>
                <w:spacing w:val="2"/>
                <w:w w:val="27"/>
                <w:shd w:val="solid" w:color="000000" w:fill="000000"/>
                <w:fitText w:val="120" w:id="-629961982"/>
                <w14:textFill>
                  <w14:solidFill>
                    <w14:srgbClr w14:val="000000">
                      <w14:alpha w14:val="100000"/>
                    </w14:srgbClr>
                  </w14:solidFill>
                </w14:textFill>
              </w:rPr>
              <w:t xml:space="preserve">　</w:t>
            </w:r>
            <w:r w:rsidR="00160F82" w:rsidRPr="00EF2E8A">
              <w:t xml:space="preserve"> </w:t>
            </w:r>
            <w:r w:rsidR="00ED196F">
              <w:rPr>
                <w:vertAlign w:val="superscript"/>
              </w:rPr>
              <w:t>4</w:t>
            </w:r>
            <w:r w:rsidR="00ED196F" w:rsidRPr="00EF2E8A">
              <w:t xml:space="preserve"> </w:t>
            </w:r>
            <w:r w:rsidR="00160F82" w:rsidRPr="00EF2E8A">
              <w:t>(+</w:t>
            </w:r>
            <w:r w:rsidRPr="00AF3C7B">
              <w:rPr>
                <w:color w:val="000000"/>
                <w:spacing w:val="166"/>
                <w:shd w:val="solid" w:color="000000" w:fill="000000"/>
                <w:fitText w:val="252" w:id="-629961981"/>
                <w14:textFill>
                  <w14:solidFill>
                    <w14:srgbClr w14:val="000000">
                      <w14:alpha w14:val="100000"/>
                    </w14:srgbClr>
                  </w14:solidFill>
                </w14:textFill>
              </w:rPr>
              <w:t>|</w:t>
            </w:r>
            <w:r w:rsidRPr="00AF3C7B">
              <w:rPr>
                <w:color w:val="000000"/>
                <w:spacing w:val="1"/>
                <w:shd w:val="solid" w:color="000000" w:fill="000000"/>
                <w:fitText w:val="252" w:id="-629961981"/>
                <w14:textFill>
                  <w14:solidFill>
                    <w14:srgbClr w14:val="000000">
                      <w14:alpha w14:val="100000"/>
                    </w14:srgbClr>
                  </w14:solidFill>
                </w14:textFill>
              </w:rPr>
              <w:t>|</w:t>
            </w:r>
            <w:r w:rsidR="00160F82" w:rsidRPr="00EF2E8A">
              <w:t>%)</w:t>
            </w:r>
          </w:p>
        </w:tc>
      </w:tr>
      <w:tr w:rsidR="00160F82" w:rsidRPr="00EF2E8A" w14:paraId="5AC77741" w14:textId="77777777" w:rsidTr="00AF3C7B">
        <w:tc>
          <w:tcPr>
            <w:tcW w:w="1263" w:type="pct"/>
            <w:tcBorders>
              <w:top w:val="nil"/>
            </w:tcBorders>
            <w:tcMar>
              <w:left w:w="40" w:type="dxa"/>
              <w:right w:w="40" w:type="dxa"/>
            </w:tcMar>
          </w:tcPr>
          <w:p w14:paraId="28F9B7C0" w14:textId="0E8692D5" w:rsidR="00160F82" w:rsidRPr="00EF2E8A" w:rsidRDefault="00160F82" w:rsidP="00F276FE">
            <w:pPr>
              <w:pStyle w:val="TableText"/>
              <w:keepNext/>
              <w:widowControl/>
              <w:rPr>
                <w:szCs w:val="20"/>
              </w:rPr>
            </w:pPr>
            <w:r w:rsidRPr="00EF2E8A">
              <w:rPr>
                <w:szCs w:val="20"/>
              </w:rPr>
              <w:t>Weighting mixed comparator (base 50:50 ICC: ICC+BEVA)</w:t>
            </w:r>
          </w:p>
        </w:tc>
        <w:tc>
          <w:tcPr>
            <w:tcW w:w="577" w:type="pct"/>
            <w:tcBorders>
              <w:top w:val="nil"/>
              <w:bottom w:val="single" w:sz="4" w:space="0" w:color="auto"/>
            </w:tcBorders>
            <w:tcMar>
              <w:left w:w="20" w:type="dxa"/>
              <w:right w:w="20" w:type="dxa"/>
            </w:tcMar>
          </w:tcPr>
          <w:p w14:paraId="0F0B1C17" w14:textId="77777777" w:rsidR="00160F82" w:rsidRPr="0009348B" w:rsidRDefault="00160F82" w:rsidP="00F276FE">
            <w:pPr>
              <w:pStyle w:val="TableText"/>
              <w:keepNext/>
              <w:widowControl/>
              <w:jc w:val="center"/>
              <w:rPr>
                <w:highlight w:val="darkGray"/>
              </w:rPr>
            </w:pPr>
          </w:p>
        </w:tc>
        <w:tc>
          <w:tcPr>
            <w:tcW w:w="552" w:type="pct"/>
            <w:tcBorders>
              <w:top w:val="nil"/>
            </w:tcBorders>
            <w:tcMar>
              <w:left w:w="20" w:type="dxa"/>
              <w:right w:w="20" w:type="dxa"/>
            </w:tcMar>
          </w:tcPr>
          <w:p w14:paraId="384161F1" w14:textId="77777777" w:rsidR="00160F82" w:rsidRPr="00EF2E8A" w:rsidRDefault="00160F82" w:rsidP="00F276FE">
            <w:pPr>
              <w:pStyle w:val="TableText"/>
              <w:keepNext/>
              <w:widowControl/>
              <w:jc w:val="center"/>
            </w:pPr>
          </w:p>
        </w:tc>
        <w:tc>
          <w:tcPr>
            <w:tcW w:w="466" w:type="pct"/>
            <w:tcBorders>
              <w:top w:val="nil"/>
            </w:tcBorders>
            <w:tcMar>
              <w:left w:w="20" w:type="dxa"/>
              <w:right w:w="20" w:type="dxa"/>
            </w:tcMar>
          </w:tcPr>
          <w:p w14:paraId="3F572E3F" w14:textId="77777777" w:rsidR="00160F82" w:rsidRPr="00EF2E8A" w:rsidRDefault="00160F82" w:rsidP="00F276FE">
            <w:pPr>
              <w:pStyle w:val="TableText"/>
              <w:keepNext/>
              <w:widowControl/>
              <w:jc w:val="center"/>
            </w:pPr>
          </w:p>
        </w:tc>
        <w:tc>
          <w:tcPr>
            <w:tcW w:w="533" w:type="pct"/>
            <w:tcBorders>
              <w:top w:val="nil"/>
              <w:bottom w:val="single" w:sz="4" w:space="0" w:color="auto"/>
            </w:tcBorders>
            <w:tcMar>
              <w:left w:w="20" w:type="dxa"/>
              <w:right w:w="20" w:type="dxa"/>
            </w:tcMar>
          </w:tcPr>
          <w:p w14:paraId="0E95FC9C" w14:textId="77777777" w:rsidR="00160F82" w:rsidRPr="00601E11" w:rsidRDefault="00160F82" w:rsidP="00F276FE">
            <w:pPr>
              <w:pStyle w:val="TableText"/>
              <w:keepNext/>
              <w:widowControl/>
              <w:jc w:val="center"/>
              <w:rPr>
                <w:highlight w:val="darkGray"/>
              </w:rPr>
            </w:pPr>
          </w:p>
        </w:tc>
        <w:tc>
          <w:tcPr>
            <w:tcW w:w="599" w:type="pct"/>
            <w:tcBorders>
              <w:top w:val="nil"/>
            </w:tcBorders>
            <w:tcMar>
              <w:left w:w="20" w:type="dxa"/>
              <w:right w:w="20" w:type="dxa"/>
            </w:tcMar>
          </w:tcPr>
          <w:p w14:paraId="2B08985B" w14:textId="77777777" w:rsidR="00160F82" w:rsidRPr="00EF2E8A" w:rsidRDefault="00160F82" w:rsidP="00F276FE">
            <w:pPr>
              <w:pStyle w:val="TableText"/>
              <w:keepNext/>
              <w:widowControl/>
              <w:jc w:val="center"/>
            </w:pPr>
          </w:p>
        </w:tc>
        <w:tc>
          <w:tcPr>
            <w:tcW w:w="466" w:type="pct"/>
            <w:tcBorders>
              <w:top w:val="nil"/>
            </w:tcBorders>
            <w:tcMar>
              <w:left w:w="20" w:type="dxa"/>
              <w:right w:w="20" w:type="dxa"/>
            </w:tcMar>
          </w:tcPr>
          <w:p w14:paraId="03C9B0EE" w14:textId="2985C966" w:rsidR="00160F82" w:rsidRPr="00A257C8" w:rsidRDefault="00160F82" w:rsidP="00F276FE">
            <w:pPr>
              <w:pStyle w:val="TableText"/>
              <w:keepNext/>
              <w:widowControl/>
              <w:jc w:val="center"/>
              <w:rPr>
                <w:highlight w:val="darkGray"/>
              </w:rPr>
            </w:pPr>
          </w:p>
        </w:tc>
        <w:tc>
          <w:tcPr>
            <w:tcW w:w="544" w:type="pct"/>
            <w:tcBorders>
              <w:top w:val="nil"/>
            </w:tcBorders>
            <w:tcMar>
              <w:left w:w="20" w:type="dxa"/>
              <w:right w:w="20" w:type="dxa"/>
            </w:tcMar>
          </w:tcPr>
          <w:p w14:paraId="6B955414" w14:textId="77777777" w:rsidR="00160F82" w:rsidRPr="00EF2E8A" w:rsidRDefault="00160F82" w:rsidP="00F276FE">
            <w:pPr>
              <w:pStyle w:val="TableText"/>
              <w:keepNext/>
              <w:widowControl/>
              <w:jc w:val="center"/>
            </w:pPr>
          </w:p>
        </w:tc>
      </w:tr>
      <w:tr w:rsidR="00160F82" w:rsidRPr="00EF2E8A" w14:paraId="6FFF857D" w14:textId="77777777" w:rsidTr="00AF3C7B">
        <w:tc>
          <w:tcPr>
            <w:tcW w:w="1263" w:type="pct"/>
            <w:tcBorders>
              <w:top w:val="nil"/>
            </w:tcBorders>
            <w:tcMar>
              <w:left w:w="40" w:type="dxa"/>
              <w:right w:w="40" w:type="dxa"/>
            </w:tcMar>
          </w:tcPr>
          <w:p w14:paraId="0174163A" w14:textId="76014853" w:rsidR="00160F82" w:rsidRPr="00EF2E8A" w:rsidRDefault="00160F82" w:rsidP="00F276FE">
            <w:pPr>
              <w:pStyle w:val="TableText"/>
              <w:keepNext/>
              <w:widowControl/>
              <w:numPr>
                <w:ilvl w:val="0"/>
                <w:numId w:val="12"/>
              </w:numPr>
              <w:ind w:left="240" w:hanging="120"/>
              <w:rPr>
                <w:szCs w:val="20"/>
              </w:rPr>
            </w:pPr>
            <w:r w:rsidRPr="00EF2E8A">
              <w:t>25:75</w:t>
            </w:r>
          </w:p>
        </w:tc>
        <w:tc>
          <w:tcPr>
            <w:tcW w:w="577" w:type="pct"/>
            <w:tcBorders>
              <w:top w:val="single" w:sz="4" w:space="0" w:color="auto"/>
              <w:bottom w:val="single" w:sz="4" w:space="0" w:color="auto"/>
            </w:tcBorders>
            <w:shd w:val="solid" w:color="000000" w:fill="000000"/>
            <w:tcMar>
              <w:left w:w="20" w:type="dxa"/>
              <w:right w:w="20" w:type="dxa"/>
            </w:tcMar>
          </w:tcPr>
          <w:p w14:paraId="5D855223" w14:textId="25E3D16D" w:rsidR="00160F82" w:rsidRPr="0009348B" w:rsidRDefault="00AF3C7B" w:rsidP="00F276FE">
            <w:pPr>
              <w:pStyle w:val="TableText"/>
              <w:keepNext/>
              <w:widowControl/>
              <w:jc w:val="center"/>
              <w:rPr>
                <w:highlight w:val="darkGray"/>
              </w:rPr>
            </w:pPr>
            <w:r w:rsidRPr="00AF3C7B">
              <w:rPr>
                <w:rFonts w:hint="eastAsia"/>
                <w:color w:val="000000"/>
                <w:w w:val="15"/>
                <w:fitText w:val="48" w:id="-629961980"/>
                <w14:textFill>
                  <w14:solidFill>
                    <w14:srgbClr w14:val="000000">
                      <w14:alpha w14:val="100000"/>
                    </w14:srgbClr>
                  </w14:solidFill>
                </w14:textFill>
              </w:rPr>
              <w:t xml:space="preserve">　</w:t>
            </w:r>
            <w:r w:rsidRPr="00AF3C7B">
              <w:rPr>
                <w:color w:val="000000"/>
                <w:w w:val="15"/>
                <w:fitText w:val="48" w:id="-629961980"/>
                <w14:textFill>
                  <w14:solidFill>
                    <w14:srgbClr w14:val="000000">
                      <w14:alpha w14:val="100000"/>
                    </w14:srgbClr>
                  </w14:solidFill>
                </w14:textFill>
              </w:rPr>
              <w:t>|</w:t>
            </w:r>
            <w:r w:rsidRPr="00AF3C7B">
              <w:rPr>
                <w:rFonts w:hint="eastAsia"/>
                <w:color w:val="000000"/>
                <w:spacing w:val="-17"/>
                <w:w w:val="15"/>
                <w:fitText w:val="48" w:id="-629961980"/>
                <w14:textFill>
                  <w14:solidFill>
                    <w14:srgbClr w14:val="000000">
                      <w14:alpha w14:val="100000"/>
                    </w14:srgbClr>
                  </w14:solidFill>
                </w14:textFill>
              </w:rPr>
              <w:t xml:space="preserve">　</w:t>
            </w:r>
          </w:p>
        </w:tc>
        <w:tc>
          <w:tcPr>
            <w:tcW w:w="552" w:type="pct"/>
            <w:tcBorders>
              <w:top w:val="nil"/>
            </w:tcBorders>
            <w:tcMar>
              <w:left w:w="20" w:type="dxa"/>
              <w:right w:w="20" w:type="dxa"/>
            </w:tcMar>
          </w:tcPr>
          <w:p w14:paraId="5EACE2DA" w14:textId="42227616" w:rsidR="00160F82" w:rsidRPr="00EF2E8A" w:rsidRDefault="00160F82" w:rsidP="00F276FE">
            <w:pPr>
              <w:pStyle w:val="TableText"/>
              <w:keepNext/>
              <w:widowControl/>
              <w:jc w:val="center"/>
            </w:pPr>
            <w:r w:rsidRPr="00EF2E8A">
              <w:t>0.68</w:t>
            </w:r>
          </w:p>
        </w:tc>
        <w:tc>
          <w:tcPr>
            <w:tcW w:w="466" w:type="pct"/>
            <w:tcBorders>
              <w:top w:val="nil"/>
            </w:tcBorders>
            <w:tcMar>
              <w:left w:w="20" w:type="dxa"/>
              <w:right w:w="20" w:type="dxa"/>
            </w:tcMar>
          </w:tcPr>
          <w:p w14:paraId="2987BE35" w14:textId="31488C02" w:rsidR="00160F82" w:rsidRPr="0009348B" w:rsidRDefault="00AF3C7B" w:rsidP="00F276FE">
            <w:pPr>
              <w:pStyle w:val="TableText"/>
              <w:keepNext/>
              <w:widowControl/>
              <w:jc w:val="center"/>
              <w:rPr>
                <w:highlight w:val="darkGray"/>
              </w:rPr>
            </w:pPr>
            <w:r w:rsidRPr="00AF3C7B">
              <w:rPr>
                <w:color w:val="000000"/>
                <w:spacing w:val="82"/>
                <w:shd w:val="solid" w:color="000000" w:fill="000000"/>
                <w:fitText w:val="168" w:id="-629961979"/>
                <w14:textFill>
                  <w14:solidFill>
                    <w14:srgbClr w14:val="000000">
                      <w14:alpha w14:val="100000"/>
                    </w14:srgbClr>
                  </w14:solidFill>
                </w14:textFill>
              </w:rPr>
              <w:t>|</w:t>
            </w:r>
            <w:r w:rsidRPr="00AF3C7B">
              <w:rPr>
                <w:color w:val="000000"/>
                <w:spacing w:val="1"/>
                <w:shd w:val="solid" w:color="000000" w:fill="000000"/>
                <w:fitText w:val="168" w:id="-629961979"/>
                <w14:textFill>
                  <w14:solidFill>
                    <w14:srgbClr w14:val="000000">
                      <w14:alpha w14:val="100000"/>
                    </w14:srgbClr>
                  </w14:solidFill>
                </w14:textFill>
              </w:rPr>
              <w:t>|</w:t>
            </w:r>
            <w:r w:rsidR="006A4C8B" w:rsidRPr="00C41CCA">
              <w:rPr>
                <w:b/>
                <w:szCs w:val="20"/>
                <w:vertAlign w:val="superscript"/>
              </w:rPr>
              <w:t>1</w:t>
            </w:r>
          </w:p>
        </w:tc>
        <w:tc>
          <w:tcPr>
            <w:tcW w:w="533" w:type="pct"/>
            <w:tcBorders>
              <w:top w:val="single" w:sz="4" w:space="0" w:color="auto"/>
              <w:bottom w:val="single" w:sz="4" w:space="0" w:color="auto"/>
            </w:tcBorders>
            <w:shd w:val="solid" w:color="000000" w:fill="000000"/>
            <w:tcMar>
              <w:left w:w="20" w:type="dxa"/>
              <w:right w:w="20" w:type="dxa"/>
            </w:tcMar>
          </w:tcPr>
          <w:p w14:paraId="5798B824" w14:textId="692DB679" w:rsidR="00160F82" w:rsidRPr="00601E11" w:rsidRDefault="00AF3C7B" w:rsidP="00F276FE">
            <w:pPr>
              <w:pStyle w:val="TableText"/>
              <w:keepNext/>
              <w:widowControl/>
              <w:jc w:val="center"/>
              <w:rPr>
                <w:highlight w:val="darkGray"/>
              </w:rPr>
            </w:pPr>
            <w:r w:rsidRPr="00AF3C7B">
              <w:rPr>
                <w:rFonts w:hint="eastAsia"/>
                <w:color w:val="000000"/>
                <w:w w:val="21"/>
                <w:fitText w:val="96" w:id="-629961978"/>
                <w14:textFill>
                  <w14:solidFill>
                    <w14:srgbClr w14:val="000000">
                      <w14:alpha w14:val="100000"/>
                    </w14:srgbClr>
                  </w14:solidFill>
                </w14:textFill>
              </w:rPr>
              <w:t xml:space="preserve">　</w:t>
            </w:r>
            <w:r w:rsidRPr="00AF3C7B">
              <w:rPr>
                <w:color w:val="000000"/>
                <w:w w:val="21"/>
                <w:fitText w:val="96" w:id="-629961978"/>
                <w14:textFill>
                  <w14:solidFill>
                    <w14:srgbClr w14:val="000000">
                      <w14:alpha w14:val="100000"/>
                    </w14:srgbClr>
                  </w14:solidFill>
                </w14:textFill>
              </w:rPr>
              <w:t>|</w:t>
            </w:r>
            <w:r w:rsidRPr="00AF3C7B">
              <w:rPr>
                <w:rFonts w:hint="eastAsia"/>
                <w:color w:val="000000"/>
                <w:w w:val="21"/>
                <w:fitText w:val="96" w:id="-629961978"/>
                <w14:textFill>
                  <w14:solidFill>
                    <w14:srgbClr w14:val="000000">
                      <w14:alpha w14:val="100000"/>
                    </w14:srgbClr>
                  </w14:solidFill>
                </w14:textFill>
              </w:rPr>
              <w:t xml:space="preserve">　</w:t>
            </w:r>
          </w:p>
        </w:tc>
        <w:tc>
          <w:tcPr>
            <w:tcW w:w="599" w:type="pct"/>
            <w:tcBorders>
              <w:top w:val="nil"/>
            </w:tcBorders>
            <w:tcMar>
              <w:left w:w="20" w:type="dxa"/>
              <w:right w:w="20" w:type="dxa"/>
            </w:tcMar>
          </w:tcPr>
          <w:p w14:paraId="18DD2275" w14:textId="456C367E" w:rsidR="00160F82" w:rsidRPr="00EF2E8A" w:rsidRDefault="00160F82" w:rsidP="00F276FE">
            <w:pPr>
              <w:pStyle w:val="TableText"/>
              <w:keepNext/>
              <w:widowControl/>
              <w:jc w:val="center"/>
            </w:pPr>
            <w:r w:rsidRPr="00EF2E8A">
              <w:t>0.60</w:t>
            </w:r>
          </w:p>
        </w:tc>
        <w:tc>
          <w:tcPr>
            <w:tcW w:w="466" w:type="pct"/>
            <w:tcBorders>
              <w:top w:val="nil"/>
            </w:tcBorders>
            <w:tcMar>
              <w:left w:w="20" w:type="dxa"/>
              <w:right w:w="20" w:type="dxa"/>
            </w:tcMar>
          </w:tcPr>
          <w:p w14:paraId="767FB320" w14:textId="0432661C" w:rsidR="00160F82" w:rsidRPr="00A257C8" w:rsidRDefault="00AF3C7B" w:rsidP="00F276FE">
            <w:pPr>
              <w:pStyle w:val="TableText"/>
              <w:keepNext/>
              <w:widowControl/>
              <w:jc w:val="center"/>
              <w:rPr>
                <w:highlight w:val="darkGray"/>
              </w:rPr>
            </w:pPr>
            <w:r w:rsidRPr="00AF3C7B">
              <w:rPr>
                <w:color w:val="000000"/>
                <w:spacing w:val="82"/>
                <w:shd w:val="solid" w:color="000000" w:fill="000000"/>
                <w:fitText w:val="168" w:id="-629961977"/>
                <w14:textFill>
                  <w14:solidFill>
                    <w14:srgbClr w14:val="000000">
                      <w14:alpha w14:val="100000"/>
                    </w14:srgbClr>
                  </w14:solidFill>
                </w14:textFill>
              </w:rPr>
              <w:t>|</w:t>
            </w:r>
            <w:r w:rsidRPr="00AF3C7B">
              <w:rPr>
                <w:color w:val="000000"/>
                <w:spacing w:val="1"/>
                <w:shd w:val="solid" w:color="000000" w:fill="000000"/>
                <w:fitText w:val="168" w:id="-629961977"/>
                <w14:textFill>
                  <w14:solidFill>
                    <w14:srgbClr w14:val="000000">
                      <w14:alpha w14:val="100000"/>
                    </w14:srgbClr>
                  </w14:solidFill>
                </w14:textFill>
              </w:rPr>
              <w:t>|</w:t>
            </w:r>
            <w:r w:rsidR="006A4C8B" w:rsidRPr="00C41CCA">
              <w:rPr>
                <w:b/>
                <w:szCs w:val="20"/>
                <w:vertAlign w:val="superscript"/>
              </w:rPr>
              <w:t>1</w:t>
            </w:r>
          </w:p>
        </w:tc>
        <w:tc>
          <w:tcPr>
            <w:tcW w:w="544" w:type="pct"/>
            <w:tcBorders>
              <w:top w:val="nil"/>
            </w:tcBorders>
            <w:tcMar>
              <w:left w:w="20" w:type="dxa"/>
              <w:right w:w="20" w:type="dxa"/>
            </w:tcMar>
          </w:tcPr>
          <w:p w14:paraId="2689A1E2" w14:textId="1A9ABA2E" w:rsidR="00160F82" w:rsidRPr="00EF2E8A" w:rsidRDefault="00AF3C7B" w:rsidP="00F276FE">
            <w:pPr>
              <w:pStyle w:val="TableText"/>
              <w:keepNext/>
              <w:widowControl/>
              <w:jc w:val="center"/>
            </w:pPr>
            <w:r w:rsidRPr="00AF3C7B">
              <w:rPr>
                <w:rFonts w:hint="eastAsia"/>
                <w:color w:val="000000"/>
                <w:w w:val="21"/>
                <w:shd w:val="solid" w:color="000000" w:fill="000000"/>
                <w:fitText w:val="96" w:id="-629961976"/>
                <w14:textFill>
                  <w14:solidFill>
                    <w14:srgbClr w14:val="000000">
                      <w14:alpha w14:val="100000"/>
                    </w14:srgbClr>
                  </w14:solidFill>
                </w14:textFill>
              </w:rPr>
              <w:t xml:space="preserve">　</w:t>
            </w:r>
            <w:r w:rsidRPr="00AF3C7B">
              <w:rPr>
                <w:color w:val="000000"/>
                <w:w w:val="21"/>
                <w:shd w:val="solid" w:color="000000" w:fill="000000"/>
                <w:fitText w:val="96" w:id="-629961976"/>
                <w14:textFill>
                  <w14:solidFill>
                    <w14:srgbClr w14:val="000000">
                      <w14:alpha w14:val="100000"/>
                    </w14:srgbClr>
                  </w14:solidFill>
                </w14:textFill>
              </w:rPr>
              <w:t>|</w:t>
            </w:r>
            <w:r w:rsidRPr="00AF3C7B">
              <w:rPr>
                <w:rFonts w:hint="eastAsia"/>
                <w:color w:val="000000"/>
                <w:spacing w:val="5"/>
                <w:w w:val="21"/>
                <w:shd w:val="solid" w:color="000000" w:fill="000000"/>
                <w:fitText w:val="96" w:id="-629961976"/>
                <w14:textFill>
                  <w14:solidFill>
                    <w14:srgbClr w14:val="000000">
                      <w14:alpha w14:val="100000"/>
                    </w14:srgbClr>
                  </w14:solidFill>
                </w14:textFill>
              </w:rPr>
              <w:t xml:space="preserve">　</w:t>
            </w:r>
            <w:r w:rsidR="006A4C8B" w:rsidRPr="00C41CCA">
              <w:rPr>
                <w:b/>
                <w:szCs w:val="20"/>
                <w:vertAlign w:val="superscript"/>
              </w:rPr>
              <w:t>1</w:t>
            </w:r>
          </w:p>
          <w:p w14:paraId="1C07BD8D" w14:textId="2680D9A5" w:rsidR="00160F82" w:rsidRPr="00EF2E8A" w:rsidRDefault="00160F82" w:rsidP="00F276FE">
            <w:pPr>
              <w:pStyle w:val="TableText"/>
              <w:keepNext/>
              <w:widowControl/>
              <w:jc w:val="center"/>
            </w:pPr>
            <w:r w:rsidRPr="00EF2E8A">
              <w:t>(</w:t>
            </w:r>
            <w:r w:rsidR="00A46D2B">
              <w:noBreakHyphen/>
            </w:r>
            <w:r w:rsidR="00AF3C7B" w:rsidRPr="00AF3C7B">
              <w:rPr>
                <w:color w:val="000000"/>
                <w:spacing w:val="154"/>
                <w:shd w:val="solid" w:color="000000" w:fill="000000"/>
                <w:fitText w:val="240" w:id="-629961975"/>
                <w14:textFill>
                  <w14:solidFill>
                    <w14:srgbClr w14:val="000000">
                      <w14:alpha w14:val="100000"/>
                    </w14:srgbClr>
                  </w14:solidFill>
                </w14:textFill>
              </w:rPr>
              <w:t>|</w:t>
            </w:r>
            <w:r w:rsidR="00AF3C7B" w:rsidRPr="00AF3C7B">
              <w:rPr>
                <w:color w:val="000000"/>
                <w:spacing w:val="1"/>
                <w:shd w:val="solid" w:color="000000" w:fill="000000"/>
                <w:fitText w:val="240" w:id="-629961975"/>
                <w14:textFill>
                  <w14:solidFill>
                    <w14:srgbClr w14:val="000000">
                      <w14:alpha w14:val="100000"/>
                    </w14:srgbClr>
                  </w14:solidFill>
                </w14:textFill>
              </w:rPr>
              <w:t>|</w:t>
            </w:r>
            <w:r w:rsidRPr="00EF2E8A">
              <w:t>%)</w:t>
            </w:r>
          </w:p>
        </w:tc>
      </w:tr>
      <w:tr w:rsidR="00160F82" w:rsidRPr="00EF2E8A" w14:paraId="31E5FD41" w14:textId="77777777" w:rsidTr="00AF3C7B">
        <w:tc>
          <w:tcPr>
            <w:tcW w:w="1263" w:type="pct"/>
            <w:tcBorders>
              <w:top w:val="nil"/>
            </w:tcBorders>
            <w:tcMar>
              <w:left w:w="40" w:type="dxa"/>
              <w:right w:w="40" w:type="dxa"/>
            </w:tcMar>
          </w:tcPr>
          <w:p w14:paraId="0AC4A218" w14:textId="62DED129" w:rsidR="00160F82" w:rsidRPr="00EF2E8A" w:rsidRDefault="00160F82" w:rsidP="00F276FE">
            <w:pPr>
              <w:pStyle w:val="TableText"/>
              <w:keepNext/>
              <w:widowControl/>
              <w:numPr>
                <w:ilvl w:val="0"/>
                <w:numId w:val="12"/>
              </w:numPr>
              <w:ind w:left="240" w:hanging="120"/>
              <w:rPr>
                <w:szCs w:val="20"/>
              </w:rPr>
            </w:pPr>
            <w:r w:rsidRPr="00EF2E8A">
              <w:t>75:25</w:t>
            </w:r>
          </w:p>
        </w:tc>
        <w:tc>
          <w:tcPr>
            <w:tcW w:w="577" w:type="pct"/>
            <w:tcBorders>
              <w:top w:val="single" w:sz="4" w:space="0" w:color="auto"/>
              <w:bottom w:val="single" w:sz="4" w:space="0" w:color="auto"/>
            </w:tcBorders>
            <w:shd w:val="solid" w:color="000000" w:fill="000000"/>
            <w:tcMar>
              <w:left w:w="20" w:type="dxa"/>
              <w:right w:w="20" w:type="dxa"/>
            </w:tcMar>
          </w:tcPr>
          <w:p w14:paraId="348B35C8" w14:textId="396067EF" w:rsidR="00160F82" w:rsidRPr="0009348B" w:rsidRDefault="00AF3C7B" w:rsidP="00F276FE">
            <w:pPr>
              <w:pStyle w:val="TableText"/>
              <w:keepNext/>
              <w:widowControl/>
              <w:jc w:val="center"/>
              <w:rPr>
                <w:highlight w:val="darkGray"/>
              </w:rPr>
            </w:pPr>
            <w:r w:rsidRPr="00AF3C7B">
              <w:rPr>
                <w:rFonts w:hint="eastAsia"/>
                <w:color w:val="000000"/>
                <w:w w:val="15"/>
                <w:fitText w:val="48" w:id="-629961974"/>
                <w14:textFill>
                  <w14:solidFill>
                    <w14:srgbClr w14:val="000000">
                      <w14:alpha w14:val="100000"/>
                    </w14:srgbClr>
                  </w14:solidFill>
                </w14:textFill>
              </w:rPr>
              <w:t xml:space="preserve">　</w:t>
            </w:r>
            <w:r w:rsidRPr="00AF3C7B">
              <w:rPr>
                <w:color w:val="000000"/>
                <w:w w:val="15"/>
                <w:fitText w:val="48" w:id="-629961974"/>
                <w14:textFill>
                  <w14:solidFill>
                    <w14:srgbClr w14:val="000000">
                      <w14:alpha w14:val="100000"/>
                    </w14:srgbClr>
                  </w14:solidFill>
                </w14:textFill>
              </w:rPr>
              <w:t>|</w:t>
            </w:r>
            <w:r w:rsidRPr="00AF3C7B">
              <w:rPr>
                <w:rFonts w:hint="eastAsia"/>
                <w:color w:val="000000"/>
                <w:spacing w:val="-17"/>
                <w:w w:val="15"/>
                <w:fitText w:val="48" w:id="-629961974"/>
                <w14:textFill>
                  <w14:solidFill>
                    <w14:srgbClr w14:val="000000">
                      <w14:alpha w14:val="100000"/>
                    </w14:srgbClr>
                  </w14:solidFill>
                </w14:textFill>
              </w:rPr>
              <w:t xml:space="preserve">　</w:t>
            </w:r>
          </w:p>
        </w:tc>
        <w:tc>
          <w:tcPr>
            <w:tcW w:w="552" w:type="pct"/>
            <w:tcBorders>
              <w:top w:val="nil"/>
            </w:tcBorders>
            <w:tcMar>
              <w:left w:w="20" w:type="dxa"/>
              <w:right w:w="20" w:type="dxa"/>
            </w:tcMar>
          </w:tcPr>
          <w:p w14:paraId="5B9B02EF" w14:textId="3941ECF7" w:rsidR="00160F82" w:rsidRPr="00EF2E8A" w:rsidRDefault="00160F82" w:rsidP="00F276FE">
            <w:pPr>
              <w:pStyle w:val="TableText"/>
              <w:keepNext/>
              <w:widowControl/>
              <w:jc w:val="center"/>
            </w:pPr>
            <w:r w:rsidRPr="00EF2E8A">
              <w:t>0.68</w:t>
            </w:r>
          </w:p>
        </w:tc>
        <w:tc>
          <w:tcPr>
            <w:tcW w:w="466" w:type="pct"/>
            <w:tcBorders>
              <w:top w:val="nil"/>
            </w:tcBorders>
            <w:tcMar>
              <w:left w:w="20" w:type="dxa"/>
              <w:right w:w="20" w:type="dxa"/>
            </w:tcMar>
          </w:tcPr>
          <w:p w14:paraId="64CC7D63" w14:textId="0DDA5E97" w:rsidR="00160F82" w:rsidRPr="0009348B" w:rsidRDefault="00AF3C7B" w:rsidP="00F276FE">
            <w:pPr>
              <w:pStyle w:val="TableText"/>
              <w:keepNext/>
              <w:widowControl/>
              <w:jc w:val="center"/>
              <w:rPr>
                <w:highlight w:val="darkGray"/>
              </w:rPr>
            </w:pPr>
            <w:r w:rsidRPr="00AF3C7B">
              <w:rPr>
                <w:color w:val="000000"/>
                <w:spacing w:val="82"/>
                <w:shd w:val="solid" w:color="000000" w:fill="000000"/>
                <w:fitText w:val="168" w:id="-629961973"/>
                <w14:textFill>
                  <w14:solidFill>
                    <w14:srgbClr w14:val="000000">
                      <w14:alpha w14:val="100000"/>
                    </w14:srgbClr>
                  </w14:solidFill>
                </w14:textFill>
              </w:rPr>
              <w:t>|</w:t>
            </w:r>
            <w:r w:rsidRPr="00AF3C7B">
              <w:rPr>
                <w:color w:val="000000"/>
                <w:spacing w:val="1"/>
                <w:shd w:val="solid" w:color="000000" w:fill="000000"/>
                <w:fitText w:val="168" w:id="-629961973"/>
                <w14:textFill>
                  <w14:solidFill>
                    <w14:srgbClr w14:val="000000">
                      <w14:alpha w14:val="100000"/>
                    </w14:srgbClr>
                  </w14:solidFill>
                </w14:textFill>
              </w:rPr>
              <w:t>|</w:t>
            </w:r>
            <w:r w:rsidR="006A4C8B" w:rsidRPr="00C41CCA">
              <w:rPr>
                <w:b/>
                <w:szCs w:val="20"/>
                <w:vertAlign w:val="superscript"/>
              </w:rPr>
              <w:t>1</w:t>
            </w:r>
          </w:p>
        </w:tc>
        <w:tc>
          <w:tcPr>
            <w:tcW w:w="533" w:type="pct"/>
            <w:tcBorders>
              <w:top w:val="single" w:sz="4" w:space="0" w:color="auto"/>
              <w:bottom w:val="single" w:sz="4" w:space="0" w:color="auto"/>
            </w:tcBorders>
            <w:shd w:val="solid" w:color="000000" w:fill="000000"/>
            <w:tcMar>
              <w:left w:w="20" w:type="dxa"/>
              <w:right w:w="20" w:type="dxa"/>
            </w:tcMar>
          </w:tcPr>
          <w:p w14:paraId="13F334C1" w14:textId="7E76FE5B" w:rsidR="00160F82" w:rsidRPr="00601E11" w:rsidRDefault="00AF3C7B" w:rsidP="00F276FE">
            <w:pPr>
              <w:pStyle w:val="TableText"/>
              <w:keepNext/>
              <w:widowControl/>
              <w:jc w:val="center"/>
              <w:rPr>
                <w:highlight w:val="darkGray"/>
              </w:rPr>
            </w:pPr>
            <w:r w:rsidRPr="00AF3C7B">
              <w:rPr>
                <w:rFonts w:hint="eastAsia"/>
                <w:color w:val="000000"/>
                <w:w w:val="21"/>
                <w:fitText w:val="96" w:id="-629961972"/>
                <w14:textFill>
                  <w14:solidFill>
                    <w14:srgbClr w14:val="000000">
                      <w14:alpha w14:val="100000"/>
                    </w14:srgbClr>
                  </w14:solidFill>
                </w14:textFill>
              </w:rPr>
              <w:t xml:space="preserve">　</w:t>
            </w:r>
            <w:r w:rsidRPr="00AF3C7B">
              <w:rPr>
                <w:color w:val="000000"/>
                <w:w w:val="21"/>
                <w:fitText w:val="96" w:id="-629961972"/>
                <w14:textFill>
                  <w14:solidFill>
                    <w14:srgbClr w14:val="000000">
                      <w14:alpha w14:val="100000"/>
                    </w14:srgbClr>
                  </w14:solidFill>
                </w14:textFill>
              </w:rPr>
              <w:t>|</w:t>
            </w:r>
            <w:r w:rsidRPr="00AF3C7B">
              <w:rPr>
                <w:rFonts w:hint="eastAsia"/>
                <w:color w:val="000000"/>
                <w:w w:val="21"/>
                <w:fitText w:val="96" w:id="-629961972"/>
                <w14:textFill>
                  <w14:solidFill>
                    <w14:srgbClr w14:val="000000">
                      <w14:alpha w14:val="100000"/>
                    </w14:srgbClr>
                  </w14:solidFill>
                </w14:textFill>
              </w:rPr>
              <w:t xml:space="preserve">　</w:t>
            </w:r>
          </w:p>
        </w:tc>
        <w:tc>
          <w:tcPr>
            <w:tcW w:w="599" w:type="pct"/>
            <w:tcBorders>
              <w:top w:val="nil"/>
            </w:tcBorders>
            <w:tcMar>
              <w:left w:w="20" w:type="dxa"/>
              <w:right w:w="20" w:type="dxa"/>
            </w:tcMar>
          </w:tcPr>
          <w:p w14:paraId="743B9844" w14:textId="37FDE397" w:rsidR="00160F82" w:rsidRPr="00EF2E8A" w:rsidRDefault="00160F82" w:rsidP="00F276FE">
            <w:pPr>
              <w:pStyle w:val="TableText"/>
              <w:keepNext/>
              <w:widowControl/>
              <w:jc w:val="center"/>
            </w:pPr>
            <w:r w:rsidRPr="00EF2E8A">
              <w:t>0.60</w:t>
            </w:r>
          </w:p>
        </w:tc>
        <w:tc>
          <w:tcPr>
            <w:tcW w:w="466" w:type="pct"/>
            <w:tcBorders>
              <w:top w:val="nil"/>
            </w:tcBorders>
            <w:tcMar>
              <w:left w:w="20" w:type="dxa"/>
              <w:right w:w="20" w:type="dxa"/>
            </w:tcMar>
          </w:tcPr>
          <w:p w14:paraId="2D4D65D6" w14:textId="50397CBC" w:rsidR="00160F82" w:rsidRPr="00A257C8" w:rsidRDefault="00AF3C7B" w:rsidP="00F276FE">
            <w:pPr>
              <w:pStyle w:val="TableText"/>
              <w:keepNext/>
              <w:widowControl/>
              <w:jc w:val="center"/>
              <w:rPr>
                <w:highlight w:val="darkGray"/>
              </w:rPr>
            </w:pPr>
            <w:r w:rsidRPr="00AF3C7B">
              <w:rPr>
                <w:color w:val="000000"/>
                <w:spacing w:val="82"/>
                <w:shd w:val="solid" w:color="000000" w:fill="000000"/>
                <w:fitText w:val="168" w:id="-629961971"/>
                <w14:textFill>
                  <w14:solidFill>
                    <w14:srgbClr w14:val="000000">
                      <w14:alpha w14:val="100000"/>
                    </w14:srgbClr>
                  </w14:solidFill>
                </w14:textFill>
              </w:rPr>
              <w:t>|</w:t>
            </w:r>
            <w:r w:rsidRPr="00AF3C7B">
              <w:rPr>
                <w:color w:val="000000"/>
                <w:spacing w:val="1"/>
                <w:shd w:val="solid" w:color="000000" w:fill="000000"/>
                <w:fitText w:val="168" w:id="-629961971"/>
                <w14:textFill>
                  <w14:solidFill>
                    <w14:srgbClr w14:val="000000">
                      <w14:alpha w14:val="100000"/>
                    </w14:srgbClr>
                  </w14:solidFill>
                </w14:textFill>
              </w:rPr>
              <w:t>|</w:t>
            </w:r>
            <w:r w:rsidR="006A4C8B" w:rsidRPr="00C41CCA">
              <w:rPr>
                <w:b/>
                <w:szCs w:val="20"/>
                <w:vertAlign w:val="superscript"/>
              </w:rPr>
              <w:t>1</w:t>
            </w:r>
          </w:p>
        </w:tc>
        <w:tc>
          <w:tcPr>
            <w:tcW w:w="544" w:type="pct"/>
            <w:tcBorders>
              <w:top w:val="nil"/>
            </w:tcBorders>
            <w:tcMar>
              <w:left w:w="20" w:type="dxa"/>
              <w:right w:w="20" w:type="dxa"/>
            </w:tcMar>
          </w:tcPr>
          <w:p w14:paraId="0D488369" w14:textId="4EFCEBF4" w:rsidR="00160F82" w:rsidRPr="00EF2E8A" w:rsidRDefault="00AF3C7B" w:rsidP="00F276FE">
            <w:pPr>
              <w:pStyle w:val="TableText"/>
              <w:keepNext/>
              <w:widowControl/>
              <w:jc w:val="center"/>
            </w:pPr>
            <w:r w:rsidRPr="00AF3C7B">
              <w:rPr>
                <w:rFonts w:hint="eastAsia"/>
                <w:color w:val="000000"/>
                <w:w w:val="27"/>
                <w:shd w:val="solid" w:color="000000" w:fill="000000"/>
                <w:fitText w:val="120" w:id="-629961970"/>
                <w14:textFill>
                  <w14:solidFill>
                    <w14:srgbClr w14:val="000000">
                      <w14:alpha w14:val="100000"/>
                    </w14:srgbClr>
                  </w14:solidFill>
                </w14:textFill>
              </w:rPr>
              <w:t xml:space="preserve">　</w:t>
            </w:r>
            <w:r w:rsidRPr="00AF3C7B">
              <w:rPr>
                <w:color w:val="000000"/>
                <w:w w:val="27"/>
                <w:shd w:val="solid" w:color="000000" w:fill="000000"/>
                <w:fitText w:val="120" w:id="-629961970"/>
                <w14:textFill>
                  <w14:solidFill>
                    <w14:srgbClr w14:val="000000">
                      <w14:alpha w14:val="100000"/>
                    </w14:srgbClr>
                  </w14:solidFill>
                </w14:textFill>
              </w:rPr>
              <w:t>|</w:t>
            </w:r>
            <w:r w:rsidRPr="00AF3C7B">
              <w:rPr>
                <w:rFonts w:hint="eastAsia"/>
                <w:color w:val="000000"/>
                <w:spacing w:val="2"/>
                <w:w w:val="27"/>
                <w:shd w:val="solid" w:color="000000" w:fill="000000"/>
                <w:fitText w:val="120" w:id="-629961970"/>
                <w14:textFill>
                  <w14:solidFill>
                    <w14:srgbClr w14:val="000000">
                      <w14:alpha w14:val="100000"/>
                    </w14:srgbClr>
                  </w14:solidFill>
                </w14:textFill>
              </w:rPr>
              <w:t xml:space="preserve">　</w:t>
            </w:r>
            <w:r w:rsidR="00160F82" w:rsidRPr="00EF2E8A">
              <w:t xml:space="preserve"> </w:t>
            </w:r>
            <w:r w:rsidR="006A4C8B" w:rsidRPr="00C41CCA">
              <w:rPr>
                <w:b/>
                <w:szCs w:val="20"/>
                <w:vertAlign w:val="superscript"/>
              </w:rPr>
              <w:t>1</w:t>
            </w:r>
            <w:r w:rsidR="006A4C8B" w:rsidRPr="00EF2E8A">
              <w:t xml:space="preserve"> </w:t>
            </w:r>
            <w:r w:rsidR="00160F82" w:rsidRPr="00EF2E8A">
              <w:t>(+</w:t>
            </w:r>
            <w:r w:rsidRPr="00AF3C7B">
              <w:rPr>
                <w:color w:val="000000"/>
                <w:spacing w:val="166"/>
                <w:shd w:val="solid" w:color="000000" w:fill="000000"/>
                <w:fitText w:val="252" w:id="-629961969"/>
                <w14:textFill>
                  <w14:solidFill>
                    <w14:srgbClr w14:val="000000">
                      <w14:alpha w14:val="100000"/>
                    </w14:srgbClr>
                  </w14:solidFill>
                </w14:textFill>
              </w:rPr>
              <w:t>|</w:t>
            </w:r>
            <w:r w:rsidRPr="00AF3C7B">
              <w:rPr>
                <w:color w:val="000000"/>
                <w:spacing w:val="1"/>
                <w:shd w:val="solid" w:color="000000" w:fill="000000"/>
                <w:fitText w:val="252" w:id="-629961969"/>
                <w14:textFill>
                  <w14:solidFill>
                    <w14:srgbClr w14:val="000000">
                      <w14:alpha w14:val="100000"/>
                    </w14:srgbClr>
                  </w14:solidFill>
                </w14:textFill>
              </w:rPr>
              <w:t>|</w:t>
            </w:r>
            <w:r w:rsidR="00160F82" w:rsidRPr="00EF2E8A">
              <w:t>%)</w:t>
            </w:r>
          </w:p>
        </w:tc>
      </w:tr>
      <w:tr w:rsidR="00160F82" w:rsidRPr="00EF2E8A" w14:paraId="549127A5" w14:textId="77777777" w:rsidTr="00AF3C7B">
        <w:tc>
          <w:tcPr>
            <w:tcW w:w="1263" w:type="pct"/>
            <w:tcBorders>
              <w:top w:val="nil"/>
            </w:tcBorders>
            <w:tcMar>
              <w:left w:w="40" w:type="dxa"/>
              <w:right w:w="40" w:type="dxa"/>
            </w:tcMar>
          </w:tcPr>
          <w:p w14:paraId="45DDACD7" w14:textId="7F838F63" w:rsidR="00160F82" w:rsidRPr="00EF2E8A" w:rsidRDefault="00160F82" w:rsidP="00F276FE">
            <w:pPr>
              <w:pStyle w:val="TableText"/>
              <w:keepNext/>
              <w:widowControl/>
              <w:numPr>
                <w:ilvl w:val="0"/>
                <w:numId w:val="12"/>
              </w:numPr>
              <w:ind w:left="240" w:hanging="120"/>
              <w:rPr>
                <w:szCs w:val="20"/>
              </w:rPr>
            </w:pPr>
            <w:r w:rsidRPr="00EF2E8A">
              <w:t>100:0</w:t>
            </w:r>
          </w:p>
        </w:tc>
        <w:tc>
          <w:tcPr>
            <w:tcW w:w="577" w:type="pct"/>
            <w:tcBorders>
              <w:top w:val="single" w:sz="4" w:space="0" w:color="auto"/>
            </w:tcBorders>
            <w:shd w:val="solid" w:color="000000" w:fill="000000"/>
            <w:tcMar>
              <w:left w:w="20" w:type="dxa"/>
              <w:right w:w="20" w:type="dxa"/>
            </w:tcMar>
          </w:tcPr>
          <w:p w14:paraId="643C9656" w14:textId="16CB9FA6" w:rsidR="00160F82" w:rsidRPr="0009348B" w:rsidRDefault="00AF3C7B" w:rsidP="00F276FE">
            <w:pPr>
              <w:pStyle w:val="TableText"/>
              <w:keepNext/>
              <w:widowControl/>
              <w:jc w:val="center"/>
              <w:rPr>
                <w:highlight w:val="darkGray"/>
              </w:rPr>
            </w:pPr>
            <w:r w:rsidRPr="00AF3C7B">
              <w:rPr>
                <w:rFonts w:hint="eastAsia"/>
                <w:color w:val="000000"/>
                <w:w w:val="15"/>
                <w:fitText w:val="48" w:id="-629961968"/>
                <w14:textFill>
                  <w14:solidFill>
                    <w14:srgbClr w14:val="000000">
                      <w14:alpha w14:val="100000"/>
                    </w14:srgbClr>
                  </w14:solidFill>
                </w14:textFill>
              </w:rPr>
              <w:t xml:space="preserve">　</w:t>
            </w:r>
            <w:r w:rsidRPr="00AF3C7B">
              <w:rPr>
                <w:color w:val="000000"/>
                <w:w w:val="15"/>
                <w:fitText w:val="48" w:id="-629961968"/>
                <w14:textFill>
                  <w14:solidFill>
                    <w14:srgbClr w14:val="000000">
                      <w14:alpha w14:val="100000"/>
                    </w14:srgbClr>
                  </w14:solidFill>
                </w14:textFill>
              </w:rPr>
              <w:t>|</w:t>
            </w:r>
            <w:r w:rsidRPr="00AF3C7B">
              <w:rPr>
                <w:rFonts w:hint="eastAsia"/>
                <w:color w:val="000000"/>
                <w:spacing w:val="-17"/>
                <w:w w:val="15"/>
                <w:fitText w:val="48" w:id="-629961968"/>
                <w14:textFill>
                  <w14:solidFill>
                    <w14:srgbClr w14:val="000000">
                      <w14:alpha w14:val="100000"/>
                    </w14:srgbClr>
                  </w14:solidFill>
                </w14:textFill>
              </w:rPr>
              <w:t xml:space="preserve">　</w:t>
            </w:r>
          </w:p>
        </w:tc>
        <w:tc>
          <w:tcPr>
            <w:tcW w:w="552" w:type="pct"/>
            <w:tcBorders>
              <w:top w:val="nil"/>
            </w:tcBorders>
            <w:tcMar>
              <w:left w:w="20" w:type="dxa"/>
              <w:right w:w="20" w:type="dxa"/>
            </w:tcMar>
          </w:tcPr>
          <w:p w14:paraId="0360401B" w14:textId="5D67D40E" w:rsidR="00160F82" w:rsidRPr="00EF2E8A" w:rsidRDefault="00160F82" w:rsidP="00F276FE">
            <w:pPr>
              <w:pStyle w:val="TableText"/>
              <w:keepNext/>
              <w:widowControl/>
              <w:jc w:val="center"/>
            </w:pPr>
            <w:r w:rsidRPr="00EF2E8A">
              <w:t>0.68</w:t>
            </w:r>
          </w:p>
        </w:tc>
        <w:tc>
          <w:tcPr>
            <w:tcW w:w="466" w:type="pct"/>
            <w:tcBorders>
              <w:top w:val="nil"/>
            </w:tcBorders>
            <w:tcMar>
              <w:left w:w="20" w:type="dxa"/>
              <w:right w:w="20" w:type="dxa"/>
            </w:tcMar>
          </w:tcPr>
          <w:p w14:paraId="1E87FDA3" w14:textId="5C27DADF" w:rsidR="00160F82" w:rsidRPr="0009348B" w:rsidRDefault="00AF3C7B" w:rsidP="00F276FE">
            <w:pPr>
              <w:pStyle w:val="TableText"/>
              <w:keepNext/>
              <w:widowControl/>
              <w:jc w:val="center"/>
              <w:rPr>
                <w:highlight w:val="darkGray"/>
              </w:rPr>
            </w:pPr>
            <w:r w:rsidRPr="00AF3C7B">
              <w:rPr>
                <w:color w:val="000000"/>
                <w:spacing w:val="82"/>
                <w:shd w:val="solid" w:color="000000" w:fill="000000"/>
                <w:fitText w:val="168" w:id="-629961984"/>
                <w14:textFill>
                  <w14:solidFill>
                    <w14:srgbClr w14:val="000000">
                      <w14:alpha w14:val="100000"/>
                    </w14:srgbClr>
                  </w14:solidFill>
                </w14:textFill>
              </w:rPr>
              <w:t>|</w:t>
            </w:r>
            <w:r w:rsidRPr="00AF3C7B">
              <w:rPr>
                <w:color w:val="000000"/>
                <w:spacing w:val="1"/>
                <w:shd w:val="solid" w:color="000000" w:fill="000000"/>
                <w:fitText w:val="168" w:id="-629961984"/>
                <w14:textFill>
                  <w14:solidFill>
                    <w14:srgbClr w14:val="000000">
                      <w14:alpha w14:val="100000"/>
                    </w14:srgbClr>
                  </w14:solidFill>
                </w14:textFill>
              </w:rPr>
              <w:t>|</w:t>
            </w:r>
            <w:r w:rsidR="006A4C8B" w:rsidRPr="00C41CCA">
              <w:rPr>
                <w:b/>
                <w:szCs w:val="20"/>
                <w:vertAlign w:val="superscript"/>
              </w:rPr>
              <w:t>1</w:t>
            </w:r>
          </w:p>
        </w:tc>
        <w:tc>
          <w:tcPr>
            <w:tcW w:w="533" w:type="pct"/>
            <w:tcBorders>
              <w:top w:val="single" w:sz="4" w:space="0" w:color="auto"/>
            </w:tcBorders>
            <w:shd w:val="solid" w:color="000000" w:fill="000000"/>
            <w:tcMar>
              <w:left w:w="20" w:type="dxa"/>
              <w:right w:w="20" w:type="dxa"/>
            </w:tcMar>
          </w:tcPr>
          <w:p w14:paraId="621A2809" w14:textId="219AACB7" w:rsidR="00160F82" w:rsidRPr="00601E11" w:rsidRDefault="00AF3C7B" w:rsidP="00F276FE">
            <w:pPr>
              <w:pStyle w:val="TableText"/>
              <w:keepNext/>
              <w:widowControl/>
              <w:jc w:val="center"/>
              <w:rPr>
                <w:highlight w:val="darkGray"/>
              </w:rPr>
            </w:pPr>
            <w:r w:rsidRPr="00AF3C7B">
              <w:rPr>
                <w:rFonts w:hint="eastAsia"/>
                <w:color w:val="000000"/>
                <w:w w:val="21"/>
                <w:fitText w:val="96" w:id="-629961983"/>
                <w14:textFill>
                  <w14:solidFill>
                    <w14:srgbClr w14:val="000000">
                      <w14:alpha w14:val="100000"/>
                    </w14:srgbClr>
                  </w14:solidFill>
                </w14:textFill>
              </w:rPr>
              <w:t xml:space="preserve">　</w:t>
            </w:r>
            <w:r w:rsidRPr="00AF3C7B">
              <w:rPr>
                <w:color w:val="000000"/>
                <w:w w:val="21"/>
                <w:fitText w:val="96" w:id="-629961983"/>
                <w14:textFill>
                  <w14:solidFill>
                    <w14:srgbClr w14:val="000000">
                      <w14:alpha w14:val="100000"/>
                    </w14:srgbClr>
                  </w14:solidFill>
                </w14:textFill>
              </w:rPr>
              <w:t>|</w:t>
            </w:r>
            <w:r w:rsidRPr="00AF3C7B">
              <w:rPr>
                <w:rFonts w:hint="eastAsia"/>
                <w:color w:val="000000"/>
                <w:w w:val="21"/>
                <w:fitText w:val="96" w:id="-629961983"/>
                <w14:textFill>
                  <w14:solidFill>
                    <w14:srgbClr w14:val="000000">
                      <w14:alpha w14:val="100000"/>
                    </w14:srgbClr>
                  </w14:solidFill>
                </w14:textFill>
              </w:rPr>
              <w:t xml:space="preserve">　</w:t>
            </w:r>
          </w:p>
        </w:tc>
        <w:tc>
          <w:tcPr>
            <w:tcW w:w="599" w:type="pct"/>
            <w:tcBorders>
              <w:top w:val="nil"/>
            </w:tcBorders>
            <w:tcMar>
              <w:left w:w="20" w:type="dxa"/>
              <w:right w:w="20" w:type="dxa"/>
            </w:tcMar>
          </w:tcPr>
          <w:p w14:paraId="207EC899" w14:textId="3DE5C32C" w:rsidR="00160F82" w:rsidRPr="00EF2E8A" w:rsidRDefault="00160F82" w:rsidP="00F276FE">
            <w:pPr>
              <w:pStyle w:val="TableText"/>
              <w:keepNext/>
              <w:widowControl/>
              <w:jc w:val="center"/>
            </w:pPr>
            <w:r w:rsidRPr="00EF2E8A">
              <w:t>0.60</w:t>
            </w:r>
          </w:p>
        </w:tc>
        <w:tc>
          <w:tcPr>
            <w:tcW w:w="466" w:type="pct"/>
            <w:tcBorders>
              <w:top w:val="nil"/>
            </w:tcBorders>
            <w:tcMar>
              <w:left w:w="20" w:type="dxa"/>
              <w:right w:w="20" w:type="dxa"/>
            </w:tcMar>
          </w:tcPr>
          <w:p w14:paraId="3AE25B91" w14:textId="681F560E" w:rsidR="00160F82" w:rsidRPr="00A257C8" w:rsidRDefault="00AF3C7B" w:rsidP="00F276FE">
            <w:pPr>
              <w:pStyle w:val="TableText"/>
              <w:keepNext/>
              <w:widowControl/>
              <w:jc w:val="center"/>
              <w:rPr>
                <w:highlight w:val="darkGray"/>
              </w:rPr>
            </w:pPr>
            <w:r w:rsidRPr="00AF3C7B">
              <w:rPr>
                <w:color w:val="000000"/>
                <w:spacing w:val="82"/>
                <w:shd w:val="solid" w:color="000000" w:fill="000000"/>
                <w:fitText w:val="168" w:id="-629961982"/>
                <w14:textFill>
                  <w14:solidFill>
                    <w14:srgbClr w14:val="000000">
                      <w14:alpha w14:val="100000"/>
                    </w14:srgbClr>
                  </w14:solidFill>
                </w14:textFill>
              </w:rPr>
              <w:t>|</w:t>
            </w:r>
            <w:r w:rsidRPr="00AF3C7B">
              <w:rPr>
                <w:color w:val="000000"/>
                <w:spacing w:val="1"/>
                <w:shd w:val="solid" w:color="000000" w:fill="000000"/>
                <w:fitText w:val="168" w:id="-629961982"/>
                <w14:textFill>
                  <w14:solidFill>
                    <w14:srgbClr w14:val="000000">
                      <w14:alpha w14:val="100000"/>
                    </w14:srgbClr>
                  </w14:solidFill>
                </w14:textFill>
              </w:rPr>
              <w:t>|</w:t>
            </w:r>
            <w:r w:rsidR="006A4C8B" w:rsidRPr="00C41CCA">
              <w:rPr>
                <w:b/>
                <w:szCs w:val="20"/>
                <w:vertAlign w:val="superscript"/>
              </w:rPr>
              <w:t>1</w:t>
            </w:r>
          </w:p>
        </w:tc>
        <w:tc>
          <w:tcPr>
            <w:tcW w:w="544" w:type="pct"/>
            <w:tcBorders>
              <w:top w:val="nil"/>
            </w:tcBorders>
            <w:tcMar>
              <w:left w:w="20" w:type="dxa"/>
              <w:right w:w="20" w:type="dxa"/>
            </w:tcMar>
          </w:tcPr>
          <w:p w14:paraId="18DF962E" w14:textId="493B344C" w:rsidR="00160F82" w:rsidRPr="00EF2E8A" w:rsidRDefault="00AF3C7B" w:rsidP="00F276FE">
            <w:pPr>
              <w:pStyle w:val="TableText"/>
              <w:keepNext/>
              <w:widowControl/>
              <w:jc w:val="center"/>
            </w:pPr>
            <w:r w:rsidRPr="00AF3C7B">
              <w:rPr>
                <w:rFonts w:hint="eastAsia"/>
                <w:color w:val="000000"/>
                <w:w w:val="27"/>
                <w:shd w:val="solid" w:color="000000" w:fill="000000"/>
                <w:fitText w:val="120" w:id="-629961981"/>
                <w14:textFill>
                  <w14:solidFill>
                    <w14:srgbClr w14:val="000000">
                      <w14:alpha w14:val="100000"/>
                    </w14:srgbClr>
                  </w14:solidFill>
                </w14:textFill>
              </w:rPr>
              <w:t xml:space="preserve">　</w:t>
            </w:r>
            <w:r w:rsidRPr="00AF3C7B">
              <w:rPr>
                <w:color w:val="000000"/>
                <w:w w:val="27"/>
                <w:shd w:val="solid" w:color="000000" w:fill="000000"/>
                <w:fitText w:val="120" w:id="-629961981"/>
                <w14:textFill>
                  <w14:solidFill>
                    <w14:srgbClr w14:val="000000">
                      <w14:alpha w14:val="100000"/>
                    </w14:srgbClr>
                  </w14:solidFill>
                </w14:textFill>
              </w:rPr>
              <w:t>|</w:t>
            </w:r>
            <w:r w:rsidRPr="00AF3C7B">
              <w:rPr>
                <w:rFonts w:hint="eastAsia"/>
                <w:color w:val="000000"/>
                <w:spacing w:val="2"/>
                <w:w w:val="27"/>
                <w:shd w:val="solid" w:color="000000" w:fill="000000"/>
                <w:fitText w:val="120" w:id="-629961981"/>
                <w14:textFill>
                  <w14:solidFill>
                    <w14:srgbClr w14:val="000000">
                      <w14:alpha w14:val="100000"/>
                    </w14:srgbClr>
                  </w14:solidFill>
                </w14:textFill>
              </w:rPr>
              <w:t xml:space="preserve">　</w:t>
            </w:r>
            <w:r w:rsidR="00160F82" w:rsidRPr="00EF2E8A">
              <w:t xml:space="preserve"> </w:t>
            </w:r>
            <w:r w:rsidR="006A4C8B" w:rsidRPr="00C41CCA">
              <w:rPr>
                <w:b/>
                <w:szCs w:val="20"/>
                <w:vertAlign w:val="superscript"/>
              </w:rPr>
              <w:t>1</w:t>
            </w:r>
            <w:r w:rsidR="006A4C8B" w:rsidRPr="00EF2E8A">
              <w:t xml:space="preserve"> </w:t>
            </w:r>
            <w:r w:rsidR="00160F82" w:rsidRPr="00EF2E8A">
              <w:t>(+</w:t>
            </w:r>
            <w:r w:rsidRPr="00AF3C7B">
              <w:rPr>
                <w:color w:val="000000"/>
                <w:spacing w:val="166"/>
                <w:shd w:val="solid" w:color="000000" w:fill="000000"/>
                <w:fitText w:val="252" w:id="-629961980"/>
                <w14:textFill>
                  <w14:solidFill>
                    <w14:srgbClr w14:val="000000">
                      <w14:alpha w14:val="100000"/>
                    </w14:srgbClr>
                  </w14:solidFill>
                </w14:textFill>
              </w:rPr>
              <w:t>|</w:t>
            </w:r>
            <w:r w:rsidRPr="00AF3C7B">
              <w:rPr>
                <w:color w:val="000000"/>
                <w:spacing w:val="1"/>
                <w:shd w:val="solid" w:color="000000" w:fill="000000"/>
                <w:fitText w:val="252" w:id="-629961980"/>
                <w14:textFill>
                  <w14:solidFill>
                    <w14:srgbClr w14:val="000000">
                      <w14:alpha w14:val="100000"/>
                    </w14:srgbClr>
                  </w14:solidFill>
                </w14:textFill>
              </w:rPr>
              <w:t>|</w:t>
            </w:r>
            <w:r w:rsidR="00160F82" w:rsidRPr="00EF2E8A">
              <w:t>%)</w:t>
            </w:r>
          </w:p>
        </w:tc>
      </w:tr>
      <w:tr w:rsidR="00160F82" w:rsidRPr="00EF2E8A" w14:paraId="0B11BCC9" w14:textId="77777777" w:rsidTr="00A8779B">
        <w:tc>
          <w:tcPr>
            <w:tcW w:w="5000" w:type="pct"/>
            <w:gridSpan w:val="8"/>
            <w:tcBorders>
              <w:bottom w:val="single" w:sz="4" w:space="0" w:color="auto"/>
            </w:tcBorders>
            <w:tcMar>
              <w:left w:w="20" w:type="dxa"/>
              <w:right w:w="20" w:type="dxa"/>
            </w:tcMar>
          </w:tcPr>
          <w:p w14:paraId="381EA7A2" w14:textId="035DD0CA" w:rsidR="00160F82" w:rsidRPr="00EF2E8A" w:rsidRDefault="00160F82" w:rsidP="00F276FE">
            <w:pPr>
              <w:pStyle w:val="In-tableHeading"/>
              <w:rPr>
                <w:szCs w:val="20"/>
                <w:lang w:val="en-AU"/>
              </w:rPr>
            </w:pPr>
            <w:r w:rsidRPr="00EF2E8A">
              <w:rPr>
                <w:szCs w:val="20"/>
                <w:lang w:val="en-AU"/>
              </w:rPr>
              <w:t>Multivariate analysis</w:t>
            </w:r>
          </w:p>
        </w:tc>
      </w:tr>
      <w:tr w:rsidR="00160F82" w:rsidRPr="00EF2E8A" w14:paraId="33FCFE11" w14:textId="77777777" w:rsidTr="00AF3C7B">
        <w:tc>
          <w:tcPr>
            <w:tcW w:w="1263" w:type="pct"/>
            <w:tcBorders>
              <w:top w:val="single" w:sz="4" w:space="0" w:color="auto"/>
              <w:bottom w:val="single" w:sz="4" w:space="0" w:color="auto"/>
            </w:tcBorders>
            <w:tcMar>
              <w:left w:w="40" w:type="dxa"/>
              <w:right w:w="40" w:type="dxa"/>
            </w:tcMar>
          </w:tcPr>
          <w:p w14:paraId="2CFD57E1" w14:textId="6BDAA6BD" w:rsidR="00160F82" w:rsidRPr="00B95883" w:rsidRDefault="00160F82" w:rsidP="00F276FE">
            <w:pPr>
              <w:pStyle w:val="TableText"/>
              <w:keepNext/>
              <w:widowControl/>
              <w:numPr>
                <w:ilvl w:val="0"/>
                <w:numId w:val="12"/>
              </w:numPr>
              <w:ind w:left="240" w:hanging="120"/>
              <w:rPr>
                <w:b/>
                <w:bCs/>
                <w:szCs w:val="20"/>
              </w:rPr>
            </w:pPr>
            <w:r w:rsidRPr="00EF2E8A">
              <w:rPr>
                <w:szCs w:val="20"/>
              </w:rPr>
              <w:t xml:space="preserve">Time horizon </w:t>
            </w:r>
            <w:r w:rsidRPr="00B95883">
              <w:rPr>
                <w:szCs w:val="20"/>
                <w:u w:val="single"/>
              </w:rPr>
              <w:t>5 years</w:t>
            </w:r>
          </w:p>
          <w:p w14:paraId="0E211401" w14:textId="201058C7" w:rsidR="00160F82" w:rsidRPr="00EF2E8A" w:rsidRDefault="00160F82" w:rsidP="00F276FE">
            <w:pPr>
              <w:pStyle w:val="TableText"/>
              <w:keepNext/>
              <w:widowControl/>
              <w:numPr>
                <w:ilvl w:val="0"/>
                <w:numId w:val="12"/>
              </w:numPr>
              <w:ind w:left="240" w:hanging="120"/>
              <w:rPr>
                <w:szCs w:val="20"/>
              </w:rPr>
            </w:pPr>
            <w:r w:rsidRPr="00EF2E8A">
              <w:rPr>
                <w:szCs w:val="20"/>
              </w:rPr>
              <w:t>Pooled utility value for pre</w:t>
            </w:r>
            <w:r w:rsidR="00A46D2B">
              <w:rPr>
                <w:szCs w:val="20"/>
              </w:rPr>
              <w:noBreakHyphen/>
            </w:r>
            <w:r w:rsidRPr="00EF2E8A">
              <w:rPr>
                <w:szCs w:val="20"/>
              </w:rPr>
              <w:t xml:space="preserve"> and post</w:t>
            </w:r>
            <w:r w:rsidR="00A46D2B">
              <w:rPr>
                <w:szCs w:val="20"/>
              </w:rPr>
              <w:noBreakHyphen/>
            </w:r>
            <w:r w:rsidRPr="00EF2E8A">
              <w:rPr>
                <w:szCs w:val="20"/>
              </w:rPr>
              <w:t>progression health states</w:t>
            </w:r>
          </w:p>
          <w:p w14:paraId="54FF22F3" w14:textId="68D52289" w:rsidR="00160F82" w:rsidRPr="00EF2E8A" w:rsidRDefault="00160F82" w:rsidP="00F276FE">
            <w:pPr>
              <w:pStyle w:val="TableText"/>
              <w:keepNext/>
              <w:widowControl/>
              <w:numPr>
                <w:ilvl w:val="0"/>
                <w:numId w:val="12"/>
              </w:numPr>
              <w:ind w:left="240" w:hanging="120"/>
              <w:rPr>
                <w:szCs w:val="20"/>
              </w:rPr>
            </w:pPr>
            <w:r w:rsidRPr="00EF2E8A">
              <w:rPr>
                <w:szCs w:val="20"/>
              </w:rPr>
              <w:t>OS extrapolation for MIRV = Gamma</w:t>
            </w:r>
          </w:p>
        </w:tc>
        <w:tc>
          <w:tcPr>
            <w:tcW w:w="577" w:type="pct"/>
            <w:tcBorders>
              <w:top w:val="single" w:sz="4" w:space="0" w:color="auto"/>
              <w:bottom w:val="single" w:sz="4" w:space="0" w:color="auto"/>
            </w:tcBorders>
            <w:shd w:val="solid" w:color="000000" w:fill="000000"/>
            <w:tcMar>
              <w:left w:w="20" w:type="dxa"/>
              <w:right w:w="20" w:type="dxa"/>
            </w:tcMar>
            <w:vAlign w:val="center"/>
          </w:tcPr>
          <w:p w14:paraId="5AEC99EB" w14:textId="12E318B8" w:rsidR="00160F82" w:rsidRPr="0009348B" w:rsidRDefault="00AF3C7B" w:rsidP="00F276FE">
            <w:pPr>
              <w:pStyle w:val="TableText"/>
              <w:keepNext/>
              <w:widowControl/>
              <w:jc w:val="center"/>
              <w:rPr>
                <w:szCs w:val="20"/>
                <w:highlight w:val="darkGray"/>
              </w:rPr>
            </w:pPr>
            <w:r w:rsidRPr="00AF3C7B">
              <w:rPr>
                <w:rFonts w:hint="eastAsia"/>
                <w:color w:val="000000"/>
                <w:w w:val="15"/>
                <w:szCs w:val="20"/>
                <w:fitText w:val="48" w:id="-629961979"/>
                <w14:textFill>
                  <w14:solidFill>
                    <w14:srgbClr w14:val="000000">
                      <w14:alpha w14:val="100000"/>
                    </w14:srgbClr>
                  </w14:solidFill>
                </w14:textFill>
              </w:rPr>
              <w:t xml:space="preserve">　</w:t>
            </w:r>
            <w:r w:rsidRPr="00AF3C7B">
              <w:rPr>
                <w:color w:val="000000"/>
                <w:w w:val="15"/>
                <w:szCs w:val="20"/>
                <w:fitText w:val="48" w:id="-629961979"/>
                <w14:textFill>
                  <w14:solidFill>
                    <w14:srgbClr w14:val="000000">
                      <w14:alpha w14:val="100000"/>
                    </w14:srgbClr>
                  </w14:solidFill>
                </w14:textFill>
              </w:rPr>
              <w:t>|</w:t>
            </w:r>
            <w:r w:rsidRPr="00AF3C7B">
              <w:rPr>
                <w:rFonts w:hint="eastAsia"/>
                <w:color w:val="000000"/>
                <w:spacing w:val="-17"/>
                <w:w w:val="15"/>
                <w:szCs w:val="20"/>
                <w:fitText w:val="48" w:id="-629961979"/>
                <w14:textFill>
                  <w14:solidFill>
                    <w14:srgbClr w14:val="000000">
                      <w14:alpha w14:val="100000"/>
                    </w14:srgbClr>
                  </w14:solidFill>
                </w14:textFill>
              </w:rPr>
              <w:t xml:space="preserve">　</w:t>
            </w:r>
          </w:p>
        </w:tc>
        <w:tc>
          <w:tcPr>
            <w:tcW w:w="552" w:type="pct"/>
            <w:tcBorders>
              <w:top w:val="single" w:sz="4" w:space="0" w:color="auto"/>
              <w:bottom w:val="single" w:sz="4" w:space="0" w:color="auto"/>
            </w:tcBorders>
            <w:tcMar>
              <w:left w:w="20" w:type="dxa"/>
              <w:right w:w="20" w:type="dxa"/>
            </w:tcMar>
            <w:vAlign w:val="center"/>
          </w:tcPr>
          <w:p w14:paraId="41D9BDD0" w14:textId="0EDDA429" w:rsidR="00160F82" w:rsidRPr="00EF2E8A" w:rsidRDefault="00160F82" w:rsidP="00F276FE">
            <w:pPr>
              <w:pStyle w:val="TableText"/>
              <w:keepNext/>
              <w:widowControl/>
              <w:jc w:val="center"/>
              <w:rPr>
                <w:szCs w:val="20"/>
              </w:rPr>
            </w:pPr>
            <w:r w:rsidRPr="00EF2E8A">
              <w:rPr>
                <w:szCs w:val="20"/>
              </w:rPr>
              <w:t>0.33</w:t>
            </w:r>
          </w:p>
        </w:tc>
        <w:tc>
          <w:tcPr>
            <w:tcW w:w="466" w:type="pct"/>
            <w:tcBorders>
              <w:top w:val="single" w:sz="4" w:space="0" w:color="auto"/>
              <w:bottom w:val="single" w:sz="4" w:space="0" w:color="auto"/>
            </w:tcBorders>
            <w:tcMar>
              <w:left w:w="20" w:type="dxa"/>
              <w:right w:w="20" w:type="dxa"/>
            </w:tcMar>
            <w:vAlign w:val="center"/>
          </w:tcPr>
          <w:p w14:paraId="5953AE8D" w14:textId="7FDA504D" w:rsidR="00160F82" w:rsidRPr="0009348B" w:rsidRDefault="00AF3C7B" w:rsidP="00F276FE">
            <w:pPr>
              <w:pStyle w:val="TableText"/>
              <w:keepNext/>
              <w:widowControl/>
              <w:jc w:val="center"/>
              <w:rPr>
                <w:szCs w:val="20"/>
                <w:highlight w:val="darkGray"/>
              </w:rPr>
            </w:pPr>
            <w:r w:rsidRPr="00AF3C7B">
              <w:rPr>
                <w:color w:val="000000"/>
                <w:spacing w:val="82"/>
                <w:szCs w:val="20"/>
                <w:shd w:val="solid" w:color="000000" w:fill="000000"/>
                <w:fitText w:val="168" w:id="-629961978"/>
                <w14:textFill>
                  <w14:solidFill>
                    <w14:srgbClr w14:val="000000">
                      <w14:alpha w14:val="100000"/>
                    </w14:srgbClr>
                  </w14:solidFill>
                </w14:textFill>
              </w:rPr>
              <w:t>|</w:t>
            </w:r>
            <w:r w:rsidRPr="00AF3C7B">
              <w:rPr>
                <w:color w:val="000000"/>
                <w:spacing w:val="1"/>
                <w:szCs w:val="20"/>
                <w:shd w:val="solid" w:color="000000" w:fill="000000"/>
                <w:fitText w:val="168" w:id="-629961978"/>
                <w14:textFill>
                  <w14:solidFill>
                    <w14:srgbClr w14:val="000000">
                      <w14:alpha w14:val="100000"/>
                    </w14:srgbClr>
                  </w14:solidFill>
                </w14:textFill>
              </w:rPr>
              <w:t>|</w:t>
            </w:r>
            <w:r w:rsidR="007D230B" w:rsidRPr="007D230B">
              <w:rPr>
                <w:szCs w:val="20"/>
                <w:vertAlign w:val="superscript"/>
              </w:rPr>
              <w:t>6</w:t>
            </w:r>
          </w:p>
        </w:tc>
        <w:tc>
          <w:tcPr>
            <w:tcW w:w="533" w:type="pct"/>
            <w:tcBorders>
              <w:top w:val="single" w:sz="4" w:space="0" w:color="auto"/>
              <w:bottom w:val="single" w:sz="4" w:space="0" w:color="auto"/>
            </w:tcBorders>
            <w:shd w:val="solid" w:color="000000" w:fill="000000"/>
            <w:tcMar>
              <w:left w:w="20" w:type="dxa"/>
              <w:right w:w="20" w:type="dxa"/>
            </w:tcMar>
            <w:vAlign w:val="center"/>
          </w:tcPr>
          <w:p w14:paraId="7A5C36D4" w14:textId="6E2C69F7" w:rsidR="00160F82" w:rsidRPr="00601E11" w:rsidRDefault="00AF3C7B" w:rsidP="00F276FE">
            <w:pPr>
              <w:pStyle w:val="TableText"/>
              <w:keepNext/>
              <w:widowControl/>
              <w:jc w:val="center"/>
              <w:rPr>
                <w:szCs w:val="20"/>
                <w:highlight w:val="darkGray"/>
              </w:rPr>
            </w:pPr>
            <w:r w:rsidRPr="00AF3C7B">
              <w:rPr>
                <w:rFonts w:hint="eastAsia"/>
                <w:color w:val="000000"/>
                <w:w w:val="21"/>
                <w:szCs w:val="20"/>
                <w:fitText w:val="96" w:id="-629961977"/>
                <w14:textFill>
                  <w14:solidFill>
                    <w14:srgbClr w14:val="000000">
                      <w14:alpha w14:val="100000"/>
                    </w14:srgbClr>
                  </w14:solidFill>
                </w14:textFill>
              </w:rPr>
              <w:t xml:space="preserve">　</w:t>
            </w:r>
            <w:r w:rsidRPr="00AF3C7B">
              <w:rPr>
                <w:color w:val="000000"/>
                <w:w w:val="21"/>
                <w:szCs w:val="20"/>
                <w:fitText w:val="96" w:id="-629961977"/>
                <w14:textFill>
                  <w14:solidFill>
                    <w14:srgbClr w14:val="000000">
                      <w14:alpha w14:val="100000"/>
                    </w14:srgbClr>
                  </w14:solidFill>
                </w14:textFill>
              </w:rPr>
              <w:t>|</w:t>
            </w:r>
            <w:r w:rsidRPr="00AF3C7B">
              <w:rPr>
                <w:rFonts w:hint="eastAsia"/>
                <w:color w:val="000000"/>
                <w:w w:val="21"/>
                <w:szCs w:val="20"/>
                <w:fitText w:val="96" w:id="-629961977"/>
                <w14:textFill>
                  <w14:solidFill>
                    <w14:srgbClr w14:val="000000">
                      <w14:alpha w14:val="100000"/>
                    </w14:srgbClr>
                  </w14:solidFill>
                </w14:textFill>
              </w:rPr>
              <w:t xml:space="preserve">　</w:t>
            </w:r>
          </w:p>
        </w:tc>
        <w:tc>
          <w:tcPr>
            <w:tcW w:w="599" w:type="pct"/>
            <w:tcBorders>
              <w:top w:val="single" w:sz="4" w:space="0" w:color="auto"/>
              <w:bottom w:val="single" w:sz="4" w:space="0" w:color="auto"/>
            </w:tcBorders>
            <w:tcMar>
              <w:left w:w="20" w:type="dxa"/>
              <w:right w:w="20" w:type="dxa"/>
            </w:tcMar>
            <w:vAlign w:val="center"/>
          </w:tcPr>
          <w:p w14:paraId="3EB05A87" w14:textId="5596D7DD" w:rsidR="00160F82" w:rsidRPr="00EF2E8A" w:rsidRDefault="00160F82" w:rsidP="00F276FE">
            <w:pPr>
              <w:pStyle w:val="TableText"/>
              <w:keepNext/>
              <w:widowControl/>
              <w:jc w:val="center"/>
              <w:rPr>
                <w:szCs w:val="20"/>
              </w:rPr>
            </w:pPr>
            <w:r w:rsidRPr="00EF2E8A">
              <w:rPr>
                <w:szCs w:val="20"/>
              </w:rPr>
              <w:t>0.33</w:t>
            </w:r>
          </w:p>
        </w:tc>
        <w:tc>
          <w:tcPr>
            <w:tcW w:w="466" w:type="pct"/>
            <w:tcBorders>
              <w:top w:val="single" w:sz="4" w:space="0" w:color="auto"/>
              <w:bottom w:val="single" w:sz="4" w:space="0" w:color="auto"/>
            </w:tcBorders>
            <w:tcMar>
              <w:left w:w="20" w:type="dxa"/>
              <w:right w:w="20" w:type="dxa"/>
            </w:tcMar>
            <w:vAlign w:val="center"/>
          </w:tcPr>
          <w:p w14:paraId="0E8DBC18" w14:textId="129F4AAF" w:rsidR="00160F82" w:rsidRPr="00A257C8" w:rsidRDefault="00AF3C7B" w:rsidP="00F276FE">
            <w:pPr>
              <w:pStyle w:val="TableText"/>
              <w:keepNext/>
              <w:widowControl/>
              <w:jc w:val="center"/>
              <w:rPr>
                <w:szCs w:val="20"/>
                <w:highlight w:val="darkGray"/>
              </w:rPr>
            </w:pPr>
            <w:r w:rsidRPr="00AF3C7B">
              <w:rPr>
                <w:color w:val="000000"/>
                <w:spacing w:val="82"/>
                <w:szCs w:val="20"/>
                <w:shd w:val="solid" w:color="000000" w:fill="000000"/>
                <w:fitText w:val="168" w:id="-629961976"/>
                <w14:textFill>
                  <w14:solidFill>
                    <w14:srgbClr w14:val="000000">
                      <w14:alpha w14:val="100000"/>
                    </w14:srgbClr>
                  </w14:solidFill>
                </w14:textFill>
              </w:rPr>
              <w:t>|</w:t>
            </w:r>
            <w:r w:rsidRPr="00AF3C7B">
              <w:rPr>
                <w:color w:val="000000"/>
                <w:spacing w:val="1"/>
                <w:szCs w:val="20"/>
                <w:shd w:val="solid" w:color="000000" w:fill="000000"/>
                <w:fitText w:val="168" w:id="-629961976"/>
                <w14:textFill>
                  <w14:solidFill>
                    <w14:srgbClr w14:val="000000">
                      <w14:alpha w14:val="100000"/>
                    </w14:srgbClr>
                  </w14:solidFill>
                </w14:textFill>
              </w:rPr>
              <w:t>|</w:t>
            </w:r>
            <w:r w:rsidR="007975C9" w:rsidRPr="00853051">
              <w:rPr>
                <w:szCs w:val="20"/>
                <w:vertAlign w:val="superscript"/>
              </w:rPr>
              <w:t>5</w:t>
            </w:r>
          </w:p>
        </w:tc>
        <w:tc>
          <w:tcPr>
            <w:tcW w:w="544" w:type="pct"/>
            <w:tcBorders>
              <w:top w:val="single" w:sz="4" w:space="0" w:color="auto"/>
              <w:bottom w:val="single" w:sz="4" w:space="0" w:color="auto"/>
            </w:tcBorders>
            <w:tcMar>
              <w:left w:w="20" w:type="dxa"/>
              <w:right w:w="20" w:type="dxa"/>
            </w:tcMar>
            <w:vAlign w:val="center"/>
          </w:tcPr>
          <w:p w14:paraId="46234B48" w14:textId="546146F0" w:rsidR="00160F82" w:rsidRPr="00EF2E8A" w:rsidRDefault="00AF3C7B" w:rsidP="00F276FE">
            <w:pPr>
              <w:pStyle w:val="xmsonormal"/>
              <w:keepNext/>
              <w:jc w:val="center"/>
              <w:rPr>
                <w:rFonts w:ascii="Arial Narrow" w:hAnsi="Arial Narrow"/>
                <w:sz w:val="20"/>
                <w:szCs w:val="20"/>
              </w:rPr>
            </w:pPr>
            <w:r w:rsidRPr="00AF3C7B">
              <w:rPr>
                <w:rFonts w:ascii="Arial Narrow" w:hAnsi="Arial Narrow"/>
                <w:color w:val="000000"/>
                <w:w w:val="24"/>
                <w:sz w:val="20"/>
                <w:szCs w:val="20"/>
                <w:shd w:val="solid" w:color="000000" w:fill="000000"/>
                <w:fitText w:val="108" w:id="-629961975"/>
                <w14:textFill>
                  <w14:solidFill>
                    <w14:srgbClr w14:val="000000">
                      <w14:alpha w14:val="100000"/>
                    </w14:srgbClr>
                  </w14:solidFill>
                </w14:textFill>
              </w:rPr>
              <w:t xml:space="preserve">　</w:t>
            </w:r>
            <w:r w:rsidRPr="00AF3C7B">
              <w:rPr>
                <w:rFonts w:ascii="Arial Narrow" w:hAnsi="Arial Narrow"/>
                <w:color w:val="000000"/>
                <w:w w:val="24"/>
                <w:sz w:val="20"/>
                <w:szCs w:val="20"/>
                <w:shd w:val="solid" w:color="000000" w:fill="000000"/>
                <w:fitText w:val="108" w:id="-629961975"/>
                <w14:textFill>
                  <w14:solidFill>
                    <w14:srgbClr w14:val="000000">
                      <w14:alpha w14:val="100000"/>
                    </w14:srgbClr>
                  </w14:solidFill>
                </w14:textFill>
              </w:rPr>
              <w:t>|</w:t>
            </w:r>
            <w:r w:rsidRPr="00AF3C7B">
              <w:rPr>
                <w:rFonts w:ascii="Arial Narrow" w:hAnsi="Arial Narrow"/>
                <w:color w:val="000000"/>
                <w:spacing w:val="4"/>
                <w:w w:val="24"/>
                <w:sz w:val="20"/>
                <w:szCs w:val="20"/>
                <w:shd w:val="solid" w:color="000000" w:fill="000000"/>
                <w:fitText w:val="108" w:id="-629961975"/>
                <w14:textFill>
                  <w14:solidFill>
                    <w14:srgbClr w14:val="000000">
                      <w14:alpha w14:val="100000"/>
                    </w14:srgbClr>
                  </w14:solidFill>
                </w14:textFill>
              </w:rPr>
              <w:t xml:space="preserve">　</w:t>
            </w:r>
            <w:r w:rsidR="00D535C7" w:rsidRPr="007D230B">
              <w:rPr>
                <w:szCs w:val="20"/>
                <w:vertAlign w:val="superscript"/>
              </w:rPr>
              <w:t>6</w:t>
            </w:r>
          </w:p>
          <w:p w14:paraId="6E75B065" w14:textId="1728EC57" w:rsidR="00160F82" w:rsidRPr="00EF2E8A" w:rsidRDefault="00160F82" w:rsidP="00F276FE">
            <w:pPr>
              <w:pStyle w:val="TableText"/>
              <w:keepNext/>
              <w:widowControl/>
              <w:jc w:val="center"/>
              <w:rPr>
                <w:szCs w:val="20"/>
              </w:rPr>
            </w:pPr>
            <w:r w:rsidRPr="00EF2E8A">
              <w:rPr>
                <w:szCs w:val="20"/>
              </w:rPr>
              <w:t>(+</w:t>
            </w:r>
            <w:r w:rsidR="00AF3C7B" w:rsidRPr="00AF3C7B">
              <w:rPr>
                <w:color w:val="000000"/>
                <w:spacing w:val="166"/>
                <w:szCs w:val="20"/>
                <w:shd w:val="solid" w:color="000000" w:fill="000000"/>
                <w:fitText w:val="252" w:id="-629961974"/>
                <w14:textFill>
                  <w14:solidFill>
                    <w14:srgbClr w14:val="000000">
                      <w14:alpha w14:val="100000"/>
                    </w14:srgbClr>
                  </w14:solidFill>
                </w14:textFill>
              </w:rPr>
              <w:t>|</w:t>
            </w:r>
            <w:r w:rsidR="00AF3C7B" w:rsidRPr="00AF3C7B">
              <w:rPr>
                <w:color w:val="000000"/>
                <w:spacing w:val="1"/>
                <w:szCs w:val="20"/>
                <w:shd w:val="solid" w:color="000000" w:fill="000000"/>
                <w:fitText w:val="252" w:id="-629961974"/>
                <w14:textFill>
                  <w14:solidFill>
                    <w14:srgbClr w14:val="000000">
                      <w14:alpha w14:val="100000"/>
                    </w14:srgbClr>
                  </w14:solidFill>
                </w14:textFill>
              </w:rPr>
              <w:t>|</w:t>
            </w:r>
            <w:r w:rsidRPr="00EF2E8A">
              <w:rPr>
                <w:szCs w:val="20"/>
              </w:rPr>
              <w:t>%)</w:t>
            </w:r>
          </w:p>
        </w:tc>
      </w:tr>
      <w:tr w:rsidR="00FA4879" w:rsidRPr="00EF2E8A" w14:paraId="62C75280" w14:textId="77777777" w:rsidTr="00AF3C7B">
        <w:tc>
          <w:tcPr>
            <w:tcW w:w="1263" w:type="pct"/>
            <w:tcBorders>
              <w:top w:val="single" w:sz="4" w:space="0" w:color="auto"/>
              <w:bottom w:val="single" w:sz="4" w:space="0" w:color="auto"/>
            </w:tcBorders>
            <w:tcMar>
              <w:left w:w="40" w:type="dxa"/>
              <w:right w:w="40" w:type="dxa"/>
            </w:tcMar>
          </w:tcPr>
          <w:p w14:paraId="23587391" w14:textId="77777777" w:rsidR="00FA4879" w:rsidRPr="00FA4879" w:rsidRDefault="00FA4879" w:rsidP="00F276FE">
            <w:pPr>
              <w:pStyle w:val="TableText"/>
              <w:keepNext/>
              <w:widowControl/>
              <w:numPr>
                <w:ilvl w:val="0"/>
                <w:numId w:val="12"/>
              </w:numPr>
              <w:ind w:left="240" w:hanging="120"/>
              <w:rPr>
                <w:szCs w:val="20"/>
              </w:rPr>
            </w:pPr>
            <w:r w:rsidRPr="00FA4879">
              <w:rPr>
                <w:szCs w:val="20"/>
              </w:rPr>
              <w:t xml:space="preserve">Time horizon </w:t>
            </w:r>
            <w:r w:rsidRPr="00346182">
              <w:rPr>
                <w:szCs w:val="20"/>
                <w:u w:val="single"/>
              </w:rPr>
              <w:t>5 years</w:t>
            </w:r>
          </w:p>
          <w:p w14:paraId="135635E7" w14:textId="30BA2E22" w:rsidR="00FA4879" w:rsidRPr="00FA4879" w:rsidRDefault="00FA4879" w:rsidP="00F276FE">
            <w:pPr>
              <w:pStyle w:val="TableText"/>
              <w:keepNext/>
              <w:widowControl/>
              <w:numPr>
                <w:ilvl w:val="0"/>
                <w:numId w:val="12"/>
              </w:numPr>
              <w:ind w:left="240" w:hanging="120"/>
              <w:rPr>
                <w:szCs w:val="20"/>
              </w:rPr>
            </w:pPr>
            <w:r w:rsidRPr="00FA4879">
              <w:rPr>
                <w:szCs w:val="20"/>
              </w:rPr>
              <w:t>Pooled utility value for post</w:t>
            </w:r>
            <w:r w:rsidR="00A46D2B">
              <w:rPr>
                <w:szCs w:val="20"/>
              </w:rPr>
              <w:noBreakHyphen/>
            </w:r>
            <w:r w:rsidRPr="00FA4879">
              <w:rPr>
                <w:szCs w:val="20"/>
              </w:rPr>
              <w:t>progression health state only</w:t>
            </w:r>
          </w:p>
          <w:p w14:paraId="5E092605" w14:textId="6D5EA98B" w:rsidR="00FA4879" w:rsidRPr="00EF2E8A" w:rsidRDefault="00FA4879" w:rsidP="00F276FE">
            <w:pPr>
              <w:pStyle w:val="TableText"/>
              <w:keepNext/>
              <w:widowControl/>
              <w:numPr>
                <w:ilvl w:val="0"/>
                <w:numId w:val="12"/>
              </w:numPr>
              <w:ind w:left="240" w:hanging="120"/>
              <w:rPr>
                <w:szCs w:val="20"/>
              </w:rPr>
            </w:pPr>
            <w:r w:rsidRPr="00FA4879">
              <w:rPr>
                <w:szCs w:val="20"/>
              </w:rPr>
              <w:t>OS extrapolation for MIRV = Gamma</w:t>
            </w:r>
          </w:p>
        </w:tc>
        <w:tc>
          <w:tcPr>
            <w:tcW w:w="577" w:type="pct"/>
            <w:tcBorders>
              <w:top w:val="single" w:sz="4" w:space="0" w:color="auto"/>
              <w:bottom w:val="single" w:sz="4" w:space="0" w:color="auto"/>
            </w:tcBorders>
            <w:shd w:val="solid" w:color="000000" w:fill="000000"/>
            <w:tcMar>
              <w:left w:w="20" w:type="dxa"/>
              <w:right w:w="20" w:type="dxa"/>
            </w:tcMar>
            <w:vAlign w:val="center"/>
          </w:tcPr>
          <w:p w14:paraId="200476F1" w14:textId="64E7EC0F" w:rsidR="00FA4879" w:rsidRPr="0009348B" w:rsidRDefault="00AF3C7B" w:rsidP="00F276FE">
            <w:pPr>
              <w:pStyle w:val="TableText"/>
              <w:keepNext/>
              <w:widowControl/>
              <w:jc w:val="center"/>
              <w:rPr>
                <w:szCs w:val="20"/>
                <w:highlight w:val="darkGray"/>
              </w:rPr>
            </w:pPr>
            <w:r w:rsidRPr="00AF3C7B">
              <w:rPr>
                <w:rFonts w:hint="eastAsia"/>
                <w:color w:val="000000"/>
                <w:w w:val="15"/>
                <w:szCs w:val="20"/>
                <w:fitText w:val="48" w:id="-629961973"/>
                <w14:textFill>
                  <w14:solidFill>
                    <w14:srgbClr w14:val="000000">
                      <w14:alpha w14:val="100000"/>
                    </w14:srgbClr>
                  </w14:solidFill>
                </w14:textFill>
              </w:rPr>
              <w:t xml:space="preserve">　</w:t>
            </w:r>
            <w:r w:rsidRPr="00AF3C7B">
              <w:rPr>
                <w:color w:val="000000"/>
                <w:w w:val="15"/>
                <w:szCs w:val="20"/>
                <w:fitText w:val="48" w:id="-629961973"/>
                <w14:textFill>
                  <w14:solidFill>
                    <w14:srgbClr w14:val="000000">
                      <w14:alpha w14:val="100000"/>
                    </w14:srgbClr>
                  </w14:solidFill>
                </w14:textFill>
              </w:rPr>
              <w:t>|</w:t>
            </w:r>
            <w:r w:rsidRPr="00AF3C7B">
              <w:rPr>
                <w:rFonts w:hint="eastAsia"/>
                <w:color w:val="000000"/>
                <w:spacing w:val="-17"/>
                <w:w w:val="15"/>
                <w:szCs w:val="20"/>
                <w:fitText w:val="48" w:id="-629961973"/>
                <w14:textFill>
                  <w14:solidFill>
                    <w14:srgbClr w14:val="000000">
                      <w14:alpha w14:val="100000"/>
                    </w14:srgbClr>
                  </w14:solidFill>
                </w14:textFill>
              </w:rPr>
              <w:t xml:space="preserve">　</w:t>
            </w:r>
          </w:p>
        </w:tc>
        <w:tc>
          <w:tcPr>
            <w:tcW w:w="552" w:type="pct"/>
            <w:tcBorders>
              <w:top w:val="single" w:sz="4" w:space="0" w:color="auto"/>
              <w:bottom w:val="single" w:sz="4" w:space="0" w:color="auto"/>
            </w:tcBorders>
            <w:tcMar>
              <w:left w:w="20" w:type="dxa"/>
              <w:right w:w="20" w:type="dxa"/>
            </w:tcMar>
            <w:vAlign w:val="center"/>
          </w:tcPr>
          <w:p w14:paraId="6653CF52" w14:textId="5482DF77" w:rsidR="00FA4879" w:rsidRPr="00EF2E8A" w:rsidRDefault="00FA4879" w:rsidP="00F276FE">
            <w:pPr>
              <w:pStyle w:val="TableText"/>
              <w:keepNext/>
              <w:widowControl/>
              <w:jc w:val="center"/>
              <w:rPr>
                <w:szCs w:val="20"/>
              </w:rPr>
            </w:pPr>
            <w:r w:rsidRPr="00FA4879">
              <w:rPr>
                <w:szCs w:val="20"/>
              </w:rPr>
              <w:t>0.34</w:t>
            </w:r>
          </w:p>
        </w:tc>
        <w:tc>
          <w:tcPr>
            <w:tcW w:w="466" w:type="pct"/>
            <w:tcBorders>
              <w:top w:val="single" w:sz="4" w:space="0" w:color="auto"/>
              <w:bottom w:val="single" w:sz="4" w:space="0" w:color="auto"/>
            </w:tcBorders>
            <w:tcMar>
              <w:left w:w="20" w:type="dxa"/>
              <w:right w:w="20" w:type="dxa"/>
            </w:tcMar>
            <w:vAlign w:val="center"/>
          </w:tcPr>
          <w:p w14:paraId="3845597A" w14:textId="1C982A37" w:rsidR="00FA4879" w:rsidRPr="0009348B" w:rsidRDefault="00AF3C7B" w:rsidP="00F276FE">
            <w:pPr>
              <w:pStyle w:val="TableText"/>
              <w:keepNext/>
              <w:widowControl/>
              <w:jc w:val="center"/>
              <w:rPr>
                <w:szCs w:val="20"/>
                <w:highlight w:val="darkGray"/>
              </w:rPr>
            </w:pPr>
            <w:r w:rsidRPr="00AF3C7B">
              <w:rPr>
                <w:color w:val="000000"/>
                <w:spacing w:val="82"/>
                <w:szCs w:val="20"/>
                <w:shd w:val="solid" w:color="000000" w:fill="000000"/>
                <w:fitText w:val="168" w:id="-629961972"/>
                <w14:textFill>
                  <w14:solidFill>
                    <w14:srgbClr w14:val="000000">
                      <w14:alpha w14:val="100000"/>
                    </w14:srgbClr>
                  </w14:solidFill>
                </w14:textFill>
              </w:rPr>
              <w:t>|</w:t>
            </w:r>
            <w:r w:rsidRPr="00AF3C7B">
              <w:rPr>
                <w:color w:val="000000"/>
                <w:spacing w:val="1"/>
                <w:szCs w:val="20"/>
                <w:shd w:val="solid" w:color="000000" w:fill="000000"/>
                <w:fitText w:val="168" w:id="-629961972"/>
                <w14:textFill>
                  <w14:solidFill>
                    <w14:srgbClr w14:val="000000">
                      <w14:alpha w14:val="100000"/>
                    </w14:srgbClr>
                  </w14:solidFill>
                </w14:textFill>
              </w:rPr>
              <w:t>|</w:t>
            </w:r>
            <w:r w:rsidR="00D535C7" w:rsidRPr="007D230B">
              <w:rPr>
                <w:szCs w:val="20"/>
                <w:vertAlign w:val="superscript"/>
              </w:rPr>
              <w:t>6</w:t>
            </w:r>
          </w:p>
        </w:tc>
        <w:tc>
          <w:tcPr>
            <w:tcW w:w="533" w:type="pct"/>
            <w:tcBorders>
              <w:top w:val="single" w:sz="4" w:space="0" w:color="auto"/>
              <w:bottom w:val="single" w:sz="4" w:space="0" w:color="auto"/>
            </w:tcBorders>
            <w:shd w:val="solid" w:color="000000" w:fill="000000"/>
            <w:tcMar>
              <w:left w:w="20" w:type="dxa"/>
              <w:right w:w="20" w:type="dxa"/>
            </w:tcMar>
            <w:vAlign w:val="center"/>
          </w:tcPr>
          <w:p w14:paraId="57866B3F" w14:textId="5A70B655" w:rsidR="00FA4879" w:rsidRPr="00601E11" w:rsidRDefault="00AF3C7B" w:rsidP="00F276FE">
            <w:pPr>
              <w:pStyle w:val="TableText"/>
              <w:keepNext/>
              <w:widowControl/>
              <w:jc w:val="center"/>
              <w:rPr>
                <w:szCs w:val="20"/>
                <w:highlight w:val="darkGray"/>
              </w:rPr>
            </w:pPr>
            <w:r w:rsidRPr="00AF3C7B">
              <w:rPr>
                <w:rFonts w:hint="eastAsia"/>
                <w:color w:val="000000"/>
                <w:w w:val="21"/>
                <w:szCs w:val="20"/>
                <w:fitText w:val="96" w:id="-629961971"/>
                <w14:textFill>
                  <w14:solidFill>
                    <w14:srgbClr w14:val="000000">
                      <w14:alpha w14:val="100000"/>
                    </w14:srgbClr>
                  </w14:solidFill>
                </w14:textFill>
              </w:rPr>
              <w:t xml:space="preserve">　</w:t>
            </w:r>
            <w:r w:rsidRPr="00AF3C7B">
              <w:rPr>
                <w:color w:val="000000"/>
                <w:w w:val="21"/>
                <w:szCs w:val="20"/>
                <w:fitText w:val="96" w:id="-629961971"/>
                <w14:textFill>
                  <w14:solidFill>
                    <w14:srgbClr w14:val="000000">
                      <w14:alpha w14:val="100000"/>
                    </w14:srgbClr>
                  </w14:solidFill>
                </w14:textFill>
              </w:rPr>
              <w:t>|</w:t>
            </w:r>
            <w:r w:rsidRPr="00AF3C7B">
              <w:rPr>
                <w:rFonts w:hint="eastAsia"/>
                <w:color w:val="000000"/>
                <w:w w:val="21"/>
                <w:szCs w:val="20"/>
                <w:fitText w:val="96" w:id="-629961971"/>
                <w14:textFill>
                  <w14:solidFill>
                    <w14:srgbClr w14:val="000000">
                      <w14:alpha w14:val="100000"/>
                    </w14:srgbClr>
                  </w14:solidFill>
                </w14:textFill>
              </w:rPr>
              <w:t xml:space="preserve">　</w:t>
            </w:r>
          </w:p>
        </w:tc>
        <w:tc>
          <w:tcPr>
            <w:tcW w:w="599" w:type="pct"/>
            <w:tcBorders>
              <w:top w:val="single" w:sz="4" w:space="0" w:color="auto"/>
              <w:bottom w:val="single" w:sz="4" w:space="0" w:color="auto"/>
            </w:tcBorders>
            <w:tcMar>
              <w:left w:w="20" w:type="dxa"/>
              <w:right w:w="20" w:type="dxa"/>
            </w:tcMar>
            <w:vAlign w:val="center"/>
          </w:tcPr>
          <w:p w14:paraId="5ACD2621" w14:textId="1DCCBACE" w:rsidR="00FA4879" w:rsidRPr="00EF2E8A" w:rsidRDefault="00FA4879" w:rsidP="00F276FE">
            <w:pPr>
              <w:pStyle w:val="TableText"/>
              <w:keepNext/>
              <w:widowControl/>
              <w:jc w:val="center"/>
              <w:rPr>
                <w:szCs w:val="20"/>
              </w:rPr>
            </w:pPr>
            <w:r w:rsidRPr="00FA4879">
              <w:rPr>
                <w:szCs w:val="20"/>
              </w:rPr>
              <w:t>0.35</w:t>
            </w:r>
          </w:p>
        </w:tc>
        <w:tc>
          <w:tcPr>
            <w:tcW w:w="466" w:type="pct"/>
            <w:tcBorders>
              <w:top w:val="single" w:sz="4" w:space="0" w:color="auto"/>
              <w:bottom w:val="single" w:sz="4" w:space="0" w:color="auto"/>
            </w:tcBorders>
            <w:tcMar>
              <w:left w:w="20" w:type="dxa"/>
              <w:right w:w="20" w:type="dxa"/>
            </w:tcMar>
            <w:vAlign w:val="center"/>
          </w:tcPr>
          <w:p w14:paraId="0B3C9C74" w14:textId="1CF31145" w:rsidR="00FA4879" w:rsidRPr="00A257C8" w:rsidRDefault="00AF3C7B" w:rsidP="00F276FE">
            <w:pPr>
              <w:pStyle w:val="TableText"/>
              <w:keepNext/>
              <w:widowControl/>
              <w:jc w:val="center"/>
              <w:rPr>
                <w:szCs w:val="20"/>
                <w:highlight w:val="darkGray"/>
              </w:rPr>
            </w:pPr>
            <w:r w:rsidRPr="00AF3C7B">
              <w:rPr>
                <w:color w:val="000000"/>
                <w:spacing w:val="82"/>
                <w:szCs w:val="20"/>
                <w:shd w:val="solid" w:color="000000" w:fill="000000"/>
                <w:fitText w:val="168" w:id="-629961970"/>
                <w14:textFill>
                  <w14:solidFill>
                    <w14:srgbClr w14:val="000000">
                      <w14:alpha w14:val="100000"/>
                    </w14:srgbClr>
                  </w14:solidFill>
                </w14:textFill>
              </w:rPr>
              <w:t>|</w:t>
            </w:r>
            <w:r w:rsidRPr="00AF3C7B">
              <w:rPr>
                <w:color w:val="000000"/>
                <w:spacing w:val="1"/>
                <w:szCs w:val="20"/>
                <w:shd w:val="solid" w:color="000000" w:fill="000000"/>
                <w:fitText w:val="168" w:id="-629961970"/>
                <w14:textFill>
                  <w14:solidFill>
                    <w14:srgbClr w14:val="000000">
                      <w14:alpha w14:val="100000"/>
                    </w14:srgbClr>
                  </w14:solidFill>
                </w14:textFill>
              </w:rPr>
              <w:t>|</w:t>
            </w:r>
            <w:r w:rsidR="007975C9" w:rsidRPr="00853051">
              <w:rPr>
                <w:szCs w:val="20"/>
                <w:vertAlign w:val="superscript"/>
              </w:rPr>
              <w:t>5</w:t>
            </w:r>
          </w:p>
        </w:tc>
        <w:tc>
          <w:tcPr>
            <w:tcW w:w="544" w:type="pct"/>
            <w:tcBorders>
              <w:top w:val="single" w:sz="4" w:space="0" w:color="auto"/>
              <w:bottom w:val="single" w:sz="4" w:space="0" w:color="auto"/>
            </w:tcBorders>
            <w:tcMar>
              <w:left w:w="20" w:type="dxa"/>
              <w:right w:w="20" w:type="dxa"/>
            </w:tcMar>
            <w:vAlign w:val="center"/>
          </w:tcPr>
          <w:p w14:paraId="43B156D6" w14:textId="0FF526FA" w:rsidR="00FA4879" w:rsidRPr="00FA4879" w:rsidRDefault="00AF3C7B" w:rsidP="00F276FE">
            <w:pPr>
              <w:pStyle w:val="xmsonormal"/>
              <w:keepNext/>
              <w:jc w:val="center"/>
              <w:rPr>
                <w:rFonts w:ascii="Arial Narrow" w:hAnsi="Arial Narrow" w:cstheme="minorBidi"/>
                <w:sz w:val="20"/>
                <w:szCs w:val="20"/>
                <w:lang w:eastAsia="en-US"/>
              </w:rPr>
            </w:pPr>
            <w:r w:rsidRPr="00AF3C7B">
              <w:rPr>
                <w:rFonts w:ascii="Arial Narrow" w:hAnsi="Arial Narrow" w:cstheme="minorBidi" w:hint="eastAsia"/>
                <w:color w:val="000000"/>
                <w:w w:val="24"/>
                <w:sz w:val="20"/>
                <w:szCs w:val="20"/>
                <w:shd w:val="solid" w:color="000000" w:fill="000000"/>
                <w:fitText w:val="108" w:id="-629961969"/>
                <w:lang w:eastAsia="en-US"/>
                <w14:textFill>
                  <w14:solidFill>
                    <w14:srgbClr w14:val="000000">
                      <w14:alpha w14:val="100000"/>
                    </w14:srgbClr>
                  </w14:solidFill>
                </w14:textFill>
              </w:rPr>
              <w:t xml:space="preserve">　</w:t>
            </w:r>
            <w:r w:rsidRPr="00AF3C7B">
              <w:rPr>
                <w:rFonts w:ascii="Arial Narrow" w:hAnsi="Arial Narrow" w:cstheme="minorBidi"/>
                <w:color w:val="000000"/>
                <w:w w:val="24"/>
                <w:sz w:val="20"/>
                <w:szCs w:val="20"/>
                <w:shd w:val="solid" w:color="000000" w:fill="000000"/>
                <w:fitText w:val="108" w:id="-629961969"/>
                <w:lang w:eastAsia="en-US"/>
                <w14:textFill>
                  <w14:solidFill>
                    <w14:srgbClr w14:val="000000">
                      <w14:alpha w14:val="100000"/>
                    </w14:srgbClr>
                  </w14:solidFill>
                </w14:textFill>
              </w:rPr>
              <w:t>|</w:t>
            </w:r>
            <w:r w:rsidRPr="00AF3C7B">
              <w:rPr>
                <w:rFonts w:ascii="Arial Narrow" w:hAnsi="Arial Narrow" w:cstheme="minorBidi" w:hint="eastAsia"/>
                <w:color w:val="000000"/>
                <w:spacing w:val="4"/>
                <w:w w:val="24"/>
                <w:sz w:val="20"/>
                <w:szCs w:val="20"/>
                <w:shd w:val="solid" w:color="000000" w:fill="000000"/>
                <w:fitText w:val="108" w:id="-629961969"/>
                <w:lang w:eastAsia="en-US"/>
                <w14:textFill>
                  <w14:solidFill>
                    <w14:srgbClr w14:val="000000">
                      <w14:alpha w14:val="100000"/>
                    </w14:srgbClr>
                  </w14:solidFill>
                </w14:textFill>
              </w:rPr>
              <w:t xml:space="preserve">　</w:t>
            </w:r>
            <w:r w:rsidR="00D535C7" w:rsidRPr="007D230B">
              <w:rPr>
                <w:szCs w:val="20"/>
                <w:vertAlign w:val="superscript"/>
              </w:rPr>
              <w:t>6</w:t>
            </w:r>
          </w:p>
          <w:p w14:paraId="2F4AC72A" w14:textId="409C86A6" w:rsidR="00FA4879" w:rsidRPr="00FA4879" w:rsidRDefault="00FA4879" w:rsidP="00F276FE">
            <w:pPr>
              <w:pStyle w:val="xmsonormal"/>
              <w:keepNext/>
              <w:jc w:val="center"/>
              <w:rPr>
                <w:rFonts w:ascii="Arial Narrow" w:hAnsi="Arial Narrow" w:cstheme="minorBidi"/>
                <w:sz w:val="20"/>
                <w:szCs w:val="20"/>
                <w:lang w:eastAsia="en-US"/>
              </w:rPr>
            </w:pPr>
            <w:r w:rsidRPr="00FA4879">
              <w:rPr>
                <w:rFonts w:ascii="Arial Narrow" w:hAnsi="Arial Narrow" w:cstheme="minorBidi"/>
                <w:sz w:val="20"/>
                <w:szCs w:val="20"/>
                <w:lang w:eastAsia="en-US"/>
              </w:rPr>
              <w:t>(+</w:t>
            </w:r>
            <w:r w:rsidR="00AF3C7B" w:rsidRPr="00AF3C7B">
              <w:rPr>
                <w:rFonts w:ascii="Arial Narrow" w:hAnsi="Arial Narrow" w:cstheme="minorBidi"/>
                <w:color w:val="000000"/>
                <w:spacing w:val="166"/>
                <w:sz w:val="20"/>
                <w:szCs w:val="20"/>
                <w:shd w:val="solid" w:color="000000" w:fill="000000"/>
                <w:fitText w:val="252" w:id="-629961968"/>
                <w:lang w:eastAsia="en-US"/>
                <w14:textFill>
                  <w14:solidFill>
                    <w14:srgbClr w14:val="000000">
                      <w14:alpha w14:val="100000"/>
                    </w14:srgbClr>
                  </w14:solidFill>
                </w14:textFill>
              </w:rPr>
              <w:t>|</w:t>
            </w:r>
            <w:r w:rsidR="00AF3C7B" w:rsidRPr="00AF3C7B">
              <w:rPr>
                <w:rFonts w:ascii="Arial Narrow" w:hAnsi="Arial Narrow" w:cstheme="minorBidi"/>
                <w:color w:val="000000"/>
                <w:spacing w:val="1"/>
                <w:sz w:val="20"/>
                <w:szCs w:val="20"/>
                <w:shd w:val="solid" w:color="000000" w:fill="000000"/>
                <w:fitText w:val="252" w:id="-629961968"/>
                <w:lang w:eastAsia="en-US"/>
                <w14:textFill>
                  <w14:solidFill>
                    <w14:srgbClr w14:val="000000">
                      <w14:alpha w14:val="100000"/>
                    </w14:srgbClr>
                  </w14:solidFill>
                </w14:textFill>
              </w:rPr>
              <w:t>|</w:t>
            </w:r>
            <w:r w:rsidRPr="00FA4879">
              <w:rPr>
                <w:rFonts w:ascii="Arial Narrow" w:hAnsi="Arial Narrow" w:cstheme="minorBidi"/>
                <w:sz w:val="20"/>
                <w:szCs w:val="20"/>
                <w:lang w:eastAsia="en-US"/>
              </w:rPr>
              <w:t>%)</w:t>
            </w:r>
          </w:p>
        </w:tc>
      </w:tr>
      <w:tr w:rsidR="00210E4C" w:rsidRPr="00EF2E8A" w14:paraId="6D8A94F2" w14:textId="77777777" w:rsidTr="00AF3C7B">
        <w:tc>
          <w:tcPr>
            <w:tcW w:w="1263" w:type="pct"/>
            <w:tcBorders>
              <w:top w:val="single" w:sz="4" w:space="0" w:color="auto"/>
              <w:bottom w:val="single" w:sz="4" w:space="0" w:color="auto"/>
            </w:tcBorders>
            <w:tcMar>
              <w:left w:w="40" w:type="dxa"/>
              <w:right w:w="40" w:type="dxa"/>
            </w:tcMar>
          </w:tcPr>
          <w:p w14:paraId="6ABCE85C" w14:textId="77777777" w:rsidR="00210E4C" w:rsidRPr="00A8779B" w:rsidRDefault="00210E4C" w:rsidP="00F276FE">
            <w:pPr>
              <w:pStyle w:val="TableText"/>
              <w:keepNext/>
              <w:widowControl/>
              <w:numPr>
                <w:ilvl w:val="0"/>
                <w:numId w:val="12"/>
              </w:numPr>
              <w:ind w:left="240" w:hanging="120"/>
              <w:rPr>
                <w:szCs w:val="20"/>
              </w:rPr>
            </w:pPr>
            <w:r w:rsidRPr="00A8779B">
              <w:rPr>
                <w:szCs w:val="20"/>
              </w:rPr>
              <w:t xml:space="preserve">Time horizon </w:t>
            </w:r>
            <w:r w:rsidRPr="00A8779B">
              <w:rPr>
                <w:szCs w:val="20"/>
                <w:u w:val="single"/>
              </w:rPr>
              <w:t>5 years</w:t>
            </w:r>
          </w:p>
          <w:p w14:paraId="6C2AF872" w14:textId="225E74D6" w:rsidR="00210E4C" w:rsidRPr="00A8779B" w:rsidRDefault="00210E4C" w:rsidP="00F276FE">
            <w:pPr>
              <w:pStyle w:val="TableText"/>
              <w:keepNext/>
              <w:widowControl/>
              <w:numPr>
                <w:ilvl w:val="0"/>
                <w:numId w:val="12"/>
              </w:numPr>
              <w:ind w:left="240" w:hanging="120"/>
              <w:rPr>
                <w:szCs w:val="20"/>
              </w:rPr>
            </w:pPr>
            <w:r w:rsidRPr="00A8779B">
              <w:rPr>
                <w:szCs w:val="20"/>
              </w:rPr>
              <w:t>Pooled utility value for post</w:t>
            </w:r>
            <w:r w:rsidR="00A46D2B">
              <w:rPr>
                <w:szCs w:val="20"/>
              </w:rPr>
              <w:noBreakHyphen/>
            </w:r>
            <w:r w:rsidRPr="00A8779B">
              <w:rPr>
                <w:szCs w:val="20"/>
              </w:rPr>
              <w:t>progression health state</w:t>
            </w:r>
            <w:r w:rsidR="00C7702B">
              <w:rPr>
                <w:szCs w:val="20"/>
              </w:rPr>
              <w:t xml:space="preserve"> only</w:t>
            </w:r>
          </w:p>
          <w:p w14:paraId="39035B33" w14:textId="77777777" w:rsidR="00210E4C" w:rsidRPr="00A8779B" w:rsidRDefault="00210E4C" w:rsidP="00F276FE">
            <w:pPr>
              <w:pStyle w:val="TableText"/>
              <w:keepNext/>
              <w:widowControl/>
              <w:numPr>
                <w:ilvl w:val="0"/>
                <w:numId w:val="12"/>
              </w:numPr>
              <w:ind w:left="240" w:hanging="120"/>
              <w:rPr>
                <w:szCs w:val="20"/>
              </w:rPr>
            </w:pPr>
            <w:r w:rsidRPr="00A8779B">
              <w:rPr>
                <w:szCs w:val="20"/>
              </w:rPr>
              <w:t>OS extrapolation for MIRV = Gamma</w:t>
            </w:r>
          </w:p>
          <w:p w14:paraId="1CBCDDAA" w14:textId="67E1A748" w:rsidR="00210E4C" w:rsidRPr="00A8779B" w:rsidRDefault="00210E4C" w:rsidP="00F276FE">
            <w:pPr>
              <w:pStyle w:val="TableText"/>
              <w:keepNext/>
              <w:widowControl/>
              <w:numPr>
                <w:ilvl w:val="0"/>
                <w:numId w:val="12"/>
              </w:numPr>
              <w:ind w:left="240" w:hanging="120"/>
              <w:rPr>
                <w:szCs w:val="20"/>
                <w:u w:val="single"/>
              </w:rPr>
            </w:pPr>
            <w:r w:rsidRPr="00A8779B">
              <w:rPr>
                <w:szCs w:val="20"/>
                <w:u w:val="single"/>
              </w:rPr>
              <w:t>Pre</w:t>
            </w:r>
            <w:r w:rsidR="00A46D2B">
              <w:rPr>
                <w:szCs w:val="20"/>
                <w:u w:val="single"/>
              </w:rPr>
              <w:noBreakHyphen/>
            </w:r>
            <w:r w:rsidRPr="00A8779B">
              <w:rPr>
                <w:szCs w:val="20"/>
                <w:u w:val="single"/>
              </w:rPr>
              <w:t xml:space="preserve">PBAC Price </w:t>
            </w:r>
            <w:proofErr w:type="spellStart"/>
            <w:r w:rsidRPr="00A8779B">
              <w:rPr>
                <w:szCs w:val="20"/>
                <w:u w:val="single"/>
              </w:rPr>
              <w:t>reduction</w:t>
            </w:r>
            <w:r w:rsidRPr="00A8779B">
              <w:rPr>
                <w:szCs w:val="20"/>
                <w:u w:val="single"/>
                <w:vertAlign w:val="superscript"/>
              </w:rPr>
              <w:t>a</w:t>
            </w:r>
            <w:proofErr w:type="spellEnd"/>
          </w:p>
        </w:tc>
        <w:tc>
          <w:tcPr>
            <w:tcW w:w="577" w:type="pct"/>
            <w:tcBorders>
              <w:top w:val="single" w:sz="4" w:space="0" w:color="auto"/>
              <w:bottom w:val="single" w:sz="4" w:space="0" w:color="auto"/>
            </w:tcBorders>
            <w:shd w:val="solid" w:color="000000" w:fill="000000"/>
            <w:tcMar>
              <w:left w:w="20" w:type="dxa"/>
              <w:right w:w="20" w:type="dxa"/>
            </w:tcMar>
            <w:vAlign w:val="center"/>
          </w:tcPr>
          <w:p w14:paraId="1490805A" w14:textId="0956596B" w:rsidR="00210E4C" w:rsidRPr="0009348B" w:rsidRDefault="00AF3C7B" w:rsidP="00F276FE">
            <w:pPr>
              <w:pStyle w:val="TableText"/>
              <w:keepNext/>
              <w:widowControl/>
              <w:jc w:val="center"/>
              <w:rPr>
                <w:szCs w:val="20"/>
                <w:highlight w:val="darkGray"/>
              </w:rPr>
            </w:pPr>
            <w:r w:rsidRPr="00AF3C7B">
              <w:rPr>
                <w:rFonts w:hint="eastAsia"/>
                <w:color w:val="000000"/>
                <w:w w:val="15"/>
                <w:szCs w:val="20"/>
                <w:fitText w:val="48" w:id="-629961984"/>
                <w14:textFill>
                  <w14:solidFill>
                    <w14:srgbClr w14:val="000000">
                      <w14:alpha w14:val="100000"/>
                    </w14:srgbClr>
                  </w14:solidFill>
                </w14:textFill>
              </w:rPr>
              <w:t xml:space="preserve">　</w:t>
            </w:r>
            <w:r w:rsidRPr="00AF3C7B">
              <w:rPr>
                <w:color w:val="000000"/>
                <w:w w:val="15"/>
                <w:szCs w:val="20"/>
                <w:fitText w:val="48" w:id="-629961984"/>
                <w14:textFill>
                  <w14:solidFill>
                    <w14:srgbClr w14:val="000000">
                      <w14:alpha w14:val="100000"/>
                    </w14:srgbClr>
                  </w14:solidFill>
                </w14:textFill>
              </w:rPr>
              <w:t>|</w:t>
            </w:r>
            <w:r w:rsidRPr="00AF3C7B">
              <w:rPr>
                <w:rFonts w:hint="eastAsia"/>
                <w:color w:val="000000"/>
                <w:spacing w:val="-17"/>
                <w:w w:val="15"/>
                <w:szCs w:val="20"/>
                <w:fitText w:val="48" w:id="-629961984"/>
                <w14:textFill>
                  <w14:solidFill>
                    <w14:srgbClr w14:val="000000">
                      <w14:alpha w14:val="100000"/>
                    </w14:srgbClr>
                  </w14:solidFill>
                </w14:textFill>
              </w:rPr>
              <w:t xml:space="preserve">　</w:t>
            </w:r>
          </w:p>
        </w:tc>
        <w:tc>
          <w:tcPr>
            <w:tcW w:w="552" w:type="pct"/>
            <w:tcBorders>
              <w:top w:val="single" w:sz="4" w:space="0" w:color="auto"/>
              <w:bottom w:val="single" w:sz="4" w:space="0" w:color="auto"/>
            </w:tcBorders>
            <w:tcMar>
              <w:left w:w="20" w:type="dxa"/>
              <w:right w:w="20" w:type="dxa"/>
            </w:tcMar>
            <w:vAlign w:val="center"/>
          </w:tcPr>
          <w:p w14:paraId="0698BC03" w14:textId="27E2A1A6" w:rsidR="00210E4C" w:rsidRPr="00A8779B" w:rsidRDefault="00210E4C" w:rsidP="00F276FE">
            <w:pPr>
              <w:pStyle w:val="TableText"/>
              <w:keepNext/>
              <w:widowControl/>
              <w:jc w:val="center"/>
              <w:rPr>
                <w:szCs w:val="20"/>
              </w:rPr>
            </w:pPr>
            <w:r w:rsidRPr="00A8779B">
              <w:rPr>
                <w:szCs w:val="20"/>
              </w:rPr>
              <w:t>0.3</w:t>
            </w:r>
            <w:r w:rsidR="007D3573">
              <w:rPr>
                <w:szCs w:val="20"/>
              </w:rPr>
              <w:t>4</w:t>
            </w:r>
          </w:p>
        </w:tc>
        <w:tc>
          <w:tcPr>
            <w:tcW w:w="466" w:type="pct"/>
            <w:tcBorders>
              <w:top w:val="single" w:sz="4" w:space="0" w:color="auto"/>
              <w:bottom w:val="single" w:sz="4" w:space="0" w:color="auto"/>
            </w:tcBorders>
            <w:tcMar>
              <w:left w:w="20" w:type="dxa"/>
              <w:right w:w="20" w:type="dxa"/>
            </w:tcMar>
            <w:vAlign w:val="center"/>
          </w:tcPr>
          <w:p w14:paraId="2C718539" w14:textId="0B7CC068" w:rsidR="00210E4C" w:rsidRPr="0009348B" w:rsidRDefault="00AF3C7B" w:rsidP="00F276FE">
            <w:pPr>
              <w:pStyle w:val="TableText"/>
              <w:keepNext/>
              <w:widowControl/>
              <w:jc w:val="center"/>
              <w:rPr>
                <w:szCs w:val="20"/>
                <w:highlight w:val="darkGray"/>
              </w:rPr>
            </w:pPr>
            <w:r w:rsidRPr="00AF3C7B">
              <w:rPr>
                <w:color w:val="000000"/>
                <w:spacing w:val="82"/>
                <w:szCs w:val="20"/>
                <w:shd w:val="solid" w:color="000000" w:fill="000000"/>
                <w:fitText w:val="168" w:id="-629961983"/>
                <w14:textFill>
                  <w14:solidFill>
                    <w14:srgbClr w14:val="000000">
                      <w14:alpha w14:val="100000"/>
                    </w14:srgbClr>
                  </w14:solidFill>
                </w14:textFill>
              </w:rPr>
              <w:t>|</w:t>
            </w:r>
            <w:r w:rsidRPr="00AF3C7B">
              <w:rPr>
                <w:color w:val="000000"/>
                <w:spacing w:val="1"/>
                <w:szCs w:val="20"/>
                <w:shd w:val="solid" w:color="000000" w:fill="000000"/>
                <w:fitText w:val="168" w:id="-629961983"/>
                <w14:textFill>
                  <w14:solidFill>
                    <w14:srgbClr w14:val="000000">
                      <w14:alpha w14:val="100000"/>
                    </w14:srgbClr>
                  </w14:solidFill>
                </w14:textFill>
              </w:rPr>
              <w:t>|</w:t>
            </w:r>
            <w:r w:rsidR="007975C9" w:rsidRPr="00853051">
              <w:rPr>
                <w:szCs w:val="20"/>
                <w:vertAlign w:val="superscript"/>
              </w:rPr>
              <w:t>5</w:t>
            </w:r>
          </w:p>
        </w:tc>
        <w:tc>
          <w:tcPr>
            <w:tcW w:w="533" w:type="pct"/>
            <w:tcBorders>
              <w:top w:val="single" w:sz="4" w:space="0" w:color="auto"/>
              <w:bottom w:val="single" w:sz="4" w:space="0" w:color="auto"/>
            </w:tcBorders>
            <w:shd w:val="solid" w:color="000000" w:fill="000000"/>
            <w:tcMar>
              <w:left w:w="20" w:type="dxa"/>
              <w:right w:w="20" w:type="dxa"/>
            </w:tcMar>
            <w:vAlign w:val="center"/>
          </w:tcPr>
          <w:p w14:paraId="1A10B626" w14:textId="209E8F8B" w:rsidR="00210E4C" w:rsidRPr="00601E11" w:rsidRDefault="00AF3C7B" w:rsidP="00F276FE">
            <w:pPr>
              <w:pStyle w:val="TableText"/>
              <w:keepNext/>
              <w:widowControl/>
              <w:jc w:val="center"/>
              <w:rPr>
                <w:szCs w:val="20"/>
                <w:highlight w:val="darkGray"/>
              </w:rPr>
            </w:pPr>
            <w:r w:rsidRPr="00AF3C7B">
              <w:rPr>
                <w:rFonts w:hint="eastAsia"/>
                <w:color w:val="000000"/>
                <w:w w:val="21"/>
                <w:szCs w:val="20"/>
                <w:fitText w:val="96" w:id="-629961982"/>
                <w14:textFill>
                  <w14:solidFill>
                    <w14:srgbClr w14:val="000000">
                      <w14:alpha w14:val="100000"/>
                    </w14:srgbClr>
                  </w14:solidFill>
                </w14:textFill>
              </w:rPr>
              <w:t xml:space="preserve">　</w:t>
            </w:r>
            <w:r w:rsidRPr="00AF3C7B">
              <w:rPr>
                <w:color w:val="000000"/>
                <w:w w:val="21"/>
                <w:szCs w:val="20"/>
                <w:fitText w:val="96" w:id="-629961982"/>
                <w14:textFill>
                  <w14:solidFill>
                    <w14:srgbClr w14:val="000000">
                      <w14:alpha w14:val="100000"/>
                    </w14:srgbClr>
                  </w14:solidFill>
                </w14:textFill>
              </w:rPr>
              <w:t>|</w:t>
            </w:r>
            <w:r w:rsidRPr="00AF3C7B">
              <w:rPr>
                <w:rFonts w:hint="eastAsia"/>
                <w:color w:val="000000"/>
                <w:w w:val="21"/>
                <w:szCs w:val="20"/>
                <w:fitText w:val="96" w:id="-629961982"/>
                <w14:textFill>
                  <w14:solidFill>
                    <w14:srgbClr w14:val="000000">
                      <w14:alpha w14:val="100000"/>
                    </w14:srgbClr>
                  </w14:solidFill>
                </w14:textFill>
              </w:rPr>
              <w:t xml:space="preserve">　</w:t>
            </w:r>
          </w:p>
        </w:tc>
        <w:tc>
          <w:tcPr>
            <w:tcW w:w="599" w:type="pct"/>
            <w:tcBorders>
              <w:top w:val="single" w:sz="4" w:space="0" w:color="auto"/>
              <w:bottom w:val="single" w:sz="4" w:space="0" w:color="auto"/>
            </w:tcBorders>
            <w:tcMar>
              <w:left w:w="20" w:type="dxa"/>
              <w:right w:w="20" w:type="dxa"/>
            </w:tcMar>
            <w:vAlign w:val="center"/>
          </w:tcPr>
          <w:p w14:paraId="0E288C80" w14:textId="06A5FB1F" w:rsidR="00210E4C" w:rsidRPr="00A8779B" w:rsidRDefault="00210E4C" w:rsidP="00F276FE">
            <w:pPr>
              <w:pStyle w:val="TableText"/>
              <w:keepNext/>
              <w:widowControl/>
              <w:jc w:val="center"/>
              <w:rPr>
                <w:szCs w:val="20"/>
              </w:rPr>
            </w:pPr>
            <w:r w:rsidRPr="00A8779B">
              <w:rPr>
                <w:szCs w:val="20"/>
              </w:rPr>
              <w:t>0.3</w:t>
            </w:r>
            <w:r w:rsidR="008655AF">
              <w:rPr>
                <w:szCs w:val="20"/>
              </w:rPr>
              <w:t>5</w:t>
            </w:r>
          </w:p>
        </w:tc>
        <w:tc>
          <w:tcPr>
            <w:tcW w:w="466" w:type="pct"/>
            <w:tcBorders>
              <w:top w:val="single" w:sz="4" w:space="0" w:color="auto"/>
              <w:bottom w:val="single" w:sz="4" w:space="0" w:color="auto"/>
            </w:tcBorders>
            <w:tcMar>
              <w:left w:w="20" w:type="dxa"/>
              <w:right w:w="20" w:type="dxa"/>
            </w:tcMar>
            <w:vAlign w:val="center"/>
          </w:tcPr>
          <w:p w14:paraId="44A2C2EC" w14:textId="7E4F7845" w:rsidR="00210E4C" w:rsidRPr="00A257C8" w:rsidRDefault="00AF3C7B" w:rsidP="00F276FE">
            <w:pPr>
              <w:pStyle w:val="TableText"/>
              <w:keepNext/>
              <w:widowControl/>
              <w:jc w:val="center"/>
              <w:rPr>
                <w:szCs w:val="20"/>
                <w:highlight w:val="darkGray"/>
              </w:rPr>
            </w:pPr>
            <w:r w:rsidRPr="00AF3C7B">
              <w:rPr>
                <w:color w:val="000000"/>
                <w:spacing w:val="82"/>
                <w:szCs w:val="20"/>
                <w:shd w:val="solid" w:color="000000" w:fill="000000"/>
                <w:fitText w:val="168" w:id="-629961981"/>
                <w14:textFill>
                  <w14:solidFill>
                    <w14:srgbClr w14:val="000000">
                      <w14:alpha w14:val="100000"/>
                    </w14:srgbClr>
                  </w14:solidFill>
                </w14:textFill>
              </w:rPr>
              <w:t>|</w:t>
            </w:r>
            <w:r w:rsidRPr="00AF3C7B">
              <w:rPr>
                <w:color w:val="000000"/>
                <w:spacing w:val="1"/>
                <w:szCs w:val="20"/>
                <w:shd w:val="solid" w:color="000000" w:fill="000000"/>
                <w:fitText w:val="168" w:id="-629961981"/>
                <w14:textFill>
                  <w14:solidFill>
                    <w14:srgbClr w14:val="000000">
                      <w14:alpha w14:val="100000"/>
                    </w14:srgbClr>
                  </w14:solidFill>
                </w14:textFill>
              </w:rPr>
              <w:t>|</w:t>
            </w:r>
            <w:r w:rsidR="00ED196F">
              <w:rPr>
                <w:vertAlign w:val="superscript"/>
              </w:rPr>
              <w:t>4</w:t>
            </w:r>
          </w:p>
        </w:tc>
        <w:tc>
          <w:tcPr>
            <w:tcW w:w="544" w:type="pct"/>
            <w:tcBorders>
              <w:top w:val="single" w:sz="4" w:space="0" w:color="auto"/>
              <w:bottom w:val="single" w:sz="4" w:space="0" w:color="auto"/>
            </w:tcBorders>
            <w:tcMar>
              <w:left w:w="20" w:type="dxa"/>
              <w:right w:w="20" w:type="dxa"/>
            </w:tcMar>
            <w:vAlign w:val="center"/>
          </w:tcPr>
          <w:p w14:paraId="3AA0DCC2" w14:textId="741E6CDC" w:rsidR="00A8779B" w:rsidRPr="00A8779B" w:rsidRDefault="00AF3C7B" w:rsidP="00F276FE">
            <w:pPr>
              <w:pStyle w:val="TableText"/>
              <w:keepNext/>
              <w:widowControl/>
              <w:jc w:val="center"/>
              <w:rPr>
                <w:szCs w:val="20"/>
              </w:rPr>
            </w:pPr>
            <w:r w:rsidRPr="00AF3C7B">
              <w:rPr>
                <w:rFonts w:hint="eastAsia"/>
                <w:color w:val="000000"/>
                <w:w w:val="21"/>
                <w:szCs w:val="20"/>
                <w:shd w:val="solid" w:color="000000" w:fill="000000"/>
                <w:fitText w:val="96" w:id="-629961980"/>
                <w14:textFill>
                  <w14:solidFill>
                    <w14:srgbClr w14:val="000000">
                      <w14:alpha w14:val="100000"/>
                    </w14:srgbClr>
                  </w14:solidFill>
                </w14:textFill>
              </w:rPr>
              <w:t xml:space="preserve">　</w:t>
            </w:r>
            <w:r w:rsidRPr="00AF3C7B">
              <w:rPr>
                <w:color w:val="000000"/>
                <w:w w:val="21"/>
                <w:szCs w:val="20"/>
                <w:shd w:val="solid" w:color="000000" w:fill="000000"/>
                <w:fitText w:val="96" w:id="-629961980"/>
                <w14:textFill>
                  <w14:solidFill>
                    <w14:srgbClr w14:val="000000">
                      <w14:alpha w14:val="100000"/>
                    </w14:srgbClr>
                  </w14:solidFill>
                </w14:textFill>
              </w:rPr>
              <w:t>|</w:t>
            </w:r>
            <w:r w:rsidRPr="00AF3C7B">
              <w:rPr>
                <w:rFonts w:hint="eastAsia"/>
                <w:color w:val="000000"/>
                <w:spacing w:val="5"/>
                <w:w w:val="21"/>
                <w:szCs w:val="20"/>
                <w:shd w:val="solid" w:color="000000" w:fill="000000"/>
                <w:fitText w:val="96" w:id="-629961980"/>
                <w14:textFill>
                  <w14:solidFill>
                    <w14:srgbClr w14:val="000000">
                      <w14:alpha w14:val="100000"/>
                    </w14:srgbClr>
                  </w14:solidFill>
                </w14:textFill>
              </w:rPr>
              <w:t xml:space="preserve">　</w:t>
            </w:r>
            <w:r w:rsidR="00970D74" w:rsidRPr="00174C97">
              <w:rPr>
                <w:vertAlign w:val="superscript"/>
              </w:rPr>
              <w:t>3</w:t>
            </w:r>
          </w:p>
          <w:p w14:paraId="331CA8F5" w14:textId="593CC35D" w:rsidR="00210E4C" w:rsidRPr="00A8779B" w:rsidRDefault="00A8779B" w:rsidP="00F276FE">
            <w:pPr>
              <w:pStyle w:val="TableText"/>
              <w:keepNext/>
              <w:widowControl/>
              <w:jc w:val="center"/>
              <w:rPr>
                <w:szCs w:val="20"/>
              </w:rPr>
            </w:pPr>
            <w:r w:rsidRPr="00A8779B">
              <w:rPr>
                <w:szCs w:val="20"/>
              </w:rPr>
              <w:t>(+</w:t>
            </w:r>
            <w:r w:rsidR="00AF3C7B" w:rsidRPr="00AF3C7B">
              <w:rPr>
                <w:color w:val="000000"/>
                <w:spacing w:val="166"/>
                <w:szCs w:val="20"/>
                <w:shd w:val="solid" w:color="000000" w:fill="000000"/>
                <w:fitText w:val="252" w:id="-629961979"/>
                <w14:textFill>
                  <w14:solidFill>
                    <w14:srgbClr w14:val="000000">
                      <w14:alpha w14:val="100000"/>
                    </w14:srgbClr>
                  </w14:solidFill>
                </w14:textFill>
              </w:rPr>
              <w:t>|</w:t>
            </w:r>
            <w:r w:rsidR="00AF3C7B" w:rsidRPr="00AF3C7B">
              <w:rPr>
                <w:color w:val="000000"/>
                <w:spacing w:val="1"/>
                <w:szCs w:val="20"/>
                <w:shd w:val="solid" w:color="000000" w:fill="000000"/>
                <w:fitText w:val="252" w:id="-629961979"/>
                <w14:textFill>
                  <w14:solidFill>
                    <w14:srgbClr w14:val="000000">
                      <w14:alpha w14:val="100000"/>
                    </w14:srgbClr>
                  </w14:solidFill>
                </w14:textFill>
              </w:rPr>
              <w:t>|</w:t>
            </w:r>
            <w:r w:rsidRPr="00A8779B">
              <w:rPr>
                <w:szCs w:val="20"/>
              </w:rPr>
              <w:t>%)</w:t>
            </w:r>
          </w:p>
        </w:tc>
      </w:tr>
      <w:tr w:rsidR="00210E4C" w:rsidRPr="00EF2E8A" w14:paraId="52FEE896" w14:textId="77777777" w:rsidTr="00AF3C7B">
        <w:tc>
          <w:tcPr>
            <w:tcW w:w="1263" w:type="pct"/>
            <w:tcBorders>
              <w:top w:val="single" w:sz="4" w:space="0" w:color="auto"/>
            </w:tcBorders>
            <w:tcMar>
              <w:left w:w="40" w:type="dxa"/>
              <w:right w:w="40" w:type="dxa"/>
            </w:tcMar>
          </w:tcPr>
          <w:p w14:paraId="5CE84B04" w14:textId="3C4EDACD" w:rsidR="00210E4C" w:rsidRPr="006F187B" w:rsidRDefault="00210E4C" w:rsidP="00F276FE">
            <w:pPr>
              <w:pStyle w:val="TableText"/>
              <w:keepNext/>
              <w:widowControl/>
              <w:rPr>
                <w:szCs w:val="20"/>
              </w:rPr>
            </w:pPr>
            <w:r w:rsidRPr="006F187B">
              <w:rPr>
                <w:szCs w:val="20"/>
              </w:rPr>
              <w:t>Pre</w:t>
            </w:r>
            <w:r w:rsidR="00A46D2B">
              <w:rPr>
                <w:szCs w:val="20"/>
              </w:rPr>
              <w:noBreakHyphen/>
            </w:r>
            <w:r w:rsidRPr="006F187B">
              <w:rPr>
                <w:szCs w:val="20"/>
              </w:rPr>
              <w:t>PBAC updated base case</w:t>
            </w:r>
          </w:p>
          <w:p w14:paraId="0EDFCA9C" w14:textId="3F37DB63" w:rsidR="00210E4C" w:rsidRPr="006F187B" w:rsidRDefault="00210E4C" w:rsidP="00F276FE">
            <w:pPr>
              <w:pStyle w:val="TableText"/>
              <w:keepNext/>
              <w:widowControl/>
              <w:numPr>
                <w:ilvl w:val="0"/>
                <w:numId w:val="12"/>
              </w:numPr>
              <w:ind w:left="240" w:hanging="120"/>
              <w:rPr>
                <w:szCs w:val="20"/>
              </w:rPr>
            </w:pPr>
            <w:r w:rsidRPr="006F187B">
              <w:rPr>
                <w:szCs w:val="20"/>
              </w:rPr>
              <w:t xml:space="preserve">Time horizon </w:t>
            </w:r>
            <w:r w:rsidRPr="006F187B">
              <w:rPr>
                <w:szCs w:val="20"/>
                <w:u w:val="single"/>
              </w:rPr>
              <w:t>6 years</w:t>
            </w:r>
          </w:p>
          <w:p w14:paraId="4A87C906" w14:textId="27F5886D" w:rsidR="00210E4C" w:rsidRPr="006F187B" w:rsidRDefault="00210E4C" w:rsidP="00F276FE">
            <w:pPr>
              <w:pStyle w:val="TableText"/>
              <w:keepNext/>
              <w:widowControl/>
              <w:numPr>
                <w:ilvl w:val="0"/>
                <w:numId w:val="12"/>
              </w:numPr>
              <w:ind w:left="240" w:hanging="120"/>
              <w:rPr>
                <w:szCs w:val="20"/>
                <w:u w:val="single"/>
              </w:rPr>
            </w:pPr>
            <w:r w:rsidRPr="006F187B">
              <w:rPr>
                <w:szCs w:val="20"/>
                <w:u w:val="single"/>
              </w:rPr>
              <w:t>Pre</w:t>
            </w:r>
            <w:r w:rsidR="00A46D2B">
              <w:rPr>
                <w:szCs w:val="20"/>
                <w:u w:val="single"/>
              </w:rPr>
              <w:noBreakHyphen/>
            </w:r>
            <w:r w:rsidRPr="006F187B">
              <w:rPr>
                <w:szCs w:val="20"/>
                <w:u w:val="single"/>
              </w:rPr>
              <w:t xml:space="preserve">PBAC Price </w:t>
            </w:r>
            <w:proofErr w:type="spellStart"/>
            <w:r w:rsidRPr="006F187B">
              <w:rPr>
                <w:szCs w:val="20"/>
                <w:u w:val="single"/>
              </w:rPr>
              <w:t>reduction</w:t>
            </w:r>
            <w:r w:rsidRPr="006F187B">
              <w:rPr>
                <w:szCs w:val="20"/>
                <w:u w:val="single"/>
                <w:vertAlign w:val="superscript"/>
              </w:rPr>
              <w:t>a</w:t>
            </w:r>
            <w:proofErr w:type="spellEnd"/>
          </w:p>
        </w:tc>
        <w:tc>
          <w:tcPr>
            <w:tcW w:w="577" w:type="pct"/>
            <w:tcBorders>
              <w:top w:val="single" w:sz="4" w:space="0" w:color="auto"/>
            </w:tcBorders>
            <w:shd w:val="solid" w:color="000000" w:fill="000000"/>
            <w:tcMar>
              <w:left w:w="20" w:type="dxa"/>
              <w:right w:w="20" w:type="dxa"/>
            </w:tcMar>
            <w:vAlign w:val="center"/>
          </w:tcPr>
          <w:p w14:paraId="5637C53E" w14:textId="670A4012" w:rsidR="00210E4C" w:rsidRPr="0009348B" w:rsidRDefault="00AF3C7B" w:rsidP="00F276FE">
            <w:pPr>
              <w:pStyle w:val="TableText"/>
              <w:keepNext/>
              <w:widowControl/>
              <w:jc w:val="center"/>
              <w:rPr>
                <w:szCs w:val="20"/>
                <w:highlight w:val="darkGray"/>
              </w:rPr>
            </w:pPr>
            <w:r w:rsidRPr="00AF3C7B">
              <w:rPr>
                <w:rFonts w:hint="eastAsia"/>
                <w:color w:val="000000"/>
                <w:w w:val="15"/>
                <w:szCs w:val="20"/>
                <w:fitText w:val="48" w:id="-629961978"/>
                <w14:textFill>
                  <w14:solidFill>
                    <w14:srgbClr w14:val="000000">
                      <w14:alpha w14:val="100000"/>
                    </w14:srgbClr>
                  </w14:solidFill>
                </w14:textFill>
              </w:rPr>
              <w:t xml:space="preserve">　</w:t>
            </w:r>
            <w:r w:rsidRPr="00AF3C7B">
              <w:rPr>
                <w:color w:val="000000"/>
                <w:w w:val="15"/>
                <w:szCs w:val="20"/>
                <w:fitText w:val="48" w:id="-629961978"/>
                <w14:textFill>
                  <w14:solidFill>
                    <w14:srgbClr w14:val="000000">
                      <w14:alpha w14:val="100000"/>
                    </w14:srgbClr>
                  </w14:solidFill>
                </w14:textFill>
              </w:rPr>
              <w:t>|</w:t>
            </w:r>
            <w:r w:rsidRPr="00AF3C7B">
              <w:rPr>
                <w:rFonts w:hint="eastAsia"/>
                <w:color w:val="000000"/>
                <w:spacing w:val="-17"/>
                <w:w w:val="15"/>
                <w:szCs w:val="20"/>
                <w:fitText w:val="48" w:id="-629961978"/>
                <w14:textFill>
                  <w14:solidFill>
                    <w14:srgbClr w14:val="000000">
                      <w14:alpha w14:val="100000"/>
                    </w14:srgbClr>
                  </w14:solidFill>
                </w14:textFill>
              </w:rPr>
              <w:t xml:space="preserve">　</w:t>
            </w:r>
          </w:p>
        </w:tc>
        <w:tc>
          <w:tcPr>
            <w:tcW w:w="552" w:type="pct"/>
            <w:tcBorders>
              <w:top w:val="single" w:sz="4" w:space="0" w:color="auto"/>
            </w:tcBorders>
            <w:tcMar>
              <w:left w:w="20" w:type="dxa"/>
              <w:right w:w="20" w:type="dxa"/>
            </w:tcMar>
            <w:vAlign w:val="center"/>
          </w:tcPr>
          <w:p w14:paraId="3496C21A" w14:textId="0929FC71" w:rsidR="00210E4C" w:rsidRPr="006F187B" w:rsidRDefault="00234B3F" w:rsidP="00F276FE">
            <w:pPr>
              <w:pStyle w:val="TableText"/>
              <w:keepNext/>
              <w:widowControl/>
              <w:jc w:val="center"/>
              <w:rPr>
                <w:szCs w:val="20"/>
              </w:rPr>
            </w:pPr>
            <w:r w:rsidRPr="006F187B">
              <w:rPr>
                <w:szCs w:val="20"/>
              </w:rPr>
              <w:t>0.56</w:t>
            </w:r>
          </w:p>
        </w:tc>
        <w:tc>
          <w:tcPr>
            <w:tcW w:w="466" w:type="pct"/>
            <w:tcBorders>
              <w:top w:val="single" w:sz="4" w:space="0" w:color="auto"/>
            </w:tcBorders>
            <w:tcMar>
              <w:left w:w="20" w:type="dxa"/>
              <w:right w:w="20" w:type="dxa"/>
            </w:tcMar>
            <w:vAlign w:val="center"/>
          </w:tcPr>
          <w:p w14:paraId="16A12C79" w14:textId="399DC2C8" w:rsidR="00210E4C" w:rsidRPr="006F187B" w:rsidRDefault="00AF3C7B" w:rsidP="00F276FE">
            <w:pPr>
              <w:pStyle w:val="TableText"/>
              <w:keepNext/>
              <w:widowControl/>
              <w:jc w:val="center"/>
              <w:rPr>
                <w:szCs w:val="20"/>
              </w:rPr>
            </w:pPr>
            <w:r w:rsidRPr="00AF3C7B">
              <w:rPr>
                <w:color w:val="000000"/>
                <w:spacing w:val="82"/>
                <w:szCs w:val="20"/>
                <w:shd w:val="solid" w:color="000000" w:fill="000000"/>
                <w:fitText w:val="168" w:id="-629961977"/>
                <w14:textFill>
                  <w14:solidFill>
                    <w14:srgbClr w14:val="000000">
                      <w14:alpha w14:val="100000"/>
                    </w14:srgbClr>
                  </w14:solidFill>
                </w14:textFill>
              </w:rPr>
              <w:t>|</w:t>
            </w:r>
            <w:r w:rsidRPr="00AF3C7B">
              <w:rPr>
                <w:color w:val="000000"/>
                <w:spacing w:val="1"/>
                <w:szCs w:val="20"/>
                <w:shd w:val="solid" w:color="000000" w:fill="000000"/>
                <w:fitText w:val="168" w:id="-629961977"/>
                <w14:textFill>
                  <w14:solidFill>
                    <w14:srgbClr w14:val="000000">
                      <w14:alpha w14:val="100000"/>
                    </w14:srgbClr>
                  </w14:solidFill>
                </w14:textFill>
              </w:rPr>
              <w:t>|</w:t>
            </w:r>
            <w:r w:rsidR="006A4C8B" w:rsidRPr="00C41CCA">
              <w:rPr>
                <w:b/>
                <w:szCs w:val="20"/>
                <w:vertAlign w:val="superscript"/>
              </w:rPr>
              <w:t>1</w:t>
            </w:r>
          </w:p>
        </w:tc>
        <w:tc>
          <w:tcPr>
            <w:tcW w:w="533" w:type="pct"/>
            <w:tcBorders>
              <w:top w:val="single" w:sz="4" w:space="0" w:color="auto"/>
            </w:tcBorders>
            <w:shd w:val="solid" w:color="000000" w:fill="000000"/>
            <w:tcMar>
              <w:left w:w="20" w:type="dxa"/>
              <w:right w:w="20" w:type="dxa"/>
            </w:tcMar>
            <w:vAlign w:val="center"/>
          </w:tcPr>
          <w:p w14:paraId="4033ED4E" w14:textId="1A6C660F" w:rsidR="00210E4C" w:rsidRPr="006F187B" w:rsidRDefault="00AF3C7B" w:rsidP="00F276FE">
            <w:pPr>
              <w:pStyle w:val="TableText"/>
              <w:keepNext/>
              <w:widowControl/>
              <w:jc w:val="center"/>
              <w:rPr>
                <w:szCs w:val="20"/>
              </w:rPr>
            </w:pPr>
            <w:r w:rsidRPr="00AF3C7B">
              <w:rPr>
                <w:rFonts w:hint="eastAsia"/>
                <w:color w:val="000000"/>
                <w:w w:val="21"/>
                <w:szCs w:val="20"/>
                <w:fitText w:val="96" w:id="-629961976"/>
                <w14:textFill>
                  <w14:solidFill>
                    <w14:srgbClr w14:val="000000">
                      <w14:alpha w14:val="100000"/>
                    </w14:srgbClr>
                  </w14:solidFill>
                </w14:textFill>
              </w:rPr>
              <w:t xml:space="preserve">　</w:t>
            </w:r>
            <w:r w:rsidRPr="00AF3C7B">
              <w:rPr>
                <w:color w:val="000000"/>
                <w:w w:val="21"/>
                <w:szCs w:val="20"/>
                <w:fitText w:val="96" w:id="-629961976"/>
                <w14:textFill>
                  <w14:solidFill>
                    <w14:srgbClr w14:val="000000">
                      <w14:alpha w14:val="100000"/>
                    </w14:srgbClr>
                  </w14:solidFill>
                </w14:textFill>
              </w:rPr>
              <w:t>|</w:t>
            </w:r>
            <w:r w:rsidRPr="00AF3C7B">
              <w:rPr>
                <w:rFonts w:hint="eastAsia"/>
                <w:color w:val="000000"/>
                <w:w w:val="21"/>
                <w:szCs w:val="20"/>
                <w:fitText w:val="96" w:id="-629961976"/>
                <w14:textFill>
                  <w14:solidFill>
                    <w14:srgbClr w14:val="000000">
                      <w14:alpha w14:val="100000"/>
                    </w14:srgbClr>
                  </w14:solidFill>
                </w14:textFill>
              </w:rPr>
              <w:t xml:space="preserve">　</w:t>
            </w:r>
          </w:p>
        </w:tc>
        <w:tc>
          <w:tcPr>
            <w:tcW w:w="599" w:type="pct"/>
            <w:tcBorders>
              <w:top w:val="single" w:sz="4" w:space="0" w:color="auto"/>
            </w:tcBorders>
            <w:tcMar>
              <w:left w:w="20" w:type="dxa"/>
              <w:right w:w="20" w:type="dxa"/>
            </w:tcMar>
            <w:vAlign w:val="center"/>
          </w:tcPr>
          <w:p w14:paraId="2323B0E4" w14:textId="7D8B483F" w:rsidR="00210E4C" w:rsidRPr="006F187B" w:rsidRDefault="00E03120" w:rsidP="00F276FE">
            <w:pPr>
              <w:pStyle w:val="TableText"/>
              <w:keepNext/>
              <w:widowControl/>
              <w:jc w:val="center"/>
              <w:rPr>
                <w:szCs w:val="20"/>
              </w:rPr>
            </w:pPr>
            <w:r w:rsidRPr="006F187B">
              <w:rPr>
                <w:szCs w:val="20"/>
              </w:rPr>
              <w:t>0.49</w:t>
            </w:r>
          </w:p>
        </w:tc>
        <w:tc>
          <w:tcPr>
            <w:tcW w:w="466" w:type="pct"/>
            <w:tcBorders>
              <w:top w:val="single" w:sz="4" w:space="0" w:color="auto"/>
            </w:tcBorders>
            <w:tcMar>
              <w:left w:w="20" w:type="dxa"/>
              <w:right w:w="20" w:type="dxa"/>
            </w:tcMar>
            <w:vAlign w:val="center"/>
          </w:tcPr>
          <w:p w14:paraId="2B45CF5B" w14:textId="6B5590BA" w:rsidR="00210E4C" w:rsidRPr="00A257C8" w:rsidRDefault="00AF3C7B" w:rsidP="00F276FE">
            <w:pPr>
              <w:pStyle w:val="TableText"/>
              <w:keepNext/>
              <w:widowControl/>
              <w:jc w:val="center"/>
              <w:rPr>
                <w:szCs w:val="20"/>
                <w:highlight w:val="darkGray"/>
              </w:rPr>
            </w:pPr>
            <w:r w:rsidRPr="00AF3C7B">
              <w:rPr>
                <w:color w:val="000000"/>
                <w:spacing w:val="82"/>
                <w:szCs w:val="20"/>
                <w:shd w:val="solid" w:color="000000" w:fill="000000"/>
                <w:fitText w:val="168" w:id="-629961975"/>
                <w14:textFill>
                  <w14:solidFill>
                    <w14:srgbClr w14:val="000000">
                      <w14:alpha w14:val="100000"/>
                    </w14:srgbClr>
                  </w14:solidFill>
                </w14:textFill>
              </w:rPr>
              <w:t>|</w:t>
            </w:r>
            <w:r w:rsidRPr="00AF3C7B">
              <w:rPr>
                <w:color w:val="000000"/>
                <w:spacing w:val="1"/>
                <w:szCs w:val="20"/>
                <w:shd w:val="solid" w:color="000000" w:fill="000000"/>
                <w:fitText w:val="168" w:id="-629961975"/>
                <w14:textFill>
                  <w14:solidFill>
                    <w14:srgbClr w14:val="000000">
                      <w14:alpha w14:val="100000"/>
                    </w14:srgbClr>
                  </w14:solidFill>
                </w14:textFill>
              </w:rPr>
              <w:t>|</w:t>
            </w:r>
            <w:r w:rsidR="006A4C8B" w:rsidRPr="00C41CCA">
              <w:rPr>
                <w:b/>
                <w:szCs w:val="20"/>
                <w:vertAlign w:val="superscript"/>
              </w:rPr>
              <w:t>1</w:t>
            </w:r>
          </w:p>
        </w:tc>
        <w:tc>
          <w:tcPr>
            <w:tcW w:w="544" w:type="pct"/>
            <w:tcBorders>
              <w:top w:val="single" w:sz="4" w:space="0" w:color="auto"/>
            </w:tcBorders>
            <w:tcMar>
              <w:left w:w="20" w:type="dxa"/>
              <w:right w:w="20" w:type="dxa"/>
            </w:tcMar>
            <w:vAlign w:val="center"/>
          </w:tcPr>
          <w:p w14:paraId="455421A1" w14:textId="76F43F14" w:rsidR="00E03120" w:rsidRPr="006F187B" w:rsidRDefault="00AF3C7B" w:rsidP="00F276FE">
            <w:pPr>
              <w:pStyle w:val="TableText"/>
              <w:keepNext/>
              <w:widowControl/>
              <w:jc w:val="center"/>
              <w:rPr>
                <w:szCs w:val="20"/>
              </w:rPr>
            </w:pPr>
            <w:r w:rsidRPr="00AF3C7B">
              <w:rPr>
                <w:rFonts w:hint="eastAsia"/>
                <w:color w:val="000000"/>
                <w:w w:val="21"/>
                <w:szCs w:val="20"/>
                <w:shd w:val="solid" w:color="000000" w:fill="000000"/>
                <w:fitText w:val="96" w:id="-629961974"/>
                <w14:textFill>
                  <w14:solidFill>
                    <w14:srgbClr w14:val="000000">
                      <w14:alpha w14:val="100000"/>
                    </w14:srgbClr>
                  </w14:solidFill>
                </w14:textFill>
              </w:rPr>
              <w:t xml:space="preserve">　</w:t>
            </w:r>
            <w:r w:rsidRPr="00AF3C7B">
              <w:rPr>
                <w:color w:val="000000"/>
                <w:w w:val="21"/>
                <w:szCs w:val="20"/>
                <w:shd w:val="solid" w:color="000000" w:fill="000000"/>
                <w:fitText w:val="96" w:id="-629961974"/>
                <w14:textFill>
                  <w14:solidFill>
                    <w14:srgbClr w14:val="000000">
                      <w14:alpha w14:val="100000"/>
                    </w14:srgbClr>
                  </w14:solidFill>
                </w14:textFill>
              </w:rPr>
              <w:t>|</w:t>
            </w:r>
            <w:r w:rsidRPr="00AF3C7B">
              <w:rPr>
                <w:rFonts w:hint="eastAsia"/>
                <w:color w:val="000000"/>
                <w:spacing w:val="5"/>
                <w:w w:val="21"/>
                <w:szCs w:val="20"/>
                <w:shd w:val="solid" w:color="000000" w:fill="000000"/>
                <w:fitText w:val="96" w:id="-629961974"/>
                <w14:textFill>
                  <w14:solidFill>
                    <w14:srgbClr w14:val="000000">
                      <w14:alpha w14:val="100000"/>
                    </w14:srgbClr>
                  </w14:solidFill>
                </w14:textFill>
              </w:rPr>
              <w:t xml:space="preserve">　</w:t>
            </w:r>
            <w:r w:rsidR="006A4C8B" w:rsidRPr="00C41CCA">
              <w:rPr>
                <w:b/>
                <w:szCs w:val="20"/>
                <w:vertAlign w:val="superscript"/>
              </w:rPr>
              <w:t>1</w:t>
            </w:r>
          </w:p>
          <w:p w14:paraId="30309633" w14:textId="62C53929" w:rsidR="00210E4C" w:rsidRPr="006F187B" w:rsidRDefault="00E03120" w:rsidP="00F276FE">
            <w:pPr>
              <w:pStyle w:val="TableText"/>
              <w:keepNext/>
              <w:widowControl/>
              <w:jc w:val="center"/>
              <w:rPr>
                <w:szCs w:val="20"/>
              </w:rPr>
            </w:pPr>
            <w:r w:rsidRPr="006F187B">
              <w:rPr>
                <w:szCs w:val="20"/>
              </w:rPr>
              <w:t>(</w:t>
            </w:r>
            <w:r w:rsidR="00A46D2B">
              <w:rPr>
                <w:szCs w:val="20"/>
              </w:rPr>
              <w:noBreakHyphen/>
            </w:r>
            <w:r w:rsidR="00AF3C7B" w:rsidRPr="00AF3C7B">
              <w:rPr>
                <w:color w:val="000000"/>
                <w:spacing w:val="154"/>
                <w:szCs w:val="20"/>
                <w:shd w:val="solid" w:color="000000" w:fill="000000"/>
                <w:fitText w:val="240" w:id="-629961973"/>
                <w14:textFill>
                  <w14:solidFill>
                    <w14:srgbClr w14:val="000000">
                      <w14:alpha w14:val="100000"/>
                    </w14:srgbClr>
                  </w14:solidFill>
                </w14:textFill>
              </w:rPr>
              <w:t>|</w:t>
            </w:r>
            <w:r w:rsidR="00AF3C7B" w:rsidRPr="00AF3C7B">
              <w:rPr>
                <w:color w:val="000000"/>
                <w:spacing w:val="1"/>
                <w:szCs w:val="20"/>
                <w:shd w:val="solid" w:color="000000" w:fill="000000"/>
                <w:fitText w:val="240" w:id="-629961973"/>
                <w14:textFill>
                  <w14:solidFill>
                    <w14:srgbClr w14:val="000000">
                      <w14:alpha w14:val="100000"/>
                    </w14:srgbClr>
                  </w14:solidFill>
                </w14:textFill>
              </w:rPr>
              <w:t>|</w:t>
            </w:r>
            <w:r w:rsidR="006F187B" w:rsidRPr="006F187B">
              <w:rPr>
                <w:szCs w:val="20"/>
              </w:rPr>
              <w:t>%)</w:t>
            </w:r>
          </w:p>
        </w:tc>
      </w:tr>
    </w:tbl>
    <w:p w14:paraId="29AA8FDE" w14:textId="577F3F5A" w:rsidR="008E5062" w:rsidRPr="00EF2E8A" w:rsidRDefault="008E5062" w:rsidP="00591C83">
      <w:pPr>
        <w:pStyle w:val="TableFooter"/>
        <w:widowControl/>
        <w:rPr>
          <w:sz w:val="20"/>
        </w:rPr>
      </w:pPr>
      <w:r w:rsidRPr="00EF2E8A">
        <w:t>Source: Table 3.9</w:t>
      </w:r>
      <w:r w:rsidR="00A46D2B">
        <w:noBreakHyphen/>
      </w:r>
      <w:r w:rsidRPr="00EF2E8A">
        <w:t>1, p200 and Table 3.9</w:t>
      </w:r>
      <w:r w:rsidR="00A46D2B">
        <w:noBreakHyphen/>
      </w:r>
      <w:r w:rsidRPr="00EF2E8A">
        <w:t>2, p201 of the submission.</w:t>
      </w:r>
    </w:p>
    <w:p w14:paraId="0F5E1024" w14:textId="02328AD3" w:rsidR="008E5062" w:rsidRPr="00EF2E8A" w:rsidRDefault="008E5062" w:rsidP="00591C83">
      <w:pPr>
        <w:pStyle w:val="TableFigureFooter"/>
      </w:pPr>
      <w:r w:rsidRPr="00EF2E8A">
        <w:lastRenderedPageBreak/>
        <w:t xml:space="preserve">BEVA = bevacizumab; </w:t>
      </w:r>
      <w:r w:rsidRPr="00EF2E8A">
        <w:rPr>
          <w:rFonts w:cstheme="minorHAnsi"/>
          <w:szCs w:val="18"/>
        </w:rPr>
        <w:t>FRα</w:t>
      </w:r>
      <w:r w:rsidRPr="00EF2E8A">
        <w:t xml:space="preserve"> = folate receptor alpha; ICC = investigators choice of chemotherapy; ICER = incremental cost effectiveness ratio; MIRV = </w:t>
      </w:r>
      <w:r w:rsidR="002764AD" w:rsidRPr="00EF2E8A">
        <w:t>mirvetuximab</w:t>
      </w:r>
      <w:r w:rsidRPr="00EF2E8A">
        <w:t xml:space="preserve"> soravtansine; OS = overall survival; PFS = progression</w:t>
      </w:r>
      <w:r w:rsidR="00A46D2B">
        <w:noBreakHyphen/>
      </w:r>
      <w:r w:rsidRPr="00EF2E8A">
        <w:t>free survival; QALY = quality adjusted life year.</w:t>
      </w:r>
    </w:p>
    <w:p w14:paraId="269DFC69" w14:textId="74668FFE" w:rsidR="008E5062" w:rsidRDefault="008E5062" w:rsidP="00591C83">
      <w:pPr>
        <w:pStyle w:val="TableFigureFooter"/>
      </w:pPr>
      <w:r w:rsidRPr="00EF2E8A">
        <w:t>Note: see Table 3.9.2 in Attachment 3 of the Commentary for details on how sensitivity analyses were undertaken</w:t>
      </w:r>
    </w:p>
    <w:p w14:paraId="1A2732FB" w14:textId="39100D81" w:rsidR="00E13C46" w:rsidRDefault="00160F82" w:rsidP="007A2F11">
      <w:pPr>
        <w:pStyle w:val="TableFigureFooter"/>
      </w:pPr>
      <w:proofErr w:type="spellStart"/>
      <w:r w:rsidRPr="00160F82">
        <w:rPr>
          <w:vertAlign w:val="superscript"/>
        </w:rPr>
        <w:t>a</w:t>
      </w:r>
      <w:proofErr w:type="spellEnd"/>
      <w:r w:rsidRPr="00160F82">
        <w:t xml:space="preserve"> </w:t>
      </w:r>
      <w:r w:rsidR="007A6306">
        <w:t>The Pre</w:t>
      </w:r>
      <w:r w:rsidR="00A46D2B">
        <w:noBreakHyphen/>
      </w:r>
      <w:r w:rsidR="007A6306">
        <w:t xml:space="preserve">PBAC response offered </w:t>
      </w:r>
      <w:r w:rsidRPr="00160F82">
        <w:t xml:space="preserve">a </w:t>
      </w:r>
      <w:r w:rsidR="00AF3C7B" w:rsidRPr="00AF3C7B">
        <w:rPr>
          <w:color w:val="000000"/>
          <w:spacing w:val="223"/>
          <w:shd w:val="solid" w:color="000000" w:fill="000000"/>
          <w:fitText w:val="300" w:id="-629961972"/>
          <w14:textFill>
            <w14:solidFill>
              <w14:srgbClr w14:val="000000">
                <w14:alpha w14:val="100000"/>
              </w14:srgbClr>
            </w14:solidFill>
          </w14:textFill>
        </w:rPr>
        <w:t>|</w:t>
      </w:r>
      <w:r w:rsidR="00AF3C7B" w:rsidRPr="00AF3C7B">
        <w:rPr>
          <w:color w:val="000000"/>
          <w:spacing w:val="1"/>
          <w:shd w:val="solid" w:color="000000" w:fill="000000"/>
          <w:fitText w:val="300" w:id="-629961972"/>
          <w14:textFill>
            <w14:solidFill>
              <w14:srgbClr w14:val="000000">
                <w14:alpha w14:val="100000"/>
              </w14:srgbClr>
            </w14:solidFill>
          </w14:textFill>
        </w:rPr>
        <w:t>|</w:t>
      </w:r>
      <w:r w:rsidR="007A6306">
        <w:t xml:space="preserve">% </w:t>
      </w:r>
      <w:r w:rsidRPr="00160F82">
        <w:t xml:space="preserve">price reduction </w:t>
      </w:r>
      <w:r w:rsidR="007A6306" w:rsidRPr="007A6306">
        <w:t>from the proposed effective AEMP of $</w:t>
      </w:r>
      <w:r w:rsidR="00AF3C7B" w:rsidRPr="00AF3C7B">
        <w:rPr>
          <w:color w:val="000000"/>
          <w:spacing w:val="211"/>
          <w:shd w:val="solid" w:color="000000" w:fill="000000"/>
          <w:fitText w:val="288" w:id="-629961971"/>
          <w14:textFill>
            <w14:solidFill>
              <w14:srgbClr w14:val="000000">
                <w14:alpha w14:val="100000"/>
              </w14:srgbClr>
            </w14:solidFill>
          </w14:textFill>
        </w:rPr>
        <w:t>|</w:t>
      </w:r>
      <w:r w:rsidR="00AF3C7B" w:rsidRPr="00AF3C7B">
        <w:rPr>
          <w:color w:val="000000"/>
          <w:spacing w:val="1"/>
          <w:shd w:val="solid" w:color="000000" w:fill="000000"/>
          <w:fitText w:val="288" w:id="-629961971"/>
          <w14:textFill>
            <w14:solidFill>
              <w14:srgbClr w14:val="000000">
                <w14:alpha w14:val="100000"/>
              </w14:srgbClr>
            </w14:solidFill>
          </w14:textFill>
        </w:rPr>
        <w:t>|</w:t>
      </w:r>
      <w:r w:rsidR="007A6306" w:rsidRPr="007A6306">
        <w:t xml:space="preserve"> to $</w:t>
      </w:r>
      <w:r w:rsidR="00AF3C7B" w:rsidRPr="001338E4">
        <w:rPr>
          <w:color w:val="000000"/>
          <w:spacing w:val="211"/>
          <w:shd w:val="solid" w:color="000000" w:fill="000000"/>
          <w:fitText w:val="288" w:id="-629961970"/>
          <w14:textFill>
            <w14:solidFill>
              <w14:srgbClr w14:val="000000">
                <w14:alpha w14:val="100000"/>
              </w14:srgbClr>
            </w14:solidFill>
          </w14:textFill>
        </w:rPr>
        <w:t>|</w:t>
      </w:r>
      <w:r w:rsidR="00AF3C7B" w:rsidRPr="001338E4">
        <w:rPr>
          <w:color w:val="000000"/>
          <w:spacing w:val="1"/>
          <w:shd w:val="solid" w:color="000000" w:fill="000000"/>
          <w:fitText w:val="288" w:id="-629961970"/>
          <w14:textFill>
            <w14:solidFill>
              <w14:srgbClr w14:val="000000">
                <w14:alpha w14:val="100000"/>
              </w14:srgbClr>
            </w14:solidFill>
          </w14:textFill>
        </w:rPr>
        <w:t>|</w:t>
      </w:r>
      <w:r w:rsidR="007A6306" w:rsidRPr="007A6306">
        <w:t xml:space="preserve"> per 100 mg/20 mL vial</w:t>
      </w:r>
      <w:r w:rsidRPr="00160F82">
        <w:t xml:space="preserve">. </w:t>
      </w:r>
      <w:r w:rsidR="00C41CCA" w:rsidRPr="00C41CCA">
        <w:t>The redacted values correspond to the following ranges:</w:t>
      </w:r>
    </w:p>
    <w:p w14:paraId="2A4D0C1A" w14:textId="69F1C269" w:rsidR="009540A2" w:rsidRDefault="0046100B" w:rsidP="007A2F11">
      <w:pPr>
        <w:pStyle w:val="TableFigureFooter"/>
      </w:pPr>
      <w:r w:rsidRPr="0046100B">
        <w:rPr>
          <w:vertAlign w:val="superscript"/>
        </w:rPr>
        <w:t>1</w:t>
      </w:r>
      <w:r w:rsidR="00E13C46" w:rsidRPr="0046100B">
        <w:rPr>
          <w:vertAlign w:val="superscript"/>
        </w:rPr>
        <w:t xml:space="preserve"> </w:t>
      </w:r>
      <w:r w:rsidR="00E13C46" w:rsidRPr="00E13C46">
        <w:t>$75,000 to &lt; $95,000</w:t>
      </w:r>
      <w:r w:rsidR="00B65B3F">
        <w:t xml:space="preserve"> </w:t>
      </w:r>
    </w:p>
    <w:p w14:paraId="7A6357B2" w14:textId="77777777" w:rsidR="00FA5458" w:rsidRDefault="009540A2" w:rsidP="007A2F11">
      <w:pPr>
        <w:pStyle w:val="TableFigureFooter"/>
      </w:pPr>
      <w:r w:rsidRPr="0046100B">
        <w:rPr>
          <w:vertAlign w:val="superscript"/>
        </w:rPr>
        <w:t>2</w:t>
      </w:r>
      <w:r>
        <w:t xml:space="preserve"> </w:t>
      </w:r>
      <w:r w:rsidRPr="009540A2">
        <w:t>$55,000 to &lt; $75,000</w:t>
      </w:r>
      <w:r w:rsidR="00FA5458">
        <w:t xml:space="preserve"> </w:t>
      </w:r>
    </w:p>
    <w:p w14:paraId="5E4435F2" w14:textId="77777777" w:rsidR="001D7605" w:rsidRDefault="00FA5458" w:rsidP="007A2F11">
      <w:pPr>
        <w:pStyle w:val="TableFigureFooter"/>
      </w:pPr>
      <w:r w:rsidRPr="0046100B">
        <w:rPr>
          <w:vertAlign w:val="superscript"/>
        </w:rPr>
        <w:t>3</w:t>
      </w:r>
      <w:r>
        <w:t xml:space="preserve"> </w:t>
      </w:r>
      <w:r w:rsidRPr="00FA5458">
        <w:t>$115,000 to &lt; $135,000</w:t>
      </w:r>
      <w:r w:rsidR="001D7605">
        <w:t xml:space="preserve"> </w:t>
      </w:r>
    </w:p>
    <w:p w14:paraId="735A23CE" w14:textId="77777777" w:rsidR="00A77E9B" w:rsidRDefault="001D7605" w:rsidP="007A2F11">
      <w:pPr>
        <w:pStyle w:val="TableFigureFooter"/>
      </w:pPr>
      <w:r w:rsidRPr="0046100B">
        <w:rPr>
          <w:vertAlign w:val="superscript"/>
        </w:rPr>
        <w:t>4</w:t>
      </w:r>
      <w:r>
        <w:t xml:space="preserve"> </w:t>
      </w:r>
      <w:r w:rsidRPr="001D7605">
        <w:t>$95,000 to &lt; $115,000</w:t>
      </w:r>
      <w:r w:rsidR="00A77E9B">
        <w:t xml:space="preserve"> </w:t>
      </w:r>
    </w:p>
    <w:p w14:paraId="4E6A1B97" w14:textId="77777777" w:rsidR="00AE4381" w:rsidRDefault="00A77E9B" w:rsidP="007A2F11">
      <w:pPr>
        <w:pStyle w:val="TableFigureFooter"/>
      </w:pPr>
      <w:r w:rsidRPr="0046100B">
        <w:rPr>
          <w:vertAlign w:val="superscript"/>
        </w:rPr>
        <w:t>5</w:t>
      </w:r>
      <w:r>
        <w:t xml:space="preserve"> </w:t>
      </w:r>
      <w:r w:rsidRPr="00A77E9B">
        <w:t>$135,000 to &lt; $155,000</w:t>
      </w:r>
      <w:r w:rsidR="00AE4381">
        <w:t xml:space="preserve"> </w:t>
      </w:r>
    </w:p>
    <w:p w14:paraId="19A97B9F" w14:textId="75BF7EA3" w:rsidR="00160F82" w:rsidRPr="00EF2E8A" w:rsidRDefault="00AE4381" w:rsidP="007A2F11">
      <w:pPr>
        <w:pStyle w:val="TableFigureFooter"/>
      </w:pPr>
      <w:r w:rsidRPr="0046100B">
        <w:rPr>
          <w:vertAlign w:val="superscript"/>
        </w:rPr>
        <w:t>6</w:t>
      </w:r>
      <w:r>
        <w:t xml:space="preserve"> </w:t>
      </w:r>
      <w:r w:rsidRPr="00AE4381">
        <w:t>$155,000 to &lt; $255,000</w:t>
      </w:r>
    </w:p>
    <w:p w14:paraId="7AFD7CBB" w14:textId="64427602" w:rsidR="003B3A58" w:rsidRDefault="00074722" w:rsidP="00591C83">
      <w:pPr>
        <w:pStyle w:val="ListParagraph"/>
      </w:pPr>
      <w:bookmarkStart w:id="81" w:name="_Ref204776377"/>
      <w:r w:rsidRPr="00EF2E8A">
        <w:t>The u</w:t>
      </w:r>
      <w:r w:rsidR="008E5062" w:rsidRPr="00EF2E8A">
        <w:t>nivariate sensitivity analyses most impact</w:t>
      </w:r>
      <w:r w:rsidRPr="00EF2E8A">
        <w:t>ing</w:t>
      </w:r>
      <w:r w:rsidR="008E5062" w:rsidRPr="00EF2E8A">
        <w:t xml:space="preserve"> the ICER included use of the gamma parametric distribution to extrapolate OS for MIRV (best model of fit based on AIC/BIC and results in more conservative estimates for survival, +</w:t>
      </w:r>
      <w:r w:rsidR="00AF3C7B" w:rsidRPr="00036719">
        <w:rPr>
          <w:w w:val="15"/>
          <w:shd w:val="solid" w:color="000000" w:fill="000000"/>
          <w:fitText w:val="-20" w:id="-629961969"/>
          <w14:textFill>
            <w14:solidFill>
              <w14:schemeClr w14:val="tx1">
                <w14:alpha w14:val="100000"/>
              </w14:schemeClr>
            </w14:solidFill>
          </w14:textFill>
        </w:rPr>
        <w:t>|</w:t>
      </w:r>
      <w:r w:rsidR="00B65B3F" w:rsidRPr="00036719">
        <w:rPr>
          <w:w w:val="15"/>
          <w:shd w:val="solid" w:color="000000" w:fill="000000"/>
          <w:fitText w:val="-20" w:id="-629961969"/>
          <w14:textFill>
            <w14:solidFill>
              <w14:schemeClr w14:val="tx1">
                <w14:alpha w14:val="100000"/>
              </w14:schemeClr>
            </w14:solidFill>
          </w14:textFill>
        </w:rPr>
        <w:t xml:space="preserve"> </w:t>
      </w:r>
      <w:r w:rsidR="00AF3C7B" w:rsidRPr="00036719">
        <w:rPr>
          <w:spacing w:val="-61"/>
          <w:w w:val="15"/>
          <w:shd w:val="solid" w:color="000000" w:fill="000000"/>
          <w:fitText w:val="-20" w:id="-629961969"/>
          <w14:textFill>
            <w14:solidFill>
              <w14:schemeClr w14:val="tx1">
                <w14:alpha w14:val="100000"/>
              </w14:schemeClr>
            </w14:solidFill>
          </w14:textFill>
        </w:rPr>
        <w:t>|</w:t>
      </w:r>
      <w:r w:rsidR="008E5062" w:rsidRPr="00EF2E8A">
        <w:t>%</w:t>
      </w:r>
      <w:r w:rsidR="002137CB">
        <w:t>)</w:t>
      </w:r>
      <w:r w:rsidR="008E5062" w:rsidRPr="00EF2E8A">
        <w:t xml:space="preserve">, reducing the time horizon to 7.5 </w:t>
      </w:r>
      <w:r w:rsidR="00D325FA" w:rsidRPr="00EF2E8A">
        <w:t>years</w:t>
      </w:r>
      <w:r w:rsidR="008E5062" w:rsidRPr="00EF2E8A">
        <w:t xml:space="preserve"> (+</w:t>
      </w:r>
      <w:r w:rsidR="00AF3C7B" w:rsidRPr="00036719">
        <w:rPr>
          <w:w w:val="15"/>
          <w:shd w:val="solid" w:color="000000" w:fill="000000"/>
          <w:fitText w:val="-20" w:id="-629961968"/>
          <w14:textFill>
            <w14:solidFill>
              <w14:schemeClr w14:val="tx1">
                <w14:alpha w14:val="100000"/>
              </w14:schemeClr>
            </w14:solidFill>
          </w14:textFill>
        </w:rPr>
        <w:t>|</w:t>
      </w:r>
      <w:r w:rsidR="00B65B3F" w:rsidRPr="00036719">
        <w:rPr>
          <w:w w:val="15"/>
          <w:shd w:val="solid" w:color="000000" w:fill="000000"/>
          <w:fitText w:val="-20" w:id="-629961968"/>
          <w14:textFill>
            <w14:solidFill>
              <w14:schemeClr w14:val="tx1">
                <w14:alpha w14:val="100000"/>
              </w14:schemeClr>
            </w14:solidFill>
          </w14:textFill>
        </w:rPr>
        <w:t xml:space="preserve"> </w:t>
      </w:r>
      <w:r w:rsidR="00AF3C7B" w:rsidRPr="00036719">
        <w:rPr>
          <w:spacing w:val="-61"/>
          <w:w w:val="15"/>
          <w:shd w:val="solid" w:color="000000" w:fill="000000"/>
          <w:fitText w:val="-20" w:id="-629961968"/>
          <w14:textFill>
            <w14:solidFill>
              <w14:schemeClr w14:val="tx1">
                <w14:alpha w14:val="100000"/>
              </w14:schemeClr>
            </w14:solidFill>
          </w14:textFill>
        </w:rPr>
        <w:t>|</w:t>
      </w:r>
      <w:r w:rsidR="008E5062" w:rsidRPr="00EF2E8A">
        <w:t>%) and use of a pooled utility value for the pre</w:t>
      </w:r>
      <w:r w:rsidR="00A46D2B">
        <w:noBreakHyphen/>
      </w:r>
      <w:r w:rsidR="008E5062" w:rsidRPr="00EF2E8A">
        <w:t>progression and post</w:t>
      </w:r>
      <w:r w:rsidR="00A46D2B">
        <w:noBreakHyphen/>
      </w:r>
      <w:r w:rsidR="008E5062" w:rsidRPr="00EF2E8A">
        <w:t>progression health states (+</w:t>
      </w:r>
      <w:r w:rsidR="00AF3C7B" w:rsidRPr="00036719">
        <w:rPr>
          <w:w w:val="15"/>
          <w:shd w:val="solid" w:color="000000" w:fill="000000"/>
          <w:fitText w:val="-20" w:id="-629961984"/>
          <w14:textFill>
            <w14:solidFill>
              <w14:schemeClr w14:val="tx1">
                <w14:alpha w14:val="100000"/>
              </w14:schemeClr>
            </w14:solidFill>
          </w14:textFill>
        </w:rPr>
        <w:t>|</w:t>
      </w:r>
      <w:r w:rsidR="00B65B3F" w:rsidRPr="00036719">
        <w:rPr>
          <w:w w:val="15"/>
          <w:shd w:val="solid" w:color="000000" w:fill="000000"/>
          <w:fitText w:val="-20" w:id="-629961984"/>
          <w14:textFill>
            <w14:solidFill>
              <w14:schemeClr w14:val="tx1">
                <w14:alpha w14:val="100000"/>
              </w14:schemeClr>
            </w14:solidFill>
          </w14:textFill>
        </w:rPr>
        <w:t xml:space="preserve"> </w:t>
      </w:r>
      <w:r w:rsidR="00AF3C7B" w:rsidRPr="00036719">
        <w:rPr>
          <w:spacing w:val="-61"/>
          <w:w w:val="15"/>
          <w:shd w:val="solid" w:color="000000" w:fill="000000"/>
          <w:fitText w:val="-20" w:id="-629961984"/>
          <w14:textFill>
            <w14:solidFill>
              <w14:schemeClr w14:val="tx1">
                <w14:alpha w14:val="100000"/>
              </w14:schemeClr>
            </w14:solidFill>
          </w14:textFill>
        </w:rPr>
        <w:t>|</w:t>
      </w:r>
      <w:r w:rsidR="008E5062" w:rsidRPr="00EF2E8A">
        <w:t>%).</w:t>
      </w:r>
      <w:r w:rsidR="00D325FA" w:rsidRPr="00EF2E8A">
        <w:t xml:space="preserve"> </w:t>
      </w:r>
      <w:r w:rsidR="0033591B" w:rsidRPr="00EF2E8A">
        <w:t>The PSCR</w:t>
      </w:r>
      <w:r w:rsidR="00A1638A" w:rsidRPr="00EF2E8A">
        <w:t xml:space="preserve"> </w:t>
      </w:r>
      <w:r w:rsidR="0033591B" w:rsidRPr="00EF2E8A">
        <w:t xml:space="preserve">contended that </w:t>
      </w:r>
      <w:r w:rsidR="00A1638A" w:rsidRPr="00EF2E8A">
        <w:t>s</w:t>
      </w:r>
      <w:r w:rsidR="0033591B" w:rsidRPr="00EF2E8A">
        <w:t>imultaneous application of an abbreviated time horizon and more conservative parametric model to extrapolate OS for MIRV effectively ‘double counts’ uncertainty in the long</w:t>
      </w:r>
      <w:r w:rsidR="00A46D2B">
        <w:noBreakHyphen/>
      </w:r>
      <w:r w:rsidR="0033591B" w:rsidRPr="00EF2E8A">
        <w:t xml:space="preserve">term survival benefit of MIRV. </w:t>
      </w:r>
      <w:r w:rsidR="002F3081" w:rsidRPr="00EF2E8A">
        <w:t xml:space="preserve">However, the ESCs </w:t>
      </w:r>
      <w:r w:rsidR="00DA641A" w:rsidRPr="00EF2E8A">
        <w:t>considered that the truncated time horizon and choice of gamma extrapolation address different issues (</w:t>
      </w:r>
      <w:proofErr w:type="spellStart"/>
      <w:r w:rsidR="00DA641A" w:rsidRPr="00EF2E8A">
        <w:t>ie</w:t>
      </w:r>
      <w:proofErr w:type="spellEnd"/>
      <w:r w:rsidR="00DA641A" w:rsidRPr="00EF2E8A">
        <w:t xml:space="preserve"> </w:t>
      </w:r>
      <w:r w:rsidR="004B056B" w:rsidRPr="00EF2E8A">
        <w:t xml:space="preserve">survival duration, and data fit, respectively), and </w:t>
      </w:r>
      <w:r w:rsidR="00EA38D2" w:rsidRPr="00EF2E8A">
        <w:t xml:space="preserve">therefore </w:t>
      </w:r>
      <w:r w:rsidR="004A16FD" w:rsidRPr="00EF2E8A">
        <w:t xml:space="preserve">do not result in double counting. </w:t>
      </w:r>
      <w:r w:rsidR="00F31A3D" w:rsidRPr="00EF2E8A">
        <w:t xml:space="preserve">The ESCs considered that </w:t>
      </w:r>
      <w:r w:rsidR="003403A4" w:rsidRPr="00EF2E8A">
        <w:t xml:space="preserve">a </w:t>
      </w:r>
      <w:r w:rsidR="00F22DE3" w:rsidRPr="00EF2E8A">
        <w:t>5</w:t>
      </w:r>
      <w:r w:rsidR="00A46D2B">
        <w:noBreakHyphen/>
      </w:r>
      <w:r w:rsidR="00F22DE3" w:rsidRPr="00EF2E8A">
        <w:t>year</w:t>
      </w:r>
      <w:r w:rsidR="003403A4" w:rsidRPr="00EF2E8A">
        <w:t xml:space="preserve"> time horizon may be more appropriate, and should be u</w:t>
      </w:r>
      <w:r w:rsidR="00490690" w:rsidRPr="00EF2E8A">
        <w:t xml:space="preserve">sed in a respecified base case, along with </w:t>
      </w:r>
      <w:r w:rsidR="00FE3906" w:rsidRPr="00EF2E8A">
        <w:t>pooled utility values and gamma OS extrapolation</w:t>
      </w:r>
      <w:r w:rsidR="00937E3D" w:rsidRPr="00EF2E8A">
        <w:t xml:space="preserve">; this increased the ICER to </w:t>
      </w:r>
      <w:r w:rsidR="00401D7C" w:rsidRPr="00401D7C">
        <w:t>$155,000 to &lt; $255,000</w:t>
      </w:r>
      <w:r w:rsidR="002E6644">
        <w:t>/QALY gained</w:t>
      </w:r>
      <w:r w:rsidR="009901F1" w:rsidRPr="00EF2E8A">
        <w:t xml:space="preserve"> (+</w:t>
      </w:r>
      <w:r w:rsidR="00AF3C7B" w:rsidRPr="00036719">
        <w:rPr>
          <w:w w:val="15"/>
          <w:shd w:val="solid" w:color="000000" w:fill="000000"/>
          <w:fitText w:val="-20" w:id="-629961983"/>
          <w14:textFill>
            <w14:solidFill>
              <w14:schemeClr w14:val="tx1">
                <w14:alpha w14:val="100000"/>
              </w14:schemeClr>
            </w14:solidFill>
          </w14:textFill>
        </w:rPr>
        <w:t>|</w:t>
      </w:r>
      <w:r w:rsidR="00B65B3F" w:rsidRPr="00036719">
        <w:rPr>
          <w:w w:val="15"/>
          <w:shd w:val="solid" w:color="000000" w:fill="000000"/>
          <w:fitText w:val="-20" w:id="-629961983"/>
          <w14:textFill>
            <w14:solidFill>
              <w14:schemeClr w14:val="tx1">
                <w14:alpha w14:val="100000"/>
              </w14:schemeClr>
            </w14:solidFill>
          </w14:textFill>
        </w:rPr>
        <w:t xml:space="preserve"> </w:t>
      </w:r>
      <w:r w:rsidR="00AF3C7B" w:rsidRPr="00036719">
        <w:rPr>
          <w:spacing w:val="-61"/>
          <w:w w:val="15"/>
          <w:shd w:val="solid" w:color="000000" w:fill="000000"/>
          <w:fitText w:val="-20" w:id="-629961983"/>
          <w14:textFill>
            <w14:solidFill>
              <w14:schemeClr w14:val="tx1">
                <w14:alpha w14:val="100000"/>
              </w14:schemeClr>
            </w14:solidFill>
          </w14:textFill>
        </w:rPr>
        <w:t>|</w:t>
      </w:r>
      <w:r w:rsidR="009901F1" w:rsidRPr="00EF2E8A">
        <w:t>%).</w:t>
      </w:r>
      <w:bookmarkEnd w:id="81"/>
      <w:r w:rsidR="009901F1" w:rsidRPr="00EF2E8A">
        <w:t xml:space="preserve"> </w:t>
      </w:r>
    </w:p>
    <w:p w14:paraId="6BB5554F" w14:textId="382A25B5" w:rsidR="009449F3" w:rsidRPr="00EF2E8A" w:rsidRDefault="009B4294" w:rsidP="00591C83">
      <w:pPr>
        <w:pStyle w:val="ListParagraph"/>
      </w:pPr>
      <w:bookmarkStart w:id="82" w:name="_Ref204781155"/>
      <w:r>
        <w:t>T</w:t>
      </w:r>
      <w:r w:rsidR="00D60FF9" w:rsidRPr="00D60FF9">
        <w:t xml:space="preserve">he PBAC agreed with the ESC that the respecified base </w:t>
      </w:r>
      <w:r w:rsidR="008E5A2B">
        <w:t xml:space="preserve">should </w:t>
      </w:r>
      <w:r w:rsidR="00A77D25">
        <w:t>includ</w:t>
      </w:r>
      <w:r w:rsidR="008E5A2B">
        <w:t>e</w:t>
      </w:r>
      <w:r w:rsidR="00A77D25">
        <w:t xml:space="preserve"> </w:t>
      </w:r>
      <w:r w:rsidR="008E5A2B">
        <w:t xml:space="preserve">a </w:t>
      </w:r>
      <w:r w:rsidR="00F22DE3">
        <w:t>5</w:t>
      </w:r>
      <w:r w:rsidR="00A46D2B">
        <w:noBreakHyphen/>
      </w:r>
      <w:r w:rsidR="00F22DE3">
        <w:t>year</w:t>
      </w:r>
      <w:r w:rsidR="008E5A2B">
        <w:t xml:space="preserve"> time horizon, gamma </w:t>
      </w:r>
      <w:r w:rsidR="008470D5">
        <w:t>OS</w:t>
      </w:r>
      <w:r w:rsidR="008E5A2B">
        <w:t xml:space="preserve"> </w:t>
      </w:r>
      <w:r w:rsidR="00276C83">
        <w:t>extrapolation</w:t>
      </w:r>
      <w:r w:rsidR="008E5A2B">
        <w:t xml:space="preserve">, </w:t>
      </w:r>
      <w:r w:rsidR="00276C83">
        <w:t>and pooled post</w:t>
      </w:r>
      <w:r w:rsidR="00A46D2B">
        <w:noBreakHyphen/>
      </w:r>
      <w:r w:rsidR="00276C83">
        <w:t>progression utilities</w:t>
      </w:r>
      <w:r w:rsidR="00F74BD2">
        <w:t xml:space="preserve"> </w:t>
      </w:r>
      <w:r w:rsidR="00DC56E2">
        <w:t>only</w:t>
      </w:r>
      <w:r w:rsidR="002640A3">
        <w:t>, which result</w:t>
      </w:r>
      <w:r w:rsidR="002E6644">
        <w:t>ed</w:t>
      </w:r>
      <w:r w:rsidR="002640A3">
        <w:t xml:space="preserve"> </w:t>
      </w:r>
      <w:r w:rsidR="002640A3" w:rsidRPr="002E6644">
        <w:t xml:space="preserve">in an ICER </w:t>
      </w:r>
      <w:r w:rsidR="00141BBA" w:rsidRPr="00141BBA">
        <w:t>$115,000 to &lt; $135,000</w:t>
      </w:r>
      <w:r w:rsidR="002640A3" w:rsidRPr="002E6644">
        <w:t>per QALY</w:t>
      </w:r>
      <w:r w:rsidR="002E6644" w:rsidRPr="002E6644">
        <w:t xml:space="preserve"> gained</w:t>
      </w:r>
      <w:r w:rsidR="002640A3">
        <w:t>, using the reduced price (</w:t>
      </w:r>
      <w:r w:rsidR="00C65C31">
        <w:t xml:space="preserve">effective </w:t>
      </w:r>
      <w:r w:rsidR="002640A3">
        <w:t>AEMP</w:t>
      </w:r>
      <w:r w:rsidR="00370261">
        <w:t xml:space="preserve"> reduced by </w:t>
      </w:r>
      <w:r w:rsidR="00AF3C7B" w:rsidRPr="00036719">
        <w:rPr>
          <w:w w:val="15"/>
          <w:shd w:val="solid" w:color="000000" w:fill="000000"/>
          <w:fitText w:val="-20" w:id="-629961982"/>
          <w14:textFill>
            <w14:solidFill>
              <w14:schemeClr w14:val="tx1">
                <w14:alpha w14:val="100000"/>
              </w14:schemeClr>
            </w14:solidFill>
          </w14:textFill>
        </w:rPr>
        <w:t>|</w:t>
      </w:r>
      <w:r w:rsidR="00B65B3F" w:rsidRPr="00036719">
        <w:rPr>
          <w:w w:val="15"/>
          <w:shd w:val="solid" w:color="000000" w:fill="000000"/>
          <w:fitText w:val="-20" w:id="-629961982"/>
          <w14:textFill>
            <w14:solidFill>
              <w14:schemeClr w14:val="tx1">
                <w14:alpha w14:val="100000"/>
              </w14:schemeClr>
            </w14:solidFill>
          </w14:textFill>
        </w:rPr>
        <w:t xml:space="preserve"> </w:t>
      </w:r>
      <w:r w:rsidR="00AF3C7B" w:rsidRPr="00036719">
        <w:rPr>
          <w:spacing w:val="-61"/>
          <w:w w:val="15"/>
          <w:shd w:val="solid" w:color="000000" w:fill="000000"/>
          <w:fitText w:val="-20" w:id="-629961982"/>
          <w14:textFill>
            <w14:solidFill>
              <w14:schemeClr w14:val="tx1">
                <w14:alpha w14:val="100000"/>
              </w14:schemeClr>
            </w14:solidFill>
          </w14:textFill>
        </w:rPr>
        <w:t>|</w:t>
      </w:r>
      <w:r w:rsidR="00370261">
        <w:t>%</w:t>
      </w:r>
      <w:r w:rsidR="002640A3">
        <w:t xml:space="preserve">) </w:t>
      </w:r>
      <w:r w:rsidR="002E6644">
        <w:t>proposed</w:t>
      </w:r>
      <w:r w:rsidR="002640A3">
        <w:t xml:space="preserve"> in the pre</w:t>
      </w:r>
      <w:r w:rsidR="00A46D2B">
        <w:noBreakHyphen/>
      </w:r>
      <w:r w:rsidR="002640A3">
        <w:t>PBAC response.</w:t>
      </w:r>
      <w:r w:rsidR="00D60FF9" w:rsidRPr="00D60FF9">
        <w:t xml:space="preserve"> </w:t>
      </w:r>
      <w:bookmarkEnd w:id="82"/>
    </w:p>
    <w:p w14:paraId="66B11A14" w14:textId="045CEB51" w:rsidR="003B3A58" w:rsidRPr="00EF2E8A" w:rsidRDefault="00CA75B3" w:rsidP="00591C83">
      <w:pPr>
        <w:pStyle w:val="OutlineHeading2"/>
        <w:rPr>
          <w:i w:val="0"/>
        </w:rPr>
      </w:pPr>
      <w:r w:rsidRPr="00EF2E8A">
        <w:rPr>
          <w:rFonts w:ascii="Calibri" w:hAnsi="Calibri" w:cs="Calibri"/>
          <w:i w:val="0"/>
        </w:rPr>
        <w:t>Drug</w:t>
      </w:r>
      <w:r w:rsidR="00C317F3" w:rsidRPr="00EF2E8A">
        <w:rPr>
          <w:rFonts w:ascii="Calibri" w:hAnsi="Calibri" w:cs="Calibri"/>
          <w:i w:val="0"/>
        </w:rPr>
        <w:t xml:space="preserve"> cost/patient/course</w:t>
      </w:r>
    </w:p>
    <w:p w14:paraId="46CFF881" w14:textId="2F32D538" w:rsidR="003549EF" w:rsidRPr="00EF2E8A" w:rsidRDefault="00F97E5F" w:rsidP="00591C83">
      <w:pPr>
        <w:pStyle w:val="ListParagraph"/>
      </w:pPr>
      <w:r w:rsidRPr="00EF2E8A">
        <w:t>The drug cost/patient/treatment course for MIRV (effective price) and comparators (ICC and BEVA + ICC) is presented in</w:t>
      </w:r>
      <w:r w:rsidR="00F203A6" w:rsidRPr="00EF2E8A">
        <w:t xml:space="preserve"> </w:t>
      </w:r>
      <w:r w:rsidR="00686DCA">
        <w:fldChar w:fldCharType="begin" w:fldLock="1"/>
      </w:r>
      <w:r w:rsidR="00686DCA">
        <w:instrText xml:space="preserve"> REF _Ref205199034 \h </w:instrText>
      </w:r>
      <w:r w:rsidR="00686DCA">
        <w:fldChar w:fldCharType="separate"/>
      </w:r>
      <w:r w:rsidR="00CC5CAD">
        <w:t xml:space="preserve">Table </w:t>
      </w:r>
      <w:r w:rsidR="00CC5CAD">
        <w:rPr>
          <w:noProof/>
        </w:rPr>
        <w:t>23</w:t>
      </w:r>
      <w:r w:rsidR="00686DCA">
        <w:fldChar w:fldCharType="end"/>
      </w:r>
      <w:r w:rsidR="00F203A6" w:rsidRPr="00EF2E8A">
        <w:t>.</w:t>
      </w:r>
    </w:p>
    <w:p w14:paraId="1F0A9AD6" w14:textId="6E241C56" w:rsidR="00686DCA" w:rsidRDefault="00686DCA" w:rsidP="00591C83">
      <w:pPr>
        <w:pStyle w:val="Caption"/>
      </w:pPr>
      <w:bookmarkStart w:id="83" w:name="_Ref205199034"/>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23</w:t>
      </w:r>
      <w:r w:rsidR="00CC5CAD">
        <w:rPr>
          <w:noProof/>
        </w:rPr>
        <w:fldChar w:fldCharType="end"/>
      </w:r>
      <w:bookmarkEnd w:id="83"/>
      <w:r>
        <w:t xml:space="preserve">: </w:t>
      </w:r>
      <w:r w:rsidRPr="002F7557">
        <w:t>Drug cost per patient for proposed and comparator drugs (undiscounted)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3: Drug cost per patient for proposed and comparator drugs (undiscounted)"/>
      </w:tblPr>
      <w:tblGrid>
        <w:gridCol w:w="1041"/>
        <w:gridCol w:w="888"/>
        <w:gridCol w:w="885"/>
        <w:gridCol w:w="889"/>
        <w:gridCol w:w="885"/>
        <w:gridCol w:w="889"/>
        <w:gridCol w:w="889"/>
        <w:gridCol w:w="887"/>
        <w:gridCol w:w="887"/>
        <w:gridCol w:w="876"/>
      </w:tblGrid>
      <w:tr w:rsidR="00E81806" w:rsidRPr="00EF2E8A" w14:paraId="17C9A3C1" w14:textId="77777777" w:rsidTr="00BE2686">
        <w:trPr>
          <w:cantSplit/>
          <w:tblHeader/>
          <w:jc w:val="center"/>
        </w:trPr>
        <w:tc>
          <w:tcPr>
            <w:tcW w:w="577" w:type="pct"/>
            <w:vMerge w:val="restart"/>
          </w:tcPr>
          <w:p w14:paraId="20C24F24" w14:textId="77777777" w:rsidR="00E81806" w:rsidRPr="00EF2E8A" w:rsidRDefault="00E81806" w:rsidP="00591C83">
            <w:pPr>
              <w:pStyle w:val="In-tableHeading"/>
              <w:keepLines/>
              <w:jc w:val="center"/>
              <w:rPr>
                <w:lang w:val="en-AU"/>
              </w:rPr>
            </w:pPr>
          </w:p>
        </w:tc>
        <w:tc>
          <w:tcPr>
            <w:tcW w:w="1476" w:type="pct"/>
            <w:gridSpan w:val="3"/>
          </w:tcPr>
          <w:p w14:paraId="5962CAF4" w14:textId="77777777" w:rsidR="00E81806" w:rsidRPr="00EF2E8A" w:rsidRDefault="00E81806" w:rsidP="00591C83">
            <w:pPr>
              <w:pStyle w:val="In-tableHeading"/>
              <w:keepLines/>
              <w:jc w:val="center"/>
              <w:rPr>
                <w:lang w:val="en-AU"/>
              </w:rPr>
            </w:pPr>
            <w:r w:rsidRPr="00EF2E8A">
              <w:rPr>
                <w:lang w:val="en-AU"/>
              </w:rPr>
              <w:t>MIRV</w:t>
            </w:r>
          </w:p>
        </w:tc>
        <w:tc>
          <w:tcPr>
            <w:tcW w:w="1477" w:type="pct"/>
            <w:gridSpan w:val="3"/>
          </w:tcPr>
          <w:p w14:paraId="3E10D94B" w14:textId="77777777" w:rsidR="00E81806" w:rsidRPr="00EF2E8A" w:rsidRDefault="00E81806" w:rsidP="00591C83">
            <w:pPr>
              <w:pStyle w:val="In-tableHeading"/>
              <w:keepLines/>
              <w:jc w:val="center"/>
              <w:rPr>
                <w:vertAlign w:val="superscript"/>
                <w:lang w:val="en-AU"/>
              </w:rPr>
            </w:pPr>
            <w:r w:rsidRPr="00EF2E8A">
              <w:rPr>
                <w:lang w:val="en-AU"/>
              </w:rPr>
              <w:t xml:space="preserve">ICC </w:t>
            </w:r>
            <w:r w:rsidRPr="00EF2E8A">
              <w:rPr>
                <w:vertAlign w:val="superscript"/>
                <w:lang w:val="en-AU"/>
              </w:rPr>
              <w:t>a</w:t>
            </w:r>
          </w:p>
        </w:tc>
        <w:tc>
          <w:tcPr>
            <w:tcW w:w="1470" w:type="pct"/>
            <w:gridSpan w:val="3"/>
          </w:tcPr>
          <w:p w14:paraId="276CE63E" w14:textId="77777777" w:rsidR="00E81806" w:rsidRPr="00EF2E8A" w:rsidRDefault="00E81806" w:rsidP="00591C83">
            <w:pPr>
              <w:pStyle w:val="In-tableHeading"/>
              <w:keepLines/>
              <w:jc w:val="center"/>
              <w:rPr>
                <w:vertAlign w:val="superscript"/>
                <w:lang w:val="en-AU"/>
              </w:rPr>
            </w:pPr>
            <w:r w:rsidRPr="00EF2E8A">
              <w:rPr>
                <w:lang w:val="en-AU"/>
              </w:rPr>
              <w:t xml:space="preserve">BEVA + ICC </w:t>
            </w:r>
            <w:proofErr w:type="spellStart"/>
            <w:r w:rsidRPr="00EF2E8A">
              <w:rPr>
                <w:vertAlign w:val="superscript"/>
                <w:lang w:val="en-AU"/>
              </w:rPr>
              <w:t>a,b</w:t>
            </w:r>
            <w:proofErr w:type="spellEnd"/>
          </w:p>
        </w:tc>
      </w:tr>
      <w:tr w:rsidR="00E81806" w:rsidRPr="00EF2E8A" w14:paraId="229D00ED" w14:textId="77777777" w:rsidTr="00BE2686">
        <w:trPr>
          <w:cantSplit/>
          <w:tblHeader/>
          <w:jc w:val="center"/>
        </w:trPr>
        <w:tc>
          <w:tcPr>
            <w:tcW w:w="577" w:type="pct"/>
            <w:vMerge/>
          </w:tcPr>
          <w:p w14:paraId="2D9BE4AD" w14:textId="77777777" w:rsidR="00E81806" w:rsidRPr="00EF2E8A" w:rsidRDefault="00E81806" w:rsidP="00591C83">
            <w:pPr>
              <w:pStyle w:val="In-tableHeading"/>
              <w:keepLines/>
              <w:jc w:val="center"/>
              <w:rPr>
                <w:lang w:val="en-AU"/>
              </w:rPr>
            </w:pPr>
          </w:p>
        </w:tc>
        <w:tc>
          <w:tcPr>
            <w:tcW w:w="492" w:type="pct"/>
          </w:tcPr>
          <w:p w14:paraId="50A09837" w14:textId="77777777" w:rsidR="00E81806" w:rsidRPr="00EF2E8A" w:rsidRDefault="00E81806" w:rsidP="00591C83">
            <w:pPr>
              <w:pStyle w:val="In-tableHeading"/>
              <w:keepLines/>
              <w:rPr>
                <w:lang w:val="en-AU"/>
              </w:rPr>
            </w:pPr>
            <w:r w:rsidRPr="00EF2E8A">
              <w:rPr>
                <w:lang w:val="en-AU"/>
              </w:rPr>
              <w:t xml:space="preserve">Trial </w:t>
            </w:r>
          </w:p>
        </w:tc>
        <w:tc>
          <w:tcPr>
            <w:tcW w:w="491" w:type="pct"/>
          </w:tcPr>
          <w:p w14:paraId="3BFC47E1" w14:textId="77777777" w:rsidR="00E81806" w:rsidRPr="00EF2E8A" w:rsidRDefault="00E81806" w:rsidP="00591C83">
            <w:pPr>
              <w:pStyle w:val="In-tableHeading"/>
              <w:keepLines/>
              <w:rPr>
                <w:lang w:val="en-AU"/>
              </w:rPr>
            </w:pPr>
            <w:r w:rsidRPr="00EF2E8A">
              <w:rPr>
                <w:lang w:val="en-AU"/>
              </w:rPr>
              <w:t>Model</w:t>
            </w:r>
          </w:p>
        </w:tc>
        <w:tc>
          <w:tcPr>
            <w:tcW w:w="493" w:type="pct"/>
          </w:tcPr>
          <w:p w14:paraId="585E4AAB" w14:textId="77777777" w:rsidR="00E81806" w:rsidRPr="00EF2E8A" w:rsidRDefault="00E81806" w:rsidP="00591C83">
            <w:pPr>
              <w:pStyle w:val="In-tableHeading"/>
              <w:keepLines/>
              <w:rPr>
                <w:lang w:val="en-AU"/>
              </w:rPr>
            </w:pPr>
            <w:r w:rsidRPr="00EF2E8A">
              <w:rPr>
                <w:lang w:val="en-AU"/>
              </w:rPr>
              <w:t>Financial estimates</w:t>
            </w:r>
          </w:p>
        </w:tc>
        <w:tc>
          <w:tcPr>
            <w:tcW w:w="491" w:type="pct"/>
          </w:tcPr>
          <w:p w14:paraId="34636A59" w14:textId="77777777" w:rsidR="00E81806" w:rsidRPr="00EF2E8A" w:rsidRDefault="00E81806" w:rsidP="00591C83">
            <w:pPr>
              <w:pStyle w:val="In-tableHeading"/>
              <w:keepLines/>
              <w:rPr>
                <w:lang w:val="en-AU"/>
              </w:rPr>
            </w:pPr>
            <w:r w:rsidRPr="00EF2E8A">
              <w:rPr>
                <w:lang w:val="en-AU"/>
              </w:rPr>
              <w:t>Trial</w:t>
            </w:r>
          </w:p>
        </w:tc>
        <w:tc>
          <w:tcPr>
            <w:tcW w:w="493" w:type="pct"/>
          </w:tcPr>
          <w:p w14:paraId="64F3A535" w14:textId="77777777" w:rsidR="00E81806" w:rsidRPr="00EF2E8A" w:rsidRDefault="00E81806" w:rsidP="00591C83">
            <w:pPr>
              <w:pStyle w:val="In-tableHeading"/>
              <w:keepLines/>
              <w:rPr>
                <w:lang w:val="en-AU"/>
              </w:rPr>
            </w:pPr>
            <w:r w:rsidRPr="00EF2E8A">
              <w:rPr>
                <w:lang w:val="en-AU"/>
              </w:rPr>
              <w:t>Model</w:t>
            </w:r>
          </w:p>
        </w:tc>
        <w:tc>
          <w:tcPr>
            <w:tcW w:w="493" w:type="pct"/>
          </w:tcPr>
          <w:p w14:paraId="7215CA07" w14:textId="77777777" w:rsidR="00E81806" w:rsidRPr="00EF2E8A" w:rsidRDefault="00E81806" w:rsidP="00591C83">
            <w:pPr>
              <w:pStyle w:val="In-tableHeading"/>
              <w:keepLines/>
              <w:rPr>
                <w:lang w:val="en-AU"/>
              </w:rPr>
            </w:pPr>
            <w:r w:rsidRPr="00EF2E8A">
              <w:rPr>
                <w:lang w:val="en-AU"/>
              </w:rPr>
              <w:t>Financial estimates</w:t>
            </w:r>
          </w:p>
        </w:tc>
        <w:tc>
          <w:tcPr>
            <w:tcW w:w="492" w:type="pct"/>
          </w:tcPr>
          <w:p w14:paraId="48F45E56" w14:textId="77777777" w:rsidR="00E81806" w:rsidRPr="00EF2E8A" w:rsidRDefault="00E81806" w:rsidP="00591C83">
            <w:pPr>
              <w:pStyle w:val="In-tableHeading"/>
              <w:keepLines/>
              <w:rPr>
                <w:lang w:val="en-AU"/>
              </w:rPr>
            </w:pPr>
            <w:r w:rsidRPr="00EF2E8A">
              <w:rPr>
                <w:lang w:val="en-AU"/>
              </w:rPr>
              <w:t>Trial</w:t>
            </w:r>
          </w:p>
        </w:tc>
        <w:tc>
          <w:tcPr>
            <w:tcW w:w="492" w:type="pct"/>
          </w:tcPr>
          <w:p w14:paraId="61D3E361" w14:textId="77777777" w:rsidR="00E81806" w:rsidRPr="00EF2E8A" w:rsidRDefault="00E81806" w:rsidP="00591C83">
            <w:pPr>
              <w:pStyle w:val="In-tableHeading"/>
              <w:keepLines/>
              <w:rPr>
                <w:lang w:val="en-AU"/>
              </w:rPr>
            </w:pPr>
            <w:r w:rsidRPr="00EF2E8A">
              <w:rPr>
                <w:lang w:val="en-AU"/>
              </w:rPr>
              <w:t>Model</w:t>
            </w:r>
          </w:p>
        </w:tc>
        <w:tc>
          <w:tcPr>
            <w:tcW w:w="486" w:type="pct"/>
          </w:tcPr>
          <w:p w14:paraId="18C6EDC9" w14:textId="77777777" w:rsidR="00E81806" w:rsidRPr="00EF2E8A" w:rsidRDefault="00E81806" w:rsidP="00591C83">
            <w:pPr>
              <w:pStyle w:val="In-tableHeading"/>
              <w:keepLines/>
              <w:rPr>
                <w:lang w:val="en-AU"/>
              </w:rPr>
            </w:pPr>
            <w:r w:rsidRPr="00EF2E8A">
              <w:rPr>
                <w:lang w:val="en-AU"/>
              </w:rPr>
              <w:t>Financial estimates</w:t>
            </w:r>
          </w:p>
        </w:tc>
      </w:tr>
      <w:tr w:rsidR="00E81806" w:rsidRPr="00EF2E8A" w14:paraId="3BC361AF" w14:textId="77777777" w:rsidTr="00BE2686">
        <w:trPr>
          <w:cantSplit/>
          <w:jc w:val="center"/>
        </w:trPr>
        <w:tc>
          <w:tcPr>
            <w:tcW w:w="577" w:type="pct"/>
          </w:tcPr>
          <w:p w14:paraId="7C3953D1" w14:textId="77777777" w:rsidR="00E81806" w:rsidRPr="00EF2E8A" w:rsidRDefault="00E81806" w:rsidP="00591C83">
            <w:pPr>
              <w:pStyle w:val="TableText"/>
              <w:keepNext/>
              <w:keepLines/>
              <w:widowControl/>
            </w:pPr>
            <w:r w:rsidRPr="00EF2E8A">
              <w:t>Mean dose</w:t>
            </w:r>
          </w:p>
        </w:tc>
        <w:tc>
          <w:tcPr>
            <w:tcW w:w="1476" w:type="pct"/>
            <w:gridSpan w:val="3"/>
          </w:tcPr>
          <w:p w14:paraId="3E518352" w14:textId="6E84BEF5" w:rsidR="00E81806" w:rsidRPr="00EF2E8A" w:rsidRDefault="00E81806" w:rsidP="00591C83">
            <w:pPr>
              <w:pStyle w:val="TableText"/>
              <w:keepNext/>
              <w:keepLines/>
              <w:widowControl/>
              <w:jc w:val="center"/>
            </w:pPr>
            <w:r w:rsidRPr="00EF2E8A">
              <w:rPr>
                <w:szCs w:val="20"/>
              </w:rPr>
              <w:t>Day 1 of a 3</w:t>
            </w:r>
            <w:r w:rsidR="00A46D2B">
              <w:rPr>
                <w:szCs w:val="20"/>
              </w:rPr>
              <w:noBreakHyphen/>
            </w:r>
            <w:r w:rsidRPr="00EF2E8A">
              <w:rPr>
                <w:szCs w:val="20"/>
              </w:rPr>
              <w:t>week cycle, 6mg/kg AIBW</w:t>
            </w:r>
          </w:p>
        </w:tc>
        <w:tc>
          <w:tcPr>
            <w:tcW w:w="1477" w:type="pct"/>
            <w:gridSpan w:val="3"/>
          </w:tcPr>
          <w:p w14:paraId="5827A725" w14:textId="6632078C" w:rsidR="00E81806" w:rsidRPr="00EF2E8A" w:rsidRDefault="00E81806" w:rsidP="00591C83">
            <w:pPr>
              <w:pStyle w:val="TableText"/>
              <w:keepNext/>
              <w:keepLines/>
              <w:widowControl/>
              <w:jc w:val="center"/>
            </w:pPr>
            <w:r w:rsidRPr="00EF2E8A">
              <w:t xml:space="preserve">Paclitaxel: </w:t>
            </w:r>
            <w:r w:rsidRPr="00EF2E8A">
              <w:rPr>
                <w:szCs w:val="20"/>
              </w:rPr>
              <w:t>Days 1, 8, 15, and 22 of a 4</w:t>
            </w:r>
            <w:r w:rsidR="00A46D2B">
              <w:rPr>
                <w:szCs w:val="20"/>
              </w:rPr>
              <w:noBreakHyphen/>
            </w:r>
            <w:r w:rsidRPr="00EF2E8A">
              <w:rPr>
                <w:szCs w:val="20"/>
              </w:rPr>
              <w:t>week cycle, 80 mg/m</w:t>
            </w:r>
            <w:r w:rsidRPr="00EF2E8A">
              <w:rPr>
                <w:szCs w:val="20"/>
                <w:vertAlign w:val="superscript"/>
              </w:rPr>
              <w:t>2</w:t>
            </w:r>
          </w:p>
          <w:p w14:paraId="044425CA" w14:textId="64C60062" w:rsidR="00E81806" w:rsidRPr="00EF2E8A" w:rsidRDefault="00E81806" w:rsidP="00591C83">
            <w:pPr>
              <w:pStyle w:val="TableText"/>
              <w:keepNext/>
              <w:keepLines/>
              <w:widowControl/>
              <w:jc w:val="center"/>
            </w:pPr>
            <w:r w:rsidRPr="00EF2E8A">
              <w:t xml:space="preserve">PLD: </w:t>
            </w:r>
            <w:r w:rsidRPr="00EF2E8A">
              <w:rPr>
                <w:szCs w:val="20"/>
              </w:rPr>
              <w:t>Day 1 of a 4</w:t>
            </w:r>
            <w:r w:rsidR="00A46D2B">
              <w:rPr>
                <w:szCs w:val="20"/>
              </w:rPr>
              <w:noBreakHyphen/>
            </w:r>
            <w:r w:rsidRPr="00EF2E8A">
              <w:rPr>
                <w:szCs w:val="20"/>
              </w:rPr>
              <w:t>week cycle, 40 mg/m2</w:t>
            </w:r>
          </w:p>
          <w:p w14:paraId="456A66B6" w14:textId="59D32FBC" w:rsidR="00E81806" w:rsidRPr="00EF2E8A" w:rsidRDefault="00E81806" w:rsidP="00591C83">
            <w:pPr>
              <w:pStyle w:val="TableText"/>
              <w:keepNext/>
              <w:keepLines/>
              <w:widowControl/>
              <w:jc w:val="center"/>
              <w:rPr>
                <w:szCs w:val="20"/>
                <w:u w:val="single"/>
              </w:rPr>
            </w:pPr>
            <w:r w:rsidRPr="00EF2E8A">
              <w:t>Topotecan:</w:t>
            </w:r>
            <w:r w:rsidRPr="00EF2E8A">
              <w:rPr>
                <w:szCs w:val="20"/>
              </w:rPr>
              <w:t xml:space="preserve"> Days 1, 8, and 15 of a 4</w:t>
            </w:r>
            <w:r w:rsidR="00A46D2B">
              <w:rPr>
                <w:szCs w:val="20"/>
              </w:rPr>
              <w:noBreakHyphen/>
            </w:r>
            <w:r w:rsidRPr="00EF2E8A">
              <w:rPr>
                <w:szCs w:val="20"/>
              </w:rPr>
              <w:t>week cycle, 4mg/m</w:t>
            </w:r>
            <w:r w:rsidRPr="00EF2E8A">
              <w:rPr>
                <w:szCs w:val="20"/>
                <w:vertAlign w:val="superscript"/>
              </w:rPr>
              <w:t>2</w:t>
            </w:r>
            <w:r w:rsidRPr="00EF2E8A">
              <w:rPr>
                <w:szCs w:val="20"/>
              </w:rPr>
              <w:t xml:space="preserve"> </w:t>
            </w:r>
            <w:r w:rsidRPr="00EF2E8A">
              <w:rPr>
                <w:szCs w:val="20"/>
                <w:u w:val="single"/>
              </w:rPr>
              <w:t>or</w:t>
            </w:r>
          </w:p>
          <w:p w14:paraId="1DF33407" w14:textId="38382434" w:rsidR="00E81806" w:rsidRPr="00EF2E8A" w:rsidRDefault="00E81806" w:rsidP="00591C83">
            <w:pPr>
              <w:pStyle w:val="TableText"/>
              <w:keepNext/>
              <w:keepLines/>
              <w:widowControl/>
              <w:jc w:val="center"/>
            </w:pPr>
            <w:r w:rsidRPr="00EF2E8A">
              <w:rPr>
                <w:szCs w:val="20"/>
              </w:rPr>
              <w:t>Days 1 to 5 of a 3</w:t>
            </w:r>
            <w:r w:rsidR="00A46D2B">
              <w:rPr>
                <w:szCs w:val="20"/>
              </w:rPr>
              <w:noBreakHyphen/>
            </w:r>
            <w:r w:rsidRPr="00EF2E8A">
              <w:rPr>
                <w:szCs w:val="20"/>
              </w:rPr>
              <w:t>week cycle, 1.25</w:t>
            </w:r>
            <w:r w:rsidR="00B65B3F">
              <w:rPr>
                <w:szCs w:val="20"/>
              </w:rPr>
              <w:t xml:space="preserve"> </w:t>
            </w:r>
            <w:r w:rsidRPr="00EF2E8A">
              <w:rPr>
                <w:szCs w:val="20"/>
              </w:rPr>
              <w:t>mg/m</w:t>
            </w:r>
            <w:r w:rsidRPr="00EF2E8A">
              <w:rPr>
                <w:szCs w:val="20"/>
                <w:vertAlign w:val="superscript"/>
              </w:rPr>
              <w:t>2</w:t>
            </w:r>
          </w:p>
        </w:tc>
        <w:tc>
          <w:tcPr>
            <w:tcW w:w="1470" w:type="pct"/>
            <w:gridSpan w:val="3"/>
          </w:tcPr>
          <w:p w14:paraId="161FB734" w14:textId="15D59CB7" w:rsidR="00E81806" w:rsidRPr="00EF2E8A" w:rsidRDefault="00E81806" w:rsidP="00591C83">
            <w:pPr>
              <w:pStyle w:val="TableText"/>
              <w:keepNext/>
              <w:keepLines/>
              <w:widowControl/>
              <w:jc w:val="center"/>
            </w:pPr>
            <w:r w:rsidRPr="00EF2E8A">
              <w:t xml:space="preserve">Paclitaxel: </w:t>
            </w:r>
            <w:r w:rsidRPr="00EF2E8A">
              <w:rPr>
                <w:szCs w:val="20"/>
              </w:rPr>
              <w:t>Days 1, 8, 15, and 22 of a 4</w:t>
            </w:r>
            <w:r w:rsidR="00A46D2B">
              <w:rPr>
                <w:szCs w:val="20"/>
              </w:rPr>
              <w:noBreakHyphen/>
            </w:r>
            <w:r w:rsidRPr="00EF2E8A">
              <w:rPr>
                <w:szCs w:val="20"/>
              </w:rPr>
              <w:t>week cycle, 80 mg/m</w:t>
            </w:r>
            <w:r w:rsidRPr="00EF2E8A">
              <w:rPr>
                <w:szCs w:val="20"/>
                <w:vertAlign w:val="superscript"/>
              </w:rPr>
              <w:t>2</w:t>
            </w:r>
          </w:p>
          <w:p w14:paraId="59C40461" w14:textId="2D0B279B" w:rsidR="00E81806" w:rsidRPr="00EF2E8A" w:rsidRDefault="00E81806" w:rsidP="00591C83">
            <w:pPr>
              <w:pStyle w:val="TableText"/>
              <w:keepNext/>
              <w:keepLines/>
              <w:widowControl/>
              <w:jc w:val="center"/>
            </w:pPr>
            <w:r w:rsidRPr="00EF2E8A">
              <w:t xml:space="preserve">PLD: </w:t>
            </w:r>
            <w:r w:rsidRPr="00EF2E8A">
              <w:rPr>
                <w:szCs w:val="20"/>
              </w:rPr>
              <w:t>Day 1 of a 4</w:t>
            </w:r>
            <w:r w:rsidR="00A46D2B">
              <w:rPr>
                <w:szCs w:val="20"/>
              </w:rPr>
              <w:noBreakHyphen/>
            </w:r>
            <w:r w:rsidRPr="00EF2E8A">
              <w:rPr>
                <w:szCs w:val="20"/>
              </w:rPr>
              <w:t>week cycle, 40 mg/m2</w:t>
            </w:r>
          </w:p>
          <w:p w14:paraId="4FE8E9CF" w14:textId="00F251AD" w:rsidR="00E81806" w:rsidRPr="00EF2E8A" w:rsidRDefault="00E81806" w:rsidP="00591C83">
            <w:pPr>
              <w:pStyle w:val="TableText"/>
              <w:keepNext/>
              <w:keepLines/>
              <w:widowControl/>
              <w:jc w:val="center"/>
              <w:rPr>
                <w:szCs w:val="20"/>
              </w:rPr>
            </w:pPr>
            <w:r w:rsidRPr="00EF2E8A">
              <w:t>Topotecan:</w:t>
            </w:r>
            <w:r w:rsidRPr="00EF2E8A">
              <w:rPr>
                <w:szCs w:val="20"/>
              </w:rPr>
              <w:t xml:space="preserve"> Days 1, 8, and 15 of a 4</w:t>
            </w:r>
            <w:r w:rsidR="00A46D2B">
              <w:rPr>
                <w:szCs w:val="20"/>
              </w:rPr>
              <w:noBreakHyphen/>
            </w:r>
            <w:r w:rsidRPr="00EF2E8A">
              <w:rPr>
                <w:szCs w:val="20"/>
              </w:rPr>
              <w:t>week cycle, 4mg/m2</w:t>
            </w:r>
          </w:p>
          <w:p w14:paraId="355E8B9B" w14:textId="462C839F" w:rsidR="00E81806" w:rsidRPr="00EF2E8A" w:rsidRDefault="00E81806" w:rsidP="00591C83">
            <w:pPr>
              <w:pStyle w:val="TableText"/>
              <w:keepNext/>
              <w:keepLines/>
              <w:widowControl/>
              <w:jc w:val="center"/>
              <w:rPr>
                <w:szCs w:val="20"/>
              </w:rPr>
            </w:pPr>
            <w:r w:rsidRPr="00EF2E8A">
              <w:rPr>
                <w:szCs w:val="20"/>
              </w:rPr>
              <w:t>Days 1 to 5 of a 3</w:t>
            </w:r>
            <w:r w:rsidR="00A46D2B">
              <w:rPr>
                <w:szCs w:val="20"/>
              </w:rPr>
              <w:noBreakHyphen/>
            </w:r>
            <w:r w:rsidRPr="00EF2E8A">
              <w:rPr>
                <w:szCs w:val="20"/>
              </w:rPr>
              <w:t>week cycle, 1.25 mg/m</w:t>
            </w:r>
            <w:r w:rsidRPr="00EF2E8A">
              <w:rPr>
                <w:szCs w:val="20"/>
                <w:vertAlign w:val="superscript"/>
              </w:rPr>
              <w:t>2</w:t>
            </w:r>
          </w:p>
          <w:p w14:paraId="071E983F" w14:textId="387DB86F" w:rsidR="00E81806" w:rsidRPr="00EF2E8A" w:rsidRDefault="00E81806" w:rsidP="00591C83">
            <w:pPr>
              <w:pStyle w:val="TableText"/>
              <w:keepNext/>
              <w:keepLines/>
              <w:widowControl/>
              <w:jc w:val="center"/>
            </w:pPr>
            <w:r w:rsidRPr="00EF2E8A">
              <w:t xml:space="preserve">BEVA: </w:t>
            </w:r>
            <w:r w:rsidRPr="00EF2E8A">
              <w:rPr>
                <w:szCs w:val="20"/>
              </w:rPr>
              <w:t xml:space="preserve">10 mg/kg IV every 2 weeks </w:t>
            </w:r>
            <w:r w:rsidRPr="00EF2E8A">
              <w:rPr>
                <w:szCs w:val="20"/>
                <w:u w:val="single"/>
              </w:rPr>
              <w:t>or</w:t>
            </w:r>
            <w:r w:rsidRPr="00EF2E8A">
              <w:rPr>
                <w:szCs w:val="20"/>
              </w:rPr>
              <w:t xml:space="preserve"> 15 mg/kg every 3 weeks if used in combination with topotecan 1.25 mg/m</w:t>
            </w:r>
            <w:r w:rsidRPr="00EF2E8A">
              <w:rPr>
                <w:szCs w:val="20"/>
                <w:vertAlign w:val="superscript"/>
              </w:rPr>
              <w:t>2</w:t>
            </w:r>
            <w:r w:rsidRPr="00EF2E8A">
              <w:rPr>
                <w:szCs w:val="20"/>
              </w:rPr>
              <w:t xml:space="preserve"> on Days 1</w:t>
            </w:r>
            <w:r w:rsidR="00A46D2B">
              <w:rPr>
                <w:szCs w:val="20"/>
              </w:rPr>
              <w:noBreakHyphen/>
            </w:r>
            <w:r w:rsidRPr="00EF2E8A">
              <w:rPr>
                <w:szCs w:val="20"/>
              </w:rPr>
              <w:t>5 of a 3</w:t>
            </w:r>
            <w:r w:rsidR="00A46D2B">
              <w:rPr>
                <w:szCs w:val="20"/>
              </w:rPr>
              <w:noBreakHyphen/>
            </w:r>
            <w:r w:rsidRPr="00EF2E8A">
              <w:rPr>
                <w:szCs w:val="20"/>
              </w:rPr>
              <w:t>week cycle</w:t>
            </w:r>
          </w:p>
        </w:tc>
      </w:tr>
      <w:tr w:rsidR="00E81806" w:rsidRPr="00EF2E8A" w14:paraId="3BDFC883" w14:textId="77777777" w:rsidTr="00BE2686">
        <w:trPr>
          <w:cantSplit/>
          <w:jc w:val="center"/>
        </w:trPr>
        <w:tc>
          <w:tcPr>
            <w:tcW w:w="577" w:type="pct"/>
          </w:tcPr>
          <w:p w14:paraId="51874446" w14:textId="77777777" w:rsidR="00E81806" w:rsidRPr="00EF2E8A" w:rsidRDefault="00E81806" w:rsidP="00591C83">
            <w:pPr>
              <w:pStyle w:val="TableText"/>
              <w:keepNext/>
              <w:keepLines/>
              <w:widowControl/>
            </w:pPr>
            <w:r w:rsidRPr="00EF2E8A">
              <w:t>Mean duration (weeks)</w:t>
            </w:r>
          </w:p>
        </w:tc>
        <w:tc>
          <w:tcPr>
            <w:tcW w:w="492" w:type="pct"/>
          </w:tcPr>
          <w:p w14:paraId="4D531921" w14:textId="77777777" w:rsidR="00E81806" w:rsidRPr="00EF2E8A" w:rsidRDefault="00E81806" w:rsidP="00591C83">
            <w:pPr>
              <w:pStyle w:val="TableText"/>
              <w:keepNext/>
              <w:keepLines/>
              <w:widowControl/>
              <w:jc w:val="center"/>
              <w:rPr>
                <w:b/>
              </w:rPr>
            </w:pPr>
            <w:r w:rsidRPr="00EF2E8A">
              <w:t>26.6</w:t>
            </w:r>
          </w:p>
        </w:tc>
        <w:tc>
          <w:tcPr>
            <w:tcW w:w="491" w:type="pct"/>
          </w:tcPr>
          <w:p w14:paraId="07F7EFD1" w14:textId="77777777" w:rsidR="00E81806" w:rsidRPr="00EF2E8A" w:rsidRDefault="00E81806" w:rsidP="00591C83">
            <w:pPr>
              <w:pStyle w:val="TableText"/>
              <w:keepNext/>
              <w:keepLines/>
              <w:widowControl/>
              <w:jc w:val="center"/>
            </w:pPr>
            <w:r w:rsidRPr="00EF2E8A">
              <w:t>31.68</w:t>
            </w:r>
          </w:p>
        </w:tc>
        <w:tc>
          <w:tcPr>
            <w:tcW w:w="493" w:type="pct"/>
          </w:tcPr>
          <w:p w14:paraId="4DB7DCD2" w14:textId="77777777" w:rsidR="00E81806" w:rsidRPr="00EF2E8A" w:rsidRDefault="00E81806" w:rsidP="00591C83">
            <w:pPr>
              <w:pStyle w:val="TableText"/>
              <w:keepNext/>
              <w:keepLines/>
              <w:widowControl/>
              <w:jc w:val="center"/>
            </w:pPr>
            <w:r w:rsidRPr="00EF2E8A">
              <w:rPr>
                <w:bCs/>
              </w:rPr>
              <w:t xml:space="preserve">26.6 </w:t>
            </w:r>
          </w:p>
        </w:tc>
        <w:tc>
          <w:tcPr>
            <w:tcW w:w="491" w:type="pct"/>
          </w:tcPr>
          <w:p w14:paraId="219F5176" w14:textId="77777777" w:rsidR="00E81806" w:rsidRPr="00EF2E8A" w:rsidRDefault="00E81806" w:rsidP="00591C83">
            <w:pPr>
              <w:pStyle w:val="TableText"/>
              <w:keepNext/>
              <w:keepLines/>
              <w:widowControl/>
              <w:jc w:val="center"/>
            </w:pPr>
            <w:r w:rsidRPr="00EF2E8A">
              <w:t xml:space="preserve">Paclitaxel: 20.6 </w:t>
            </w:r>
          </w:p>
          <w:p w14:paraId="7804E84A" w14:textId="77777777" w:rsidR="00E81806" w:rsidRPr="00EF2E8A" w:rsidRDefault="00E81806" w:rsidP="00591C83">
            <w:pPr>
              <w:pStyle w:val="TableText"/>
              <w:keepNext/>
              <w:keepLines/>
              <w:widowControl/>
              <w:jc w:val="center"/>
            </w:pPr>
            <w:r w:rsidRPr="00EF2E8A">
              <w:t>PLD: 21.2</w:t>
            </w:r>
          </w:p>
          <w:p w14:paraId="6F506993" w14:textId="77777777" w:rsidR="00E81806" w:rsidRPr="00EF2E8A" w:rsidRDefault="00E81806" w:rsidP="00591C83">
            <w:pPr>
              <w:pStyle w:val="TableText"/>
              <w:keepNext/>
              <w:keepLines/>
              <w:widowControl/>
              <w:jc w:val="center"/>
            </w:pPr>
            <w:r w:rsidRPr="00EF2E8A">
              <w:t>Topotecan: 19.3</w:t>
            </w:r>
          </w:p>
          <w:p w14:paraId="7AEF0EA1" w14:textId="77777777" w:rsidR="00E81806" w:rsidRPr="00EF2E8A" w:rsidRDefault="00E81806" w:rsidP="00591C83">
            <w:pPr>
              <w:pStyle w:val="TableText"/>
              <w:keepNext/>
              <w:keepLines/>
              <w:widowControl/>
              <w:jc w:val="center"/>
            </w:pPr>
          </w:p>
        </w:tc>
        <w:tc>
          <w:tcPr>
            <w:tcW w:w="493" w:type="pct"/>
          </w:tcPr>
          <w:p w14:paraId="40113BC9" w14:textId="77777777" w:rsidR="00E81806" w:rsidRPr="00EF2E8A" w:rsidRDefault="00E81806" w:rsidP="00591C83">
            <w:pPr>
              <w:pStyle w:val="TableText"/>
              <w:keepNext/>
              <w:keepLines/>
              <w:widowControl/>
              <w:jc w:val="center"/>
            </w:pPr>
            <w:r w:rsidRPr="00EF2E8A">
              <w:t xml:space="preserve">Paclitaxel: 17.30 </w:t>
            </w:r>
          </w:p>
          <w:p w14:paraId="702F6D40" w14:textId="77777777" w:rsidR="00E81806" w:rsidRPr="00EF2E8A" w:rsidRDefault="00E81806" w:rsidP="00591C83">
            <w:pPr>
              <w:pStyle w:val="TableText"/>
              <w:keepNext/>
              <w:keepLines/>
              <w:widowControl/>
              <w:jc w:val="center"/>
            </w:pPr>
            <w:r w:rsidRPr="00EF2E8A">
              <w:t>PLD: 16.60</w:t>
            </w:r>
          </w:p>
          <w:p w14:paraId="667F2B48" w14:textId="77777777" w:rsidR="00E81806" w:rsidRPr="00EF2E8A" w:rsidRDefault="00E81806" w:rsidP="00591C83">
            <w:pPr>
              <w:pStyle w:val="TableText"/>
              <w:keepNext/>
              <w:keepLines/>
              <w:widowControl/>
              <w:jc w:val="center"/>
            </w:pPr>
            <w:r w:rsidRPr="00EF2E8A">
              <w:t>Topotecan: 15.38</w:t>
            </w:r>
          </w:p>
          <w:p w14:paraId="37AC4CE3" w14:textId="77777777" w:rsidR="00E81806" w:rsidRPr="00EF2E8A" w:rsidRDefault="00E81806" w:rsidP="00591C83">
            <w:pPr>
              <w:pStyle w:val="TableText"/>
              <w:keepNext/>
              <w:keepLines/>
              <w:widowControl/>
              <w:jc w:val="center"/>
            </w:pPr>
          </w:p>
        </w:tc>
        <w:tc>
          <w:tcPr>
            <w:tcW w:w="493" w:type="pct"/>
          </w:tcPr>
          <w:p w14:paraId="680E713C" w14:textId="77777777" w:rsidR="00E81806" w:rsidRPr="00EF2E8A" w:rsidRDefault="00E81806" w:rsidP="00591C83">
            <w:pPr>
              <w:pStyle w:val="TableText"/>
              <w:keepNext/>
              <w:keepLines/>
              <w:widowControl/>
              <w:jc w:val="center"/>
            </w:pPr>
            <w:r w:rsidRPr="00EF2E8A">
              <w:t xml:space="preserve">Paclitaxel: 20.6 </w:t>
            </w:r>
          </w:p>
          <w:p w14:paraId="0D1B03A9" w14:textId="77777777" w:rsidR="00E81806" w:rsidRPr="00EF2E8A" w:rsidRDefault="00E81806" w:rsidP="00591C83">
            <w:pPr>
              <w:pStyle w:val="TableText"/>
              <w:keepNext/>
              <w:keepLines/>
              <w:widowControl/>
              <w:jc w:val="center"/>
            </w:pPr>
            <w:r w:rsidRPr="00EF2E8A">
              <w:t>PLD: 21.2</w:t>
            </w:r>
          </w:p>
          <w:p w14:paraId="60681D58" w14:textId="77777777" w:rsidR="00E81806" w:rsidRPr="00EF2E8A" w:rsidRDefault="00E81806" w:rsidP="00591C83">
            <w:pPr>
              <w:pStyle w:val="TableText"/>
              <w:keepNext/>
              <w:keepLines/>
              <w:widowControl/>
              <w:jc w:val="center"/>
            </w:pPr>
            <w:r w:rsidRPr="00EF2E8A">
              <w:t>Topotecan: 19.3</w:t>
            </w:r>
          </w:p>
          <w:p w14:paraId="153AA697" w14:textId="77777777" w:rsidR="00E81806" w:rsidRPr="00EF2E8A" w:rsidRDefault="00E81806" w:rsidP="00591C83">
            <w:pPr>
              <w:pStyle w:val="TableText"/>
              <w:keepNext/>
              <w:keepLines/>
              <w:widowControl/>
              <w:jc w:val="center"/>
            </w:pPr>
          </w:p>
        </w:tc>
        <w:tc>
          <w:tcPr>
            <w:tcW w:w="492" w:type="pct"/>
          </w:tcPr>
          <w:p w14:paraId="0615BEBC" w14:textId="77777777" w:rsidR="00E81806" w:rsidRPr="00EF2E8A" w:rsidRDefault="00E81806" w:rsidP="00591C83">
            <w:pPr>
              <w:pStyle w:val="TableText"/>
              <w:keepNext/>
              <w:keepLines/>
              <w:widowControl/>
              <w:jc w:val="center"/>
            </w:pPr>
            <w:r w:rsidRPr="00EF2E8A">
              <w:t xml:space="preserve">Paclitaxel: 20.6 </w:t>
            </w:r>
          </w:p>
          <w:p w14:paraId="0B42D78A" w14:textId="77777777" w:rsidR="00E81806" w:rsidRPr="00EF2E8A" w:rsidRDefault="00E81806" w:rsidP="00591C83">
            <w:pPr>
              <w:pStyle w:val="TableText"/>
              <w:keepNext/>
              <w:keepLines/>
              <w:widowControl/>
              <w:jc w:val="center"/>
            </w:pPr>
            <w:r w:rsidRPr="00EF2E8A">
              <w:t>PLD: 21.2</w:t>
            </w:r>
          </w:p>
          <w:p w14:paraId="1E53872D" w14:textId="77777777" w:rsidR="00E81806" w:rsidRPr="00EF2E8A" w:rsidRDefault="00E81806" w:rsidP="00591C83">
            <w:pPr>
              <w:pStyle w:val="TableText"/>
              <w:keepNext/>
              <w:keepLines/>
              <w:widowControl/>
              <w:jc w:val="center"/>
            </w:pPr>
            <w:r w:rsidRPr="00EF2E8A">
              <w:t>Topotecan: 19.3</w:t>
            </w:r>
          </w:p>
          <w:p w14:paraId="05758C1D" w14:textId="77777777" w:rsidR="00E81806" w:rsidRPr="00EF2E8A" w:rsidRDefault="00E81806" w:rsidP="00591C83">
            <w:pPr>
              <w:pStyle w:val="TableText"/>
              <w:keepNext/>
              <w:keepLines/>
              <w:widowControl/>
              <w:jc w:val="center"/>
            </w:pPr>
            <w:r w:rsidRPr="00EF2E8A">
              <w:t>BEVA: 22.9</w:t>
            </w:r>
          </w:p>
        </w:tc>
        <w:tc>
          <w:tcPr>
            <w:tcW w:w="492" w:type="pct"/>
          </w:tcPr>
          <w:p w14:paraId="098CE1F2" w14:textId="77777777" w:rsidR="00E81806" w:rsidRPr="00EF2E8A" w:rsidRDefault="00E81806" w:rsidP="00591C83">
            <w:pPr>
              <w:pStyle w:val="TableText"/>
              <w:keepNext/>
              <w:keepLines/>
              <w:widowControl/>
              <w:jc w:val="center"/>
              <w:rPr>
                <w:vertAlign w:val="superscript"/>
              </w:rPr>
            </w:pPr>
            <w:r w:rsidRPr="00EF2E8A">
              <w:t>35.22</w:t>
            </w:r>
            <w:r w:rsidRPr="00EF2E8A">
              <w:rPr>
                <w:vertAlign w:val="superscript"/>
              </w:rPr>
              <w:t>c</w:t>
            </w:r>
          </w:p>
        </w:tc>
        <w:tc>
          <w:tcPr>
            <w:tcW w:w="486" w:type="pct"/>
          </w:tcPr>
          <w:p w14:paraId="7CC4B73C" w14:textId="77777777" w:rsidR="00E81806" w:rsidRPr="00EF2E8A" w:rsidRDefault="00E81806" w:rsidP="00591C83">
            <w:pPr>
              <w:pStyle w:val="TableText"/>
              <w:keepNext/>
              <w:keepLines/>
              <w:widowControl/>
              <w:jc w:val="center"/>
            </w:pPr>
            <w:r w:rsidRPr="00EF2E8A">
              <w:t xml:space="preserve">Paclitaxel: 20.6 </w:t>
            </w:r>
          </w:p>
          <w:p w14:paraId="21B66D16" w14:textId="77777777" w:rsidR="00E81806" w:rsidRPr="00EF2E8A" w:rsidRDefault="00E81806" w:rsidP="00591C83">
            <w:pPr>
              <w:pStyle w:val="TableText"/>
              <w:keepNext/>
              <w:keepLines/>
              <w:widowControl/>
              <w:jc w:val="center"/>
            </w:pPr>
            <w:r w:rsidRPr="00EF2E8A">
              <w:t>PLD: 21.2</w:t>
            </w:r>
          </w:p>
          <w:p w14:paraId="6E83BB3B" w14:textId="77777777" w:rsidR="00E81806" w:rsidRPr="00EF2E8A" w:rsidRDefault="00E81806" w:rsidP="00591C83">
            <w:pPr>
              <w:pStyle w:val="TableText"/>
              <w:keepNext/>
              <w:keepLines/>
              <w:widowControl/>
              <w:jc w:val="center"/>
            </w:pPr>
            <w:r w:rsidRPr="00EF2E8A">
              <w:t>Topotecan: 19.3</w:t>
            </w:r>
          </w:p>
          <w:p w14:paraId="4EB2C942" w14:textId="77777777" w:rsidR="00E81806" w:rsidRPr="00EF2E8A" w:rsidRDefault="00E81806" w:rsidP="00591C83">
            <w:pPr>
              <w:pStyle w:val="TableText"/>
              <w:keepNext/>
              <w:keepLines/>
              <w:widowControl/>
              <w:jc w:val="center"/>
            </w:pPr>
            <w:r w:rsidRPr="00EF2E8A">
              <w:t>BEVA: 22.9</w:t>
            </w:r>
          </w:p>
        </w:tc>
      </w:tr>
      <w:tr w:rsidR="00E81806" w:rsidRPr="00EF2E8A" w14:paraId="52891F3A" w14:textId="77777777" w:rsidTr="00BE2686">
        <w:trPr>
          <w:cantSplit/>
          <w:jc w:val="center"/>
        </w:trPr>
        <w:tc>
          <w:tcPr>
            <w:tcW w:w="577" w:type="pct"/>
          </w:tcPr>
          <w:p w14:paraId="131C13C6" w14:textId="13FD6718" w:rsidR="00E81806" w:rsidRPr="00EF2E8A" w:rsidRDefault="00E81806" w:rsidP="00591C83">
            <w:pPr>
              <w:pStyle w:val="TableText"/>
              <w:keepNext/>
              <w:keepLines/>
              <w:widowControl/>
            </w:pPr>
            <w:r w:rsidRPr="00EF2E8A">
              <w:t>Mean number of admin</w:t>
            </w:r>
          </w:p>
        </w:tc>
        <w:tc>
          <w:tcPr>
            <w:tcW w:w="492" w:type="pct"/>
          </w:tcPr>
          <w:p w14:paraId="372F3FAA" w14:textId="77777777" w:rsidR="00E81806" w:rsidRPr="00EF2E8A" w:rsidRDefault="00E81806" w:rsidP="00591C83">
            <w:pPr>
              <w:pStyle w:val="TableText"/>
              <w:keepNext/>
              <w:keepLines/>
              <w:widowControl/>
              <w:jc w:val="center"/>
            </w:pPr>
            <w:r w:rsidRPr="00EF2E8A">
              <w:t>8.87</w:t>
            </w:r>
          </w:p>
        </w:tc>
        <w:tc>
          <w:tcPr>
            <w:tcW w:w="491" w:type="pct"/>
          </w:tcPr>
          <w:p w14:paraId="2AAA2118" w14:textId="77777777" w:rsidR="00E81806" w:rsidRPr="00EF2E8A" w:rsidRDefault="00E81806" w:rsidP="00591C83">
            <w:pPr>
              <w:pStyle w:val="TableText"/>
              <w:keepNext/>
              <w:keepLines/>
              <w:widowControl/>
              <w:jc w:val="center"/>
            </w:pPr>
            <w:r w:rsidRPr="00EF2E8A">
              <w:t>10.56</w:t>
            </w:r>
          </w:p>
        </w:tc>
        <w:tc>
          <w:tcPr>
            <w:tcW w:w="493" w:type="pct"/>
          </w:tcPr>
          <w:p w14:paraId="5BC4625E" w14:textId="77777777" w:rsidR="00E81806" w:rsidRPr="00EF2E8A" w:rsidRDefault="00E81806" w:rsidP="00591C83">
            <w:pPr>
              <w:pStyle w:val="TableText"/>
              <w:keepNext/>
              <w:keepLines/>
              <w:widowControl/>
              <w:jc w:val="center"/>
              <w:rPr>
                <w:bCs/>
              </w:rPr>
            </w:pPr>
            <w:r w:rsidRPr="00EF2E8A">
              <w:rPr>
                <w:bCs/>
              </w:rPr>
              <w:t>8.87</w:t>
            </w:r>
          </w:p>
        </w:tc>
        <w:tc>
          <w:tcPr>
            <w:tcW w:w="491" w:type="pct"/>
          </w:tcPr>
          <w:p w14:paraId="17FEA963" w14:textId="77777777" w:rsidR="00E81806" w:rsidRPr="00EF2E8A" w:rsidRDefault="00E81806" w:rsidP="00591C83">
            <w:pPr>
              <w:pStyle w:val="TableText"/>
              <w:keepNext/>
              <w:keepLines/>
              <w:widowControl/>
              <w:jc w:val="center"/>
            </w:pPr>
            <w:r w:rsidRPr="00EF2E8A">
              <w:t xml:space="preserve">Paclitaxel: 20.6 </w:t>
            </w:r>
          </w:p>
          <w:p w14:paraId="1FB4EA66" w14:textId="77777777" w:rsidR="00E81806" w:rsidRPr="00EF2E8A" w:rsidRDefault="00E81806" w:rsidP="00591C83">
            <w:pPr>
              <w:pStyle w:val="TableText"/>
              <w:keepNext/>
              <w:keepLines/>
              <w:widowControl/>
              <w:jc w:val="center"/>
            </w:pPr>
            <w:r w:rsidRPr="00EF2E8A">
              <w:t>PLD: 5.3</w:t>
            </w:r>
          </w:p>
          <w:p w14:paraId="7A90FDB4" w14:textId="77777777" w:rsidR="00E81806" w:rsidRPr="00EF2E8A" w:rsidRDefault="00E81806" w:rsidP="00591C83">
            <w:pPr>
              <w:pStyle w:val="TableText"/>
              <w:keepNext/>
              <w:keepLines/>
              <w:widowControl/>
              <w:jc w:val="center"/>
            </w:pPr>
            <w:r w:rsidRPr="00EF2E8A">
              <w:t>Topotecan: 17.7</w:t>
            </w:r>
          </w:p>
          <w:p w14:paraId="2761DA81" w14:textId="77777777" w:rsidR="00E81806" w:rsidRPr="00EF2E8A" w:rsidRDefault="00E81806" w:rsidP="00591C83">
            <w:pPr>
              <w:pStyle w:val="TableText"/>
              <w:keepNext/>
              <w:keepLines/>
              <w:widowControl/>
              <w:jc w:val="center"/>
            </w:pPr>
          </w:p>
        </w:tc>
        <w:tc>
          <w:tcPr>
            <w:tcW w:w="493" w:type="pct"/>
          </w:tcPr>
          <w:p w14:paraId="700840EE" w14:textId="77777777" w:rsidR="00E81806" w:rsidRPr="00EF2E8A" w:rsidRDefault="00E81806" w:rsidP="00591C83">
            <w:pPr>
              <w:pStyle w:val="TableText"/>
              <w:keepNext/>
              <w:keepLines/>
              <w:widowControl/>
              <w:jc w:val="center"/>
            </w:pPr>
            <w:r w:rsidRPr="00EF2E8A">
              <w:t>Paclitaxel: 17.31</w:t>
            </w:r>
          </w:p>
          <w:p w14:paraId="07AFE1E7" w14:textId="77777777" w:rsidR="00E81806" w:rsidRPr="00EF2E8A" w:rsidRDefault="00E81806" w:rsidP="00591C83">
            <w:pPr>
              <w:pStyle w:val="TableText"/>
              <w:keepNext/>
              <w:keepLines/>
              <w:widowControl/>
              <w:jc w:val="center"/>
            </w:pPr>
            <w:r w:rsidRPr="00EF2E8A">
              <w:t>PLD: 4.67</w:t>
            </w:r>
          </w:p>
          <w:p w14:paraId="0179FCB7" w14:textId="77777777" w:rsidR="00E81806" w:rsidRPr="00EF2E8A" w:rsidRDefault="00E81806" w:rsidP="00591C83">
            <w:pPr>
              <w:pStyle w:val="TableText"/>
              <w:keepNext/>
              <w:keepLines/>
              <w:widowControl/>
              <w:jc w:val="center"/>
            </w:pPr>
            <w:r w:rsidRPr="00EF2E8A">
              <w:t>Topotecan: 14.69</w:t>
            </w:r>
          </w:p>
          <w:p w14:paraId="3FE0A8E2" w14:textId="77777777" w:rsidR="00E81806" w:rsidRPr="00EF2E8A" w:rsidRDefault="00E81806" w:rsidP="00591C83">
            <w:pPr>
              <w:pStyle w:val="TableText"/>
              <w:keepNext/>
              <w:keepLines/>
              <w:widowControl/>
              <w:jc w:val="center"/>
            </w:pPr>
          </w:p>
        </w:tc>
        <w:tc>
          <w:tcPr>
            <w:tcW w:w="493" w:type="pct"/>
          </w:tcPr>
          <w:p w14:paraId="28BBCCFB" w14:textId="77777777" w:rsidR="00E81806" w:rsidRPr="00EF2E8A" w:rsidRDefault="00E81806" w:rsidP="00591C83">
            <w:pPr>
              <w:pStyle w:val="TableText"/>
              <w:keepNext/>
              <w:keepLines/>
              <w:widowControl/>
              <w:jc w:val="center"/>
            </w:pPr>
            <w:r w:rsidRPr="00EF2E8A">
              <w:t xml:space="preserve">Paclitaxel: 20.6 </w:t>
            </w:r>
          </w:p>
          <w:p w14:paraId="47B3872F" w14:textId="77777777" w:rsidR="00E81806" w:rsidRPr="00EF2E8A" w:rsidRDefault="00E81806" w:rsidP="00591C83">
            <w:pPr>
              <w:pStyle w:val="TableText"/>
              <w:keepNext/>
              <w:keepLines/>
              <w:widowControl/>
              <w:jc w:val="center"/>
            </w:pPr>
            <w:r w:rsidRPr="00EF2E8A">
              <w:t>PLD: 5.3</w:t>
            </w:r>
          </w:p>
          <w:p w14:paraId="4D55F349" w14:textId="77777777" w:rsidR="00E81806" w:rsidRPr="00EF2E8A" w:rsidRDefault="00E81806" w:rsidP="00591C83">
            <w:pPr>
              <w:pStyle w:val="TableText"/>
              <w:keepNext/>
              <w:keepLines/>
              <w:widowControl/>
              <w:jc w:val="center"/>
            </w:pPr>
            <w:r w:rsidRPr="00EF2E8A">
              <w:t>Topotecan: 17.7</w:t>
            </w:r>
          </w:p>
          <w:p w14:paraId="75630FDB" w14:textId="77777777" w:rsidR="00E81806" w:rsidRPr="00EF2E8A" w:rsidRDefault="00E81806" w:rsidP="00591C83">
            <w:pPr>
              <w:pStyle w:val="TableText"/>
              <w:keepNext/>
              <w:keepLines/>
              <w:widowControl/>
              <w:jc w:val="center"/>
            </w:pPr>
          </w:p>
        </w:tc>
        <w:tc>
          <w:tcPr>
            <w:tcW w:w="492" w:type="pct"/>
          </w:tcPr>
          <w:p w14:paraId="74644AAD" w14:textId="77777777" w:rsidR="00E81806" w:rsidRPr="00EF2E8A" w:rsidRDefault="00E81806" w:rsidP="00591C83">
            <w:pPr>
              <w:pStyle w:val="TableText"/>
              <w:keepNext/>
              <w:keepLines/>
              <w:widowControl/>
              <w:jc w:val="center"/>
            </w:pPr>
            <w:r w:rsidRPr="00EF2E8A">
              <w:t xml:space="preserve">Paclitaxel: 20.6 </w:t>
            </w:r>
          </w:p>
          <w:p w14:paraId="4691D472" w14:textId="77777777" w:rsidR="00E81806" w:rsidRPr="00EF2E8A" w:rsidRDefault="00E81806" w:rsidP="00591C83">
            <w:pPr>
              <w:pStyle w:val="TableText"/>
              <w:keepNext/>
              <w:keepLines/>
              <w:widowControl/>
              <w:jc w:val="center"/>
            </w:pPr>
            <w:r w:rsidRPr="00EF2E8A">
              <w:t>PLD: 5.3</w:t>
            </w:r>
          </w:p>
          <w:p w14:paraId="638FEE28" w14:textId="77777777" w:rsidR="00E81806" w:rsidRPr="00EF2E8A" w:rsidRDefault="00E81806" w:rsidP="00591C83">
            <w:pPr>
              <w:pStyle w:val="TableText"/>
              <w:keepNext/>
              <w:keepLines/>
              <w:widowControl/>
              <w:jc w:val="center"/>
            </w:pPr>
            <w:r w:rsidRPr="00EF2E8A">
              <w:t>Topotecan: 17.7</w:t>
            </w:r>
          </w:p>
          <w:p w14:paraId="23B05F15" w14:textId="77777777" w:rsidR="00E81806" w:rsidRPr="00EF2E8A" w:rsidRDefault="00E81806" w:rsidP="00591C83">
            <w:pPr>
              <w:pStyle w:val="TableText"/>
              <w:keepNext/>
              <w:keepLines/>
              <w:widowControl/>
              <w:jc w:val="center"/>
            </w:pPr>
            <w:r w:rsidRPr="00EF2E8A">
              <w:t>BEVA: 10.8</w:t>
            </w:r>
          </w:p>
        </w:tc>
        <w:tc>
          <w:tcPr>
            <w:tcW w:w="492" w:type="pct"/>
          </w:tcPr>
          <w:p w14:paraId="403C6758" w14:textId="77777777" w:rsidR="00E81806" w:rsidRPr="00EF2E8A" w:rsidRDefault="00E81806" w:rsidP="00591C83">
            <w:pPr>
              <w:pStyle w:val="TableText"/>
              <w:keepNext/>
              <w:keepLines/>
              <w:widowControl/>
              <w:jc w:val="center"/>
            </w:pPr>
            <w:r w:rsidRPr="00EF2E8A">
              <w:t>Paclitaxel: 35.21</w:t>
            </w:r>
          </w:p>
          <w:p w14:paraId="68557614" w14:textId="77777777" w:rsidR="00E81806" w:rsidRPr="00EF2E8A" w:rsidRDefault="00E81806" w:rsidP="00591C83">
            <w:pPr>
              <w:pStyle w:val="TableText"/>
              <w:keepNext/>
              <w:keepLines/>
              <w:widowControl/>
              <w:jc w:val="center"/>
            </w:pPr>
            <w:r w:rsidRPr="00EF2E8A">
              <w:t>PLD: 9.18</w:t>
            </w:r>
          </w:p>
          <w:p w14:paraId="319FD8AC" w14:textId="77777777" w:rsidR="00E81806" w:rsidRPr="00EF2E8A" w:rsidRDefault="00E81806" w:rsidP="00591C83">
            <w:pPr>
              <w:pStyle w:val="TableText"/>
              <w:keepNext/>
              <w:keepLines/>
              <w:widowControl/>
              <w:jc w:val="center"/>
            </w:pPr>
            <w:r w:rsidRPr="00EF2E8A">
              <w:t>Topotecan: 32.84</w:t>
            </w:r>
          </w:p>
          <w:p w14:paraId="5C481E8B" w14:textId="77777777" w:rsidR="00E81806" w:rsidRPr="00EF2E8A" w:rsidRDefault="00E81806" w:rsidP="00591C83">
            <w:pPr>
              <w:pStyle w:val="TableText"/>
              <w:keepNext/>
              <w:keepLines/>
              <w:widowControl/>
              <w:jc w:val="center"/>
            </w:pPr>
            <w:r w:rsidRPr="00EF2E8A">
              <w:t>BEVA: 17.61</w:t>
            </w:r>
          </w:p>
        </w:tc>
        <w:tc>
          <w:tcPr>
            <w:tcW w:w="486" w:type="pct"/>
          </w:tcPr>
          <w:p w14:paraId="55C88F17" w14:textId="77777777" w:rsidR="00E81806" w:rsidRPr="00EF2E8A" w:rsidRDefault="00E81806" w:rsidP="00591C83">
            <w:pPr>
              <w:pStyle w:val="TableText"/>
              <w:keepNext/>
              <w:keepLines/>
              <w:widowControl/>
              <w:jc w:val="center"/>
            </w:pPr>
            <w:r w:rsidRPr="00EF2E8A">
              <w:t xml:space="preserve">Paclitaxel: 20.6 </w:t>
            </w:r>
          </w:p>
          <w:p w14:paraId="0A2641F8" w14:textId="77777777" w:rsidR="00E81806" w:rsidRPr="00EF2E8A" w:rsidRDefault="00E81806" w:rsidP="00591C83">
            <w:pPr>
              <w:pStyle w:val="TableText"/>
              <w:keepNext/>
              <w:keepLines/>
              <w:widowControl/>
              <w:jc w:val="center"/>
            </w:pPr>
            <w:r w:rsidRPr="00EF2E8A">
              <w:t>PLD: 5.3</w:t>
            </w:r>
          </w:p>
          <w:p w14:paraId="78BD8E0C" w14:textId="77777777" w:rsidR="00E81806" w:rsidRPr="00EF2E8A" w:rsidRDefault="00E81806" w:rsidP="00591C83">
            <w:pPr>
              <w:pStyle w:val="TableText"/>
              <w:keepNext/>
              <w:keepLines/>
              <w:widowControl/>
              <w:jc w:val="center"/>
            </w:pPr>
            <w:r w:rsidRPr="00EF2E8A">
              <w:t>Topotecan: 17.7</w:t>
            </w:r>
          </w:p>
          <w:p w14:paraId="1AFF6317" w14:textId="77777777" w:rsidR="00E81806" w:rsidRPr="00EF2E8A" w:rsidRDefault="00E81806" w:rsidP="00591C83">
            <w:pPr>
              <w:pStyle w:val="TableText"/>
              <w:keepNext/>
              <w:keepLines/>
              <w:widowControl/>
              <w:jc w:val="center"/>
            </w:pPr>
            <w:r w:rsidRPr="00EF2E8A">
              <w:t>BEVA: 10.8</w:t>
            </w:r>
          </w:p>
        </w:tc>
      </w:tr>
      <w:tr w:rsidR="00E81806" w:rsidRPr="00EF2E8A" w14:paraId="0F5ABFB9" w14:textId="77777777" w:rsidTr="00BE2686">
        <w:trPr>
          <w:cantSplit/>
          <w:jc w:val="center"/>
        </w:trPr>
        <w:tc>
          <w:tcPr>
            <w:tcW w:w="577" w:type="pct"/>
          </w:tcPr>
          <w:p w14:paraId="717FE4E9" w14:textId="7B68C1E8" w:rsidR="00E81806" w:rsidRPr="00EF2E8A" w:rsidRDefault="00E81806" w:rsidP="00591C83">
            <w:pPr>
              <w:pStyle w:val="TableText"/>
              <w:keepNext/>
              <w:keepLines/>
              <w:widowControl/>
            </w:pPr>
            <w:r w:rsidRPr="00EF2E8A">
              <w:t>Cost/patient/admin</w:t>
            </w:r>
          </w:p>
        </w:tc>
        <w:tc>
          <w:tcPr>
            <w:tcW w:w="492" w:type="pct"/>
          </w:tcPr>
          <w:p w14:paraId="527DAD9D" w14:textId="7EFA1318" w:rsidR="00E81806" w:rsidRPr="00EF2E8A" w:rsidRDefault="00E81806" w:rsidP="00591C83">
            <w:pPr>
              <w:pStyle w:val="TableText"/>
              <w:keepNext/>
              <w:keepLines/>
              <w:widowControl/>
              <w:jc w:val="center"/>
            </w:pPr>
            <w:r w:rsidRPr="00EF2E8A">
              <w:t>$</w:t>
            </w:r>
            <w:r w:rsidR="00AF3C7B" w:rsidRPr="00AF3C7B">
              <w:rPr>
                <w:color w:val="000000"/>
                <w:spacing w:val="118"/>
                <w:shd w:val="solid" w:color="000000" w:fill="000000"/>
                <w:fitText w:val="204" w:id="-629961981"/>
                <w14:textFill>
                  <w14:solidFill>
                    <w14:srgbClr w14:val="000000">
                      <w14:alpha w14:val="100000"/>
                    </w14:srgbClr>
                  </w14:solidFill>
                </w14:textFill>
              </w:rPr>
              <w:t>|</w:t>
            </w:r>
            <w:r w:rsidR="00AF3C7B" w:rsidRPr="00AF3C7B">
              <w:rPr>
                <w:color w:val="000000"/>
                <w:spacing w:val="1"/>
                <w:shd w:val="solid" w:color="000000" w:fill="000000"/>
                <w:fitText w:val="204" w:id="-629961981"/>
                <w14:textFill>
                  <w14:solidFill>
                    <w14:srgbClr w14:val="000000">
                      <w14:alpha w14:val="100000"/>
                    </w14:srgbClr>
                  </w14:solidFill>
                </w14:textFill>
              </w:rPr>
              <w:t>|</w:t>
            </w:r>
            <w:r w:rsidRPr="00EF2E8A">
              <w:rPr>
                <w:vertAlign w:val="superscript"/>
              </w:rPr>
              <w:t>d</w:t>
            </w:r>
            <w:r w:rsidRPr="00EF2E8A">
              <w:t xml:space="preserve"> </w:t>
            </w:r>
          </w:p>
        </w:tc>
        <w:tc>
          <w:tcPr>
            <w:tcW w:w="491" w:type="pct"/>
          </w:tcPr>
          <w:p w14:paraId="3A7A3A53" w14:textId="2E596CE9" w:rsidR="00E81806" w:rsidRPr="00EF2E8A" w:rsidRDefault="00E81806" w:rsidP="00591C83">
            <w:pPr>
              <w:pStyle w:val="TableText"/>
              <w:keepNext/>
              <w:keepLines/>
              <w:widowControl/>
              <w:jc w:val="center"/>
              <w:rPr>
                <w:vertAlign w:val="superscript"/>
              </w:rPr>
            </w:pPr>
            <w:r w:rsidRPr="00EF2E8A">
              <w:t>$</w:t>
            </w:r>
            <w:r w:rsidR="00AF3C7B" w:rsidRPr="00AF3C7B">
              <w:rPr>
                <w:color w:val="000000"/>
                <w:spacing w:val="118"/>
                <w:shd w:val="solid" w:color="000000" w:fill="000000"/>
                <w:fitText w:val="204" w:id="-629961980"/>
                <w14:textFill>
                  <w14:solidFill>
                    <w14:srgbClr w14:val="000000">
                      <w14:alpha w14:val="100000"/>
                    </w14:srgbClr>
                  </w14:solidFill>
                </w14:textFill>
              </w:rPr>
              <w:t>|</w:t>
            </w:r>
            <w:r w:rsidR="00AF3C7B" w:rsidRPr="00AF3C7B">
              <w:rPr>
                <w:color w:val="000000"/>
                <w:spacing w:val="1"/>
                <w:shd w:val="solid" w:color="000000" w:fill="000000"/>
                <w:fitText w:val="204" w:id="-629961980"/>
                <w14:textFill>
                  <w14:solidFill>
                    <w14:srgbClr w14:val="000000">
                      <w14:alpha w14:val="100000"/>
                    </w14:srgbClr>
                  </w14:solidFill>
                </w14:textFill>
              </w:rPr>
              <w:t>|</w:t>
            </w:r>
            <w:r w:rsidRPr="00EF2E8A">
              <w:rPr>
                <w:vertAlign w:val="superscript"/>
              </w:rPr>
              <w:t>e</w:t>
            </w:r>
          </w:p>
        </w:tc>
        <w:tc>
          <w:tcPr>
            <w:tcW w:w="493" w:type="pct"/>
          </w:tcPr>
          <w:p w14:paraId="7E1C5744" w14:textId="59A2C655" w:rsidR="00E81806" w:rsidRPr="00EF2E8A" w:rsidRDefault="00E81806" w:rsidP="00591C83">
            <w:pPr>
              <w:pStyle w:val="TableText"/>
              <w:keepNext/>
              <w:keepLines/>
              <w:widowControl/>
              <w:jc w:val="center"/>
            </w:pPr>
            <w:r w:rsidRPr="00EF2E8A">
              <w:t>$</w:t>
            </w:r>
            <w:r w:rsidR="00AF3C7B" w:rsidRPr="00AF3C7B">
              <w:rPr>
                <w:color w:val="000000"/>
                <w:spacing w:val="118"/>
                <w:shd w:val="solid" w:color="000000" w:fill="000000"/>
                <w:fitText w:val="204" w:id="-629961979"/>
                <w14:textFill>
                  <w14:solidFill>
                    <w14:srgbClr w14:val="000000">
                      <w14:alpha w14:val="100000"/>
                    </w14:srgbClr>
                  </w14:solidFill>
                </w14:textFill>
              </w:rPr>
              <w:t>|</w:t>
            </w:r>
            <w:r w:rsidR="00AF3C7B" w:rsidRPr="00AF3C7B">
              <w:rPr>
                <w:color w:val="000000"/>
                <w:spacing w:val="1"/>
                <w:shd w:val="solid" w:color="000000" w:fill="000000"/>
                <w:fitText w:val="204" w:id="-629961979"/>
                <w14:textFill>
                  <w14:solidFill>
                    <w14:srgbClr w14:val="000000">
                      <w14:alpha w14:val="100000"/>
                    </w14:srgbClr>
                  </w14:solidFill>
                </w14:textFill>
              </w:rPr>
              <w:t>|</w:t>
            </w:r>
            <w:r w:rsidRPr="00EF2E8A">
              <w:rPr>
                <w:vertAlign w:val="superscript"/>
              </w:rPr>
              <w:t>d</w:t>
            </w:r>
            <w:r w:rsidRPr="00EF2E8A">
              <w:t xml:space="preserve"> </w:t>
            </w:r>
          </w:p>
        </w:tc>
        <w:tc>
          <w:tcPr>
            <w:tcW w:w="491" w:type="pct"/>
          </w:tcPr>
          <w:p w14:paraId="204CD918" w14:textId="77777777" w:rsidR="00E81806" w:rsidRPr="00EF2E8A" w:rsidRDefault="00E81806" w:rsidP="00591C83">
            <w:pPr>
              <w:pStyle w:val="TableText"/>
              <w:keepNext/>
              <w:keepLines/>
              <w:widowControl/>
              <w:jc w:val="center"/>
            </w:pPr>
            <w:r w:rsidRPr="00EF2E8A">
              <w:t xml:space="preserve">Paclitaxel: $157.72 </w:t>
            </w:r>
            <w:r w:rsidRPr="00EF2E8A">
              <w:rPr>
                <w:vertAlign w:val="superscript"/>
              </w:rPr>
              <w:t>d</w:t>
            </w:r>
            <w:r w:rsidRPr="00EF2E8A">
              <w:t xml:space="preserve"> </w:t>
            </w:r>
          </w:p>
          <w:p w14:paraId="3F313E44" w14:textId="77777777" w:rsidR="00E81806" w:rsidRPr="00EF2E8A" w:rsidRDefault="00E81806" w:rsidP="00591C83">
            <w:pPr>
              <w:pStyle w:val="TableText"/>
              <w:keepNext/>
              <w:keepLines/>
              <w:widowControl/>
              <w:jc w:val="center"/>
            </w:pPr>
            <w:r w:rsidRPr="00EF2E8A">
              <w:t xml:space="preserve">PLD: $593.05 </w:t>
            </w:r>
            <w:r w:rsidRPr="00EF2E8A">
              <w:rPr>
                <w:vertAlign w:val="superscript"/>
              </w:rPr>
              <w:t>d</w:t>
            </w:r>
          </w:p>
          <w:p w14:paraId="5F2E9AA8" w14:textId="77777777" w:rsidR="00E81806" w:rsidRPr="00EF2E8A" w:rsidRDefault="00E81806" w:rsidP="00591C83">
            <w:pPr>
              <w:pStyle w:val="TableText"/>
              <w:keepNext/>
              <w:keepLines/>
              <w:widowControl/>
              <w:jc w:val="center"/>
            </w:pPr>
            <w:r w:rsidRPr="00EF2E8A">
              <w:t xml:space="preserve">Topotecan: $185.36 </w:t>
            </w:r>
            <w:r w:rsidRPr="00EF2E8A">
              <w:rPr>
                <w:vertAlign w:val="superscript"/>
              </w:rPr>
              <w:t>d</w:t>
            </w:r>
          </w:p>
        </w:tc>
        <w:tc>
          <w:tcPr>
            <w:tcW w:w="493" w:type="pct"/>
          </w:tcPr>
          <w:p w14:paraId="19F004B6" w14:textId="77777777" w:rsidR="00E81806" w:rsidRPr="00EF2E8A" w:rsidRDefault="00E81806" w:rsidP="00591C83">
            <w:pPr>
              <w:pStyle w:val="TableText"/>
              <w:keepNext/>
              <w:keepLines/>
              <w:widowControl/>
              <w:jc w:val="center"/>
            </w:pPr>
            <w:r w:rsidRPr="00EF2E8A">
              <w:t xml:space="preserve">Paclitaxel: $132.92 </w:t>
            </w:r>
            <w:r w:rsidRPr="00EF2E8A">
              <w:rPr>
                <w:vertAlign w:val="superscript"/>
              </w:rPr>
              <w:t>e</w:t>
            </w:r>
            <w:r w:rsidRPr="00EF2E8A">
              <w:t xml:space="preserve"> </w:t>
            </w:r>
          </w:p>
          <w:p w14:paraId="27F18040" w14:textId="77777777" w:rsidR="00E81806" w:rsidRPr="00EF2E8A" w:rsidRDefault="00E81806" w:rsidP="00591C83">
            <w:pPr>
              <w:pStyle w:val="TableText"/>
              <w:keepNext/>
              <w:keepLines/>
              <w:widowControl/>
              <w:jc w:val="center"/>
            </w:pPr>
            <w:r w:rsidRPr="00EF2E8A">
              <w:t xml:space="preserve">PLD: $639.40 </w:t>
            </w:r>
            <w:r w:rsidRPr="00EF2E8A">
              <w:rPr>
                <w:vertAlign w:val="superscript"/>
              </w:rPr>
              <w:t>e</w:t>
            </w:r>
            <w:r w:rsidRPr="00EF2E8A">
              <w:t xml:space="preserve"> </w:t>
            </w:r>
          </w:p>
          <w:p w14:paraId="76D1F1AF" w14:textId="77777777" w:rsidR="00E81806" w:rsidRPr="00EF2E8A" w:rsidRDefault="00E81806" w:rsidP="00591C83">
            <w:pPr>
              <w:pStyle w:val="TableText"/>
              <w:keepNext/>
              <w:keepLines/>
              <w:widowControl/>
              <w:jc w:val="center"/>
            </w:pPr>
            <w:r w:rsidRPr="00EF2E8A">
              <w:t xml:space="preserve">Topotecan: $144.37 </w:t>
            </w:r>
            <w:r w:rsidRPr="00EF2E8A">
              <w:rPr>
                <w:vertAlign w:val="superscript"/>
              </w:rPr>
              <w:t>e</w:t>
            </w:r>
            <w:r w:rsidRPr="00EF2E8A">
              <w:t xml:space="preserve"> </w:t>
            </w:r>
          </w:p>
        </w:tc>
        <w:tc>
          <w:tcPr>
            <w:tcW w:w="493" w:type="pct"/>
          </w:tcPr>
          <w:p w14:paraId="6F31CFFD" w14:textId="77777777" w:rsidR="00E81806" w:rsidRPr="00EF2E8A" w:rsidRDefault="00E81806" w:rsidP="00591C83">
            <w:pPr>
              <w:pStyle w:val="TableText"/>
              <w:keepNext/>
              <w:keepLines/>
              <w:widowControl/>
              <w:jc w:val="center"/>
            </w:pPr>
            <w:r w:rsidRPr="00EF2E8A">
              <w:t>Paclitaxel: $157.72</w:t>
            </w:r>
            <w:r w:rsidRPr="00EF2E8A">
              <w:rPr>
                <w:vertAlign w:val="superscript"/>
              </w:rPr>
              <w:t xml:space="preserve"> d</w:t>
            </w:r>
            <w:r w:rsidRPr="00EF2E8A">
              <w:t xml:space="preserve"> </w:t>
            </w:r>
          </w:p>
          <w:p w14:paraId="65052235" w14:textId="77777777" w:rsidR="00E81806" w:rsidRPr="00EF2E8A" w:rsidRDefault="00E81806" w:rsidP="00591C83">
            <w:pPr>
              <w:pStyle w:val="TableText"/>
              <w:keepNext/>
              <w:keepLines/>
              <w:widowControl/>
              <w:jc w:val="center"/>
            </w:pPr>
            <w:r w:rsidRPr="00EF2E8A">
              <w:t>PLD: $593.05</w:t>
            </w:r>
            <w:r w:rsidRPr="00EF2E8A">
              <w:rPr>
                <w:vertAlign w:val="superscript"/>
              </w:rPr>
              <w:t xml:space="preserve"> d</w:t>
            </w:r>
          </w:p>
          <w:p w14:paraId="10FE2A7E" w14:textId="77777777" w:rsidR="00E81806" w:rsidRPr="00EF2E8A" w:rsidRDefault="00E81806" w:rsidP="00591C83">
            <w:pPr>
              <w:pStyle w:val="TableText"/>
              <w:keepNext/>
              <w:keepLines/>
              <w:widowControl/>
              <w:jc w:val="center"/>
            </w:pPr>
            <w:r w:rsidRPr="00EF2E8A">
              <w:t xml:space="preserve">Topotecan: $185.36 </w:t>
            </w:r>
            <w:r w:rsidRPr="00EF2E8A">
              <w:rPr>
                <w:vertAlign w:val="superscript"/>
              </w:rPr>
              <w:t>d</w:t>
            </w:r>
          </w:p>
        </w:tc>
        <w:tc>
          <w:tcPr>
            <w:tcW w:w="492" w:type="pct"/>
          </w:tcPr>
          <w:p w14:paraId="01B0D215" w14:textId="77777777" w:rsidR="00E81806" w:rsidRPr="00EF2E8A" w:rsidRDefault="00E81806" w:rsidP="00591C83">
            <w:pPr>
              <w:pStyle w:val="TableText"/>
              <w:keepNext/>
              <w:keepLines/>
              <w:widowControl/>
              <w:jc w:val="center"/>
            </w:pPr>
            <w:r w:rsidRPr="00EF2E8A">
              <w:t>Paclitaxel: $157.72</w:t>
            </w:r>
            <w:r w:rsidRPr="00EF2E8A">
              <w:rPr>
                <w:vertAlign w:val="superscript"/>
              </w:rPr>
              <w:t xml:space="preserve"> d</w:t>
            </w:r>
            <w:r w:rsidRPr="00EF2E8A">
              <w:t xml:space="preserve"> </w:t>
            </w:r>
          </w:p>
          <w:p w14:paraId="77782CD8" w14:textId="77777777" w:rsidR="00E81806" w:rsidRPr="00EF2E8A" w:rsidRDefault="00E81806" w:rsidP="00591C83">
            <w:pPr>
              <w:pStyle w:val="TableText"/>
              <w:keepNext/>
              <w:keepLines/>
              <w:widowControl/>
              <w:jc w:val="center"/>
            </w:pPr>
            <w:r w:rsidRPr="00EF2E8A">
              <w:t>PLD: $593.05</w:t>
            </w:r>
            <w:r w:rsidRPr="00EF2E8A">
              <w:rPr>
                <w:vertAlign w:val="superscript"/>
              </w:rPr>
              <w:t xml:space="preserve"> d</w:t>
            </w:r>
          </w:p>
          <w:p w14:paraId="585D43AB" w14:textId="77777777" w:rsidR="00E81806" w:rsidRPr="00EF2E8A" w:rsidRDefault="00E81806" w:rsidP="00591C83">
            <w:pPr>
              <w:pStyle w:val="TableText"/>
              <w:keepNext/>
              <w:keepLines/>
              <w:widowControl/>
              <w:jc w:val="center"/>
            </w:pPr>
            <w:r w:rsidRPr="00EF2E8A">
              <w:t>Topotecan: $185.36</w:t>
            </w:r>
            <w:r w:rsidRPr="00EF2E8A">
              <w:rPr>
                <w:vertAlign w:val="superscript"/>
              </w:rPr>
              <w:t xml:space="preserve"> d</w:t>
            </w:r>
          </w:p>
          <w:p w14:paraId="0CF9E8F1" w14:textId="77777777" w:rsidR="00E81806" w:rsidRPr="00EF2E8A" w:rsidRDefault="00E81806" w:rsidP="00591C83">
            <w:pPr>
              <w:pStyle w:val="TableText"/>
              <w:keepNext/>
              <w:keepLines/>
              <w:widowControl/>
              <w:jc w:val="center"/>
            </w:pPr>
            <w:r w:rsidRPr="00EF2E8A">
              <w:t xml:space="preserve">BEVA: $500.93 </w:t>
            </w:r>
            <w:r w:rsidRPr="00EF2E8A">
              <w:rPr>
                <w:vertAlign w:val="superscript"/>
              </w:rPr>
              <w:t>d</w:t>
            </w:r>
          </w:p>
        </w:tc>
        <w:tc>
          <w:tcPr>
            <w:tcW w:w="492" w:type="pct"/>
          </w:tcPr>
          <w:p w14:paraId="6A6A15A7" w14:textId="77777777" w:rsidR="00E81806" w:rsidRPr="00EF2E8A" w:rsidRDefault="00E81806" w:rsidP="00591C83">
            <w:pPr>
              <w:pStyle w:val="TableText"/>
              <w:keepNext/>
              <w:keepLines/>
              <w:widowControl/>
              <w:jc w:val="center"/>
            </w:pPr>
            <w:r w:rsidRPr="00EF2E8A">
              <w:t xml:space="preserve">Paclitaxel: $132.92 </w:t>
            </w:r>
            <w:r w:rsidRPr="00EF2E8A">
              <w:rPr>
                <w:vertAlign w:val="superscript"/>
              </w:rPr>
              <w:t>e</w:t>
            </w:r>
            <w:r w:rsidRPr="00EF2E8A">
              <w:t xml:space="preserve"> </w:t>
            </w:r>
          </w:p>
          <w:p w14:paraId="02CD990A" w14:textId="77777777" w:rsidR="00E81806" w:rsidRPr="00EF2E8A" w:rsidRDefault="00E81806" w:rsidP="00591C83">
            <w:pPr>
              <w:pStyle w:val="TableText"/>
              <w:keepNext/>
              <w:keepLines/>
              <w:widowControl/>
              <w:jc w:val="center"/>
              <w:rPr>
                <w:vertAlign w:val="superscript"/>
              </w:rPr>
            </w:pPr>
            <w:r w:rsidRPr="00EF2E8A">
              <w:t xml:space="preserve">PLD: $639.40 </w:t>
            </w:r>
            <w:r w:rsidRPr="00EF2E8A">
              <w:rPr>
                <w:vertAlign w:val="superscript"/>
              </w:rPr>
              <w:t>e</w:t>
            </w:r>
          </w:p>
          <w:p w14:paraId="2474C14B" w14:textId="77777777" w:rsidR="00E81806" w:rsidRPr="00EF2E8A" w:rsidRDefault="00E81806" w:rsidP="00591C83">
            <w:pPr>
              <w:pStyle w:val="TableText"/>
              <w:keepNext/>
              <w:keepLines/>
              <w:widowControl/>
              <w:jc w:val="center"/>
              <w:rPr>
                <w:vertAlign w:val="superscript"/>
              </w:rPr>
            </w:pPr>
            <w:r w:rsidRPr="00EF2E8A">
              <w:t xml:space="preserve">Topotecan: $144.37 </w:t>
            </w:r>
            <w:r w:rsidRPr="00EF2E8A">
              <w:rPr>
                <w:vertAlign w:val="superscript"/>
              </w:rPr>
              <w:t>e</w:t>
            </w:r>
          </w:p>
          <w:p w14:paraId="531EC9CF" w14:textId="3C318C85" w:rsidR="00E81806" w:rsidRPr="00EF2E8A" w:rsidRDefault="00E81806" w:rsidP="00591C83">
            <w:pPr>
              <w:pStyle w:val="TableText"/>
              <w:keepNext/>
              <w:keepLines/>
              <w:widowControl/>
              <w:jc w:val="center"/>
            </w:pPr>
            <w:r w:rsidRPr="00EF2E8A">
              <w:t xml:space="preserve">BEVA: $467.60 </w:t>
            </w:r>
            <w:r w:rsidRPr="00EF2E8A">
              <w:rPr>
                <w:vertAlign w:val="superscript"/>
              </w:rPr>
              <w:t>e</w:t>
            </w:r>
            <w:r w:rsidRPr="00EF2E8A">
              <w:t xml:space="preserve"> </w:t>
            </w:r>
          </w:p>
        </w:tc>
        <w:tc>
          <w:tcPr>
            <w:tcW w:w="486" w:type="pct"/>
          </w:tcPr>
          <w:p w14:paraId="5F30F9FE" w14:textId="77777777" w:rsidR="00E81806" w:rsidRPr="00EF2E8A" w:rsidRDefault="00E81806" w:rsidP="00591C83">
            <w:pPr>
              <w:pStyle w:val="TableText"/>
              <w:keepNext/>
              <w:keepLines/>
              <w:widowControl/>
              <w:jc w:val="center"/>
            </w:pPr>
            <w:r w:rsidRPr="00EF2E8A">
              <w:t>Paclitaxel: $157.72</w:t>
            </w:r>
            <w:r w:rsidRPr="00EF2E8A">
              <w:rPr>
                <w:vertAlign w:val="superscript"/>
              </w:rPr>
              <w:t xml:space="preserve"> d</w:t>
            </w:r>
            <w:r w:rsidRPr="00EF2E8A">
              <w:t xml:space="preserve"> </w:t>
            </w:r>
          </w:p>
          <w:p w14:paraId="74F35F69" w14:textId="77777777" w:rsidR="00E81806" w:rsidRPr="00EF2E8A" w:rsidRDefault="00E81806" w:rsidP="00591C83">
            <w:pPr>
              <w:pStyle w:val="TableText"/>
              <w:keepNext/>
              <w:keepLines/>
              <w:widowControl/>
              <w:jc w:val="center"/>
            </w:pPr>
            <w:r w:rsidRPr="00EF2E8A">
              <w:t>PLD: $593.05</w:t>
            </w:r>
            <w:r w:rsidRPr="00EF2E8A">
              <w:rPr>
                <w:vertAlign w:val="superscript"/>
              </w:rPr>
              <w:t xml:space="preserve"> d</w:t>
            </w:r>
          </w:p>
          <w:p w14:paraId="37A02CB1" w14:textId="77777777" w:rsidR="00E81806" w:rsidRPr="00EF2E8A" w:rsidRDefault="00E81806" w:rsidP="00591C83">
            <w:pPr>
              <w:pStyle w:val="TableText"/>
              <w:keepNext/>
              <w:keepLines/>
              <w:widowControl/>
              <w:jc w:val="center"/>
            </w:pPr>
            <w:r w:rsidRPr="00EF2E8A">
              <w:t xml:space="preserve">Topotecan: $185.36 </w:t>
            </w:r>
            <w:r w:rsidRPr="00EF2E8A">
              <w:rPr>
                <w:vertAlign w:val="superscript"/>
              </w:rPr>
              <w:t>d</w:t>
            </w:r>
          </w:p>
          <w:p w14:paraId="16DF4B5C" w14:textId="77777777" w:rsidR="00E81806" w:rsidRPr="00EF2E8A" w:rsidRDefault="00E81806" w:rsidP="00591C83">
            <w:pPr>
              <w:pStyle w:val="TableText"/>
              <w:keepNext/>
              <w:keepLines/>
              <w:widowControl/>
              <w:jc w:val="center"/>
            </w:pPr>
            <w:r w:rsidRPr="00EF2E8A">
              <w:t xml:space="preserve">BEVA: $500.93 </w:t>
            </w:r>
            <w:r w:rsidRPr="00EF2E8A">
              <w:rPr>
                <w:vertAlign w:val="superscript"/>
              </w:rPr>
              <w:t>d</w:t>
            </w:r>
          </w:p>
        </w:tc>
      </w:tr>
      <w:tr w:rsidR="006C738B" w:rsidRPr="00EF2E8A" w14:paraId="1D355592" w14:textId="77777777" w:rsidTr="00BE2686">
        <w:trPr>
          <w:cantSplit/>
          <w:jc w:val="center"/>
        </w:trPr>
        <w:tc>
          <w:tcPr>
            <w:tcW w:w="577" w:type="pct"/>
          </w:tcPr>
          <w:p w14:paraId="2779D1A2" w14:textId="77777777" w:rsidR="006C738B" w:rsidRPr="00EF2E8A" w:rsidRDefault="006C738B" w:rsidP="00591C83">
            <w:pPr>
              <w:pStyle w:val="TableText"/>
              <w:keepNext/>
              <w:keepLines/>
              <w:widowControl/>
            </w:pPr>
            <w:r w:rsidRPr="00EF2E8A">
              <w:t>Cost/patient/ course</w:t>
            </w:r>
          </w:p>
        </w:tc>
        <w:tc>
          <w:tcPr>
            <w:tcW w:w="492" w:type="pct"/>
          </w:tcPr>
          <w:p w14:paraId="26A2E7E2" w14:textId="370F0FCE" w:rsidR="006C738B" w:rsidRDefault="006C738B" w:rsidP="00591C83">
            <w:pPr>
              <w:pStyle w:val="TableText"/>
              <w:keepNext/>
              <w:keepLines/>
              <w:widowControl/>
              <w:jc w:val="center"/>
            </w:pPr>
            <w:r w:rsidRPr="00EF2E8A">
              <w:t>$</w:t>
            </w:r>
            <w:r w:rsidR="00AF3C7B" w:rsidRPr="00AF3C7B">
              <w:rPr>
                <w:color w:val="000000"/>
                <w:spacing w:val="94"/>
                <w:shd w:val="solid" w:color="000000" w:fill="000000"/>
                <w:fitText w:val="180" w:id="-629961978"/>
                <w14:textFill>
                  <w14:solidFill>
                    <w14:srgbClr w14:val="000000">
                      <w14:alpha w14:val="100000"/>
                    </w14:srgbClr>
                  </w14:solidFill>
                </w14:textFill>
              </w:rPr>
              <w:t>|</w:t>
            </w:r>
            <w:r w:rsidR="00AF3C7B" w:rsidRPr="00AF3C7B">
              <w:rPr>
                <w:color w:val="000000"/>
                <w:spacing w:val="1"/>
                <w:shd w:val="solid" w:color="000000" w:fill="000000"/>
                <w:fitText w:val="180" w:id="-629961978"/>
                <w14:textFill>
                  <w14:solidFill>
                    <w14:srgbClr w14:val="000000">
                      <w14:alpha w14:val="100000"/>
                    </w14:srgbClr>
                  </w14:solidFill>
                </w14:textFill>
              </w:rPr>
              <w:t>|</w:t>
            </w:r>
          </w:p>
          <w:p w14:paraId="076BFAE3" w14:textId="66A186A8" w:rsidR="006C738B" w:rsidRPr="00EF2E8A" w:rsidRDefault="006C738B" w:rsidP="00591C83">
            <w:pPr>
              <w:pStyle w:val="TableText"/>
              <w:keepNext/>
              <w:keepLines/>
              <w:widowControl/>
              <w:jc w:val="center"/>
            </w:pPr>
          </w:p>
        </w:tc>
        <w:tc>
          <w:tcPr>
            <w:tcW w:w="491" w:type="pct"/>
          </w:tcPr>
          <w:p w14:paraId="150C8C42" w14:textId="6A70239D" w:rsidR="006C738B" w:rsidRDefault="006C738B" w:rsidP="00591C83">
            <w:pPr>
              <w:pStyle w:val="TableText"/>
              <w:keepNext/>
              <w:keepLines/>
              <w:widowControl/>
              <w:jc w:val="center"/>
            </w:pPr>
            <w:r w:rsidRPr="00EF2E8A">
              <w:t>$</w:t>
            </w:r>
            <w:r w:rsidR="00AF3C7B" w:rsidRPr="00AF3C7B">
              <w:rPr>
                <w:color w:val="000000"/>
                <w:spacing w:val="94"/>
                <w:shd w:val="solid" w:color="000000" w:fill="000000"/>
                <w:fitText w:val="180" w:id="-629961977"/>
                <w14:textFill>
                  <w14:solidFill>
                    <w14:srgbClr w14:val="000000">
                      <w14:alpha w14:val="100000"/>
                    </w14:srgbClr>
                  </w14:solidFill>
                </w14:textFill>
              </w:rPr>
              <w:t>|</w:t>
            </w:r>
            <w:r w:rsidR="00AF3C7B" w:rsidRPr="00AF3C7B">
              <w:rPr>
                <w:color w:val="000000"/>
                <w:spacing w:val="1"/>
                <w:shd w:val="solid" w:color="000000" w:fill="000000"/>
                <w:fitText w:val="180" w:id="-629961977"/>
                <w14:textFill>
                  <w14:solidFill>
                    <w14:srgbClr w14:val="000000">
                      <w14:alpha w14:val="100000"/>
                    </w14:srgbClr>
                  </w14:solidFill>
                </w14:textFill>
              </w:rPr>
              <w:t>|</w:t>
            </w:r>
          </w:p>
          <w:p w14:paraId="5484916F" w14:textId="66955BB1" w:rsidR="006C738B" w:rsidRPr="00EF2E8A" w:rsidRDefault="006C738B" w:rsidP="00591C83">
            <w:pPr>
              <w:pStyle w:val="TableText"/>
              <w:keepNext/>
              <w:keepLines/>
              <w:widowControl/>
              <w:jc w:val="center"/>
            </w:pPr>
          </w:p>
        </w:tc>
        <w:tc>
          <w:tcPr>
            <w:tcW w:w="493" w:type="pct"/>
          </w:tcPr>
          <w:p w14:paraId="572FEFE5" w14:textId="12B56973" w:rsidR="006C738B" w:rsidRDefault="006C738B" w:rsidP="00591C83">
            <w:pPr>
              <w:pStyle w:val="TableText"/>
              <w:keepNext/>
              <w:keepLines/>
              <w:widowControl/>
              <w:jc w:val="center"/>
            </w:pPr>
            <w:r w:rsidRPr="00EF2E8A">
              <w:t>$</w:t>
            </w:r>
            <w:r w:rsidR="00AF3C7B" w:rsidRPr="00AF3C7B">
              <w:rPr>
                <w:color w:val="000000"/>
                <w:spacing w:val="94"/>
                <w:shd w:val="solid" w:color="000000" w:fill="000000"/>
                <w:fitText w:val="180" w:id="-629961976"/>
                <w14:textFill>
                  <w14:solidFill>
                    <w14:srgbClr w14:val="000000">
                      <w14:alpha w14:val="100000"/>
                    </w14:srgbClr>
                  </w14:solidFill>
                </w14:textFill>
              </w:rPr>
              <w:t>|</w:t>
            </w:r>
            <w:r w:rsidR="00AF3C7B" w:rsidRPr="00AF3C7B">
              <w:rPr>
                <w:color w:val="000000"/>
                <w:spacing w:val="1"/>
                <w:shd w:val="solid" w:color="000000" w:fill="000000"/>
                <w:fitText w:val="180" w:id="-629961976"/>
                <w14:textFill>
                  <w14:solidFill>
                    <w14:srgbClr w14:val="000000">
                      <w14:alpha w14:val="100000"/>
                    </w14:srgbClr>
                  </w14:solidFill>
                </w14:textFill>
              </w:rPr>
              <w:t>|</w:t>
            </w:r>
          </w:p>
          <w:p w14:paraId="7CCC2749" w14:textId="0866F12B" w:rsidR="006C738B" w:rsidRPr="00EF2E8A" w:rsidRDefault="006C738B" w:rsidP="00591C83">
            <w:pPr>
              <w:pStyle w:val="TableText"/>
              <w:keepNext/>
              <w:keepLines/>
              <w:widowControl/>
              <w:jc w:val="center"/>
            </w:pPr>
          </w:p>
        </w:tc>
        <w:tc>
          <w:tcPr>
            <w:tcW w:w="491" w:type="pct"/>
            <w:vMerge w:val="restart"/>
          </w:tcPr>
          <w:p w14:paraId="6A74B06D" w14:textId="77777777" w:rsidR="006C738B" w:rsidRPr="00EF2E8A" w:rsidRDefault="006C738B" w:rsidP="00591C83">
            <w:pPr>
              <w:pStyle w:val="TableText"/>
              <w:keepNext/>
              <w:keepLines/>
              <w:widowControl/>
              <w:jc w:val="center"/>
            </w:pPr>
            <w:r w:rsidRPr="00EF2E8A">
              <w:t xml:space="preserve">Weighted </w:t>
            </w:r>
            <w:r w:rsidRPr="00EF2E8A">
              <w:rPr>
                <w:vertAlign w:val="superscript"/>
              </w:rPr>
              <w:t>f</w:t>
            </w:r>
            <w:r w:rsidRPr="00EF2E8A">
              <w:t>:</w:t>
            </w:r>
          </w:p>
          <w:p w14:paraId="19A140DB" w14:textId="77777777" w:rsidR="006C738B" w:rsidRPr="00EF2E8A" w:rsidRDefault="006C738B" w:rsidP="00591C83">
            <w:pPr>
              <w:pStyle w:val="TableText"/>
              <w:keepNext/>
              <w:keepLines/>
              <w:widowControl/>
              <w:jc w:val="center"/>
            </w:pPr>
            <w:r w:rsidRPr="00EF2E8A">
              <w:t>$3,218.63</w:t>
            </w:r>
          </w:p>
        </w:tc>
        <w:tc>
          <w:tcPr>
            <w:tcW w:w="493" w:type="pct"/>
            <w:vMerge w:val="restart"/>
          </w:tcPr>
          <w:p w14:paraId="5AE4DFF7" w14:textId="77777777" w:rsidR="006C738B" w:rsidRPr="00EF2E8A" w:rsidRDefault="006C738B" w:rsidP="00591C83">
            <w:pPr>
              <w:pStyle w:val="TableText"/>
              <w:keepNext/>
              <w:keepLines/>
              <w:widowControl/>
              <w:jc w:val="center"/>
            </w:pPr>
            <w:r w:rsidRPr="00EF2E8A">
              <w:t xml:space="preserve">Weighted </w:t>
            </w:r>
            <w:r w:rsidRPr="00EF2E8A">
              <w:rPr>
                <w:vertAlign w:val="superscript"/>
              </w:rPr>
              <w:t>f</w:t>
            </w:r>
            <w:r w:rsidRPr="00EF2E8A">
              <w:t>: $2,465.75</w:t>
            </w:r>
          </w:p>
        </w:tc>
        <w:tc>
          <w:tcPr>
            <w:tcW w:w="493" w:type="pct"/>
            <w:vMerge w:val="restart"/>
          </w:tcPr>
          <w:p w14:paraId="56859083" w14:textId="77777777" w:rsidR="006C738B" w:rsidRPr="00EF2E8A" w:rsidRDefault="006C738B" w:rsidP="00591C83">
            <w:pPr>
              <w:pStyle w:val="TableText"/>
              <w:keepNext/>
              <w:keepLines/>
              <w:widowControl/>
              <w:jc w:val="center"/>
            </w:pPr>
            <w:r w:rsidRPr="00EF2E8A">
              <w:t xml:space="preserve">Weighted </w:t>
            </w:r>
            <w:r w:rsidRPr="00EF2E8A">
              <w:rPr>
                <w:vertAlign w:val="superscript"/>
              </w:rPr>
              <w:t>f</w:t>
            </w:r>
            <w:r w:rsidRPr="00EF2E8A">
              <w:t>:</w:t>
            </w:r>
          </w:p>
          <w:p w14:paraId="5D05DA0A" w14:textId="77777777" w:rsidR="006C738B" w:rsidRPr="00EF2E8A" w:rsidRDefault="006C738B" w:rsidP="00591C83">
            <w:pPr>
              <w:pStyle w:val="TableText"/>
              <w:keepNext/>
              <w:keepLines/>
              <w:widowControl/>
              <w:jc w:val="center"/>
            </w:pPr>
            <w:r w:rsidRPr="00EF2E8A">
              <w:t>$3,218.63</w:t>
            </w:r>
          </w:p>
        </w:tc>
        <w:tc>
          <w:tcPr>
            <w:tcW w:w="492" w:type="pct"/>
            <w:vMerge w:val="restart"/>
          </w:tcPr>
          <w:p w14:paraId="0FA1A41C" w14:textId="77777777" w:rsidR="006C738B" w:rsidRPr="00EF2E8A" w:rsidRDefault="006C738B" w:rsidP="00591C83">
            <w:pPr>
              <w:pStyle w:val="TableText"/>
              <w:keepNext/>
              <w:keepLines/>
              <w:widowControl/>
              <w:jc w:val="center"/>
            </w:pPr>
            <w:r w:rsidRPr="00EF2E8A">
              <w:t xml:space="preserve">Weighted </w:t>
            </w:r>
            <w:r w:rsidRPr="00EF2E8A">
              <w:rPr>
                <w:vertAlign w:val="superscript"/>
              </w:rPr>
              <w:t>f</w:t>
            </w:r>
            <w:r w:rsidRPr="00EF2E8A">
              <w:t>:</w:t>
            </w:r>
          </w:p>
          <w:p w14:paraId="4721876F" w14:textId="77777777" w:rsidR="006C738B" w:rsidRPr="00EF2E8A" w:rsidRDefault="006C738B" w:rsidP="00591C83">
            <w:pPr>
              <w:pStyle w:val="TableText"/>
              <w:keepNext/>
              <w:keepLines/>
              <w:widowControl/>
              <w:jc w:val="center"/>
            </w:pPr>
            <w:r w:rsidRPr="00EF2E8A">
              <w:t>$5,923.63</w:t>
            </w:r>
          </w:p>
        </w:tc>
        <w:tc>
          <w:tcPr>
            <w:tcW w:w="492" w:type="pct"/>
            <w:vMerge w:val="restart"/>
          </w:tcPr>
          <w:p w14:paraId="46633614" w14:textId="77777777" w:rsidR="006C738B" w:rsidRPr="00EF2E8A" w:rsidRDefault="006C738B" w:rsidP="00591C83">
            <w:pPr>
              <w:pStyle w:val="TableText"/>
              <w:keepNext/>
              <w:keepLines/>
              <w:widowControl/>
              <w:jc w:val="center"/>
            </w:pPr>
            <w:r w:rsidRPr="00EF2E8A">
              <w:t xml:space="preserve">Weighted </w:t>
            </w:r>
            <w:r w:rsidRPr="00EF2E8A">
              <w:rPr>
                <w:vertAlign w:val="superscript"/>
              </w:rPr>
              <w:t>f</w:t>
            </w:r>
            <w:r w:rsidRPr="00EF2E8A">
              <w:t>: $13,357.88</w:t>
            </w:r>
          </w:p>
        </w:tc>
        <w:tc>
          <w:tcPr>
            <w:tcW w:w="486" w:type="pct"/>
            <w:vMerge w:val="restart"/>
          </w:tcPr>
          <w:p w14:paraId="541E2396" w14:textId="77777777" w:rsidR="006C738B" w:rsidRPr="00EF2E8A" w:rsidRDefault="006C738B" w:rsidP="00591C83">
            <w:pPr>
              <w:pStyle w:val="TableText"/>
              <w:keepNext/>
              <w:keepLines/>
              <w:widowControl/>
              <w:jc w:val="center"/>
            </w:pPr>
            <w:r w:rsidRPr="00EF2E8A">
              <w:t xml:space="preserve">Weighted </w:t>
            </w:r>
            <w:r w:rsidRPr="00EF2E8A">
              <w:rPr>
                <w:vertAlign w:val="superscript"/>
              </w:rPr>
              <w:t>f</w:t>
            </w:r>
            <w:r w:rsidRPr="00EF2E8A">
              <w:t>:</w:t>
            </w:r>
          </w:p>
          <w:p w14:paraId="234806B0" w14:textId="77777777" w:rsidR="006C738B" w:rsidRPr="00EF2E8A" w:rsidRDefault="006C738B" w:rsidP="00591C83">
            <w:pPr>
              <w:pStyle w:val="TableText"/>
              <w:keepNext/>
              <w:keepLines/>
              <w:widowControl/>
              <w:jc w:val="center"/>
            </w:pPr>
            <w:r w:rsidRPr="00EF2E8A">
              <w:t>$5,923.63</w:t>
            </w:r>
          </w:p>
        </w:tc>
      </w:tr>
      <w:tr w:rsidR="006C738B" w:rsidRPr="00EF2E8A" w14:paraId="5C1BB5F1" w14:textId="77777777" w:rsidTr="00BE2686">
        <w:trPr>
          <w:cantSplit/>
          <w:jc w:val="center"/>
        </w:trPr>
        <w:tc>
          <w:tcPr>
            <w:tcW w:w="577" w:type="pct"/>
          </w:tcPr>
          <w:p w14:paraId="3D8B3C2F" w14:textId="472C3309" w:rsidR="006C738B" w:rsidRPr="00EF2E8A" w:rsidRDefault="006C738B" w:rsidP="00591C83">
            <w:pPr>
              <w:pStyle w:val="TableText"/>
              <w:keepNext/>
              <w:keepLines/>
              <w:widowControl/>
            </w:pPr>
            <w:r>
              <w:t>Pre</w:t>
            </w:r>
            <w:r w:rsidR="00A46D2B">
              <w:noBreakHyphen/>
            </w:r>
            <w:r>
              <w:t>PBAC price</w:t>
            </w:r>
          </w:p>
        </w:tc>
        <w:tc>
          <w:tcPr>
            <w:tcW w:w="492" w:type="pct"/>
          </w:tcPr>
          <w:p w14:paraId="2190BAE2" w14:textId="6D9FC1DC" w:rsidR="006C738B" w:rsidRPr="00EF2E8A" w:rsidRDefault="006C738B" w:rsidP="00591C83">
            <w:pPr>
              <w:pStyle w:val="TableText"/>
              <w:keepNext/>
              <w:keepLines/>
              <w:widowControl/>
              <w:jc w:val="center"/>
            </w:pPr>
            <w:r>
              <w:t>$</w:t>
            </w:r>
            <w:r w:rsidR="00AF3C7B" w:rsidRPr="00AF3C7B">
              <w:rPr>
                <w:color w:val="000000"/>
                <w:spacing w:val="94"/>
                <w:shd w:val="solid" w:color="000000" w:fill="000000"/>
                <w:fitText w:val="180" w:id="-629961975"/>
                <w14:textFill>
                  <w14:solidFill>
                    <w14:srgbClr w14:val="000000">
                      <w14:alpha w14:val="100000"/>
                    </w14:srgbClr>
                  </w14:solidFill>
                </w14:textFill>
              </w:rPr>
              <w:t>|</w:t>
            </w:r>
            <w:r w:rsidR="00AF3C7B" w:rsidRPr="00AF3C7B">
              <w:rPr>
                <w:color w:val="000000"/>
                <w:spacing w:val="1"/>
                <w:shd w:val="solid" w:color="000000" w:fill="000000"/>
                <w:fitText w:val="180" w:id="-629961975"/>
                <w14:textFill>
                  <w14:solidFill>
                    <w14:srgbClr w14:val="000000">
                      <w14:alpha w14:val="100000"/>
                    </w14:srgbClr>
                  </w14:solidFill>
                </w14:textFill>
              </w:rPr>
              <w:t>|</w:t>
            </w:r>
            <w:r>
              <w:t xml:space="preserve"> </w:t>
            </w:r>
          </w:p>
        </w:tc>
        <w:tc>
          <w:tcPr>
            <w:tcW w:w="491" w:type="pct"/>
          </w:tcPr>
          <w:p w14:paraId="485E217B" w14:textId="79AE1BE7" w:rsidR="006C738B" w:rsidRPr="00EF2E8A" w:rsidRDefault="006C738B" w:rsidP="00591C83">
            <w:pPr>
              <w:pStyle w:val="TableText"/>
              <w:keepNext/>
              <w:keepLines/>
              <w:widowControl/>
              <w:jc w:val="center"/>
            </w:pPr>
            <w:r>
              <w:t>$</w:t>
            </w:r>
            <w:r w:rsidR="00AF3C7B" w:rsidRPr="00AF3C7B">
              <w:rPr>
                <w:color w:val="000000"/>
                <w:spacing w:val="94"/>
                <w:shd w:val="solid" w:color="000000" w:fill="000000"/>
                <w:fitText w:val="180" w:id="-629961974"/>
                <w14:textFill>
                  <w14:solidFill>
                    <w14:srgbClr w14:val="000000">
                      <w14:alpha w14:val="100000"/>
                    </w14:srgbClr>
                  </w14:solidFill>
                </w14:textFill>
              </w:rPr>
              <w:t>|</w:t>
            </w:r>
            <w:r w:rsidR="00AF3C7B" w:rsidRPr="00AF3C7B">
              <w:rPr>
                <w:color w:val="000000"/>
                <w:spacing w:val="1"/>
                <w:shd w:val="solid" w:color="000000" w:fill="000000"/>
                <w:fitText w:val="180" w:id="-629961974"/>
                <w14:textFill>
                  <w14:solidFill>
                    <w14:srgbClr w14:val="000000">
                      <w14:alpha w14:val="100000"/>
                    </w14:srgbClr>
                  </w14:solidFill>
                </w14:textFill>
              </w:rPr>
              <w:t>|</w:t>
            </w:r>
          </w:p>
        </w:tc>
        <w:tc>
          <w:tcPr>
            <w:tcW w:w="493" w:type="pct"/>
          </w:tcPr>
          <w:p w14:paraId="5E373A0F" w14:textId="07C9DBD5" w:rsidR="006C738B" w:rsidRPr="00EF2E8A" w:rsidRDefault="006C738B" w:rsidP="00591C83">
            <w:pPr>
              <w:pStyle w:val="TableText"/>
              <w:keepNext/>
              <w:keepLines/>
              <w:widowControl/>
              <w:jc w:val="center"/>
            </w:pPr>
            <w:r>
              <w:t>$</w:t>
            </w:r>
            <w:r w:rsidR="00AF3C7B" w:rsidRPr="001338E4">
              <w:rPr>
                <w:color w:val="000000"/>
                <w:spacing w:val="94"/>
                <w:shd w:val="solid" w:color="000000" w:fill="000000"/>
                <w:fitText w:val="180" w:id="-629961973"/>
                <w14:textFill>
                  <w14:solidFill>
                    <w14:srgbClr w14:val="000000">
                      <w14:alpha w14:val="100000"/>
                    </w14:srgbClr>
                  </w14:solidFill>
                </w14:textFill>
              </w:rPr>
              <w:t>|</w:t>
            </w:r>
            <w:r w:rsidR="00AF3C7B" w:rsidRPr="001338E4">
              <w:rPr>
                <w:color w:val="000000"/>
                <w:spacing w:val="1"/>
                <w:shd w:val="solid" w:color="000000" w:fill="000000"/>
                <w:fitText w:val="180" w:id="-629961973"/>
                <w14:textFill>
                  <w14:solidFill>
                    <w14:srgbClr w14:val="000000">
                      <w14:alpha w14:val="100000"/>
                    </w14:srgbClr>
                  </w14:solidFill>
                </w14:textFill>
              </w:rPr>
              <w:t>|</w:t>
            </w:r>
          </w:p>
        </w:tc>
        <w:tc>
          <w:tcPr>
            <w:tcW w:w="491" w:type="pct"/>
            <w:vMerge/>
          </w:tcPr>
          <w:p w14:paraId="07BB2B24" w14:textId="77777777" w:rsidR="006C738B" w:rsidRPr="00EF2E8A" w:rsidDel="00DC303C" w:rsidRDefault="006C738B" w:rsidP="00591C83">
            <w:pPr>
              <w:pStyle w:val="TableText"/>
              <w:keepNext/>
              <w:keepLines/>
              <w:widowControl/>
              <w:jc w:val="center"/>
            </w:pPr>
          </w:p>
        </w:tc>
        <w:tc>
          <w:tcPr>
            <w:tcW w:w="493" w:type="pct"/>
            <w:vMerge/>
          </w:tcPr>
          <w:p w14:paraId="3272C7D1" w14:textId="77777777" w:rsidR="006C738B" w:rsidRPr="00EF2E8A" w:rsidDel="00DC303C" w:rsidRDefault="006C738B" w:rsidP="00591C83">
            <w:pPr>
              <w:pStyle w:val="TableText"/>
              <w:keepNext/>
              <w:keepLines/>
              <w:widowControl/>
              <w:jc w:val="center"/>
            </w:pPr>
          </w:p>
        </w:tc>
        <w:tc>
          <w:tcPr>
            <w:tcW w:w="493" w:type="pct"/>
            <w:vMerge/>
          </w:tcPr>
          <w:p w14:paraId="78685831" w14:textId="77777777" w:rsidR="006C738B" w:rsidRPr="00EF2E8A" w:rsidDel="00DC303C" w:rsidRDefault="006C738B" w:rsidP="00591C83">
            <w:pPr>
              <w:pStyle w:val="TableText"/>
              <w:keepNext/>
              <w:keepLines/>
              <w:widowControl/>
              <w:jc w:val="center"/>
            </w:pPr>
          </w:p>
        </w:tc>
        <w:tc>
          <w:tcPr>
            <w:tcW w:w="492" w:type="pct"/>
            <w:vMerge/>
          </w:tcPr>
          <w:p w14:paraId="560C43A4" w14:textId="77777777" w:rsidR="006C738B" w:rsidRPr="00EF2E8A" w:rsidDel="00DC303C" w:rsidRDefault="006C738B" w:rsidP="00591C83">
            <w:pPr>
              <w:pStyle w:val="TableText"/>
              <w:keepNext/>
              <w:keepLines/>
              <w:widowControl/>
              <w:jc w:val="center"/>
            </w:pPr>
          </w:p>
        </w:tc>
        <w:tc>
          <w:tcPr>
            <w:tcW w:w="492" w:type="pct"/>
            <w:vMerge/>
          </w:tcPr>
          <w:p w14:paraId="2F8BBD86" w14:textId="77777777" w:rsidR="006C738B" w:rsidRPr="00EF2E8A" w:rsidDel="00DC303C" w:rsidRDefault="006C738B" w:rsidP="00591C83">
            <w:pPr>
              <w:pStyle w:val="TableText"/>
              <w:keepNext/>
              <w:keepLines/>
              <w:widowControl/>
              <w:jc w:val="center"/>
            </w:pPr>
          </w:p>
        </w:tc>
        <w:tc>
          <w:tcPr>
            <w:tcW w:w="486" w:type="pct"/>
            <w:vMerge/>
          </w:tcPr>
          <w:p w14:paraId="1EF29A71" w14:textId="77777777" w:rsidR="006C738B" w:rsidRPr="00EF2E8A" w:rsidDel="00DC303C" w:rsidRDefault="006C738B" w:rsidP="00591C83">
            <w:pPr>
              <w:pStyle w:val="TableText"/>
              <w:keepNext/>
              <w:keepLines/>
              <w:widowControl/>
              <w:jc w:val="center"/>
            </w:pPr>
          </w:p>
        </w:tc>
      </w:tr>
    </w:tbl>
    <w:p w14:paraId="19DE6163" w14:textId="1B4ED409" w:rsidR="00F97E5F" w:rsidRPr="00EF2E8A" w:rsidRDefault="00F97E5F" w:rsidP="00591C83">
      <w:pPr>
        <w:keepNext/>
        <w:keepLines/>
        <w:spacing w:before="0" w:after="0"/>
        <w:ind w:left="720" w:hanging="720"/>
        <w:rPr>
          <w:rFonts w:ascii="Arial Narrow" w:eastAsia="Times New Roman" w:hAnsi="Arial Narrow" w:cs="Arial"/>
          <w:snapToGrid w:val="0"/>
          <w:sz w:val="18"/>
          <w:szCs w:val="20"/>
        </w:rPr>
      </w:pPr>
      <w:r w:rsidRPr="00EF2E8A">
        <w:rPr>
          <w:rFonts w:ascii="Arial Narrow" w:eastAsia="Times New Roman" w:hAnsi="Arial Narrow" w:cs="Arial"/>
          <w:snapToGrid w:val="0"/>
          <w:sz w:val="18"/>
          <w:szCs w:val="20"/>
        </w:rPr>
        <w:t>Source: Table 3.8</w:t>
      </w:r>
      <w:r w:rsidR="00A46D2B">
        <w:rPr>
          <w:rFonts w:ascii="Arial Narrow" w:eastAsia="Times New Roman" w:hAnsi="Arial Narrow" w:cs="Arial"/>
          <w:snapToGrid w:val="0"/>
          <w:sz w:val="18"/>
          <w:szCs w:val="20"/>
        </w:rPr>
        <w:noBreakHyphen/>
      </w:r>
      <w:r w:rsidRPr="00EF2E8A">
        <w:rPr>
          <w:rFonts w:ascii="Arial Narrow" w:eastAsia="Times New Roman" w:hAnsi="Arial Narrow" w:cs="Arial"/>
          <w:snapToGrid w:val="0"/>
          <w:sz w:val="18"/>
          <w:szCs w:val="20"/>
        </w:rPr>
        <w:t>2, p195 of the submission and sheet ‘</w:t>
      </w:r>
      <w:proofErr w:type="spellStart"/>
      <w:r w:rsidRPr="00EF2E8A">
        <w:rPr>
          <w:rFonts w:ascii="Arial Narrow" w:eastAsia="Times New Roman" w:hAnsi="Arial Narrow" w:cs="Arial"/>
          <w:snapToGrid w:val="0"/>
          <w:sz w:val="18"/>
          <w:szCs w:val="20"/>
        </w:rPr>
        <w:t>DoT_Calc</w:t>
      </w:r>
      <w:proofErr w:type="spellEnd"/>
      <w:r w:rsidRPr="00EF2E8A">
        <w:rPr>
          <w:rFonts w:ascii="Arial Narrow" w:eastAsia="Times New Roman" w:hAnsi="Arial Narrow" w:cs="Arial"/>
          <w:snapToGrid w:val="0"/>
          <w:sz w:val="18"/>
          <w:szCs w:val="20"/>
        </w:rPr>
        <w:t>’ of the economic workbook.</w:t>
      </w:r>
    </w:p>
    <w:p w14:paraId="034AC7B8" w14:textId="57D2B337" w:rsidR="00F97E5F" w:rsidRPr="00EF2E8A" w:rsidRDefault="00F97E5F" w:rsidP="00591C83">
      <w:pPr>
        <w:pStyle w:val="TableFooter"/>
        <w:keepNext/>
        <w:keepLines/>
        <w:widowControl/>
      </w:pPr>
      <w:r w:rsidRPr="00EF2E8A">
        <w:t xml:space="preserve">AIBW = adjusted ideal body weight; BEVA = bevacizumab; ICC = investigators choice of chemotherapy; </w:t>
      </w:r>
      <w:r w:rsidR="00FF0FE7" w:rsidRPr="00EF2E8A">
        <w:t xml:space="preserve">kg= kilogram; mg= milligram; </w:t>
      </w:r>
      <w:r w:rsidRPr="00EF2E8A">
        <w:t xml:space="preserve">MIRV= </w:t>
      </w:r>
      <w:r w:rsidR="002764AD" w:rsidRPr="00EF2E8A">
        <w:t>mirvetuximab</w:t>
      </w:r>
      <w:r w:rsidRPr="00EF2E8A">
        <w:t xml:space="preserve"> soravtansine; PLD = pegylated liposomal doxorubicin; RDI= relative dose intensity.</w:t>
      </w:r>
    </w:p>
    <w:p w14:paraId="66DC8C86" w14:textId="77777777" w:rsidR="00F97E5F" w:rsidRPr="00EF2E8A" w:rsidRDefault="00F97E5F" w:rsidP="00591C83">
      <w:pPr>
        <w:pStyle w:val="TableFooter"/>
        <w:keepNext/>
        <w:keepLines/>
        <w:widowControl/>
      </w:pPr>
      <w:r w:rsidRPr="00EF2E8A">
        <w:rPr>
          <w:vertAlign w:val="superscript"/>
        </w:rPr>
        <w:t xml:space="preserve">a </w:t>
      </w:r>
      <w:r w:rsidRPr="00EF2E8A">
        <w:t>Distribution of ICC based on safety population of MIRASOL trial: Paclitaxel 40.70%/PLD 35.80%/Topotecan 23.50% (Topotecan patients on Q4W dosing [vs. Q3W dosing] = 82%)</w:t>
      </w:r>
    </w:p>
    <w:p w14:paraId="3607D0BE" w14:textId="77777777" w:rsidR="00F97E5F" w:rsidRPr="00EF2E8A" w:rsidRDefault="00F97E5F" w:rsidP="00591C83">
      <w:pPr>
        <w:pStyle w:val="TableFooter"/>
        <w:keepNext/>
        <w:keepLines/>
        <w:widowControl/>
      </w:pPr>
      <w:r w:rsidRPr="00EF2E8A">
        <w:rPr>
          <w:vertAlign w:val="superscript"/>
        </w:rPr>
        <w:t xml:space="preserve">b </w:t>
      </w:r>
      <w:r w:rsidRPr="00EF2E8A">
        <w:t>Bevacizumab patients on Q3W dosing (vs. Q2W dosing) = 4.23%</w:t>
      </w:r>
    </w:p>
    <w:p w14:paraId="64DFCE41" w14:textId="77777777" w:rsidR="00F97E5F" w:rsidRPr="00EF2E8A" w:rsidRDefault="00F97E5F" w:rsidP="00591C83">
      <w:pPr>
        <w:pStyle w:val="TableFooter"/>
        <w:widowControl/>
      </w:pPr>
      <w:r w:rsidRPr="00EF2E8A">
        <w:rPr>
          <w:vertAlign w:val="superscript"/>
        </w:rPr>
        <w:t xml:space="preserve">c </w:t>
      </w:r>
      <w:r w:rsidRPr="00EF2E8A">
        <w:t>Reported in economic workbook as mean duration for all treatments in BEVA + ICC</w:t>
      </w:r>
    </w:p>
    <w:p w14:paraId="78F88D85" w14:textId="58D5725F" w:rsidR="00F97E5F" w:rsidRPr="00EF2E8A" w:rsidRDefault="00F97E5F" w:rsidP="00591C83">
      <w:pPr>
        <w:pStyle w:val="TableFooter"/>
        <w:widowControl/>
      </w:pPr>
      <w:r w:rsidRPr="00EF2E8A">
        <w:rPr>
          <w:vertAlign w:val="superscript"/>
        </w:rPr>
        <w:t xml:space="preserve">d </w:t>
      </w:r>
      <w:r w:rsidRPr="00EF2E8A">
        <w:t>Weighted DPMA/DPMQ price, based on public:</w:t>
      </w:r>
      <w:r w:rsidR="007A79FD" w:rsidRPr="00EF2E8A">
        <w:t xml:space="preserve"> </w:t>
      </w:r>
      <w:r w:rsidRPr="00EF2E8A">
        <w:t>private split of 32%/68% based on PBS data for BEVA and ICC items from calendar year 2023</w:t>
      </w:r>
      <w:r w:rsidR="00D42431">
        <w:t>.</w:t>
      </w:r>
    </w:p>
    <w:p w14:paraId="725A1575" w14:textId="77777777" w:rsidR="00F97E5F" w:rsidRPr="00EF2E8A" w:rsidRDefault="00F97E5F" w:rsidP="00591C83">
      <w:pPr>
        <w:pStyle w:val="TableFooter"/>
        <w:widowControl/>
      </w:pPr>
      <w:r w:rsidRPr="00EF2E8A">
        <w:rPr>
          <w:vertAlign w:val="superscript"/>
        </w:rPr>
        <w:t xml:space="preserve">e </w:t>
      </w:r>
      <w:bookmarkStart w:id="84" w:name="_Hlk196229645"/>
      <w:r w:rsidRPr="00EF2E8A">
        <w:t>Costs adjusted for RDI, informed by MIRASOL and AURELIA trials</w:t>
      </w:r>
      <w:bookmarkEnd w:id="84"/>
    </w:p>
    <w:p w14:paraId="3BD68FD3" w14:textId="35AAE03A" w:rsidR="00FE649C" w:rsidRPr="00EF2E8A" w:rsidRDefault="00FE649C" w:rsidP="00591C83">
      <w:pPr>
        <w:pStyle w:val="TableFooter"/>
        <w:widowControl/>
      </w:pPr>
      <w:r w:rsidRPr="00EF2E8A">
        <w:rPr>
          <w:vertAlign w:val="superscript"/>
        </w:rPr>
        <w:t>f</w:t>
      </w:r>
      <w:r w:rsidRPr="00EF2E8A">
        <w:t xml:space="preserve"> Refers to average cost per patient based on distribution of therapies as described in </w:t>
      </w:r>
      <w:r w:rsidRPr="00EF2E8A">
        <w:rPr>
          <w:vertAlign w:val="superscript"/>
        </w:rPr>
        <w:t xml:space="preserve">a </w:t>
      </w:r>
      <w:r w:rsidRPr="00EF2E8A">
        <w:t xml:space="preserve">and </w:t>
      </w:r>
      <w:r w:rsidRPr="00EF2E8A">
        <w:rPr>
          <w:vertAlign w:val="superscript"/>
        </w:rPr>
        <w:t xml:space="preserve">b </w:t>
      </w:r>
      <w:r w:rsidRPr="00EF2E8A">
        <w:t>above</w:t>
      </w:r>
    </w:p>
    <w:p w14:paraId="0A811F4F" w14:textId="05D3E2DE" w:rsidR="00F97E5F" w:rsidRPr="00EF2E8A" w:rsidRDefault="001E37B2" w:rsidP="00591C83">
      <w:pPr>
        <w:pStyle w:val="ListParagraph"/>
      </w:pPr>
      <w:r>
        <w:t>T</w:t>
      </w:r>
      <w:r w:rsidR="00F97E5F" w:rsidRPr="00EF2E8A">
        <w:t xml:space="preserve">he mean cost/patient/course applied in the economic model for MIRV and BEVA + ICC was higher (and that for ICC was lower) compared to that applied in the financial estimates. </w:t>
      </w:r>
      <w:r w:rsidR="00FA3ED4" w:rsidRPr="00EF2E8A">
        <w:t>T</w:t>
      </w:r>
      <w:r w:rsidR="00885FF5" w:rsidRPr="00EF2E8A">
        <w:t>his</w:t>
      </w:r>
      <w:r w:rsidR="00FA3ED4" w:rsidRPr="00EF2E8A">
        <w:t xml:space="preserve"> was due</w:t>
      </w:r>
      <w:r w:rsidR="00885FF5" w:rsidRPr="00EF2E8A">
        <w:t xml:space="preserve"> to</w:t>
      </w:r>
      <w:r w:rsidR="00F97E5F" w:rsidRPr="00EF2E8A">
        <w:t xml:space="preserve"> the mean treatment duration (and subsequent mean number of administrations) for MIRV and BEVA + ICC </w:t>
      </w:r>
      <w:r w:rsidR="00885FF5" w:rsidRPr="00EF2E8A">
        <w:t xml:space="preserve">being </w:t>
      </w:r>
      <w:r w:rsidR="00F97E5F" w:rsidRPr="00EF2E8A">
        <w:t xml:space="preserve">higher (and that for ICC </w:t>
      </w:r>
      <w:r w:rsidR="00F97E5F" w:rsidRPr="00EF2E8A">
        <w:lastRenderedPageBreak/>
        <w:t xml:space="preserve">was lower) compared to that applied in the financial estimates. Treatment duration in the economic model for each arm was informed by extrapolated </w:t>
      </w:r>
      <w:r w:rsidR="00CF12F2" w:rsidRPr="00EF2E8A">
        <w:t xml:space="preserve">DoT </w:t>
      </w:r>
      <w:r w:rsidR="00F97E5F" w:rsidRPr="00EF2E8A">
        <w:t xml:space="preserve">estimates, </w:t>
      </w:r>
      <w:r w:rsidR="00744612" w:rsidRPr="00EF2E8A">
        <w:t>whereas</w:t>
      </w:r>
      <w:r w:rsidR="00F97E5F" w:rsidRPr="00EF2E8A">
        <w:t xml:space="preserve"> the financial estimates were informed by the mean treatment duration from the MIRASOL and AURELIA trials. </w:t>
      </w:r>
    </w:p>
    <w:p w14:paraId="14717B1C" w14:textId="3E305454" w:rsidR="005B79C7" w:rsidRPr="005D5B3F" w:rsidRDefault="00460B6A" w:rsidP="00591C83">
      <w:pPr>
        <w:pStyle w:val="OutlineHeading2"/>
        <w:rPr>
          <w:rFonts w:ascii="Calibri" w:hAnsi="Calibri" w:cs="Calibri"/>
        </w:rPr>
      </w:pPr>
      <w:bookmarkStart w:id="85" w:name="_Toc413139284"/>
      <w:bookmarkStart w:id="86" w:name="_Toc413139286"/>
      <w:r w:rsidRPr="00EF2E8A">
        <w:rPr>
          <w:rFonts w:ascii="Calibri" w:hAnsi="Calibri" w:cs="Calibri"/>
        </w:rPr>
        <w:t xml:space="preserve">Estimated PBS </w:t>
      </w:r>
      <w:r w:rsidR="0093156C" w:rsidRPr="00EF2E8A">
        <w:rPr>
          <w:rFonts w:ascii="Calibri" w:hAnsi="Calibri" w:cs="Calibri"/>
        </w:rPr>
        <w:t xml:space="preserve">usage </w:t>
      </w:r>
      <w:r w:rsidR="003C54D2" w:rsidRPr="00EF2E8A">
        <w:rPr>
          <w:rFonts w:ascii="Calibri" w:hAnsi="Calibri" w:cs="Calibri"/>
        </w:rPr>
        <w:t xml:space="preserve">&amp; </w:t>
      </w:r>
      <w:r w:rsidRPr="00EF2E8A">
        <w:rPr>
          <w:rFonts w:ascii="Calibri" w:hAnsi="Calibri" w:cs="Calibri"/>
        </w:rPr>
        <w:t>financial implications</w:t>
      </w:r>
      <w:bookmarkEnd w:id="85"/>
    </w:p>
    <w:p w14:paraId="3F7907C6" w14:textId="0F159486" w:rsidR="00D47C1B" w:rsidRPr="00F27116" w:rsidRDefault="00D47C1B" w:rsidP="00591C83">
      <w:pPr>
        <w:pStyle w:val="ListParagraph"/>
        <w:rPr>
          <w:color w:val="3366FF"/>
        </w:rPr>
      </w:pPr>
      <w:r w:rsidRPr="00F27116">
        <w:t xml:space="preserve">This submission was considered by </w:t>
      </w:r>
      <w:r w:rsidR="007F5062">
        <w:t xml:space="preserve">the </w:t>
      </w:r>
      <w:r w:rsidRPr="00F27116">
        <w:t xml:space="preserve">Drug Utilisation Sub Committee (DUSC). </w:t>
      </w:r>
    </w:p>
    <w:p w14:paraId="212C0E39" w14:textId="5E750073" w:rsidR="00D47C1B" w:rsidRPr="007F5062" w:rsidRDefault="00D47C1B" w:rsidP="00591C83">
      <w:pPr>
        <w:pStyle w:val="ListParagraph"/>
        <w:rPr>
          <w:color w:val="3366FF"/>
        </w:rPr>
      </w:pPr>
      <w:r w:rsidRPr="00F27116">
        <w:t xml:space="preserve">The submission used an epidemiological approach for </w:t>
      </w:r>
      <w:r w:rsidR="00DC0AF0">
        <w:t>the financial estimates</w:t>
      </w:r>
      <w:r w:rsidRPr="00F27116">
        <w:t>, assuming the use of MIRV will substitute the use of ICC and BEVA + ICC in patients with PROC and high FRα expression.</w:t>
      </w:r>
    </w:p>
    <w:p w14:paraId="322A6BA3" w14:textId="618F8AA0" w:rsidR="00D47C1B" w:rsidRPr="00F27116" w:rsidRDefault="00D47C1B" w:rsidP="00591C83">
      <w:pPr>
        <w:pStyle w:val="ListParagraph"/>
      </w:pPr>
      <w:r w:rsidRPr="00F27116">
        <w:t xml:space="preserve">Consistent with the economic evaluation, the </w:t>
      </w:r>
      <w:r w:rsidR="00D6743A">
        <w:t>estimates</w:t>
      </w:r>
      <w:r w:rsidR="00D6743A" w:rsidRPr="00F27116">
        <w:t xml:space="preserve"> </w:t>
      </w:r>
      <w:r w:rsidRPr="00F27116">
        <w:t>considered two contexts for FR</w:t>
      </w:r>
      <w:r w:rsidRPr="00F27116">
        <w:rPr>
          <w:rFonts w:cs="Calibri"/>
        </w:rPr>
        <w:t>α</w:t>
      </w:r>
      <w:r w:rsidRPr="00F27116">
        <w:t xml:space="preserve"> expression testing: </w:t>
      </w:r>
      <w:r w:rsidR="00D6743A">
        <w:t>a</w:t>
      </w:r>
      <w:r w:rsidRPr="00F27116">
        <w:t>t primary diagnosis (base case) and at development of platinum</w:t>
      </w:r>
      <w:r w:rsidR="00A46D2B">
        <w:noBreakHyphen/>
      </w:r>
      <w:r w:rsidRPr="00F27116">
        <w:t>resistance (scenario analysis). In both scenarios, testing was a one</w:t>
      </w:r>
      <w:r w:rsidR="00A46D2B">
        <w:noBreakHyphen/>
      </w:r>
      <w:r w:rsidRPr="00F27116">
        <w:t>off event (no re</w:t>
      </w:r>
      <w:r w:rsidR="00A46D2B">
        <w:noBreakHyphen/>
      </w:r>
      <w:r w:rsidRPr="00F27116">
        <w:t xml:space="preserve">testing is considered). </w:t>
      </w:r>
      <w:r w:rsidR="00D8024E">
        <w:t>However, t</w:t>
      </w:r>
      <w:r w:rsidR="00D8024E" w:rsidRPr="006A798F">
        <w:rPr>
          <w:rStyle w:val="PBACESParagraphBulletPointChar"/>
          <w:iCs/>
        </w:rPr>
        <w:t>he ESCs considered that retesting of FRα expression following development of platinum resistance should remain an option</w:t>
      </w:r>
      <w:r w:rsidR="00D8024E">
        <w:rPr>
          <w:rStyle w:val="PBACESParagraphBulletPointChar"/>
          <w:iCs/>
        </w:rPr>
        <w:t xml:space="preserve"> (see paragraph</w:t>
      </w:r>
      <w:r w:rsidR="00921D04">
        <w:t xml:space="preserve"> </w:t>
      </w:r>
      <w:r w:rsidR="00921D04">
        <w:fldChar w:fldCharType="begin" w:fldLock="1"/>
      </w:r>
      <w:r w:rsidR="00921D04">
        <w:instrText xml:space="preserve"> REF _Ref205215176 \r \h </w:instrText>
      </w:r>
      <w:r w:rsidR="00921D04">
        <w:fldChar w:fldCharType="separate"/>
      </w:r>
      <w:r w:rsidR="00921D04">
        <w:t>6.63</w:t>
      </w:r>
      <w:r w:rsidR="00921D04">
        <w:fldChar w:fldCharType="end"/>
      </w:r>
      <w:r w:rsidR="00921D04">
        <w:t>).</w:t>
      </w:r>
    </w:p>
    <w:p w14:paraId="20701845" w14:textId="30BE242F" w:rsidR="00D47C1B" w:rsidRPr="00F27116" w:rsidRDefault="00D47C1B" w:rsidP="00591C83">
      <w:pPr>
        <w:pStyle w:val="ListParagraph"/>
      </w:pPr>
      <w:r w:rsidRPr="00F27116">
        <w:t xml:space="preserve">A summary of the key inputs used by the submission to estimate the use and financial impact of the proposed codependent technologies is presented in </w:t>
      </w:r>
      <w:r w:rsidR="00D7203C">
        <w:fldChar w:fldCharType="begin" w:fldLock="1"/>
      </w:r>
      <w:r w:rsidR="00D7203C">
        <w:instrText xml:space="preserve"> REF _Ref205199119 \h </w:instrText>
      </w:r>
      <w:r w:rsidR="00D7203C">
        <w:fldChar w:fldCharType="separate"/>
      </w:r>
      <w:r w:rsidR="00CC5CAD">
        <w:t xml:space="preserve">Table </w:t>
      </w:r>
      <w:r w:rsidR="00CC5CAD">
        <w:rPr>
          <w:noProof/>
        </w:rPr>
        <w:t>24</w:t>
      </w:r>
      <w:r w:rsidR="00D7203C">
        <w:fldChar w:fldCharType="end"/>
      </w:r>
      <w:r w:rsidRPr="00F27116">
        <w:t>.</w:t>
      </w:r>
    </w:p>
    <w:p w14:paraId="24B246DF" w14:textId="1CADEE74" w:rsidR="00D7203C" w:rsidRDefault="00AF3C7B" w:rsidP="00F276FE">
      <w:pPr>
        <w:pStyle w:val="Caption"/>
      </w:pPr>
      <w:bookmarkStart w:id="87" w:name="_Ref205199119"/>
      <w:r w:rsidRPr="00AF3C7B">
        <w:rPr>
          <w:color w:val="000000"/>
          <w:spacing w:val="54"/>
          <w:shd w:val="solid" w:color="000000" w:fill="000000"/>
          <w:fitText w:val="348" w:id="-629961972"/>
          <w14:textFill>
            <w14:solidFill>
              <w14:srgbClr w14:val="000000">
                <w14:alpha w14:val="100000"/>
              </w14:srgbClr>
            </w14:solidFill>
          </w14:textFill>
        </w:rPr>
        <w:lastRenderedPageBreak/>
        <w:t>|||</w:t>
      </w:r>
      <w:r w:rsidRPr="00AF3C7B">
        <w:rPr>
          <w:color w:val="000000"/>
          <w:spacing w:val="3"/>
          <w:shd w:val="solid" w:color="000000" w:fill="000000"/>
          <w:fitText w:val="348" w:id="-629961972"/>
          <w14:textFill>
            <w14:solidFill>
              <w14:srgbClr w14:val="000000">
                <w14:alpha w14:val="100000"/>
              </w14:srgbClr>
            </w14:solidFill>
          </w14:textFill>
        </w:rPr>
        <w:t>|</w:t>
      </w:r>
      <w:r w:rsidR="00D7203C">
        <w:t xml:space="preserve">Table </w:t>
      </w:r>
      <w:r w:rsidR="00CC5CAD">
        <w:fldChar w:fldCharType="begin" w:fldLock="1"/>
      </w:r>
      <w:r w:rsidR="00CC5CAD">
        <w:instrText xml:space="preserve"> SEQ Table \* ARABIC </w:instrText>
      </w:r>
      <w:r w:rsidR="00CC5CAD">
        <w:fldChar w:fldCharType="separate"/>
      </w:r>
      <w:r w:rsidR="00CC5CAD">
        <w:rPr>
          <w:noProof/>
        </w:rPr>
        <w:t>24</w:t>
      </w:r>
      <w:r w:rsidR="00CC5CAD">
        <w:rPr>
          <w:noProof/>
        </w:rPr>
        <w:fldChar w:fldCharType="end"/>
      </w:r>
      <w:bookmarkEnd w:id="87"/>
      <w:r w:rsidR="00D7203C">
        <w:t xml:space="preserve">: </w:t>
      </w:r>
      <w:r w:rsidR="00D7203C" w:rsidRPr="00E527B7">
        <w:t>Estimation of number of treated patients and prescriptions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4: Estimation of number of treated patients and prescriptions"/>
      </w:tblPr>
      <w:tblGrid>
        <w:gridCol w:w="1675"/>
        <w:gridCol w:w="1560"/>
        <w:gridCol w:w="5781"/>
      </w:tblGrid>
      <w:tr w:rsidR="00A03118" w:rsidRPr="00F436DF" w14:paraId="2F0E5123" w14:textId="77777777" w:rsidTr="006B3757">
        <w:trPr>
          <w:trHeight w:val="20"/>
        </w:trPr>
        <w:tc>
          <w:tcPr>
            <w:tcW w:w="1675" w:type="dxa"/>
            <w:hideMark/>
          </w:tcPr>
          <w:p w14:paraId="3CC94491" w14:textId="475144BE" w:rsidR="00A03118" w:rsidRPr="00F436DF" w:rsidRDefault="00A03118" w:rsidP="00F276FE">
            <w:pPr>
              <w:pStyle w:val="In-tableHeading"/>
              <w:rPr>
                <w:lang w:val="en-AU"/>
              </w:rPr>
            </w:pPr>
            <w:r w:rsidRPr="00F436DF">
              <w:rPr>
                <w:lang w:val="en-AU"/>
              </w:rPr>
              <w:lastRenderedPageBreak/>
              <w:t> Data</w:t>
            </w:r>
          </w:p>
        </w:tc>
        <w:tc>
          <w:tcPr>
            <w:tcW w:w="1560" w:type="dxa"/>
          </w:tcPr>
          <w:p w14:paraId="6F17C998" w14:textId="77777777" w:rsidR="00A03118" w:rsidRPr="00F436DF" w:rsidRDefault="00A03118" w:rsidP="00F276FE">
            <w:pPr>
              <w:pStyle w:val="In-tableHeading"/>
              <w:rPr>
                <w:lang w:val="en-AU"/>
              </w:rPr>
            </w:pPr>
            <w:r w:rsidRPr="00F436DF">
              <w:rPr>
                <w:lang w:val="en-AU"/>
              </w:rPr>
              <w:t xml:space="preserve">Value and </w:t>
            </w:r>
          </w:p>
          <w:p w14:paraId="2325782F" w14:textId="6131A9A2" w:rsidR="00A03118" w:rsidRPr="00F436DF" w:rsidRDefault="00C84531" w:rsidP="00F276FE">
            <w:pPr>
              <w:pStyle w:val="In-tableHeading"/>
              <w:rPr>
                <w:vertAlign w:val="superscript"/>
                <w:lang w:val="en-AU"/>
              </w:rPr>
            </w:pPr>
            <w:r>
              <w:rPr>
                <w:lang w:val="en-AU"/>
              </w:rPr>
              <w:t>(</w:t>
            </w:r>
            <w:r w:rsidR="00A03118" w:rsidRPr="00F436DF">
              <w:rPr>
                <w:lang w:val="en-AU"/>
              </w:rPr>
              <w:t>Year 1</w:t>
            </w:r>
            <w:r w:rsidR="00A03118" w:rsidRPr="00F436DF">
              <w:rPr>
                <w:vertAlign w:val="superscript"/>
                <w:lang w:val="en-AU"/>
              </w:rPr>
              <w:t>a</w:t>
            </w:r>
            <w:r w:rsidRPr="00C84531">
              <w:rPr>
                <w:lang w:val="en-AU"/>
              </w:rPr>
              <w:t>)</w:t>
            </w:r>
          </w:p>
        </w:tc>
        <w:tc>
          <w:tcPr>
            <w:tcW w:w="5781" w:type="dxa"/>
            <w:hideMark/>
          </w:tcPr>
          <w:p w14:paraId="6F807B7D" w14:textId="77777777" w:rsidR="00A03118" w:rsidRPr="00F436DF" w:rsidRDefault="00A03118" w:rsidP="00F276FE">
            <w:pPr>
              <w:pStyle w:val="In-tableHeading"/>
              <w:rPr>
                <w:lang w:val="en-AU"/>
              </w:rPr>
            </w:pPr>
            <w:r w:rsidRPr="00F436DF">
              <w:rPr>
                <w:lang w:val="en-AU"/>
              </w:rPr>
              <w:t xml:space="preserve">Source and comment </w:t>
            </w:r>
          </w:p>
        </w:tc>
      </w:tr>
      <w:tr w:rsidR="00306437" w:rsidRPr="00F436DF" w14:paraId="54C51DEF" w14:textId="77777777" w:rsidTr="006B3757">
        <w:trPr>
          <w:trHeight w:val="20"/>
        </w:trPr>
        <w:tc>
          <w:tcPr>
            <w:tcW w:w="9016" w:type="dxa"/>
            <w:gridSpan w:val="3"/>
          </w:tcPr>
          <w:p w14:paraId="70DC76C4" w14:textId="385167FB" w:rsidR="00306437" w:rsidRPr="00F436DF" w:rsidRDefault="00306437" w:rsidP="00F276FE">
            <w:pPr>
              <w:pStyle w:val="In-tableHeading"/>
              <w:rPr>
                <w:szCs w:val="20"/>
              </w:rPr>
            </w:pPr>
            <w:r w:rsidRPr="00F436DF">
              <w:rPr>
                <w:szCs w:val="20"/>
                <w:lang w:val="en-AU"/>
              </w:rPr>
              <w:t>Eligible population</w:t>
            </w:r>
          </w:p>
        </w:tc>
      </w:tr>
      <w:tr w:rsidR="00A03118" w:rsidRPr="00EF2E8A" w14:paraId="3685EF88" w14:textId="77777777" w:rsidTr="006B3757">
        <w:trPr>
          <w:trHeight w:val="20"/>
        </w:trPr>
        <w:tc>
          <w:tcPr>
            <w:tcW w:w="1675" w:type="dxa"/>
            <w:hideMark/>
          </w:tcPr>
          <w:p w14:paraId="534B86C0" w14:textId="77777777" w:rsidR="00A03118" w:rsidRPr="00F436DF" w:rsidRDefault="00A03118" w:rsidP="00F276FE">
            <w:pPr>
              <w:pStyle w:val="TableText"/>
              <w:keepNext/>
              <w:widowControl/>
            </w:pPr>
            <w:r w:rsidRPr="00F436DF">
              <w:t>Total incident cases epithelial ovarian, fallopian tube or primary peritoneal cancer</w:t>
            </w:r>
          </w:p>
        </w:tc>
        <w:tc>
          <w:tcPr>
            <w:tcW w:w="1560" w:type="dxa"/>
          </w:tcPr>
          <w:p w14:paraId="3A86240A" w14:textId="26A8F725" w:rsidR="00A03118" w:rsidRPr="0097498C" w:rsidRDefault="00A03118" w:rsidP="00F276FE">
            <w:pPr>
              <w:pStyle w:val="TableText"/>
              <w:keepNext/>
              <w:widowControl/>
              <w:jc w:val="center"/>
            </w:pPr>
            <w:r w:rsidRPr="0097498C">
              <w:t xml:space="preserve">Yr 1: </w:t>
            </w:r>
            <w:r w:rsidR="00AF3C7B" w:rsidRPr="00AF3C7B">
              <w:rPr>
                <w:rFonts w:hint="eastAsia"/>
                <w:color w:val="000000"/>
                <w:w w:val="21"/>
                <w:shd w:val="solid" w:color="000000" w:fill="000000"/>
                <w:fitText w:val="96" w:id="-629961971"/>
                <w14:textFill>
                  <w14:solidFill>
                    <w14:srgbClr w14:val="000000">
                      <w14:alpha w14:val="100000"/>
                    </w14:srgbClr>
                  </w14:solidFill>
                </w14:textFill>
              </w:rPr>
              <w:t xml:space="preserve">　</w:t>
            </w:r>
            <w:r w:rsidR="00AF3C7B" w:rsidRPr="00AF3C7B">
              <w:rPr>
                <w:color w:val="000000"/>
                <w:w w:val="21"/>
                <w:shd w:val="solid" w:color="000000" w:fill="000000"/>
                <w:fitText w:val="96" w:id="-629961971"/>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1"/>
                <w14:textFill>
                  <w14:solidFill>
                    <w14:srgbClr w14:val="000000">
                      <w14:alpha w14:val="100000"/>
                    </w14:srgbClr>
                  </w14:solidFill>
                </w14:textFill>
              </w:rPr>
              <w:t xml:space="preserve">　</w:t>
            </w:r>
            <w:r w:rsidR="006853EB" w:rsidRPr="00737598">
              <w:rPr>
                <w:vertAlign w:val="superscript"/>
              </w:rPr>
              <w:t>1</w:t>
            </w:r>
          </w:p>
          <w:p w14:paraId="47216382" w14:textId="737D8211" w:rsidR="00A03118" w:rsidRPr="0097498C" w:rsidRDefault="00A03118" w:rsidP="00F276FE">
            <w:pPr>
              <w:pStyle w:val="TableText"/>
              <w:keepNext/>
              <w:widowControl/>
              <w:jc w:val="center"/>
            </w:pPr>
            <w:r w:rsidRPr="0097498C">
              <w:t xml:space="preserve">Yr 2: </w:t>
            </w:r>
            <w:r w:rsidR="00AF3C7B" w:rsidRPr="00AF3C7B">
              <w:rPr>
                <w:rFonts w:hint="eastAsia"/>
                <w:color w:val="000000"/>
                <w:w w:val="21"/>
                <w:shd w:val="solid" w:color="000000" w:fill="000000"/>
                <w:fitText w:val="96" w:id="-629961970"/>
                <w14:textFill>
                  <w14:solidFill>
                    <w14:srgbClr w14:val="000000">
                      <w14:alpha w14:val="100000"/>
                    </w14:srgbClr>
                  </w14:solidFill>
                </w14:textFill>
              </w:rPr>
              <w:t xml:space="preserve">　</w:t>
            </w:r>
            <w:r w:rsidR="00AF3C7B" w:rsidRPr="00AF3C7B">
              <w:rPr>
                <w:color w:val="000000"/>
                <w:w w:val="21"/>
                <w:shd w:val="solid" w:color="000000" w:fill="000000"/>
                <w:fitText w:val="96" w:id="-629961970"/>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0"/>
                <w14:textFill>
                  <w14:solidFill>
                    <w14:srgbClr w14:val="000000">
                      <w14:alpha w14:val="100000"/>
                    </w14:srgbClr>
                  </w14:solidFill>
                </w14:textFill>
              </w:rPr>
              <w:t xml:space="preserve">　</w:t>
            </w:r>
            <w:r w:rsidR="00737598" w:rsidRPr="00737598">
              <w:rPr>
                <w:vertAlign w:val="superscript"/>
              </w:rPr>
              <w:t>1</w:t>
            </w:r>
          </w:p>
          <w:p w14:paraId="66F33DD4" w14:textId="324C9D3A" w:rsidR="00A03118" w:rsidRPr="0097498C" w:rsidRDefault="00A03118" w:rsidP="00F276FE">
            <w:pPr>
              <w:pStyle w:val="TableText"/>
              <w:keepNext/>
              <w:widowControl/>
              <w:jc w:val="center"/>
            </w:pPr>
            <w:r w:rsidRPr="0097498C">
              <w:t xml:space="preserve">Yr 3: </w:t>
            </w:r>
            <w:r w:rsidR="00AF3C7B" w:rsidRPr="00AF3C7B">
              <w:rPr>
                <w:rFonts w:hint="eastAsia"/>
                <w:color w:val="000000"/>
                <w:w w:val="21"/>
                <w:shd w:val="solid" w:color="000000" w:fill="000000"/>
                <w:fitText w:val="96" w:id="-629961969"/>
                <w14:textFill>
                  <w14:solidFill>
                    <w14:srgbClr w14:val="000000">
                      <w14:alpha w14:val="100000"/>
                    </w14:srgbClr>
                  </w14:solidFill>
                </w14:textFill>
              </w:rPr>
              <w:t xml:space="preserve">　</w:t>
            </w:r>
            <w:r w:rsidR="00AF3C7B" w:rsidRPr="00AF3C7B">
              <w:rPr>
                <w:color w:val="000000"/>
                <w:w w:val="21"/>
                <w:shd w:val="solid" w:color="000000" w:fill="000000"/>
                <w:fitText w:val="96" w:id="-629961969"/>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69"/>
                <w14:textFill>
                  <w14:solidFill>
                    <w14:srgbClr w14:val="000000">
                      <w14:alpha w14:val="100000"/>
                    </w14:srgbClr>
                  </w14:solidFill>
                </w14:textFill>
              </w:rPr>
              <w:t xml:space="preserve">　</w:t>
            </w:r>
            <w:r w:rsidR="00737598" w:rsidRPr="00737598">
              <w:rPr>
                <w:vertAlign w:val="superscript"/>
              </w:rPr>
              <w:t>1</w:t>
            </w:r>
          </w:p>
          <w:p w14:paraId="1C97D26C" w14:textId="4828C579" w:rsidR="00A03118" w:rsidRPr="0097498C" w:rsidRDefault="00A03118" w:rsidP="00F276FE">
            <w:pPr>
              <w:pStyle w:val="TableText"/>
              <w:keepNext/>
              <w:widowControl/>
              <w:jc w:val="center"/>
            </w:pPr>
            <w:r w:rsidRPr="0097498C">
              <w:t xml:space="preserve">Yr 4: </w:t>
            </w:r>
            <w:r w:rsidR="00AF3C7B" w:rsidRPr="00AF3C7B">
              <w:rPr>
                <w:rFonts w:hint="eastAsia"/>
                <w:color w:val="000000"/>
                <w:w w:val="21"/>
                <w:shd w:val="solid" w:color="000000" w:fill="000000"/>
                <w:fitText w:val="96" w:id="-629961968"/>
                <w14:textFill>
                  <w14:solidFill>
                    <w14:srgbClr w14:val="000000">
                      <w14:alpha w14:val="100000"/>
                    </w14:srgbClr>
                  </w14:solidFill>
                </w14:textFill>
              </w:rPr>
              <w:t xml:space="preserve">　</w:t>
            </w:r>
            <w:r w:rsidR="00AF3C7B" w:rsidRPr="00AF3C7B">
              <w:rPr>
                <w:color w:val="000000"/>
                <w:w w:val="21"/>
                <w:shd w:val="solid" w:color="000000" w:fill="000000"/>
                <w:fitText w:val="96" w:id="-629961968"/>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68"/>
                <w14:textFill>
                  <w14:solidFill>
                    <w14:srgbClr w14:val="000000">
                      <w14:alpha w14:val="100000"/>
                    </w14:srgbClr>
                  </w14:solidFill>
                </w14:textFill>
              </w:rPr>
              <w:t xml:space="preserve">　</w:t>
            </w:r>
            <w:r w:rsidR="00737598" w:rsidRPr="00737598">
              <w:rPr>
                <w:vertAlign w:val="superscript"/>
              </w:rPr>
              <w:t>1</w:t>
            </w:r>
          </w:p>
          <w:p w14:paraId="07703C00" w14:textId="2A4D7617" w:rsidR="00A03118" w:rsidRPr="0097498C" w:rsidRDefault="00A03118" w:rsidP="00F276FE">
            <w:pPr>
              <w:pStyle w:val="TableText"/>
              <w:keepNext/>
              <w:widowControl/>
              <w:jc w:val="center"/>
            </w:pPr>
            <w:r w:rsidRPr="0097498C">
              <w:t xml:space="preserve">Yr 5: </w:t>
            </w:r>
            <w:r w:rsidR="00AF3C7B" w:rsidRPr="00AF3C7B">
              <w:rPr>
                <w:rFonts w:hint="eastAsia"/>
                <w:color w:val="000000"/>
                <w:w w:val="21"/>
                <w:shd w:val="solid" w:color="000000" w:fill="000000"/>
                <w:fitText w:val="96" w:id="-629961984"/>
                <w14:textFill>
                  <w14:solidFill>
                    <w14:srgbClr w14:val="000000">
                      <w14:alpha w14:val="100000"/>
                    </w14:srgbClr>
                  </w14:solidFill>
                </w14:textFill>
              </w:rPr>
              <w:t xml:space="preserve">　</w:t>
            </w:r>
            <w:r w:rsidR="00AF3C7B" w:rsidRPr="00AF3C7B">
              <w:rPr>
                <w:color w:val="000000"/>
                <w:w w:val="21"/>
                <w:shd w:val="solid" w:color="000000" w:fill="000000"/>
                <w:fitText w:val="96" w:id="-629961984"/>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84"/>
                <w14:textFill>
                  <w14:solidFill>
                    <w14:srgbClr w14:val="000000">
                      <w14:alpha w14:val="100000"/>
                    </w14:srgbClr>
                  </w14:solidFill>
                </w14:textFill>
              </w:rPr>
              <w:t xml:space="preserve">　</w:t>
            </w:r>
            <w:r w:rsidR="00737598" w:rsidRPr="00737598">
              <w:rPr>
                <w:vertAlign w:val="superscript"/>
              </w:rPr>
              <w:t>1</w:t>
            </w:r>
          </w:p>
          <w:p w14:paraId="4D12DD9E" w14:textId="2739C992" w:rsidR="00A03118" w:rsidRPr="00F436DF" w:rsidRDefault="00A03118" w:rsidP="00F276FE">
            <w:pPr>
              <w:pStyle w:val="TableText"/>
              <w:keepNext/>
              <w:widowControl/>
              <w:jc w:val="center"/>
            </w:pPr>
            <w:r w:rsidRPr="00F436DF">
              <w:t xml:space="preserve">Yr 6: </w:t>
            </w:r>
            <w:r w:rsidR="00AF3C7B" w:rsidRPr="00AF3C7B">
              <w:rPr>
                <w:rFonts w:hint="eastAsia"/>
                <w:color w:val="000000"/>
                <w:w w:val="21"/>
                <w:shd w:val="solid" w:color="000000" w:fill="000000"/>
                <w:fitText w:val="96" w:id="-629961983"/>
                <w14:textFill>
                  <w14:solidFill>
                    <w14:srgbClr w14:val="000000">
                      <w14:alpha w14:val="100000"/>
                    </w14:srgbClr>
                  </w14:solidFill>
                </w14:textFill>
              </w:rPr>
              <w:t xml:space="preserve">　</w:t>
            </w:r>
            <w:r w:rsidR="00AF3C7B" w:rsidRPr="00AF3C7B">
              <w:rPr>
                <w:color w:val="000000"/>
                <w:w w:val="21"/>
                <w:shd w:val="solid" w:color="000000" w:fill="000000"/>
                <w:fitText w:val="96" w:id="-629961983"/>
                <w14:textFill>
                  <w14:solidFill>
                    <w14:srgbClr w14:val="000000">
                      <w14:alpha w14:val="100000"/>
                    </w14:srgbClr>
                  </w14:solidFill>
                </w14:textFill>
              </w:rPr>
              <w:t>|</w:t>
            </w:r>
            <w:r w:rsidR="00AF3C7B" w:rsidRPr="00AF3C7B">
              <w:rPr>
                <w:rFonts w:hint="eastAsia"/>
                <w:color w:val="000000"/>
                <w:w w:val="21"/>
                <w:shd w:val="solid" w:color="000000" w:fill="000000"/>
                <w:fitText w:val="96" w:id="-629961983"/>
                <w14:textFill>
                  <w14:solidFill>
                    <w14:srgbClr w14:val="000000">
                      <w14:alpha w14:val="100000"/>
                    </w14:srgbClr>
                  </w14:solidFill>
                </w14:textFill>
              </w:rPr>
              <w:t xml:space="preserve">　</w:t>
            </w:r>
            <w:r w:rsidR="00737598" w:rsidRPr="00737598">
              <w:rPr>
                <w:vertAlign w:val="superscript"/>
              </w:rPr>
              <w:t>1</w:t>
            </w:r>
          </w:p>
        </w:tc>
        <w:tc>
          <w:tcPr>
            <w:tcW w:w="5781" w:type="dxa"/>
          </w:tcPr>
          <w:p w14:paraId="62045C7D" w14:textId="77777777" w:rsidR="00F436DF" w:rsidRPr="00F436DF" w:rsidRDefault="00A03118" w:rsidP="00F276FE">
            <w:pPr>
              <w:pStyle w:val="TableText"/>
              <w:keepNext/>
              <w:widowControl/>
              <w:spacing w:after="120"/>
            </w:pPr>
            <w:r w:rsidRPr="00F436DF">
              <w:t xml:space="preserve">Linear growth trend of incidence reported 2020 thorough 2024 by AIHW. </w:t>
            </w:r>
          </w:p>
          <w:p w14:paraId="67CCCA9E" w14:textId="3D8CA7DA" w:rsidR="00A03118" w:rsidRPr="00F436DF" w:rsidRDefault="00A03118" w:rsidP="00F276FE">
            <w:pPr>
              <w:pStyle w:val="TableText"/>
              <w:keepNext/>
              <w:widowControl/>
              <w:spacing w:after="120"/>
            </w:pPr>
            <w:r w:rsidRPr="00F436DF">
              <w:t>Th</w:t>
            </w:r>
            <w:r w:rsidR="009C30E2">
              <w:t xml:space="preserve">e </w:t>
            </w:r>
            <w:r w:rsidR="00F0456C">
              <w:t>evaluation</w:t>
            </w:r>
            <w:r w:rsidR="009C30E2">
              <w:t xml:space="preserve"> considered th</w:t>
            </w:r>
            <w:r w:rsidRPr="00F436DF">
              <w:t>is was reasonable</w:t>
            </w:r>
            <w:r w:rsidR="009C30E2">
              <w:t>.</w:t>
            </w:r>
          </w:p>
        </w:tc>
      </w:tr>
      <w:tr w:rsidR="00E349CE" w:rsidRPr="00EF2E8A" w14:paraId="74A1A29E" w14:textId="77777777" w:rsidTr="007B442F">
        <w:trPr>
          <w:trHeight w:val="20"/>
        </w:trPr>
        <w:tc>
          <w:tcPr>
            <w:tcW w:w="1675" w:type="dxa"/>
            <w:hideMark/>
          </w:tcPr>
          <w:p w14:paraId="4B430FF8" w14:textId="77777777" w:rsidR="00E349CE" w:rsidRPr="00EF06D4" w:rsidRDefault="00E349CE" w:rsidP="00F276FE">
            <w:pPr>
              <w:pStyle w:val="TableText"/>
              <w:keepNext/>
              <w:widowControl/>
            </w:pPr>
            <w:r w:rsidRPr="00EF06D4">
              <w:t>% incident cases that are high grade epithelial</w:t>
            </w:r>
          </w:p>
        </w:tc>
        <w:tc>
          <w:tcPr>
            <w:tcW w:w="1560" w:type="dxa"/>
          </w:tcPr>
          <w:p w14:paraId="3B00C6EA" w14:textId="77777777" w:rsidR="00E349CE" w:rsidRPr="00EF06D4" w:rsidRDefault="00E349CE" w:rsidP="00F276FE">
            <w:pPr>
              <w:pStyle w:val="TableText"/>
              <w:keepNext/>
              <w:widowControl/>
              <w:jc w:val="center"/>
            </w:pPr>
            <w:r w:rsidRPr="00EF06D4">
              <w:t>90%</w:t>
            </w:r>
          </w:p>
          <w:p w14:paraId="4BEEDBB7" w14:textId="77777777" w:rsidR="00115840" w:rsidRDefault="00115840" w:rsidP="00F276FE">
            <w:pPr>
              <w:pStyle w:val="TableText"/>
              <w:keepNext/>
              <w:widowControl/>
              <w:jc w:val="center"/>
            </w:pPr>
          </w:p>
          <w:p w14:paraId="3353C2D3" w14:textId="7FA07381" w:rsidR="00E349CE" w:rsidRPr="00EF06D4" w:rsidRDefault="00C84531" w:rsidP="00F276FE">
            <w:pPr>
              <w:pStyle w:val="TableText"/>
              <w:keepNext/>
              <w:widowControl/>
              <w:jc w:val="center"/>
            </w:pPr>
            <w:r>
              <w:t>(</w:t>
            </w:r>
            <w:r w:rsidR="00E349CE" w:rsidRPr="00EF06D4">
              <w:t xml:space="preserve">Yr 1: </w:t>
            </w:r>
            <w:r w:rsidR="00AF3C7B" w:rsidRPr="001338E4">
              <w:rPr>
                <w:color w:val="000000"/>
                <w:spacing w:val="70"/>
                <w:shd w:val="solid" w:color="000000" w:fill="000000"/>
                <w:fitText w:val="156" w:id="-629961982"/>
                <w14:textFill>
                  <w14:solidFill>
                    <w14:srgbClr w14:val="000000">
                      <w14:alpha w14:val="100000"/>
                    </w14:srgbClr>
                  </w14:solidFill>
                </w14:textFill>
              </w:rPr>
              <w:t>|</w:t>
            </w:r>
            <w:r w:rsidR="00AF3C7B" w:rsidRPr="001338E4">
              <w:rPr>
                <w:color w:val="000000"/>
                <w:spacing w:val="1"/>
                <w:shd w:val="solid" w:color="000000" w:fill="000000"/>
                <w:fitText w:val="156" w:id="-629961982"/>
                <w14:textFill>
                  <w14:solidFill>
                    <w14:srgbClr w14:val="000000">
                      <w14:alpha w14:val="100000"/>
                    </w14:srgbClr>
                  </w14:solidFill>
                </w14:textFill>
              </w:rPr>
              <w:t>|</w:t>
            </w:r>
            <w:r w:rsidR="00537649" w:rsidRPr="00737598">
              <w:rPr>
                <w:vertAlign w:val="superscript"/>
              </w:rPr>
              <w:t>1</w:t>
            </w:r>
            <w:r>
              <w:t>)</w:t>
            </w:r>
          </w:p>
        </w:tc>
        <w:tc>
          <w:tcPr>
            <w:tcW w:w="5781" w:type="dxa"/>
          </w:tcPr>
          <w:p w14:paraId="1D0C9EED" w14:textId="77777777" w:rsidR="00D111F6" w:rsidRPr="00EF06D4" w:rsidRDefault="00E349CE" w:rsidP="00F276FE">
            <w:pPr>
              <w:pStyle w:val="TableText"/>
              <w:keepNext/>
              <w:widowControl/>
              <w:spacing w:after="120"/>
            </w:pPr>
            <w:r w:rsidRPr="00EF06D4">
              <w:t xml:space="preserve">Sourced from Reid et al (2017). </w:t>
            </w:r>
          </w:p>
          <w:p w14:paraId="790E37F6" w14:textId="7AE3AF15" w:rsidR="00E349CE" w:rsidRPr="00591C83" w:rsidRDefault="00D111F6" w:rsidP="00F276FE">
            <w:pPr>
              <w:pStyle w:val="TableText"/>
              <w:keepNext/>
              <w:widowControl/>
              <w:spacing w:after="120"/>
            </w:pPr>
            <w:r w:rsidRPr="00EF06D4">
              <w:t>T</w:t>
            </w:r>
            <w:r w:rsidR="00E349CE" w:rsidRPr="00EF06D4">
              <w:t xml:space="preserve">his source reports that 90% of ovarian cancer patients are epithelial origin (all grades);it is unclear whether it is reasonable to assume 100% of epithelial ovarian cancer incident patients are </w:t>
            </w:r>
            <w:r w:rsidR="00E349CE" w:rsidRPr="00591C83">
              <w:t>high</w:t>
            </w:r>
            <w:r w:rsidR="00A46D2B">
              <w:noBreakHyphen/>
            </w:r>
            <w:r w:rsidR="00E349CE" w:rsidRPr="00591C83">
              <w:t>grade cases</w:t>
            </w:r>
            <w:r w:rsidRPr="00591C83">
              <w:t>.</w:t>
            </w:r>
          </w:p>
          <w:p w14:paraId="2F65EF7F" w14:textId="5672F06A" w:rsidR="00D111F6" w:rsidRPr="00EF2E8A" w:rsidRDefault="00D111F6" w:rsidP="00F276FE">
            <w:pPr>
              <w:pStyle w:val="TableText"/>
              <w:keepNext/>
              <w:widowControl/>
              <w:spacing w:after="120"/>
              <w:rPr>
                <w:highlight w:val="yellow"/>
              </w:rPr>
            </w:pPr>
            <w:r w:rsidRPr="00591C83">
              <w:t>DUSC considered 90% to be an overestimate. DUSC considered that the proportion of these cases which are high grade serous should also be applied. According to Reid et al (2017) this would be 70% of the total 90% of cases making this input 63% and more in line with the MIRASOL trial which excluded other histopathology types.</w:t>
            </w:r>
          </w:p>
        </w:tc>
      </w:tr>
      <w:tr w:rsidR="00E349CE" w:rsidRPr="00EF2E8A" w14:paraId="3B98CA77" w14:textId="77777777" w:rsidTr="007B442F">
        <w:trPr>
          <w:trHeight w:val="20"/>
        </w:trPr>
        <w:tc>
          <w:tcPr>
            <w:tcW w:w="1675" w:type="dxa"/>
          </w:tcPr>
          <w:p w14:paraId="77E86C2D" w14:textId="6B796EFD" w:rsidR="00E349CE" w:rsidRPr="00506392" w:rsidRDefault="00E349CE" w:rsidP="00F276FE">
            <w:pPr>
              <w:pStyle w:val="TableText"/>
              <w:keepNext/>
              <w:widowControl/>
            </w:pPr>
            <w:r w:rsidRPr="00506392">
              <w:rPr>
                <w:szCs w:val="20"/>
              </w:rPr>
              <w:t xml:space="preserve">% of incident cases with FRα testing requested (test uptake rate) – at primary diagnosis </w:t>
            </w:r>
          </w:p>
        </w:tc>
        <w:tc>
          <w:tcPr>
            <w:tcW w:w="1560" w:type="dxa"/>
          </w:tcPr>
          <w:p w14:paraId="70C6D9B0" w14:textId="13BE4628" w:rsidR="00E349CE" w:rsidRPr="00506392" w:rsidRDefault="0020072B" w:rsidP="00F276FE">
            <w:pPr>
              <w:pStyle w:val="TableText"/>
              <w:keepNext/>
              <w:widowControl/>
              <w:jc w:val="center"/>
            </w:pPr>
            <w:r w:rsidRPr="0020072B">
              <w:rPr>
                <w:color w:val="000000"/>
                <w:shd w:val="solid" w:color="000000" w:fill="000000"/>
                <w14:textFill>
                  <w14:solidFill>
                    <w14:srgbClr w14:val="000000">
                      <w14:alpha w14:val="100000"/>
                    </w14:srgbClr>
                  </w14:solidFill>
                </w14:textFill>
              </w:rPr>
              <w:t>|</w:t>
            </w:r>
            <w:r w:rsidR="00E349CE" w:rsidRPr="00506392">
              <w:t>%</w:t>
            </w:r>
          </w:p>
          <w:p w14:paraId="15F00049" w14:textId="77777777" w:rsidR="00115840" w:rsidRPr="00506392" w:rsidRDefault="00115840" w:rsidP="00F276FE">
            <w:pPr>
              <w:pStyle w:val="TableText"/>
              <w:keepNext/>
              <w:widowControl/>
              <w:jc w:val="center"/>
            </w:pPr>
          </w:p>
          <w:p w14:paraId="2CC132C1" w14:textId="2052C477" w:rsidR="00E349CE" w:rsidRPr="00506392" w:rsidRDefault="00C84531" w:rsidP="00F276FE">
            <w:pPr>
              <w:pStyle w:val="TableText"/>
              <w:keepNext/>
              <w:widowControl/>
              <w:jc w:val="center"/>
            </w:pPr>
            <w:r w:rsidRPr="00506392">
              <w:t>(</w:t>
            </w:r>
            <w:r w:rsidR="00E349CE" w:rsidRPr="00506392">
              <w:t xml:space="preserve">Yr 1: </w:t>
            </w:r>
            <w:r w:rsidR="00AF3C7B" w:rsidRPr="001338E4">
              <w:rPr>
                <w:color w:val="000000"/>
                <w:spacing w:val="70"/>
                <w:shd w:val="solid" w:color="000000" w:fill="000000"/>
                <w:fitText w:val="156" w:id="-629961981"/>
                <w14:textFill>
                  <w14:solidFill>
                    <w14:srgbClr w14:val="000000">
                      <w14:alpha w14:val="100000"/>
                    </w14:srgbClr>
                  </w14:solidFill>
                </w14:textFill>
              </w:rPr>
              <w:t>|</w:t>
            </w:r>
            <w:r w:rsidR="00AF3C7B" w:rsidRPr="001338E4">
              <w:rPr>
                <w:color w:val="000000"/>
                <w:spacing w:val="1"/>
                <w:shd w:val="solid" w:color="000000" w:fill="000000"/>
                <w:fitText w:val="156" w:id="-629961981"/>
                <w14:textFill>
                  <w14:solidFill>
                    <w14:srgbClr w14:val="000000">
                      <w14:alpha w14:val="100000"/>
                    </w14:srgbClr>
                  </w14:solidFill>
                </w14:textFill>
              </w:rPr>
              <w:t>|</w:t>
            </w:r>
            <w:r w:rsidR="00537649" w:rsidRPr="00737598">
              <w:rPr>
                <w:vertAlign w:val="superscript"/>
              </w:rPr>
              <w:t>1</w:t>
            </w:r>
            <w:r w:rsidRPr="00506392">
              <w:t>)</w:t>
            </w:r>
          </w:p>
        </w:tc>
        <w:tc>
          <w:tcPr>
            <w:tcW w:w="5781" w:type="dxa"/>
          </w:tcPr>
          <w:p w14:paraId="0AC4D129" w14:textId="36D9533C" w:rsidR="00E349CE" w:rsidRPr="00506392" w:rsidRDefault="00E349CE" w:rsidP="00F276FE">
            <w:pPr>
              <w:pStyle w:val="TableText"/>
              <w:keepNext/>
              <w:widowControl/>
              <w:spacing w:after="120"/>
            </w:pPr>
            <w:r w:rsidRPr="00506392">
              <w:rPr>
                <w:rFonts w:cs="Arial"/>
                <w:color w:val="000000"/>
                <w:szCs w:val="20"/>
              </w:rPr>
              <w:t xml:space="preserve">Assumption. </w:t>
            </w:r>
            <w:r w:rsidR="00E848CA" w:rsidRPr="00506392">
              <w:rPr>
                <w:rFonts w:cs="Arial"/>
                <w:color w:val="000000"/>
                <w:szCs w:val="20"/>
              </w:rPr>
              <w:t xml:space="preserve">The Commentary and DUSC considered this was </w:t>
            </w:r>
            <w:r w:rsidR="00E848CA" w:rsidRPr="00506392">
              <w:t>r</w:t>
            </w:r>
            <w:r w:rsidRPr="00506392">
              <w:t xml:space="preserve">easonable given that </w:t>
            </w:r>
            <w:r w:rsidRPr="00506392">
              <w:rPr>
                <w:rFonts w:cs="Arial"/>
                <w:color w:val="000000"/>
                <w:szCs w:val="20"/>
              </w:rPr>
              <w:t>FRα expression</w:t>
            </w:r>
            <w:r w:rsidRPr="00506392">
              <w:t xml:space="preserve"> testing is required to determine eligibility for treatment with MIRV, which has demonstrated superior efficacy compared to current SOC.</w:t>
            </w:r>
          </w:p>
        </w:tc>
      </w:tr>
      <w:tr w:rsidR="00115840" w:rsidRPr="00EF2E8A" w14:paraId="27B32C8C" w14:textId="77777777" w:rsidTr="006B3757">
        <w:trPr>
          <w:trHeight w:val="20"/>
        </w:trPr>
        <w:tc>
          <w:tcPr>
            <w:tcW w:w="1675" w:type="dxa"/>
            <w:hideMark/>
          </w:tcPr>
          <w:p w14:paraId="6F9C1663" w14:textId="77777777" w:rsidR="00115840" w:rsidRPr="00115840" w:rsidRDefault="00115840" w:rsidP="00F276FE">
            <w:pPr>
              <w:pStyle w:val="TableText"/>
              <w:keepNext/>
              <w:widowControl/>
            </w:pPr>
            <w:r w:rsidRPr="00115840">
              <w:t>% incident cases initiating 2nd/3</w:t>
            </w:r>
            <w:r w:rsidRPr="00115840">
              <w:rPr>
                <w:vertAlign w:val="superscript"/>
              </w:rPr>
              <w:t>rd</w:t>
            </w:r>
            <w:r w:rsidRPr="00115840">
              <w:t>/4</w:t>
            </w:r>
            <w:r w:rsidRPr="00115840">
              <w:rPr>
                <w:vertAlign w:val="superscript"/>
              </w:rPr>
              <w:t>th</w:t>
            </w:r>
            <w:r w:rsidRPr="00115840">
              <w:t xml:space="preserve"> line treatment</w:t>
            </w:r>
          </w:p>
        </w:tc>
        <w:tc>
          <w:tcPr>
            <w:tcW w:w="1560" w:type="dxa"/>
          </w:tcPr>
          <w:p w14:paraId="4150617B" w14:textId="77777777" w:rsidR="00115840" w:rsidRPr="00115840" w:rsidRDefault="00115840" w:rsidP="00F276FE">
            <w:pPr>
              <w:pStyle w:val="TableText"/>
              <w:keepNext/>
              <w:widowControl/>
              <w:jc w:val="center"/>
            </w:pPr>
            <w:r w:rsidRPr="00115840">
              <w:t>2</w:t>
            </w:r>
            <w:r w:rsidRPr="00115840">
              <w:rPr>
                <w:vertAlign w:val="superscript"/>
              </w:rPr>
              <w:t>nd</w:t>
            </w:r>
            <w:r w:rsidRPr="00115840">
              <w:t xml:space="preserve"> line: 64.1%</w:t>
            </w:r>
          </w:p>
          <w:p w14:paraId="43B87BEF" w14:textId="77777777" w:rsidR="00115840" w:rsidRPr="00115840" w:rsidRDefault="00115840" w:rsidP="00F276FE">
            <w:pPr>
              <w:pStyle w:val="TableText"/>
              <w:keepNext/>
              <w:widowControl/>
              <w:jc w:val="center"/>
            </w:pPr>
            <w:r w:rsidRPr="00115840">
              <w:t>3</w:t>
            </w:r>
            <w:r w:rsidRPr="00115840">
              <w:rPr>
                <w:vertAlign w:val="superscript"/>
              </w:rPr>
              <w:t>rd</w:t>
            </w:r>
            <w:r w:rsidRPr="00115840">
              <w:t xml:space="preserve"> line: 44.6%</w:t>
            </w:r>
          </w:p>
          <w:p w14:paraId="5B068BDD" w14:textId="77777777" w:rsidR="00115840" w:rsidRPr="00115840" w:rsidRDefault="00115840" w:rsidP="00F276FE">
            <w:pPr>
              <w:pStyle w:val="TableText"/>
              <w:keepNext/>
              <w:widowControl/>
              <w:jc w:val="center"/>
            </w:pPr>
            <w:r w:rsidRPr="00115840">
              <w:t>4</w:t>
            </w:r>
            <w:r w:rsidRPr="00115840">
              <w:rPr>
                <w:vertAlign w:val="superscript"/>
              </w:rPr>
              <w:t>th</w:t>
            </w:r>
            <w:r w:rsidRPr="00115840">
              <w:t xml:space="preserve"> line: 29.9%</w:t>
            </w:r>
          </w:p>
          <w:p w14:paraId="596BCB17" w14:textId="77777777" w:rsidR="00115840" w:rsidRDefault="00115840" w:rsidP="00F276FE">
            <w:pPr>
              <w:pStyle w:val="TableText"/>
              <w:keepNext/>
              <w:widowControl/>
              <w:jc w:val="center"/>
            </w:pPr>
          </w:p>
          <w:p w14:paraId="29BEA17C" w14:textId="21857FF0" w:rsidR="00115840" w:rsidRPr="00115840" w:rsidRDefault="00C84531" w:rsidP="00F276FE">
            <w:pPr>
              <w:pStyle w:val="TableText"/>
              <w:keepNext/>
              <w:widowControl/>
              <w:jc w:val="center"/>
            </w:pPr>
            <w:r>
              <w:t>(</w:t>
            </w:r>
            <w:r w:rsidR="00115840" w:rsidRPr="00115840">
              <w:t xml:space="preserve">Yr 1: </w:t>
            </w:r>
            <w:r w:rsidR="00AF3C7B" w:rsidRPr="001338E4">
              <w:rPr>
                <w:color w:val="000000"/>
                <w:spacing w:val="70"/>
                <w:shd w:val="solid" w:color="000000" w:fill="000000"/>
                <w:fitText w:val="156" w:id="-629961980"/>
                <w14:textFill>
                  <w14:solidFill>
                    <w14:srgbClr w14:val="000000">
                      <w14:alpha w14:val="100000"/>
                    </w14:srgbClr>
                  </w14:solidFill>
                </w14:textFill>
              </w:rPr>
              <w:t>|</w:t>
            </w:r>
            <w:r w:rsidR="00AF3C7B" w:rsidRPr="001338E4">
              <w:rPr>
                <w:color w:val="000000"/>
                <w:spacing w:val="1"/>
                <w:shd w:val="solid" w:color="000000" w:fill="000000"/>
                <w:fitText w:val="156" w:id="-629961980"/>
                <w14:textFill>
                  <w14:solidFill>
                    <w14:srgbClr w14:val="000000">
                      <w14:alpha w14:val="100000"/>
                    </w14:srgbClr>
                  </w14:solidFill>
                </w14:textFill>
              </w:rPr>
              <w:t>|</w:t>
            </w:r>
            <w:r w:rsidR="00537649" w:rsidRPr="00737598">
              <w:rPr>
                <w:vertAlign w:val="superscript"/>
              </w:rPr>
              <w:t>1</w:t>
            </w:r>
            <w:r>
              <w:t>)</w:t>
            </w:r>
          </w:p>
        </w:tc>
        <w:tc>
          <w:tcPr>
            <w:tcW w:w="5781" w:type="dxa"/>
          </w:tcPr>
          <w:p w14:paraId="1145D93B" w14:textId="77777777" w:rsidR="00115840" w:rsidRPr="001F4999" w:rsidRDefault="00115840" w:rsidP="00F276FE">
            <w:pPr>
              <w:pStyle w:val="TableText"/>
              <w:keepNext/>
              <w:widowControl/>
              <w:spacing w:after="120"/>
              <w:rPr>
                <w:szCs w:val="20"/>
              </w:rPr>
            </w:pPr>
            <w:r w:rsidRPr="00115840">
              <w:rPr>
                <w:szCs w:val="20"/>
              </w:rPr>
              <w:t xml:space="preserve">Sourced from Beachler et al (2020). This was a cohort study of 12,569 </w:t>
            </w:r>
            <w:r w:rsidRPr="001F4999">
              <w:rPr>
                <w:szCs w:val="20"/>
              </w:rPr>
              <w:t xml:space="preserve">patients with advanced stage ovarian cancer in the US between 2010 to 2018. </w:t>
            </w:r>
          </w:p>
          <w:p w14:paraId="2FC15A55" w14:textId="5A047310" w:rsidR="003071A3" w:rsidRPr="00115840" w:rsidRDefault="003071A3" w:rsidP="00F276FE">
            <w:pPr>
              <w:keepNext/>
              <w:spacing w:before="0" w:after="120"/>
              <w:rPr>
                <w:rFonts w:ascii="Arial Narrow" w:hAnsi="Arial Narrow"/>
                <w:sz w:val="20"/>
                <w:szCs w:val="20"/>
              </w:rPr>
            </w:pPr>
            <w:r w:rsidRPr="003071A3">
              <w:rPr>
                <w:rFonts w:ascii="Arial Narrow" w:hAnsi="Arial Narrow"/>
                <w:sz w:val="20"/>
                <w:szCs w:val="20"/>
              </w:rPr>
              <w:t>DUSC considered this to be uncertain but reasonable</w:t>
            </w:r>
            <w:r w:rsidR="006568F0" w:rsidRPr="001F4999">
              <w:rPr>
                <w:rFonts w:ascii="Arial Narrow" w:hAnsi="Arial Narrow"/>
                <w:sz w:val="20"/>
                <w:szCs w:val="20"/>
              </w:rPr>
              <w:t xml:space="preserve">, noting </w:t>
            </w:r>
            <w:r w:rsidRPr="003071A3">
              <w:rPr>
                <w:rFonts w:ascii="Arial Narrow" w:hAnsi="Arial Narrow"/>
                <w:sz w:val="20"/>
                <w:szCs w:val="20"/>
              </w:rPr>
              <w:t>the study includes all ovarian cancers not delineated by epithelial histopathology.</w:t>
            </w:r>
          </w:p>
        </w:tc>
      </w:tr>
      <w:tr w:rsidR="002E3B17" w:rsidRPr="00EF2E8A" w14:paraId="040FF16B" w14:textId="77777777" w:rsidTr="006B3757">
        <w:trPr>
          <w:trHeight w:val="20"/>
        </w:trPr>
        <w:tc>
          <w:tcPr>
            <w:tcW w:w="1675" w:type="dxa"/>
            <w:hideMark/>
          </w:tcPr>
          <w:p w14:paraId="1FC0BD25" w14:textId="13D9EC20" w:rsidR="002E3B17" w:rsidRPr="002E3B17" w:rsidRDefault="002E3B17" w:rsidP="00F276FE">
            <w:pPr>
              <w:pStyle w:val="TableText"/>
              <w:keepNext/>
              <w:widowControl/>
            </w:pPr>
            <w:r w:rsidRPr="002E3B17">
              <w:rPr>
                <w:rFonts w:cs="Arial"/>
                <w:color w:val="000000"/>
                <w:szCs w:val="20"/>
              </w:rPr>
              <w:t>% 2</w:t>
            </w:r>
            <w:r w:rsidRPr="002E3B17">
              <w:rPr>
                <w:rFonts w:cs="Arial"/>
                <w:color w:val="000000"/>
                <w:szCs w:val="20"/>
                <w:vertAlign w:val="superscript"/>
              </w:rPr>
              <w:t>nd</w:t>
            </w:r>
            <w:r w:rsidRPr="002E3B17">
              <w:rPr>
                <w:rFonts w:cs="Arial"/>
                <w:color w:val="000000"/>
                <w:szCs w:val="20"/>
              </w:rPr>
              <w:t>/3</w:t>
            </w:r>
            <w:r w:rsidRPr="002E3B17">
              <w:rPr>
                <w:rFonts w:cs="Arial"/>
                <w:color w:val="000000"/>
                <w:szCs w:val="20"/>
                <w:vertAlign w:val="superscript"/>
              </w:rPr>
              <w:t>rd</w:t>
            </w:r>
            <w:r w:rsidRPr="002E3B17">
              <w:rPr>
                <w:rFonts w:cs="Arial"/>
                <w:color w:val="000000"/>
                <w:szCs w:val="20"/>
              </w:rPr>
              <w:t>/4</w:t>
            </w:r>
            <w:r w:rsidRPr="002E3B17">
              <w:rPr>
                <w:rFonts w:cs="Arial"/>
                <w:color w:val="000000"/>
                <w:szCs w:val="20"/>
                <w:vertAlign w:val="superscript"/>
              </w:rPr>
              <w:t>th</w:t>
            </w:r>
            <w:r w:rsidRPr="002E3B17">
              <w:rPr>
                <w:rFonts w:cs="Arial"/>
                <w:color w:val="000000"/>
                <w:szCs w:val="20"/>
              </w:rPr>
              <w:t xml:space="preserve"> line treated with non</w:t>
            </w:r>
            <w:r w:rsidR="00A46D2B">
              <w:rPr>
                <w:rFonts w:cs="Arial"/>
                <w:color w:val="000000"/>
                <w:szCs w:val="20"/>
              </w:rPr>
              <w:noBreakHyphen/>
            </w:r>
            <w:r w:rsidRPr="002E3B17">
              <w:rPr>
                <w:rFonts w:cs="Arial"/>
                <w:color w:val="000000"/>
                <w:szCs w:val="20"/>
              </w:rPr>
              <w:t>platinum treatment (platinum</w:t>
            </w:r>
            <w:r w:rsidR="00A46D2B">
              <w:rPr>
                <w:rFonts w:cs="Arial"/>
                <w:color w:val="000000"/>
                <w:szCs w:val="20"/>
              </w:rPr>
              <w:noBreakHyphen/>
            </w:r>
            <w:r w:rsidRPr="002E3B17">
              <w:rPr>
                <w:rFonts w:cs="Arial"/>
                <w:color w:val="000000"/>
                <w:szCs w:val="20"/>
              </w:rPr>
              <w:t>resistant)</w:t>
            </w:r>
          </w:p>
        </w:tc>
        <w:tc>
          <w:tcPr>
            <w:tcW w:w="1560" w:type="dxa"/>
          </w:tcPr>
          <w:p w14:paraId="6709AB83" w14:textId="77777777" w:rsidR="002E3B17" w:rsidRPr="002E3B17" w:rsidRDefault="002E3B17" w:rsidP="00F276FE">
            <w:pPr>
              <w:pStyle w:val="TableText"/>
              <w:keepNext/>
              <w:widowControl/>
              <w:jc w:val="center"/>
            </w:pPr>
            <w:r w:rsidRPr="002E3B17">
              <w:t>2</w:t>
            </w:r>
            <w:r w:rsidRPr="002E3B17">
              <w:rPr>
                <w:vertAlign w:val="superscript"/>
              </w:rPr>
              <w:t>nd</w:t>
            </w:r>
            <w:r w:rsidRPr="002E3B17">
              <w:t xml:space="preserve"> line: 37%</w:t>
            </w:r>
          </w:p>
          <w:p w14:paraId="7905C031" w14:textId="77777777" w:rsidR="002E3B17" w:rsidRPr="002E3B17" w:rsidRDefault="002E3B17" w:rsidP="00F276FE">
            <w:pPr>
              <w:pStyle w:val="TableText"/>
              <w:keepNext/>
              <w:widowControl/>
              <w:jc w:val="center"/>
            </w:pPr>
            <w:r w:rsidRPr="002E3B17">
              <w:t>3</w:t>
            </w:r>
            <w:r w:rsidRPr="002E3B17">
              <w:rPr>
                <w:vertAlign w:val="superscript"/>
              </w:rPr>
              <w:t>rd</w:t>
            </w:r>
            <w:r w:rsidRPr="002E3B17">
              <w:t xml:space="preserve"> line: 49%</w:t>
            </w:r>
          </w:p>
          <w:p w14:paraId="6D015A33" w14:textId="77777777" w:rsidR="002E3B17" w:rsidRPr="002E3B17" w:rsidRDefault="002E3B17" w:rsidP="00F276FE">
            <w:pPr>
              <w:pStyle w:val="TableText"/>
              <w:keepNext/>
              <w:widowControl/>
              <w:jc w:val="center"/>
            </w:pPr>
            <w:r w:rsidRPr="002E3B17">
              <w:t>4</w:t>
            </w:r>
            <w:r w:rsidRPr="002E3B17">
              <w:rPr>
                <w:vertAlign w:val="superscript"/>
              </w:rPr>
              <w:t>th</w:t>
            </w:r>
            <w:r w:rsidRPr="002E3B17">
              <w:t xml:space="preserve"> line: 57%</w:t>
            </w:r>
          </w:p>
          <w:p w14:paraId="47387B0D" w14:textId="77777777" w:rsidR="002E3B17" w:rsidRPr="002E3B17" w:rsidRDefault="002E3B17" w:rsidP="00F276FE">
            <w:pPr>
              <w:pStyle w:val="TableText"/>
              <w:keepNext/>
              <w:widowControl/>
              <w:jc w:val="center"/>
            </w:pPr>
          </w:p>
          <w:p w14:paraId="169B2288" w14:textId="7C0EB030" w:rsidR="002E3B17" w:rsidRPr="002E3B17" w:rsidRDefault="00C84531" w:rsidP="00F276FE">
            <w:pPr>
              <w:pStyle w:val="TableText"/>
              <w:keepNext/>
              <w:widowControl/>
              <w:jc w:val="center"/>
            </w:pPr>
            <w:r>
              <w:t>(</w:t>
            </w:r>
            <w:r w:rsidR="002E3B17" w:rsidRPr="002E3B17">
              <w:t xml:space="preserve">Yr 1: </w:t>
            </w:r>
            <w:r w:rsidR="00AF3C7B" w:rsidRPr="001338E4">
              <w:rPr>
                <w:color w:val="000000"/>
                <w:spacing w:val="70"/>
                <w:shd w:val="solid" w:color="000000" w:fill="000000"/>
                <w:fitText w:val="156" w:id="-629961979"/>
                <w14:textFill>
                  <w14:solidFill>
                    <w14:srgbClr w14:val="000000">
                      <w14:alpha w14:val="100000"/>
                    </w14:srgbClr>
                  </w14:solidFill>
                </w14:textFill>
              </w:rPr>
              <w:t>|</w:t>
            </w:r>
            <w:r w:rsidR="00AF3C7B" w:rsidRPr="001338E4">
              <w:rPr>
                <w:color w:val="000000"/>
                <w:spacing w:val="1"/>
                <w:shd w:val="solid" w:color="000000" w:fill="000000"/>
                <w:fitText w:val="156" w:id="-629961979"/>
                <w14:textFill>
                  <w14:solidFill>
                    <w14:srgbClr w14:val="000000">
                      <w14:alpha w14:val="100000"/>
                    </w14:srgbClr>
                  </w14:solidFill>
                </w14:textFill>
              </w:rPr>
              <w:t>|</w:t>
            </w:r>
            <w:r w:rsidR="00537649" w:rsidRPr="00737598">
              <w:rPr>
                <w:vertAlign w:val="superscript"/>
              </w:rPr>
              <w:t>1</w:t>
            </w:r>
            <w:r>
              <w:t>)</w:t>
            </w:r>
          </w:p>
        </w:tc>
        <w:tc>
          <w:tcPr>
            <w:tcW w:w="5781" w:type="dxa"/>
          </w:tcPr>
          <w:p w14:paraId="3B199F18" w14:textId="16D2C3AA" w:rsidR="001A3CD9" w:rsidRPr="00557557" w:rsidRDefault="002E3B17" w:rsidP="00F276FE">
            <w:pPr>
              <w:pStyle w:val="TableText"/>
              <w:keepNext/>
              <w:widowControl/>
              <w:spacing w:after="120"/>
            </w:pPr>
            <w:r w:rsidRPr="00557557">
              <w:t>Houben et al (2017). This was a cohort study of 261 patients from the Netherlands diagnosed with ovarian cancer and reports the proportion of patients at each line treated with non</w:t>
            </w:r>
            <w:r w:rsidR="00A46D2B">
              <w:noBreakHyphen/>
            </w:r>
            <w:r w:rsidRPr="00557557">
              <w:t xml:space="preserve">platinum chemotherapy (used by the submission as a proxy for platinum resistance). Subsequent treatment lines were defined based on the administration of a different type of agent or different combination of agents than was initially started with, OR an interval of more than 42 days between the start date of a treatment cycle and the start date of the following cycle. </w:t>
            </w:r>
          </w:p>
          <w:p w14:paraId="577AAA98" w14:textId="08F4B80C" w:rsidR="002E3B17" w:rsidRPr="00557557" w:rsidRDefault="002E3B17" w:rsidP="00F276FE">
            <w:pPr>
              <w:pStyle w:val="TableText"/>
              <w:keepNext/>
              <w:widowControl/>
              <w:spacing w:after="120"/>
            </w:pPr>
            <w:r w:rsidRPr="00557557">
              <w:t>Th</w:t>
            </w:r>
            <w:r w:rsidR="00103D91" w:rsidRPr="00557557">
              <w:t xml:space="preserve">e study includes </w:t>
            </w:r>
            <w:r w:rsidR="00DB363F" w:rsidRPr="00557557">
              <w:t>patients defined by the submission as ‘</w:t>
            </w:r>
            <w:r w:rsidRPr="00557557">
              <w:t>platinum</w:t>
            </w:r>
            <w:r w:rsidR="00A46D2B">
              <w:noBreakHyphen/>
            </w:r>
            <w:r w:rsidRPr="00557557">
              <w:t>refractory</w:t>
            </w:r>
            <w:r w:rsidR="00DB363F" w:rsidRPr="00557557">
              <w:t>’</w:t>
            </w:r>
            <w:r w:rsidRPr="00557557">
              <w:t xml:space="preserve"> (platinum</w:t>
            </w:r>
            <w:r w:rsidR="00A46D2B">
              <w:noBreakHyphen/>
            </w:r>
            <w:r w:rsidRPr="00557557">
              <w:t>free interval of less than 3 months). The median time between treatment lines was 3 months for both the 1</w:t>
            </w:r>
            <w:r w:rsidRPr="00557557">
              <w:rPr>
                <w:vertAlign w:val="superscript"/>
              </w:rPr>
              <w:t>st</w:t>
            </w:r>
            <w:r w:rsidR="00A46D2B">
              <w:noBreakHyphen/>
            </w:r>
            <w:r w:rsidRPr="00557557">
              <w:t>2</w:t>
            </w:r>
            <w:r w:rsidRPr="00557557">
              <w:rPr>
                <w:vertAlign w:val="superscript"/>
              </w:rPr>
              <w:t>nd</w:t>
            </w:r>
            <w:r w:rsidRPr="00557557">
              <w:t xml:space="preserve"> line and 2</w:t>
            </w:r>
            <w:r w:rsidRPr="00557557">
              <w:rPr>
                <w:vertAlign w:val="superscript"/>
              </w:rPr>
              <w:t>nd</w:t>
            </w:r>
            <w:r w:rsidR="00A46D2B">
              <w:noBreakHyphen/>
            </w:r>
            <w:r w:rsidRPr="00557557">
              <w:t>3</w:t>
            </w:r>
            <w:r w:rsidRPr="00557557">
              <w:rPr>
                <w:vertAlign w:val="superscript"/>
              </w:rPr>
              <w:t>rd</w:t>
            </w:r>
            <w:r w:rsidRPr="00557557">
              <w:t xml:space="preserve"> line intervals and 1 month between the 3</w:t>
            </w:r>
            <w:r w:rsidRPr="00557557">
              <w:rPr>
                <w:vertAlign w:val="superscript"/>
              </w:rPr>
              <w:t>rd</w:t>
            </w:r>
            <w:r w:rsidR="00A46D2B">
              <w:noBreakHyphen/>
            </w:r>
            <w:r w:rsidRPr="00557557">
              <w:t>4</w:t>
            </w:r>
            <w:r w:rsidRPr="00557557">
              <w:rPr>
                <w:vertAlign w:val="superscript"/>
              </w:rPr>
              <w:t>th</w:t>
            </w:r>
            <w:r w:rsidRPr="00557557">
              <w:t xml:space="preserve"> lines.</w:t>
            </w:r>
          </w:p>
          <w:p w14:paraId="58886823" w14:textId="1481B97A" w:rsidR="002E3B17" w:rsidRPr="00557557" w:rsidRDefault="002E3B17" w:rsidP="00F276FE">
            <w:pPr>
              <w:pStyle w:val="TableText"/>
              <w:keepNext/>
              <w:widowControl/>
              <w:spacing w:after="120"/>
            </w:pPr>
            <w:r w:rsidRPr="002E3B17">
              <w:t>DUSC considered this to be an overestimate</w:t>
            </w:r>
            <w:r w:rsidR="007321E6" w:rsidRPr="00557557">
              <w:t xml:space="preserve">, noting </w:t>
            </w:r>
            <w:r w:rsidRPr="002E3B17">
              <w:t xml:space="preserve">the study includes all ovarian carcinomas. </w:t>
            </w:r>
          </w:p>
        </w:tc>
      </w:tr>
      <w:tr w:rsidR="00557557" w:rsidRPr="00EF2E8A" w14:paraId="75EBA224" w14:textId="77777777" w:rsidTr="006B3757">
        <w:trPr>
          <w:cantSplit/>
          <w:trHeight w:val="20"/>
        </w:trPr>
        <w:tc>
          <w:tcPr>
            <w:tcW w:w="1675" w:type="dxa"/>
          </w:tcPr>
          <w:p w14:paraId="72AD3C28" w14:textId="77777777" w:rsidR="00557557" w:rsidRPr="00557557" w:rsidRDefault="00557557" w:rsidP="00F276FE">
            <w:pPr>
              <w:pStyle w:val="TableText"/>
              <w:keepNext/>
              <w:widowControl/>
            </w:pPr>
            <w:r w:rsidRPr="00557557">
              <w:rPr>
                <w:szCs w:val="20"/>
              </w:rPr>
              <w:t xml:space="preserve">% of cases with FRα testing requested (test uptake rate) – at platinum resistance </w:t>
            </w:r>
          </w:p>
        </w:tc>
        <w:tc>
          <w:tcPr>
            <w:tcW w:w="1560" w:type="dxa"/>
          </w:tcPr>
          <w:p w14:paraId="7272AAE0" w14:textId="63C3BFED" w:rsidR="00557557" w:rsidRPr="00557557" w:rsidRDefault="0020072B" w:rsidP="00F276FE">
            <w:pPr>
              <w:pStyle w:val="TableText"/>
              <w:keepNext/>
              <w:widowControl/>
              <w:jc w:val="center"/>
            </w:pPr>
            <w:r w:rsidRPr="0020072B">
              <w:rPr>
                <w:color w:val="000000"/>
                <w:shd w:val="solid" w:color="000000" w:fill="000000"/>
                <w14:textFill>
                  <w14:solidFill>
                    <w14:srgbClr w14:val="000000">
                      <w14:alpha w14:val="100000"/>
                    </w14:srgbClr>
                  </w14:solidFill>
                </w14:textFill>
              </w:rPr>
              <w:t>|</w:t>
            </w:r>
            <w:r w:rsidR="00557557" w:rsidRPr="00557557">
              <w:t>%</w:t>
            </w:r>
          </w:p>
          <w:p w14:paraId="447E7149" w14:textId="77777777" w:rsidR="00557557" w:rsidRPr="00557557" w:rsidRDefault="00557557" w:rsidP="00F276FE">
            <w:pPr>
              <w:pStyle w:val="TableText"/>
              <w:keepNext/>
              <w:widowControl/>
              <w:jc w:val="center"/>
            </w:pPr>
          </w:p>
          <w:p w14:paraId="75080C25" w14:textId="7E27ED05" w:rsidR="00557557" w:rsidRPr="00557557" w:rsidRDefault="00C84531" w:rsidP="00F276FE">
            <w:pPr>
              <w:pStyle w:val="TableText"/>
              <w:keepNext/>
              <w:widowControl/>
              <w:jc w:val="center"/>
            </w:pPr>
            <w:r>
              <w:t>(</w:t>
            </w:r>
            <w:r w:rsidR="00557557" w:rsidRPr="00557557">
              <w:t xml:space="preserve">Yr 1: </w:t>
            </w:r>
            <w:r w:rsidR="00AF3C7B" w:rsidRPr="001338E4">
              <w:rPr>
                <w:color w:val="000000"/>
                <w:spacing w:val="70"/>
                <w:shd w:val="solid" w:color="000000" w:fill="000000"/>
                <w:fitText w:val="156" w:id="-629961978"/>
                <w14:textFill>
                  <w14:solidFill>
                    <w14:srgbClr w14:val="000000">
                      <w14:alpha w14:val="100000"/>
                    </w14:srgbClr>
                  </w14:solidFill>
                </w14:textFill>
              </w:rPr>
              <w:t>|</w:t>
            </w:r>
            <w:r w:rsidR="00AF3C7B" w:rsidRPr="001338E4">
              <w:rPr>
                <w:color w:val="000000"/>
                <w:spacing w:val="1"/>
                <w:shd w:val="solid" w:color="000000" w:fill="000000"/>
                <w:fitText w:val="156" w:id="-629961978"/>
                <w14:textFill>
                  <w14:solidFill>
                    <w14:srgbClr w14:val="000000">
                      <w14:alpha w14:val="100000"/>
                    </w14:srgbClr>
                  </w14:solidFill>
                </w14:textFill>
              </w:rPr>
              <w:t>|</w:t>
            </w:r>
            <w:r w:rsidR="00537649" w:rsidRPr="00737598">
              <w:rPr>
                <w:vertAlign w:val="superscript"/>
              </w:rPr>
              <w:t>1</w:t>
            </w:r>
            <w:r>
              <w:t>)</w:t>
            </w:r>
          </w:p>
        </w:tc>
        <w:tc>
          <w:tcPr>
            <w:tcW w:w="5781" w:type="dxa"/>
            <w:noWrap/>
          </w:tcPr>
          <w:p w14:paraId="1AC5F157" w14:textId="77777777" w:rsidR="00557557" w:rsidRPr="00557557" w:rsidRDefault="00557557" w:rsidP="00F276FE">
            <w:pPr>
              <w:pStyle w:val="TableText"/>
              <w:keepNext/>
              <w:widowControl/>
              <w:spacing w:after="120"/>
              <w:rPr>
                <w:rFonts w:cs="Arial"/>
                <w:color w:val="000000"/>
                <w:szCs w:val="20"/>
              </w:rPr>
            </w:pPr>
            <w:r w:rsidRPr="00557557">
              <w:rPr>
                <w:rFonts w:cs="Arial"/>
                <w:color w:val="000000"/>
                <w:szCs w:val="20"/>
              </w:rPr>
              <w:t xml:space="preserve">Assumption. </w:t>
            </w:r>
          </w:p>
          <w:p w14:paraId="50C6CE78" w14:textId="0BD9721D" w:rsidR="00557557" w:rsidRPr="00557557" w:rsidRDefault="00C406C8" w:rsidP="00F276FE">
            <w:pPr>
              <w:pStyle w:val="TableText"/>
              <w:keepNext/>
              <w:widowControl/>
              <w:spacing w:after="120"/>
            </w:pPr>
            <w:r>
              <w:t>The evaluation and DUSC considered this was r</w:t>
            </w:r>
            <w:r w:rsidR="00557557" w:rsidRPr="00557557">
              <w:t xml:space="preserve">easonable given that </w:t>
            </w:r>
            <w:proofErr w:type="spellStart"/>
            <w:r w:rsidR="00557557" w:rsidRPr="00557557">
              <w:rPr>
                <w:rFonts w:cs="Arial"/>
                <w:color w:val="000000"/>
                <w:szCs w:val="20"/>
              </w:rPr>
              <w:t>FRa</w:t>
            </w:r>
            <w:proofErr w:type="spellEnd"/>
            <w:r w:rsidR="00557557" w:rsidRPr="00557557">
              <w:rPr>
                <w:rFonts w:cs="Arial"/>
                <w:color w:val="000000"/>
                <w:szCs w:val="20"/>
              </w:rPr>
              <w:t xml:space="preserve"> expression</w:t>
            </w:r>
            <w:r w:rsidR="00557557" w:rsidRPr="00557557">
              <w:t xml:space="preserve"> testing is required to determine eligibility for treatment with MIRV, which has demonstrated superior efficacy compared to current SOC.</w:t>
            </w:r>
          </w:p>
        </w:tc>
      </w:tr>
      <w:tr w:rsidR="00492908" w:rsidRPr="00EF2E8A" w14:paraId="3237D0AA" w14:textId="77777777" w:rsidTr="006B3757">
        <w:trPr>
          <w:trHeight w:val="20"/>
        </w:trPr>
        <w:tc>
          <w:tcPr>
            <w:tcW w:w="1675" w:type="dxa"/>
          </w:tcPr>
          <w:p w14:paraId="6BB82308" w14:textId="59B58572" w:rsidR="00492908" w:rsidRPr="005A0DF3" w:rsidRDefault="00492908" w:rsidP="00F276FE">
            <w:pPr>
              <w:pStyle w:val="TableText"/>
              <w:keepNext/>
              <w:widowControl/>
              <w:rPr>
                <w:szCs w:val="20"/>
              </w:rPr>
            </w:pPr>
            <w:r w:rsidRPr="005A0DF3">
              <w:rPr>
                <w:szCs w:val="20"/>
              </w:rPr>
              <w:t>% cases FRα</w:t>
            </w:r>
            <w:r w:rsidR="00A46D2B">
              <w:rPr>
                <w:szCs w:val="20"/>
              </w:rPr>
              <w:noBreakHyphen/>
            </w:r>
            <w:r w:rsidRPr="005A0DF3">
              <w:rPr>
                <w:szCs w:val="20"/>
              </w:rPr>
              <w:t>high tumour cell expression (≥75% tumour cells with ≥ staining intensity) (Prevalence of biomarker)</w:t>
            </w:r>
          </w:p>
        </w:tc>
        <w:tc>
          <w:tcPr>
            <w:tcW w:w="1560" w:type="dxa"/>
          </w:tcPr>
          <w:p w14:paraId="7CAD8476" w14:textId="77777777" w:rsidR="00492908" w:rsidRPr="00F277AE" w:rsidRDefault="00492908" w:rsidP="00F276FE">
            <w:pPr>
              <w:pStyle w:val="TableText"/>
              <w:keepNext/>
              <w:widowControl/>
              <w:jc w:val="center"/>
            </w:pPr>
            <w:r w:rsidRPr="00F277AE">
              <w:t>36%</w:t>
            </w:r>
          </w:p>
          <w:p w14:paraId="49C6B959" w14:textId="77777777" w:rsidR="00492908" w:rsidRPr="00F277AE" w:rsidRDefault="00492908" w:rsidP="00F276FE">
            <w:pPr>
              <w:pStyle w:val="TableText"/>
              <w:keepNext/>
              <w:widowControl/>
              <w:jc w:val="center"/>
            </w:pPr>
          </w:p>
          <w:p w14:paraId="29423371" w14:textId="77107689" w:rsidR="00492908" w:rsidRPr="00F277AE" w:rsidRDefault="00C84531" w:rsidP="00F276FE">
            <w:pPr>
              <w:pStyle w:val="TableText"/>
              <w:keepNext/>
              <w:widowControl/>
              <w:jc w:val="center"/>
            </w:pPr>
            <w:r w:rsidRPr="00F277AE">
              <w:t>(</w:t>
            </w:r>
            <w:r w:rsidR="00492908" w:rsidRPr="00F277AE">
              <w:t xml:space="preserve">Yr 1: </w:t>
            </w:r>
            <w:r w:rsidR="00AF3C7B" w:rsidRPr="001338E4">
              <w:rPr>
                <w:color w:val="000000"/>
                <w:spacing w:val="70"/>
                <w:shd w:val="solid" w:color="000000" w:fill="000000"/>
                <w:fitText w:val="156" w:id="-629961977"/>
                <w14:textFill>
                  <w14:solidFill>
                    <w14:srgbClr w14:val="000000">
                      <w14:alpha w14:val="100000"/>
                    </w14:srgbClr>
                  </w14:solidFill>
                </w14:textFill>
              </w:rPr>
              <w:t>|</w:t>
            </w:r>
            <w:r w:rsidR="00AF3C7B" w:rsidRPr="001338E4">
              <w:rPr>
                <w:color w:val="000000"/>
                <w:spacing w:val="1"/>
                <w:shd w:val="solid" w:color="000000" w:fill="000000"/>
                <w:fitText w:val="156" w:id="-629961977"/>
                <w14:textFill>
                  <w14:solidFill>
                    <w14:srgbClr w14:val="000000">
                      <w14:alpha w14:val="100000"/>
                    </w14:srgbClr>
                  </w14:solidFill>
                </w14:textFill>
              </w:rPr>
              <w:t>|</w:t>
            </w:r>
            <w:r w:rsidR="00537649" w:rsidRPr="00537649">
              <w:rPr>
                <w:vertAlign w:val="superscript"/>
              </w:rPr>
              <w:t>2</w:t>
            </w:r>
            <w:r w:rsidRPr="00F277AE">
              <w:t>)</w:t>
            </w:r>
          </w:p>
        </w:tc>
        <w:tc>
          <w:tcPr>
            <w:tcW w:w="5781" w:type="dxa"/>
            <w:noWrap/>
          </w:tcPr>
          <w:p w14:paraId="19A173DA" w14:textId="77777777" w:rsidR="00492908" w:rsidRPr="00F277AE" w:rsidRDefault="00492908" w:rsidP="00F276FE">
            <w:pPr>
              <w:pStyle w:val="TableText"/>
              <w:keepNext/>
              <w:widowControl/>
              <w:spacing w:after="120"/>
            </w:pPr>
            <w:r w:rsidRPr="00F277AE">
              <w:t>Matulonis et al (2023). This was the prevalence of high FRα expression reported across the MIRV clinical development program.</w:t>
            </w:r>
          </w:p>
          <w:p w14:paraId="6BBC4F37" w14:textId="2F90E000" w:rsidR="005A0DF3" w:rsidRPr="00F277AE" w:rsidRDefault="005A0DF3" w:rsidP="00F276FE">
            <w:pPr>
              <w:pStyle w:val="TableText"/>
              <w:keepNext/>
              <w:widowControl/>
              <w:spacing w:after="120"/>
            </w:pPr>
            <w:r w:rsidRPr="00F277AE">
              <w:t>T</w:t>
            </w:r>
            <w:r w:rsidR="007849B8">
              <w:t xml:space="preserve">he </w:t>
            </w:r>
            <w:r w:rsidR="00DC6AA1">
              <w:t>evaluation</w:t>
            </w:r>
            <w:r w:rsidR="007849B8">
              <w:t xml:space="preserve"> and DUSC considered t</w:t>
            </w:r>
            <w:r w:rsidRPr="00F277AE">
              <w:t xml:space="preserve">his was reasonable. </w:t>
            </w:r>
          </w:p>
        </w:tc>
      </w:tr>
      <w:tr w:rsidR="00C74754" w:rsidRPr="00EF2E8A" w14:paraId="452E9D7F" w14:textId="77777777" w:rsidTr="006B3757">
        <w:trPr>
          <w:trHeight w:val="20"/>
        </w:trPr>
        <w:tc>
          <w:tcPr>
            <w:tcW w:w="1675" w:type="dxa"/>
          </w:tcPr>
          <w:p w14:paraId="2C9F6602" w14:textId="0A22302C" w:rsidR="00C74754" w:rsidRPr="005A0DF3" w:rsidRDefault="00C74754" w:rsidP="00F276FE">
            <w:pPr>
              <w:pStyle w:val="TableText"/>
              <w:keepNext/>
              <w:widowControl/>
              <w:rPr>
                <w:szCs w:val="20"/>
              </w:rPr>
            </w:pPr>
            <w:r>
              <w:rPr>
                <w:szCs w:val="20"/>
              </w:rPr>
              <w:lastRenderedPageBreak/>
              <w:t>Total eligible patients</w:t>
            </w:r>
          </w:p>
        </w:tc>
        <w:tc>
          <w:tcPr>
            <w:tcW w:w="1560" w:type="dxa"/>
          </w:tcPr>
          <w:p w14:paraId="5C9EC640" w14:textId="0EB5571D" w:rsidR="00C74754" w:rsidRPr="00C74754" w:rsidRDefault="00C74754" w:rsidP="00F276FE">
            <w:pPr>
              <w:pStyle w:val="TableText"/>
              <w:keepNext/>
              <w:widowControl/>
              <w:jc w:val="center"/>
              <w:rPr>
                <w:szCs w:val="20"/>
              </w:rPr>
            </w:pPr>
            <w:r w:rsidRPr="00C74754">
              <w:rPr>
                <w:szCs w:val="20"/>
              </w:rPr>
              <w:t xml:space="preserve">Yr 1: </w:t>
            </w:r>
            <w:r w:rsidR="00AF3C7B" w:rsidRPr="00AF3C7B">
              <w:rPr>
                <w:rFonts w:hint="eastAsia"/>
                <w:color w:val="000000"/>
                <w:w w:val="21"/>
                <w:szCs w:val="20"/>
                <w:shd w:val="solid" w:color="000000" w:fill="000000"/>
                <w:fitText w:val="96" w:id="-629961976"/>
                <w14:textFill>
                  <w14:solidFill>
                    <w14:srgbClr w14:val="000000">
                      <w14:alpha w14:val="100000"/>
                    </w14:srgbClr>
                  </w14:solidFill>
                </w14:textFill>
              </w:rPr>
              <w:t xml:space="preserve">　</w:t>
            </w:r>
            <w:r w:rsidR="00AF3C7B" w:rsidRPr="00AF3C7B">
              <w:rPr>
                <w:color w:val="000000"/>
                <w:w w:val="21"/>
                <w:szCs w:val="20"/>
                <w:shd w:val="solid" w:color="000000" w:fill="000000"/>
                <w:fitText w:val="96" w:id="-629961976"/>
                <w14:textFill>
                  <w14:solidFill>
                    <w14:srgbClr w14:val="000000">
                      <w14:alpha w14:val="100000"/>
                    </w14:srgbClr>
                  </w14:solidFill>
                </w14:textFill>
              </w:rPr>
              <w:t>|</w:t>
            </w:r>
            <w:r w:rsidR="00AF3C7B" w:rsidRPr="00AF3C7B">
              <w:rPr>
                <w:rFonts w:hint="eastAsia"/>
                <w:color w:val="000000"/>
                <w:spacing w:val="5"/>
                <w:w w:val="21"/>
                <w:szCs w:val="20"/>
                <w:shd w:val="solid" w:color="000000" w:fill="000000"/>
                <w:fitText w:val="96" w:id="-629961976"/>
                <w14:textFill>
                  <w14:solidFill>
                    <w14:srgbClr w14:val="000000">
                      <w14:alpha w14:val="100000"/>
                    </w14:srgbClr>
                  </w14:solidFill>
                </w14:textFill>
              </w:rPr>
              <w:t xml:space="preserve">　</w:t>
            </w:r>
            <w:r w:rsidR="008A7171" w:rsidRPr="00537649">
              <w:rPr>
                <w:vertAlign w:val="superscript"/>
              </w:rPr>
              <w:t>2</w:t>
            </w:r>
          </w:p>
          <w:p w14:paraId="52285CEA" w14:textId="6FE00B45" w:rsidR="00C74754" w:rsidRPr="00C74754" w:rsidRDefault="00C74754" w:rsidP="00F276FE">
            <w:pPr>
              <w:pStyle w:val="TableText"/>
              <w:keepNext/>
              <w:widowControl/>
              <w:jc w:val="center"/>
              <w:rPr>
                <w:szCs w:val="20"/>
              </w:rPr>
            </w:pPr>
            <w:r w:rsidRPr="00C74754">
              <w:rPr>
                <w:szCs w:val="20"/>
              </w:rPr>
              <w:t xml:space="preserve">Yr 2: </w:t>
            </w:r>
            <w:r w:rsidR="00AF3C7B" w:rsidRPr="00AF3C7B">
              <w:rPr>
                <w:rFonts w:hint="eastAsia"/>
                <w:color w:val="000000"/>
                <w:w w:val="21"/>
                <w:szCs w:val="20"/>
                <w:shd w:val="solid" w:color="000000" w:fill="000000"/>
                <w:fitText w:val="96" w:id="-629961975"/>
                <w14:textFill>
                  <w14:solidFill>
                    <w14:srgbClr w14:val="000000">
                      <w14:alpha w14:val="100000"/>
                    </w14:srgbClr>
                  </w14:solidFill>
                </w14:textFill>
              </w:rPr>
              <w:t xml:space="preserve">　</w:t>
            </w:r>
            <w:r w:rsidR="00AF3C7B" w:rsidRPr="00AF3C7B">
              <w:rPr>
                <w:color w:val="000000"/>
                <w:w w:val="21"/>
                <w:szCs w:val="20"/>
                <w:shd w:val="solid" w:color="000000" w:fill="000000"/>
                <w:fitText w:val="96" w:id="-629961975"/>
                <w14:textFill>
                  <w14:solidFill>
                    <w14:srgbClr w14:val="000000">
                      <w14:alpha w14:val="100000"/>
                    </w14:srgbClr>
                  </w14:solidFill>
                </w14:textFill>
              </w:rPr>
              <w:t>|</w:t>
            </w:r>
            <w:r w:rsidR="00AF3C7B" w:rsidRPr="00AF3C7B">
              <w:rPr>
                <w:rFonts w:hint="eastAsia"/>
                <w:color w:val="000000"/>
                <w:spacing w:val="5"/>
                <w:w w:val="21"/>
                <w:szCs w:val="20"/>
                <w:shd w:val="solid" w:color="000000" w:fill="000000"/>
                <w:fitText w:val="96" w:id="-629961975"/>
                <w14:textFill>
                  <w14:solidFill>
                    <w14:srgbClr w14:val="000000">
                      <w14:alpha w14:val="100000"/>
                    </w14:srgbClr>
                  </w14:solidFill>
                </w14:textFill>
              </w:rPr>
              <w:t xml:space="preserve">　</w:t>
            </w:r>
            <w:r w:rsidR="008A7171" w:rsidRPr="00537649">
              <w:rPr>
                <w:vertAlign w:val="superscript"/>
              </w:rPr>
              <w:t>2</w:t>
            </w:r>
          </w:p>
          <w:p w14:paraId="71816AC6" w14:textId="043A1CD5" w:rsidR="00C74754" w:rsidRPr="00C74754" w:rsidRDefault="00C74754" w:rsidP="00F276FE">
            <w:pPr>
              <w:pStyle w:val="TableText"/>
              <w:keepNext/>
              <w:widowControl/>
              <w:jc w:val="center"/>
              <w:rPr>
                <w:szCs w:val="20"/>
              </w:rPr>
            </w:pPr>
            <w:r w:rsidRPr="00C74754">
              <w:rPr>
                <w:szCs w:val="20"/>
              </w:rPr>
              <w:t xml:space="preserve">Yr 3: </w:t>
            </w:r>
            <w:r w:rsidR="00AF3C7B" w:rsidRPr="00AF3C7B">
              <w:rPr>
                <w:rFonts w:hint="eastAsia"/>
                <w:color w:val="000000"/>
                <w:w w:val="21"/>
                <w:szCs w:val="20"/>
                <w:shd w:val="solid" w:color="000000" w:fill="000000"/>
                <w:fitText w:val="96" w:id="-629961974"/>
                <w14:textFill>
                  <w14:solidFill>
                    <w14:srgbClr w14:val="000000">
                      <w14:alpha w14:val="100000"/>
                    </w14:srgbClr>
                  </w14:solidFill>
                </w14:textFill>
              </w:rPr>
              <w:t xml:space="preserve">　</w:t>
            </w:r>
            <w:r w:rsidR="00AF3C7B" w:rsidRPr="00AF3C7B">
              <w:rPr>
                <w:color w:val="000000"/>
                <w:w w:val="21"/>
                <w:szCs w:val="20"/>
                <w:shd w:val="solid" w:color="000000" w:fill="000000"/>
                <w:fitText w:val="96" w:id="-629961974"/>
                <w14:textFill>
                  <w14:solidFill>
                    <w14:srgbClr w14:val="000000">
                      <w14:alpha w14:val="100000"/>
                    </w14:srgbClr>
                  </w14:solidFill>
                </w14:textFill>
              </w:rPr>
              <w:t>|</w:t>
            </w:r>
            <w:r w:rsidR="00AF3C7B" w:rsidRPr="00AF3C7B">
              <w:rPr>
                <w:rFonts w:hint="eastAsia"/>
                <w:color w:val="000000"/>
                <w:spacing w:val="5"/>
                <w:w w:val="21"/>
                <w:szCs w:val="20"/>
                <w:shd w:val="solid" w:color="000000" w:fill="000000"/>
                <w:fitText w:val="96" w:id="-629961974"/>
                <w14:textFill>
                  <w14:solidFill>
                    <w14:srgbClr w14:val="000000">
                      <w14:alpha w14:val="100000"/>
                    </w14:srgbClr>
                  </w14:solidFill>
                </w14:textFill>
              </w:rPr>
              <w:t xml:space="preserve">　</w:t>
            </w:r>
            <w:r w:rsidR="008A7171" w:rsidRPr="00537649">
              <w:rPr>
                <w:vertAlign w:val="superscript"/>
              </w:rPr>
              <w:t>2</w:t>
            </w:r>
          </w:p>
          <w:p w14:paraId="0CEA321B" w14:textId="75CC9A0E" w:rsidR="00C74754" w:rsidRPr="00C74754" w:rsidRDefault="00C74754" w:rsidP="00F276FE">
            <w:pPr>
              <w:pStyle w:val="TableText"/>
              <w:keepNext/>
              <w:widowControl/>
              <w:jc w:val="center"/>
              <w:rPr>
                <w:szCs w:val="20"/>
              </w:rPr>
            </w:pPr>
            <w:r w:rsidRPr="00C74754">
              <w:rPr>
                <w:szCs w:val="20"/>
              </w:rPr>
              <w:t xml:space="preserve">Yr 4: </w:t>
            </w:r>
            <w:r w:rsidR="00AF3C7B" w:rsidRPr="00AF3C7B">
              <w:rPr>
                <w:rFonts w:hint="eastAsia"/>
                <w:color w:val="000000"/>
                <w:w w:val="21"/>
                <w:szCs w:val="20"/>
                <w:shd w:val="solid" w:color="000000" w:fill="000000"/>
                <w:fitText w:val="96" w:id="-629961973"/>
                <w14:textFill>
                  <w14:solidFill>
                    <w14:srgbClr w14:val="000000">
                      <w14:alpha w14:val="100000"/>
                    </w14:srgbClr>
                  </w14:solidFill>
                </w14:textFill>
              </w:rPr>
              <w:t xml:space="preserve">　</w:t>
            </w:r>
            <w:r w:rsidR="00AF3C7B" w:rsidRPr="00AF3C7B">
              <w:rPr>
                <w:color w:val="000000"/>
                <w:w w:val="21"/>
                <w:szCs w:val="20"/>
                <w:shd w:val="solid" w:color="000000" w:fill="000000"/>
                <w:fitText w:val="96" w:id="-629961973"/>
                <w14:textFill>
                  <w14:solidFill>
                    <w14:srgbClr w14:val="000000">
                      <w14:alpha w14:val="100000"/>
                    </w14:srgbClr>
                  </w14:solidFill>
                </w14:textFill>
              </w:rPr>
              <w:t>|</w:t>
            </w:r>
            <w:r w:rsidR="00AF3C7B" w:rsidRPr="00AF3C7B">
              <w:rPr>
                <w:rFonts w:hint="eastAsia"/>
                <w:color w:val="000000"/>
                <w:spacing w:val="5"/>
                <w:w w:val="21"/>
                <w:szCs w:val="20"/>
                <w:shd w:val="solid" w:color="000000" w:fill="000000"/>
                <w:fitText w:val="96" w:id="-629961973"/>
                <w14:textFill>
                  <w14:solidFill>
                    <w14:srgbClr w14:val="000000">
                      <w14:alpha w14:val="100000"/>
                    </w14:srgbClr>
                  </w14:solidFill>
                </w14:textFill>
              </w:rPr>
              <w:t xml:space="preserve">　</w:t>
            </w:r>
            <w:r w:rsidR="008A7171" w:rsidRPr="00537649">
              <w:rPr>
                <w:vertAlign w:val="superscript"/>
              </w:rPr>
              <w:t>2</w:t>
            </w:r>
          </w:p>
          <w:p w14:paraId="0F90F92C" w14:textId="429786EE" w:rsidR="00C74754" w:rsidRPr="00C74754" w:rsidRDefault="00C74754" w:rsidP="00F276FE">
            <w:pPr>
              <w:pStyle w:val="TableText"/>
              <w:keepNext/>
              <w:widowControl/>
              <w:jc w:val="center"/>
              <w:rPr>
                <w:szCs w:val="20"/>
              </w:rPr>
            </w:pPr>
            <w:r w:rsidRPr="00C74754">
              <w:rPr>
                <w:szCs w:val="20"/>
              </w:rPr>
              <w:t xml:space="preserve">Yr 5: </w:t>
            </w:r>
            <w:r w:rsidR="00AF3C7B" w:rsidRPr="00AF3C7B">
              <w:rPr>
                <w:rFonts w:hint="eastAsia"/>
                <w:color w:val="000000"/>
                <w:w w:val="21"/>
                <w:szCs w:val="20"/>
                <w:shd w:val="solid" w:color="000000" w:fill="000000"/>
                <w:fitText w:val="96" w:id="-629961972"/>
                <w14:textFill>
                  <w14:solidFill>
                    <w14:srgbClr w14:val="000000">
                      <w14:alpha w14:val="100000"/>
                    </w14:srgbClr>
                  </w14:solidFill>
                </w14:textFill>
              </w:rPr>
              <w:t xml:space="preserve">　</w:t>
            </w:r>
            <w:r w:rsidR="00AF3C7B" w:rsidRPr="00AF3C7B">
              <w:rPr>
                <w:color w:val="000000"/>
                <w:w w:val="21"/>
                <w:szCs w:val="20"/>
                <w:shd w:val="solid" w:color="000000" w:fill="000000"/>
                <w:fitText w:val="96" w:id="-629961972"/>
                <w14:textFill>
                  <w14:solidFill>
                    <w14:srgbClr w14:val="000000">
                      <w14:alpha w14:val="100000"/>
                    </w14:srgbClr>
                  </w14:solidFill>
                </w14:textFill>
              </w:rPr>
              <w:t>|</w:t>
            </w:r>
            <w:r w:rsidR="00AF3C7B" w:rsidRPr="00AF3C7B">
              <w:rPr>
                <w:rFonts w:hint="eastAsia"/>
                <w:color w:val="000000"/>
                <w:spacing w:val="5"/>
                <w:w w:val="21"/>
                <w:szCs w:val="20"/>
                <w:shd w:val="solid" w:color="000000" w:fill="000000"/>
                <w:fitText w:val="96" w:id="-629961972"/>
                <w14:textFill>
                  <w14:solidFill>
                    <w14:srgbClr w14:val="000000">
                      <w14:alpha w14:val="100000"/>
                    </w14:srgbClr>
                  </w14:solidFill>
                </w14:textFill>
              </w:rPr>
              <w:t xml:space="preserve">　</w:t>
            </w:r>
            <w:r w:rsidR="008A7171" w:rsidRPr="00537649">
              <w:rPr>
                <w:vertAlign w:val="superscript"/>
              </w:rPr>
              <w:t>2</w:t>
            </w:r>
          </w:p>
          <w:p w14:paraId="7A192C8C" w14:textId="739A5C6A" w:rsidR="00C74754" w:rsidRPr="00C74754" w:rsidRDefault="00C74754" w:rsidP="00F276FE">
            <w:pPr>
              <w:pStyle w:val="TableText"/>
              <w:keepNext/>
              <w:widowControl/>
              <w:jc w:val="center"/>
            </w:pPr>
            <w:r w:rsidRPr="00C74754">
              <w:rPr>
                <w:szCs w:val="20"/>
              </w:rPr>
              <w:t xml:space="preserve">Yr 6: </w:t>
            </w:r>
            <w:r w:rsidR="00AF3C7B" w:rsidRPr="00AF3C7B">
              <w:rPr>
                <w:rFonts w:hint="eastAsia"/>
                <w:color w:val="000000"/>
                <w:w w:val="21"/>
                <w:szCs w:val="20"/>
                <w:shd w:val="solid" w:color="000000" w:fill="000000"/>
                <w:fitText w:val="96" w:id="-629961971"/>
                <w14:textFill>
                  <w14:solidFill>
                    <w14:srgbClr w14:val="000000">
                      <w14:alpha w14:val="100000"/>
                    </w14:srgbClr>
                  </w14:solidFill>
                </w14:textFill>
              </w:rPr>
              <w:t xml:space="preserve">　</w:t>
            </w:r>
            <w:r w:rsidR="00AF3C7B" w:rsidRPr="00AF3C7B">
              <w:rPr>
                <w:color w:val="000000"/>
                <w:w w:val="21"/>
                <w:szCs w:val="20"/>
                <w:shd w:val="solid" w:color="000000" w:fill="000000"/>
                <w:fitText w:val="96" w:id="-629961971"/>
                <w14:textFill>
                  <w14:solidFill>
                    <w14:srgbClr w14:val="000000">
                      <w14:alpha w14:val="100000"/>
                    </w14:srgbClr>
                  </w14:solidFill>
                </w14:textFill>
              </w:rPr>
              <w:t>|</w:t>
            </w:r>
            <w:r w:rsidR="00AF3C7B" w:rsidRPr="00AF3C7B">
              <w:rPr>
                <w:rFonts w:hint="eastAsia"/>
                <w:color w:val="000000"/>
                <w:w w:val="21"/>
                <w:szCs w:val="20"/>
                <w:shd w:val="solid" w:color="000000" w:fill="000000"/>
                <w:fitText w:val="96" w:id="-629961971"/>
                <w14:textFill>
                  <w14:solidFill>
                    <w14:srgbClr w14:val="000000">
                      <w14:alpha w14:val="100000"/>
                    </w14:srgbClr>
                  </w14:solidFill>
                </w14:textFill>
              </w:rPr>
              <w:t xml:space="preserve">　</w:t>
            </w:r>
            <w:r w:rsidR="008A7171" w:rsidRPr="00537649">
              <w:rPr>
                <w:vertAlign w:val="superscript"/>
              </w:rPr>
              <w:t>2</w:t>
            </w:r>
          </w:p>
        </w:tc>
        <w:tc>
          <w:tcPr>
            <w:tcW w:w="5781" w:type="dxa"/>
            <w:noWrap/>
          </w:tcPr>
          <w:p w14:paraId="3F46BBF6" w14:textId="61528357" w:rsidR="00C74754" w:rsidRPr="00C74754" w:rsidRDefault="00C74754" w:rsidP="00F276FE">
            <w:pPr>
              <w:pStyle w:val="TableText"/>
              <w:keepNext/>
              <w:widowControl/>
              <w:rPr>
                <w:szCs w:val="20"/>
              </w:rPr>
            </w:pPr>
            <w:r w:rsidRPr="00C74754">
              <w:rPr>
                <w:szCs w:val="20"/>
              </w:rPr>
              <w:t>Calculation: Total patients with platinum</w:t>
            </w:r>
            <w:r w:rsidR="00A46D2B">
              <w:rPr>
                <w:szCs w:val="20"/>
              </w:rPr>
              <w:noBreakHyphen/>
            </w:r>
            <w:r w:rsidRPr="00C74754">
              <w:rPr>
                <w:szCs w:val="20"/>
              </w:rPr>
              <w:t>resistant high grade epithelial ovarian, fallopian tube, or primary peritoneal cancer x % of cases with FRα testing requested x % cases FRα</w:t>
            </w:r>
            <w:r w:rsidR="00A46D2B">
              <w:rPr>
                <w:szCs w:val="20"/>
              </w:rPr>
              <w:noBreakHyphen/>
            </w:r>
            <w:r w:rsidRPr="00C74754">
              <w:rPr>
                <w:szCs w:val="20"/>
              </w:rPr>
              <w:t>high tumour cell expression.</w:t>
            </w:r>
          </w:p>
          <w:p w14:paraId="5477361B" w14:textId="77777777" w:rsidR="00C74754" w:rsidRPr="00C74754" w:rsidRDefault="00C74754" w:rsidP="00F276FE">
            <w:pPr>
              <w:pStyle w:val="TableText"/>
              <w:keepNext/>
              <w:widowControl/>
              <w:rPr>
                <w:szCs w:val="20"/>
              </w:rPr>
            </w:pPr>
          </w:p>
          <w:p w14:paraId="32CEDE30" w14:textId="0AB00F84" w:rsidR="00C74754" w:rsidRPr="00C74754" w:rsidRDefault="00C74754" w:rsidP="00F276FE">
            <w:pPr>
              <w:pStyle w:val="TableText"/>
              <w:keepNext/>
              <w:widowControl/>
              <w:rPr>
                <w:highlight w:val="yellow"/>
              </w:rPr>
            </w:pPr>
            <w:r w:rsidRPr="00C74754">
              <w:rPr>
                <w:szCs w:val="20"/>
              </w:rPr>
              <w:t>DUSC considered this to be an overestimate due to the inputs being overestimated.</w:t>
            </w:r>
          </w:p>
        </w:tc>
      </w:tr>
      <w:tr w:rsidR="00310B0F" w:rsidRPr="00EF2E8A" w14:paraId="67530A29" w14:textId="77777777" w:rsidTr="006B3757">
        <w:trPr>
          <w:trHeight w:val="20"/>
        </w:trPr>
        <w:tc>
          <w:tcPr>
            <w:tcW w:w="9016" w:type="dxa"/>
            <w:gridSpan w:val="3"/>
          </w:tcPr>
          <w:p w14:paraId="4D5C41BF" w14:textId="17025731" w:rsidR="00310B0F" w:rsidRPr="00C74754" w:rsidRDefault="00310B0F" w:rsidP="00F276FE">
            <w:pPr>
              <w:pStyle w:val="TableText"/>
              <w:keepNext/>
              <w:widowControl/>
              <w:rPr>
                <w:szCs w:val="20"/>
              </w:rPr>
            </w:pPr>
            <w:r>
              <w:rPr>
                <w:b/>
                <w:szCs w:val="20"/>
              </w:rPr>
              <w:t>Treatment utilisation</w:t>
            </w:r>
          </w:p>
        </w:tc>
      </w:tr>
      <w:tr w:rsidR="00C84531" w:rsidRPr="00EF2E8A" w14:paraId="167D0B5D" w14:textId="77777777" w:rsidTr="006B3757">
        <w:trPr>
          <w:trHeight w:val="20"/>
        </w:trPr>
        <w:tc>
          <w:tcPr>
            <w:tcW w:w="1675" w:type="dxa"/>
          </w:tcPr>
          <w:p w14:paraId="224CE1F3" w14:textId="77777777" w:rsidR="00C84531" w:rsidRPr="009D3D51" w:rsidRDefault="00C84531" w:rsidP="00F276FE">
            <w:pPr>
              <w:pStyle w:val="TableText"/>
              <w:keepNext/>
              <w:widowControl/>
              <w:rPr>
                <w:szCs w:val="20"/>
              </w:rPr>
            </w:pPr>
            <w:r w:rsidRPr="009D3D51">
              <w:rPr>
                <w:szCs w:val="20"/>
              </w:rPr>
              <w:t>Treatment uptake rate</w:t>
            </w:r>
          </w:p>
        </w:tc>
        <w:tc>
          <w:tcPr>
            <w:tcW w:w="1560" w:type="dxa"/>
          </w:tcPr>
          <w:p w14:paraId="2E8602F1" w14:textId="2EBF271C" w:rsidR="00C84531" w:rsidRPr="00C84531" w:rsidRDefault="00C84531" w:rsidP="00F276FE">
            <w:pPr>
              <w:pStyle w:val="TableText"/>
              <w:keepNext/>
              <w:widowControl/>
              <w:jc w:val="center"/>
            </w:pPr>
            <w:r w:rsidRPr="00C84531">
              <w:t xml:space="preserve">Yr 1: </w:t>
            </w:r>
            <w:r w:rsidR="00AF3C7B" w:rsidRPr="00AF3C7B">
              <w:rPr>
                <w:rFonts w:hint="eastAsia"/>
                <w:color w:val="000000"/>
                <w:w w:val="32"/>
                <w:shd w:val="solid" w:color="000000" w:fill="000000"/>
                <w:fitText w:val="144" w:id="-629961970"/>
                <w14:textFill>
                  <w14:solidFill>
                    <w14:srgbClr w14:val="000000">
                      <w14:alpha w14:val="100000"/>
                    </w14:srgbClr>
                  </w14:solidFill>
                </w14:textFill>
              </w:rPr>
              <w:t xml:space="preserve">　</w:t>
            </w:r>
            <w:r w:rsidR="00AF3C7B" w:rsidRPr="00AF3C7B">
              <w:rPr>
                <w:color w:val="000000"/>
                <w:w w:val="32"/>
                <w:shd w:val="solid" w:color="000000" w:fill="000000"/>
                <w:fitText w:val="144" w:id="-629961970"/>
                <w14:textFill>
                  <w14:solidFill>
                    <w14:srgbClr w14:val="000000">
                      <w14:alpha w14:val="100000"/>
                    </w14:srgbClr>
                  </w14:solidFill>
                </w14:textFill>
              </w:rPr>
              <w:t>|</w:t>
            </w:r>
            <w:r w:rsidR="00AF3C7B" w:rsidRPr="00AF3C7B">
              <w:rPr>
                <w:rFonts w:hint="eastAsia"/>
                <w:color w:val="000000"/>
                <w:spacing w:val="5"/>
                <w:w w:val="32"/>
                <w:shd w:val="solid" w:color="000000" w:fill="000000"/>
                <w:fitText w:val="144" w:id="-629961970"/>
                <w14:textFill>
                  <w14:solidFill>
                    <w14:srgbClr w14:val="000000">
                      <w14:alpha w14:val="100000"/>
                    </w14:srgbClr>
                  </w14:solidFill>
                </w14:textFill>
              </w:rPr>
              <w:t xml:space="preserve">　</w:t>
            </w:r>
            <w:r w:rsidRPr="00C84531">
              <w:t>%</w:t>
            </w:r>
          </w:p>
          <w:p w14:paraId="662B9F2E" w14:textId="182FBC3F" w:rsidR="00C84531" w:rsidRPr="00C84531" w:rsidRDefault="00C84531" w:rsidP="00F276FE">
            <w:pPr>
              <w:pStyle w:val="TableText"/>
              <w:keepNext/>
              <w:widowControl/>
              <w:jc w:val="center"/>
            </w:pPr>
            <w:r w:rsidRPr="00C84531">
              <w:t xml:space="preserve">Yr 2: </w:t>
            </w:r>
            <w:r w:rsidR="00AF3C7B" w:rsidRPr="00AF3C7B">
              <w:rPr>
                <w:rFonts w:hint="eastAsia"/>
                <w:color w:val="000000"/>
                <w:w w:val="32"/>
                <w:shd w:val="solid" w:color="000000" w:fill="000000"/>
                <w:fitText w:val="144" w:id="-629961969"/>
                <w14:textFill>
                  <w14:solidFill>
                    <w14:srgbClr w14:val="000000">
                      <w14:alpha w14:val="100000"/>
                    </w14:srgbClr>
                  </w14:solidFill>
                </w14:textFill>
              </w:rPr>
              <w:t xml:space="preserve">　</w:t>
            </w:r>
            <w:r w:rsidR="00AF3C7B" w:rsidRPr="00AF3C7B">
              <w:rPr>
                <w:color w:val="000000"/>
                <w:w w:val="32"/>
                <w:shd w:val="solid" w:color="000000" w:fill="000000"/>
                <w:fitText w:val="144" w:id="-629961969"/>
                <w14:textFill>
                  <w14:solidFill>
                    <w14:srgbClr w14:val="000000">
                      <w14:alpha w14:val="100000"/>
                    </w14:srgbClr>
                  </w14:solidFill>
                </w14:textFill>
              </w:rPr>
              <w:t>|</w:t>
            </w:r>
            <w:r w:rsidR="00AF3C7B" w:rsidRPr="00AF3C7B">
              <w:rPr>
                <w:rFonts w:hint="eastAsia"/>
                <w:color w:val="000000"/>
                <w:spacing w:val="5"/>
                <w:w w:val="32"/>
                <w:shd w:val="solid" w:color="000000" w:fill="000000"/>
                <w:fitText w:val="144" w:id="-629961969"/>
                <w14:textFill>
                  <w14:solidFill>
                    <w14:srgbClr w14:val="000000">
                      <w14:alpha w14:val="100000"/>
                    </w14:srgbClr>
                  </w14:solidFill>
                </w14:textFill>
              </w:rPr>
              <w:t xml:space="preserve">　</w:t>
            </w:r>
            <w:r w:rsidRPr="00C84531">
              <w:t>%</w:t>
            </w:r>
          </w:p>
          <w:p w14:paraId="32869A6D" w14:textId="73868391" w:rsidR="00C84531" w:rsidRPr="00C84531" w:rsidRDefault="00C84531" w:rsidP="00F276FE">
            <w:pPr>
              <w:pStyle w:val="TableText"/>
              <w:keepNext/>
              <w:widowControl/>
              <w:jc w:val="center"/>
            </w:pPr>
            <w:r w:rsidRPr="00C84531">
              <w:t xml:space="preserve">Yr 3: </w:t>
            </w:r>
            <w:r w:rsidR="00AF3C7B" w:rsidRPr="00AF3C7B">
              <w:rPr>
                <w:rFonts w:hint="eastAsia"/>
                <w:color w:val="000000"/>
                <w:w w:val="32"/>
                <w:shd w:val="solid" w:color="000000" w:fill="000000"/>
                <w:fitText w:val="144" w:id="-629961968"/>
                <w14:textFill>
                  <w14:solidFill>
                    <w14:srgbClr w14:val="000000">
                      <w14:alpha w14:val="100000"/>
                    </w14:srgbClr>
                  </w14:solidFill>
                </w14:textFill>
              </w:rPr>
              <w:t xml:space="preserve">　</w:t>
            </w:r>
            <w:r w:rsidR="00AF3C7B" w:rsidRPr="00AF3C7B">
              <w:rPr>
                <w:color w:val="000000"/>
                <w:w w:val="32"/>
                <w:shd w:val="solid" w:color="000000" w:fill="000000"/>
                <w:fitText w:val="144" w:id="-629961968"/>
                <w14:textFill>
                  <w14:solidFill>
                    <w14:srgbClr w14:val="000000">
                      <w14:alpha w14:val="100000"/>
                    </w14:srgbClr>
                  </w14:solidFill>
                </w14:textFill>
              </w:rPr>
              <w:t>|</w:t>
            </w:r>
            <w:r w:rsidR="00AF3C7B" w:rsidRPr="00AF3C7B">
              <w:rPr>
                <w:rFonts w:hint="eastAsia"/>
                <w:color w:val="000000"/>
                <w:spacing w:val="5"/>
                <w:w w:val="32"/>
                <w:shd w:val="solid" w:color="000000" w:fill="000000"/>
                <w:fitText w:val="144" w:id="-629961968"/>
                <w14:textFill>
                  <w14:solidFill>
                    <w14:srgbClr w14:val="000000">
                      <w14:alpha w14:val="100000"/>
                    </w14:srgbClr>
                  </w14:solidFill>
                </w14:textFill>
              </w:rPr>
              <w:t xml:space="preserve">　</w:t>
            </w:r>
            <w:r w:rsidRPr="00C84531">
              <w:t>%</w:t>
            </w:r>
          </w:p>
          <w:p w14:paraId="70DF24F5" w14:textId="4C70EC0F" w:rsidR="00C84531" w:rsidRPr="00C84531" w:rsidRDefault="00C84531" w:rsidP="00F276FE">
            <w:pPr>
              <w:pStyle w:val="TableText"/>
              <w:keepNext/>
              <w:widowControl/>
              <w:jc w:val="center"/>
            </w:pPr>
            <w:r w:rsidRPr="00C84531">
              <w:t xml:space="preserve">Yr 4: </w:t>
            </w:r>
            <w:r w:rsidR="00AF3C7B" w:rsidRPr="00AF3C7B">
              <w:rPr>
                <w:rFonts w:hint="eastAsia"/>
                <w:color w:val="000000"/>
                <w:w w:val="32"/>
                <w:shd w:val="solid" w:color="000000" w:fill="000000"/>
                <w:fitText w:val="144" w:id="-629961984"/>
                <w14:textFill>
                  <w14:solidFill>
                    <w14:srgbClr w14:val="000000">
                      <w14:alpha w14:val="100000"/>
                    </w14:srgbClr>
                  </w14:solidFill>
                </w14:textFill>
              </w:rPr>
              <w:t xml:space="preserve">　</w:t>
            </w:r>
            <w:r w:rsidR="00AF3C7B" w:rsidRPr="00AF3C7B">
              <w:rPr>
                <w:color w:val="000000"/>
                <w:w w:val="32"/>
                <w:shd w:val="solid" w:color="000000" w:fill="000000"/>
                <w:fitText w:val="144" w:id="-629961984"/>
                <w14:textFill>
                  <w14:solidFill>
                    <w14:srgbClr w14:val="000000">
                      <w14:alpha w14:val="100000"/>
                    </w14:srgbClr>
                  </w14:solidFill>
                </w14:textFill>
              </w:rPr>
              <w:t>|</w:t>
            </w:r>
            <w:r w:rsidR="00AF3C7B" w:rsidRPr="00AF3C7B">
              <w:rPr>
                <w:rFonts w:hint="eastAsia"/>
                <w:color w:val="000000"/>
                <w:spacing w:val="5"/>
                <w:w w:val="32"/>
                <w:shd w:val="solid" w:color="000000" w:fill="000000"/>
                <w:fitText w:val="144" w:id="-629961984"/>
                <w14:textFill>
                  <w14:solidFill>
                    <w14:srgbClr w14:val="000000">
                      <w14:alpha w14:val="100000"/>
                    </w14:srgbClr>
                  </w14:solidFill>
                </w14:textFill>
              </w:rPr>
              <w:t xml:space="preserve">　</w:t>
            </w:r>
            <w:r w:rsidRPr="00C84531">
              <w:t>%</w:t>
            </w:r>
          </w:p>
          <w:p w14:paraId="3B99B148" w14:textId="2F7622EA" w:rsidR="00C84531" w:rsidRPr="00C84531" w:rsidRDefault="00C84531" w:rsidP="00F276FE">
            <w:pPr>
              <w:pStyle w:val="TableText"/>
              <w:keepNext/>
              <w:widowControl/>
              <w:jc w:val="center"/>
            </w:pPr>
            <w:r w:rsidRPr="00C84531">
              <w:t xml:space="preserve">Yr 5: </w:t>
            </w:r>
            <w:r w:rsidR="00AF3C7B" w:rsidRPr="00AF3C7B">
              <w:rPr>
                <w:rFonts w:hint="eastAsia"/>
                <w:color w:val="000000"/>
                <w:w w:val="32"/>
                <w:shd w:val="solid" w:color="000000" w:fill="000000"/>
                <w:fitText w:val="144" w:id="-629961983"/>
                <w14:textFill>
                  <w14:solidFill>
                    <w14:srgbClr w14:val="000000">
                      <w14:alpha w14:val="100000"/>
                    </w14:srgbClr>
                  </w14:solidFill>
                </w14:textFill>
              </w:rPr>
              <w:t xml:space="preserve">　</w:t>
            </w:r>
            <w:r w:rsidR="00AF3C7B" w:rsidRPr="00AF3C7B">
              <w:rPr>
                <w:color w:val="000000"/>
                <w:w w:val="32"/>
                <w:shd w:val="solid" w:color="000000" w:fill="000000"/>
                <w:fitText w:val="144" w:id="-629961983"/>
                <w14:textFill>
                  <w14:solidFill>
                    <w14:srgbClr w14:val="000000">
                      <w14:alpha w14:val="100000"/>
                    </w14:srgbClr>
                  </w14:solidFill>
                </w14:textFill>
              </w:rPr>
              <w:t>|</w:t>
            </w:r>
            <w:r w:rsidR="00AF3C7B" w:rsidRPr="00AF3C7B">
              <w:rPr>
                <w:rFonts w:hint="eastAsia"/>
                <w:color w:val="000000"/>
                <w:spacing w:val="5"/>
                <w:w w:val="32"/>
                <w:shd w:val="solid" w:color="000000" w:fill="000000"/>
                <w:fitText w:val="144" w:id="-629961983"/>
                <w14:textFill>
                  <w14:solidFill>
                    <w14:srgbClr w14:val="000000">
                      <w14:alpha w14:val="100000"/>
                    </w14:srgbClr>
                  </w14:solidFill>
                </w14:textFill>
              </w:rPr>
              <w:t xml:space="preserve">　</w:t>
            </w:r>
            <w:r w:rsidRPr="00C84531">
              <w:t>%</w:t>
            </w:r>
          </w:p>
          <w:p w14:paraId="5A551B68" w14:textId="73EBD7E1" w:rsidR="00C84531" w:rsidRPr="009D3D51" w:rsidRDefault="00C84531" w:rsidP="00F276FE">
            <w:pPr>
              <w:pStyle w:val="TableText"/>
              <w:keepNext/>
              <w:widowControl/>
              <w:jc w:val="center"/>
            </w:pPr>
            <w:r w:rsidRPr="009D3D51">
              <w:t xml:space="preserve">Yr 6: </w:t>
            </w:r>
            <w:r w:rsidR="00AF3C7B" w:rsidRPr="00AF3C7B">
              <w:rPr>
                <w:rFonts w:hint="eastAsia"/>
                <w:color w:val="000000"/>
                <w:w w:val="32"/>
                <w:shd w:val="solid" w:color="000000" w:fill="000000"/>
                <w:fitText w:val="144" w:id="-629961982"/>
                <w14:textFill>
                  <w14:solidFill>
                    <w14:srgbClr w14:val="000000">
                      <w14:alpha w14:val="100000"/>
                    </w14:srgbClr>
                  </w14:solidFill>
                </w14:textFill>
              </w:rPr>
              <w:t xml:space="preserve">　</w:t>
            </w:r>
            <w:r w:rsidR="00AF3C7B" w:rsidRPr="00AF3C7B">
              <w:rPr>
                <w:color w:val="000000"/>
                <w:w w:val="32"/>
                <w:shd w:val="solid" w:color="000000" w:fill="000000"/>
                <w:fitText w:val="144" w:id="-629961982"/>
                <w14:textFill>
                  <w14:solidFill>
                    <w14:srgbClr w14:val="000000">
                      <w14:alpha w14:val="100000"/>
                    </w14:srgbClr>
                  </w14:solidFill>
                </w14:textFill>
              </w:rPr>
              <w:t>|</w:t>
            </w:r>
            <w:r w:rsidR="00AF3C7B" w:rsidRPr="00AF3C7B">
              <w:rPr>
                <w:rFonts w:hint="eastAsia"/>
                <w:color w:val="000000"/>
                <w:w w:val="32"/>
                <w:shd w:val="solid" w:color="000000" w:fill="000000"/>
                <w:fitText w:val="144" w:id="-629961982"/>
                <w14:textFill>
                  <w14:solidFill>
                    <w14:srgbClr w14:val="000000">
                      <w14:alpha w14:val="100000"/>
                    </w14:srgbClr>
                  </w14:solidFill>
                </w14:textFill>
              </w:rPr>
              <w:t xml:space="preserve">　</w:t>
            </w:r>
            <w:r w:rsidRPr="009D3D51">
              <w:t>%</w:t>
            </w:r>
          </w:p>
        </w:tc>
        <w:tc>
          <w:tcPr>
            <w:tcW w:w="5781" w:type="dxa"/>
            <w:noWrap/>
          </w:tcPr>
          <w:p w14:paraId="44042738" w14:textId="6DEF74AC" w:rsidR="00F66CF1" w:rsidRPr="009D3D51" w:rsidRDefault="00C84531" w:rsidP="00F276FE">
            <w:pPr>
              <w:pStyle w:val="TableText"/>
              <w:keepNext/>
              <w:widowControl/>
              <w:spacing w:after="120"/>
            </w:pPr>
            <w:r w:rsidRPr="009D3D51">
              <w:t xml:space="preserve">The submission assumed </w:t>
            </w:r>
            <w:r w:rsidR="00AF3C7B" w:rsidRPr="00AF3C7B">
              <w:rPr>
                <w:color w:val="000000"/>
                <w:spacing w:val="51"/>
                <w:shd w:val="solid" w:color="000000" w:fill="000000"/>
                <w:fitText w:val="324" w:id="-629961981"/>
                <w14:textFill>
                  <w14:solidFill>
                    <w14:srgbClr w14:val="000000">
                      <w14:alpha w14:val="100000"/>
                    </w14:srgbClr>
                  </w14:solidFill>
                </w14:textFill>
              </w:rPr>
              <w:t>|||</w:t>
            </w:r>
            <w:r w:rsidR="00AF3C7B" w:rsidRPr="00AF3C7B">
              <w:rPr>
                <w:color w:val="000000"/>
                <w:spacing w:val="1"/>
                <w:shd w:val="solid" w:color="000000" w:fill="000000"/>
                <w:fitText w:val="324" w:id="-629961981"/>
                <w14:textFill>
                  <w14:solidFill>
                    <w14:srgbClr w14:val="000000">
                      <w14:alpha w14:val="100000"/>
                    </w14:srgbClr>
                  </w14:solidFill>
                </w14:textFill>
              </w:rPr>
              <w:t>|</w:t>
            </w:r>
            <w:r w:rsidRPr="009D3D51">
              <w:t xml:space="preserve">% of eligible patients would elect for treatment with MIRV, increasing to </w:t>
            </w:r>
            <w:r w:rsidR="00AF3C7B" w:rsidRPr="001338E4">
              <w:rPr>
                <w:color w:val="000000"/>
                <w:spacing w:val="51"/>
                <w:shd w:val="solid" w:color="000000" w:fill="000000"/>
                <w:fitText w:val="324" w:id="-629961980"/>
                <w14:textFill>
                  <w14:solidFill>
                    <w14:srgbClr w14:val="000000">
                      <w14:alpha w14:val="100000"/>
                    </w14:srgbClr>
                  </w14:solidFill>
                </w14:textFill>
              </w:rPr>
              <w:t>|||</w:t>
            </w:r>
            <w:r w:rsidR="00AF3C7B" w:rsidRPr="001338E4">
              <w:rPr>
                <w:color w:val="000000"/>
                <w:spacing w:val="1"/>
                <w:shd w:val="solid" w:color="000000" w:fill="000000"/>
                <w:fitText w:val="324" w:id="-629961980"/>
                <w14:textFill>
                  <w14:solidFill>
                    <w14:srgbClr w14:val="000000">
                      <w14:alpha w14:val="100000"/>
                    </w14:srgbClr>
                  </w14:solidFill>
                </w14:textFill>
              </w:rPr>
              <w:t>|</w:t>
            </w:r>
            <w:r w:rsidRPr="009D3D51">
              <w:t xml:space="preserve">% in Years 2+. </w:t>
            </w:r>
          </w:p>
          <w:p w14:paraId="0E095135" w14:textId="3CC2519F" w:rsidR="00C84531" w:rsidRPr="009D3D51" w:rsidRDefault="008D4D73" w:rsidP="00F276FE">
            <w:pPr>
              <w:pStyle w:val="TableText"/>
              <w:keepNext/>
              <w:widowControl/>
              <w:spacing w:after="120"/>
            </w:pPr>
            <w:r>
              <w:t xml:space="preserve">The </w:t>
            </w:r>
            <w:r w:rsidR="00DC6AA1">
              <w:t>evaluation</w:t>
            </w:r>
            <w:r>
              <w:t xml:space="preserve"> </w:t>
            </w:r>
            <w:r w:rsidR="00A61814">
              <w:t>and DUSC considered this was r</w:t>
            </w:r>
            <w:r w:rsidR="00C84531" w:rsidRPr="009D3D51">
              <w:t>easonable given that MIRV is a novel treatment that is claimed to have an improvement in PFS and OS over SOC in patients with PROC</w:t>
            </w:r>
            <w:r w:rsidR="009D3D51" w:rsidRPr="009D3D51">
              <w:t>, and a favourable adverse event profile compared to SOC chemotherapy</w:t>
            </w:r>
            <w:r w:rsidR="00C84531" w:rsidRPr="009D3D51">
              <w:t>.</w:t>
            </w:r>
          </w:p>
        </w:tc>
      </w:tr>
      <w:tr w:rsidR="00C465F0" w:rsidRPr="00EF2E8A" w14:paraId="7DBF8403" w14:textId="77777777" w:rsidTr="006B3757">
        <w:trPr>
          <w:trHeight w:val="20"/>
        </w:trPr>
        <w:tc>
          <w:tcPr>
            <w:tcW w:w="1675" w:type="dxa"/>
            <w:hideMark/>
          </w:tcPr>
          <w:p w14:paraId="58B4E661" w14:textId="4F0C51E9" w:rsidR="00C465F0" w:rsidRPr="00E92CA8" w:rsidRDefault="00C465F0" w:rsidP="00F276FE">
            <w:pPr>
              <w:pStyle w:val="Tabletext0"/>
              <w:keepNext/>
            </w:pPr>
            <w:r w:rsidRPr="00E92CA8">
              <w:t>Total patients treated</w:t>
            </w:r>
          </w:p>
        </w:tc>
        <w:tc>
          <w:tcPr>
            <w:tcW w:w="1560" w:type="dxa"/>
          </w:tcPr>
          <w:p w14:paraId="66256031" w14:textId="248DAA75" w:rsidR="00E92CA8" w:rsidRPr="00E92CA8" w:rsidRDefault="00E92CA8" w:rsidP="00F276FE">
            <w:pPr>
              <w:pStyle w:val="Tabletext0"/>
              <w:keepNext/>
              <w:jc w:val="center"/>
            </w:pPr>
            <w:r w:rsidRPr="00E92CA8">
              <w:t xml:space="preserve">Yr 1: </w:t>
            </w:r>
            <w:r w:rsidR="00AF3C7B" w:rsidRPr="00AF3C7B">
              <w:rPr>
                <w:rFonts w:hint="eastAsia"/>
                <w:color w:val="000000"/>
                <w:w w:val="21"/>
                <w:shd w:val="solid" w:color="000000" w:fill="000000"/>
                <w:fitText w:val="96" w:id="-629961979"/>
                <w14:textFill>
                  <w14:solidFill>
                    <w14:srgbClr w14:val="000000">
                      <w14:alpha w14:val="100000"/>
                    </w14:srgbClr>
                  </w14:solidFill>
                </w14:textFill>
              </w:rPr>
              <w:t xml:space="preserve">　</w:t>
            </w:r>
            <w:r w:rsidR="00AF3C7B" w:rsidRPr="00AF3C7B">
              <w:rPr>
                <w:color w:val="000000"/>
                <w:w w:val="21"/>
                <w:shd w:val="solid" w:color="000000" w:fill="000000"/>
                <w:fitText w:val="96" w:id="-629961979"/>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9"/>
                <w14:textFill>
                  <w14:solidFill>
                    <w14:srgbClr w14:val="000000">
                      <w14:alpha w14:val="100000"/>
                    </w14:srgbClr>
                  </w14:solidFill>
                </w14:textFill>
              </w:rPr>
              <w:t xml:space="preserve">　</w:t>
            </w:r>
            <w:r w:rsidR="008A7171" w:rsidRPr="00537649">
              <w:rPr>
                <w:vertAlign w:val="superscript"/>
              </w:rPr>
              <w:t>2</w:t>
            </w:r>
          </w:p>
          <w:p w14:paraId="42E821F9" w14:textId="137E6FE8" w:rsidR="00E92CA8" w:rsidRPr="00E92CA8" w:rsidRDefault="00E92CA8" w:rsidP="00F276FE">
            <w:pPr>
              <w:pStyle w:val="Tabletext0"/>
              <w:keepNext/>
              <w:jc w:val="center"/>
            </w:pPr>
            <w:r w:rsidRPr="00E92CA8">
              <w:t xml:space="preserve">Yr 2: </w:t>
            </w:r>
            <w:r w:rsidR="00AF3C7B" w:rsidRPr="00AF3C7B">
              <w:rPr>
                <w:rFonts w:hint="eastAsia"/>
                <w:color w:val="000000"/>
                <w:w w:val="21"/>
                <w:shd w:val="solid" w:color="000000" w:fill="000000"/>
                <w:fitText w:val="96" w:id="-629961978"/>
                <w14:textFill>
                  <w14:solidFill>
                    <w14:srgbClr w14:val="000000">
                      <w14:alpha w14:val="100000"/>
                    </w14:srgbClr>
                  </w14:solidFill>
                </w14:textFill>
              </w:rPr>
              <w:t xml:space="preserve">　</w:t>
            </w:r>
            <w:r w:rsidR="00AF3C7B" w:rsidRPr="00AF3C7B">
              <w:rPr>
                <w:color w:val="000000"/>
                <w:w w:val="21"/>
                <w:shd w:val="solid" w:color="000000" w:fill="000000"/>
                <w:fitText w:val="96" w:id="-629961978"/>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8"/>
                <w14:textFill>
                  <w14:solidFill>
                    <w14:srgbClr w14:val="000000">
                      <w14:alpha w14:val="100000"/>
                    </w14:srgbClr>
                  </w14:solidFill>
                </w14:textFill>
              </w:rPr>
              <w:t xml:space="preserve">　</w:t>
            </w:r>
            <w:r w:rsidR="008A7171" w:rsidRPr="00537649">
              <w:rPr>
                <w:vertAlign w:val="superscript"/>
              </w:rPr>
              <w:t>2</w:t>
            </w:r>
          </w:p>
          <w:p w14:paraId="5E6C360E" w14:textId="0147EC27" w:rsidR="00E92CA8" w:rsidRPr="00E92CA8" w:rsidRDefault="00E92CA8" w:rsidP="00F276FE">
            <w:pPr>
              <w:pStyle w:val="Tabletext0"/>
              <w:keepNext/>
              <w:jc w:val="center"/>
            </w:pPr>
            <w:r w:rsidRPr="00E92CA8">
              <w:t xml:space="preserve">Yr 3: </w:t>
            </w:r>
            <w:r w:rsidR="00AF3C7B" w:rsidRPr="00AF3C7B">
              <w:rPr>
                <w:rFonts w:hint="eastAsia"/>
                <w:color w:val="000000"/>
                <w:w w:val="21"/>
                <w:shd w:val="solid" w:color="000000" w:fill="000000"/>
                <w:fitText w:val="96" w:id="-629961977"/>
                <w14:textFill>
                  <w14:solidFill>
                    <w14:srgbClr w14:val="000000">
                      <w14:alpha w14:val="100000"/>
                    </w14:srgbClr>
                  </w14:solidFill>
                </w14:textFill>
              </w:rPr>
              <w:t xml:space="preserve">　</w:t>
            </w:r>
            <w:r w:rsidR="00AF3C7B" w:rsidRPr="00AF3C7B">
              <w:rPr>
                <w:color w:val="000000"/>
                <w:w w:val="21"/>
                <w:shd w:val="solid" w:color="000000" w:fill="000000"/>
                <w:fitText w:val="96" w:id="-629961977"/>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7"/>
                <w14:textFill>
                  <w14:solidFill>
                    <w14:srgbClr w14:val="000000">
                      <w14:alpha w14:val="100000"/>
                    </w14:srgbClr>
                  </w14:solidFill>
                </w14:textFill>
              </w:rPr>
              <w:t xml:space="preserve">　</w:t>
            </w:r>
            <w:r w:rsidR="008A7171" w:rsidRPr="00537649">
              <w:rPr>
                <w:vertAlign w:val="superscript"/>
              </w:rPr>
              <w:t>2</w:t>
            </w:r>
          </w:p>
          <w:p w14:paraId="7862A6CD" w14:textId="1B1E6C79" w:rsidR="00E92CA8" w:rsidRPr="00E92CA8" w:rsidRDefault="00E92CA8" w:rsidP="00F276FE">
            <w:pPr>
              <w:pStyle w:val="Tabletext0"/>
              <w:keepNext/>
              <w:jc w:val="center"/>
            </w:pPr>
            <w:r w:rsidRPr="00E92CA8">
              <w:t xml:space="preserve">Yr 4: </w:t>
            </w:r>
            <w:r w:rsidR="00AF3C7B" w:rsidRPr="00AF3C7B">
              <w:rPr>
                <w:rFonts w:hint="eastAsia"/>
                <w:color w:val="000000"/>
                <w:w w:val="21"/>
                <w:shd w:val="solid" w:color="000000" w:fill="000000"/>
                <w:fitText w:val="96" w:id="-629961976"/>
                <w14:textFill>
                  <w14:solidFill>
                    <w14:srgbClr w14:val="000000">
                      <w14:alpha w14:val="100000"/>
                    </w14:srgbClr>
                  </w14:solidFill>
                </w14:textFill>
              </w:rPr>
              <w:t xml:space="preserve">　</w:t>
            </w:r>
            <w:r w:rsidR="00AF3C7B" w:rsidRPr="00AF3C7B">
              <w:rPr>
                <w:color w:val="000000"/>
                <w:w w:val="21"/>
                <w:shd w:val="solid" w:color="000000" w:fill="000000"/>
                <w:fitText w:val="96" w:id="-629961976"/>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6"/>
                <w14:textFill>
                  <w14:solidFill>
                    <w14:srgbClr w14:val="000000">
                      <w14:alpha w14:val="100000"/>
                    </w14:srgbClr>
                  </w14:solidFill>
                </w14:textFill>
              </w:rPr>
              <w:t xml:space="preserve">　</w:t>
            </w:r>
            <w:r w:rsidR="008A7171" w:rsidRPr="00537649">
              <w:rPr>
                <w:vertAlign w:val="superscript"/>
              </w:rPr>
              <w:t>2</w:t>
            </w:r>
          </w:p>
          <w:p w14:paraId="7BA60001" w14:textId="43F15268" w:rsidR="00E92CA8" w:rsidRPr="00E92CA8" w:rsidRDefault="00E92CA8" w:rsidP="00F276FE">
            <w:pPr>
              <w:pStyle w:val="Tabletext0"/>
              <w:keepNext/>
              <w:jc w:val="center"/>
            </w:pPr>
            <w:r w:rsidRPr="00E92CA8">
              <w:t xml:space="preserve">Yr 5: </w:t>
            </w:r>
            <w:r w:rsidR="00AF3C7B" w:rsidRPr="00AF3C7B">
              <w:rPr>
                <w:rFonts w:hint="eastAsia"/>
                <w:color w:val="000000"/>
                <w:w w:val="21"/>
                <w:shd w:val="solid" w:color="000000" w:fill="000000"/>
                <w:fitText w:val="96" w:id="-629961975"/>
                <w14:textFill>
                  <w14:solidFill>
                    <w14:srgbClr w14:val="000000">
                      <w14:alpha w14:val="100000"/>
                    </w14:srgbClr>
                  </w14:solidFill>
                </w14:textFill>
              </w:rPr>
              <w:t xml:space="preserve">　</w:t>
            </w:r>
            <w:r w:rsidR="00AF3C7B" w:rsidRPr="00AF3C7B">
              <w:rPr>
                <w:color w:val="000000"/>
                <w:w w:val="21"/>
                <w:shd w:val="solid" w:color="000000" w:fill="000000"/>
                <w:fitText w:val="96" w:id="-629961975"/>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5"/>
                <w14:textFill>
                  <w14:solidFill>
                    <w14:srgbClr w14:val="000000">
                      <w14:alpha w14:val="100000"/>
                    </w14:srgbClr>
                  </w14:solidFill>
                </w14:textFill>
              </w:rPr>
              <w:t xml:space="preserve">　</w:t>
            </w:r>
            <w:r w:rsidR="008A7171" w:rsidRPr="00537649">
              <w:rPr>
                <w:vertAlign w:val="superscript"/>
              </w:rPr>
              <w:t>2</w:t>
            </w:r>
          </w:p>
          <w:p w14:paraId="51D36637" w14:textId="358EB90F" w:rsidR="00C465F0" w:rsidRPr="00E92CA8" w:rsidRDefault="00E92CA8" w:rsidP="00F276FE">
            <w:pPr>
              <w:pStyle w:val="Tabletext0"/>
              <w:keepNext/>
              <w:jc w:val="center"/>
            </w:pPr>
            <w:r w:rsidRPr="00E92CA8">
              <w:t xml:space="preserve">Yr 6: </w:t>
            </w:r>
            <w:r w:rsidR="00AF3C7B" w:rsidRPr="00AF3C7B">
              <w:rPr>
                <w:rFonts w:hint="eastAsia"/>
                <w:color w:val="000000"/>
                <w:w w:val="21"/>
                <w:shd w:val="solid" w:color="000000" w:fill="000000"/>
                <w:fitText w:val="96" w:id="-629961974"/>
                <w14:textFill>
                  <w14:solidFill>
                    <w14:srgbClr w14:val="000000">
                      <w14:alpha w14:val="100000"/>
                    </w14:srgbClr>
                  </w14:solidFill>
                </w14:textFill>
              </w:rPr>
              <w:t xml:space="preserve">　</w:t>
            </w:r>
            <w:r w:rsidR="00AF3C7B" w:rsidRPr="00AF3C7B">
              <w:rPr>
                <w:color w:val="000000"/>
                <w:w w:val="21"/>
                <w:shd w:val="solid" w:color="000000" w:fill="000000"/>
                <w:fitText w:val="96" w:id="-629961974"/>
                <w14:textFill>
                  <w14:solidFill>
                    <w14:srgbClr w14:val="000000">
                      <w14:alpha w14:val="100000"/>
                    </w14:srgbClr>
                  </w14:solidFill>
                </w14:textFill>
              </w:rPr>
              <w:t>|</w:t>
            </w:r>
            <w:r w:rsidR="00AF3C7B" w:rsidRPr="00AF3C7B">
              <w:rPr>
                <w:rFonts w:hint="eastAsia"/>
                <w:color w:val="000000"/>
                <w:w w:val="21"/>
                <w:shd w:val="solid" w:color="000000" w:fill="000000"/>
                <w:fitText w:val="96" w:id="-629961974"/>
                <w14:textFill>
                  <w14:solidFill>
                    <w14:srgbClr w14:val="000000">
                      <w14:alpha w14:val="100000"/>
                    </w14:srgbClr>
                  </w14:solidFill>
                </w14:textFill>
              </w:rPr>
              <w:t xml:space="preserve">　</w:t>
            </w:r>
            <w:r w:rsidR="008A7171" w:rsidRPr="00537649">
              <w:rPr>
                <w:vertAlign w:val="superscript"/>
              </w:rPr>
              <w:t>2</w:t>
            </w:r>
          </w:p>
        </w:tc>
        <w:tc>
          <w:tcPr>
            <w:tcW w:w="5781" w:type="dxa"/>
          </w:tcPr>
          <w:p w14:paraId="36052093" w14:textId="152350A5" w:rsidR="00E92CA8" w:rsidRPr="00E92CA8" w:rsidRDefault="00D15F1B" w:rsidP="00F276FE">
            <w:pPr>
              <w:pStyle w:val="TableText"/>
              <w:keepNext/>
              <w:widowControl/>
              <w:spacing w:after="120"/>
            </w:pPr>
            <w:r>
              <w:t>Calculations i</w:t>
            </w:r>
            <w:r w:rsidR="00F92A5F" w:rsidRPr="00D15F1B">
              <w:t xml:space="preserve">nclude </w:t>
            </w:r>
            <w:r w:rsidR="00AF3C7B" w:rsidRPr="001338E4">
              <w:rPr>
                <w:color w:val="000000"/>
                <w:spacing w:val="55"/>
                <w:shd w:val="solid" w:color="000000" w:fill="000000"/>
                <w:fitText w:val="336" w:id="-629961973"/>
                <w14:textFill>
                  <w14:solidFill>
                    <w14:srgbClr w14:val="000000">
                      <w14:alpha w14:val="100000"/>
                    </w14:srgbClr>
                  </w14:solidFill>
                </w14:textFill>
              </w:rPr>
              <w:t>|||</w:t>
            </w:r>
            <w:r w:rsidR="00AF3C7B" w:rsidRPr="001338E4">
              <w:rPr>
                <w:color w:val="000000"/>
                <w:spacing w:val="1"/>
                <w:shd w:val="solid" w:color="000000" w:fill="000000"/>
                <w:fitText w:val="336" w:id="-629961973"/>
                <w14:textFill>
                  <w14:solidFill>
                    <w14:srgbClr w14:val="000000">
                      <w14:alpha w14:val="100000"/>
                    </w14:srgbClr>
                  </w14:solidFill>
                </w14:textFill>
              </w:rPr>
              <w:t>|</w:t>
            </w:r>
            <w:r w:rsidR="00F359A3">
              <w:rPr>
                <w:vertAlign w:val="superscript"/>
              </w:rPr>
              <w:t>2</w:t>
            </w:r>
            <w:r w:rsidR="00851277" w:rsidRPr="00D15F1B">
              <w:t xml:space="preserve"> grandfathered patients </w:t>
            </w:r>
            <w:r w:rsidR="00F92A5F" w:rsidRPr="00D15F1B">
              <w:t>assumed to</w:t>
            </w:r>
            <w:r w:rsidR="00851277" w:rsidRPr="00D15F1B">
              <w:t xml:space="preserve"> receive a full course of treatment funded through the PBS/RPBS. Th</w:t>
            </w:r>
            <w:r w:rsidR="00F92A5F" w:rsidRPr="00D15F1B">
              <w:t xml:space="preserve">e </w:t>
            </w:r>
            <w:r w:rsidR="00DC6AA1">
              <w:t>evaluation</w:t>
            </w:r>
            <w:r w:rsidR="00F92A5F" w:rsidRPr="00D15F1B">
              <w:t xml:space="preserve"> considered th</w:t>
            </w:r>
            <w:r w:rsidR="00851277" w:rsidRPr="00D15F1B">
              <w:t>is assumption seems unreasonable</w:t>
            </w:r>
            <w:r w:rsidR="00F92A5F" w:rsidRPr="00D15F1B">
              <w:t>.</w:t>
            </w:r>
          </w:p>
        </w:tc>
      </w:tr>
      <w:tr w:rsidR="00126ECF" w:rsidRPr="00EF2E8A" w14:paraId="7AC81F24" w14:textId="77777777" w:rsidTr="006B3757">
        <w:trPr>
          <w:trHeight w:val="20"/>
        </w:trPr>
        <w:tc>
          <w:tcPr>
            <w:tcW w:w="1675" w:type="dxa"/>
          </w:tcPr>
          <w:p w14:paraId="6DF732CD" w14:textId="77777777" w:rsidR="00126ECF" w:rsidRPr="00F277AE" w:rsidRDefault="00126ECF" w:rsidP="00F276FE">
            <w:pPr>
              <w:pStyle w:val="Tabletext0"/>
              <w:keepNext/>
              <w:rPr>
                <w:szCs w:val="20"/>
              </w:rPr>
            </w:pPr>
            <w:r w:rsidRPr="00F277AE">
              <w:rPr>
                <w:szCs w:val="20"/>
              </w:rPr>
              <w:t>Scripts/patient/</w:t>
            </w:r>
          </w:p>
          <w:p w14:paraId="37385469" w14:textId="58758E6A" w:rsidR="00126ECF" w:rsidRPr="00F277AE" w:rsidRDefault="00126ECF" w:rsidP="00F276FE">
            <w:pPr>
              <w:pStyle w:val="Tabletext0"/>
              <w:keepNext/>
              <w:rPr>
                <w:szCs w:val="20"/>
              </w:rPr>
            </w:pPr>
            <w:r w:rsidRPr="00F277AE">
              <w:rPr>
                <w:szCs w:val="20"/>
              </w:rPr>
              <w:t>treatment course</w:t>
            </w:r>
          </w:p>
        </w:tc>
        <w:tc>
          <w:tcPr>
            <w:tcW w:w="1560" w:type="dxa"/>
          </w:tcPr>
          <w:p w14:paraId="0142B480" w14:textId="77777777" w:rsidR="00126ECF" w:rsidRPr="00F3283C" w:rsidRDefault="00126ECF" w:rsidP="00F276FE">
            <w:pPr>
              <w:pStyle w:val="Tabletext0"/>
              <w:keepNext/>
              <w:jc w:val="center"/>
            </w:pPr>
            <w:r w:rsidRPr="00F3283C">
              <w:t>8.87</w:t>
            </w:r>
          </w:p>
          <w:p w14:paraId="5007A92F" w14:textId="30E56C93" w:rsidR="00126ECF" w:rsidRPr="00F277AE" w:rsidRDefault="00126ECF" w:rsidP="00F276FE">
            <w:pPr>
              <w:pStyle w:val="Tabletext0"/>
              <w:keepNext/>
              <w:jc w:val="center"/>
            </w:pPr>
          </w:p>
        </w:tc>
        <w:tc>
          <w:tcPr>
            <w:tcW w:w="5781" w:type="dxa"/>
          </w:tcPr>
          <w:p w14:paraId="50F24EDC" w14:textId="1957EFAE" w:rsidR="00151EE6" w:rsidRPr="00D4509F" w:rsidRDefault="00126ECF" w:rsidP="00F276FE">
            <w:pPr>
              <w:pStyle w:val="TableText"/>
              <w:keepNext/>
              <w:widowControl/>
              <w:spacing w:after="120"/>
              <w:rPr>
                <w:rFonts w:cstheme="minorHAnsi"/>
                <w:szCs w:val="20"/>
              </w:rPr>
            </w:pPr>
            <w:r w:rsidRPr="00F277AE">
              <w:rPr>
                <w:rFonts w:cstheme="minorHAnsi"/>
                <w:szCs w:val="20"/>
              </w:rPr>
              <w:t xml:space="preserve">The average number of scripts dispensed to deliver a course of MIRV was based on the dosing (Q3W) and mean duration of treatment (26.6 weeks) of MIRV reported in the MIRASOL trial. </w:t>
            </w:r>
            <w:r w:rsidR="00151EE6" w:rsidRPr="00F277AE">
              <w:rPr>
                <w:rFonts w:cstheme="minorHAnsi"/>
                <w:szCs w:val="20"/>
              </w:rPr>
              <w:t>Assumes 100% compliance.</w:t>
            </w:r>
          </w:p>
        </w:tc>
      </w:tr>
      <w:tr w:rsidR="00126ECF" w:rsidRPr="00F277AE" w14:paraId="3F8142EE" w14:textId="77777777" w:rsidTr="006B3757">
        <w:trPr>
          <w:trHeight w:val="20"/>
        </w:trPr>
        <w:tc>
          <w:tcPr>
            <w:tcW w:w="1675" w:type="dxa"/>
          </w:tcPr>
          <w:p w14:paraId="569DB266" w14:textId="7F14B450" w:rsidR="00126ECF" w:rsidRPr="00F277AE" w:rsidRDefault="00126ECF" w:rsidP="00F276FE">
            <w:pPr>
              <w:pStyle w:val="Tabletext0"/>
              <w:keepNext/>
            </w:pPr>
            <w:r w:rsidRPr="00F277AE">
              <w:t>Total Scripts Dispensed</w:t>
            </w:r>
          </w:p>
        </w:tc>
        <w:tc>
          <w:tcPr>
            <w:tcW w:w="1560" w:type="dxa"/>
          </w:tcPr>
          <w:p w14:paraId="6B2522A8" w14:textId="6F0AF6A4" w:rsidR="00126ECF" w:rsidRPr="00F277AE" w:rsidRDefault="00126ECF" w:rsidP="00F276FE">
            <w:pPr>
              <w:pStyle w:val="Tabletext0"/>
              <w:keepNext/>
              <w:jc w:val="center"/>
            </w:pPr>
            <w:r w:rsidRPr="00F277AE">
              <w:t xml:space="preserve">Yr 1: </w:t>
            </w:r>
            <w:r w:rsidR="00AF3C7B" w:rsidRPr="00AF3C7B">
              <w:rPr>
                <w:rFonts w:hint="eastAsia"/>
                <w:color w:val="000000"/>
                <w:w w:val="21"/>
                <w:shd w:val="solid" w:color="000000" w:fill="000000"/>
                <w:fitText w:val="96" w:id="-629961972"/>
                <w14:textFill>
                  <w14:solidFill>
                    <w14:srgbClr w14:val="000000">
                      <w14:alpha w14:val="100000"/>
                    </w14:srgbClr>
                  </w14:solidFill>
                </w14:textFill>
              </w:rPr>
              <w:t xml:space="preserve">　</w:t>
            </w:r>
            <w:r w:rsidR="00AF3C7B" w:rsidRPr="00AF3C7B">
              <w:rPr>
                <w:color w:val="000000"/>
                <w:w w:val="21"/>
                <w:shd w:val="solid" w:color="000000" w:fill="000000"/>
                <w:fitText w:val="96" w:id="-629961972"/>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2"/>
                <w14:textFill>
                  <w14:solidFill>
                    <w14:srgbClr w14:val="000000">
                      <w14:alpha w14:val="100000"/>
                    </w14:srgbClr>
                  </w14:solidFill>
                </w14:textFill>
              </w:rPr>
              <w:t xml:space="preserve">　</w:t>
            </w:r>
            <w:r w:rsidR="008A7171" w:rsidRPr="00737598">
              <w:rPr>
                <w:vertAlign w:val="superscript"/>
              </w:rPr>
              <w:t>1</w:t>
            </w:r>
          </w:p>
          <w:p w14:paraId="5776CE2C" w14:textId="6416AE0F" w:rsidR="00126ECF" w:rsidRPr="00126ECF" w:rsidRDefault="00126ECF" w:rsidP="00F276FE">
            <w:pPr>
              <w:pStyle w:val="Tabletext0"/>
              <w:keepNext/>
              <w:jc w:val="center"/>
            </w:pPr>
            <w:r w:rsidRPr="00126ECF">
              <w:t xml:space="preserve">Yr 2: </w:t>
            </w:r>
            <w:r w:rsidR="00AF3C7B" w:rsidRPr="00AF3C7B">
              <w:rPr>
                <w:rFonts w:hint="eastAsia"/>
                <w:color w:val="000000"/>
                <w:w w:val="21"/>
                <w:shd w:val="solid" w:color="000000" w:fill="000000"/>
                <w:fitText w:val="96" w:id="-629961971"/>
                <w14:textFill>
                  <w14:solidFill>
                    <w14:srgbClr w14:val="000000">
                      <w14:alpha w14:val="100000"/>
                    </w14:srgbClr>
                  </w14:solidFill>
                </w14:textFill>
              </w:rPr>
              <w:t xml:space="preserve">　</w:t>
            </w:r>
            <w:r w:rsidR="00AF3C7B" w:rsidRPr="00AF3C7B">
              <w:rPr>
                <w:color w:val="000000"/>
                <w:w w:val="21"/>
                <w:shd w:val="solid" w:color="000000" w:fill="000000"/>
                <w:fitText w:val="96" w:id="-629961971"/>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1"/>
                <w14:textFill>
                  <w14:solidFill>
                    <w14:srgbClr w14:val="000000">
                      <w14:alpha w14:val="100000"/>
                    </w14:srgbClr>
                  </w14:solidFill>
                </w14:textFill>
              </w:rPr>
              <w:t xml:space="preserve">　</w:t>
            </w:r>
            <w:r w:rsidR="008A7171" w:rsidRPr="00737598">
              <w:rPr>
                <w:vertAlign w:val="superscript"/>
              </w:rPr>
              <w:t>1</w:t>
            </w:r>
          </w:p>
          <w:p w14:paraId="03D05324" w14:textId="05C71758" w:rsidR="00126ECF" w:rsidRPr="00126ECF" w:rsidRDefault="00126ECF" w:rsidP="00F276FE">
            <w:pPr>
              <w:pStyle w:val="Tabletext0"/>
              <w:keepNext/>
              <w:jc w:val="center"/>
            </w:pPr>
            <w:r w:rsidRPr="00126ECF">
              <w:t xml:space="preserve">Yr 3: </w:t>
            </w:r>
            <w:r w:rsidR="00AF3C7B" w:rsidRPr="00AF3C7B">
              <w:rPr>
                <w:rFonts w:hint="eastAsia"/>
                <w:color w:val="000000"/>
                <w:w w:val="21"/>
                <w:shd w:val="solid" w:color="000000" w:fill="000000"/>
                <w:fitText w:val="96" w:id="-629961970"/>
                <w14:textFill>
                  <w14:solidFill>
                    <w14:srgbClr w14:val="000000">
                      <w14:alpha w14:val="100000"/>
                    </w14:srgbClr>
                  </w14:solidFill>
                </w14:textFill>
              </w:rPr>
              <w:t xml:space="preserve">　</w:t>
            </w:r>
            <w:r w:rsidR="00AF3C7B" w:rsidRPr="00AF3C7B">
              <w:rPr>
                <w:color w:val="000000"/>
                <w:w w:val="21"/>
                <w:shd w:val="solid" w:color="000000" w:fill="000000"/>
                <w:fitText w:val="96" w:id="-629961970"/>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70"/>
                <w14:textFill>
                  <w14:solidFill>
                    <w14:srgbClr w14:val="000000">
                      <w14:alpha w14:val="100000"/>
                    </w14:srgbClr>
                  </w14:solidFill>
                </w14:textFill>
              </w:rPr>
              <w:t xml:space="preserve">　</w:t>
            </w:r>
            <w:r w:rsidR="008A7171" w:rsidRPr="00737598">
              <w:rPr>
                <w:vertAlign w:val="superscript"/>
              </w:rPr>
              <w:t>1</w:t>
            </w:r>
          </w:p>
          <w:p w14:paraId="6A1247CB" w14:textId="40652B5F" w:rsidR="00126ECF" w:rsidRPr="00126ECF" w:rsidRDefault="00126ECF" w:rsidP="00F276FE">
            <w:pPr>
              <w:pStyle w:val="Tabletext0"/>
              <w:keepNext/>
              <w:jc w:val="center"/>
            </w:pPr>
            <w:r w:rsidRPr="00126ECF">
              <w:t xml:space="preserve">Yr 4: </w:t>
            </w:r>
            <w:r w:rsidR="00AF3C7B" w:rsidRPr="00AF3C7B">
              <w:rPr>
                <w:rFonts w:hint="eastAsia"/>
                <w:color w:val="000000"/>
                <w:w w:val="21"/>
                <w:shd w:val="solid" w:color="000000" w:fill="000000"/>
                <w:fitText w:val="96" w:id="-629961969"/>
                <w14:textFill>
                  <w14:solidFill>
                    <w14:srgbClr w14:val="000000">
                      <w14:alpha w14:val="100000"/>
                    </w14:srgbClr>
                  </w14:solidFill>
                </w14:textFill>
              </w:rPr>
              <w:t xml:space="preserve">　</w:t>
            </w:r>
            <w:r w:rsidR="00AF3C7B" w:rsidRPr="00AF3C7B">
              <w:rPr>
                <w:color w:val="000000"/>
                <w:w w:val="21"/>
                <w:shd w:val="solid" w:color="000000" w:fill="000000"/>
                <w:fitText w:val="96" w:id="-629961969"/>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69"/>
                <w14:textFill>
                  <w14:solidFill>
                    <w14:srgbClr w14:val="000000">
                      <w14:alpha w14:val="100000"/>
                    </w14:srgbClr>
                  </w14:solidFill>
                </w14:textFill>
              </w:rPr>
              <w:t xml:space="preserve">　</w:t>
            </w:r>
            <w:r w:rsidR="008A7171" w:rsidRPr="00737598">
              <w:rPr>
                <w:vertAlign w:val="superscript"/>
              </w:rPr>
              <w:t>1</w:t>
            </w:r>
          </w:p>
          <w:p w14:paraId="5A592E08" w14:textId="27F18954" w:rsidR="00126ECF" w:rsidRPr="00126ECF" w:rsidRDefault="00126ECF" w:rsidP="00F276FE">
            <w:pPr>
              <w:pStyle w:val="Tabletext0"/>
              <w:keepNext/>
              <w:jc w:val="center"/>
            </w:pPr>
            <w:r w:rsidRPr="00126ECF">
              <w:t xml:space="preserve">Yr 5: </w:t>
            </w:r>
            <w:r w:rsidR="00AF3C7B" w:rsidRPr="00AF3C7B">
              <w:rPr>
                <w:rFonts w:hint="eastAsia"/>
                <w:color w:val="000000"/>
                <w:w w:val="21"/>
                <w:shd w:val="solid" w:color="000000" w:fill="000000"/>
                <w:fitText w:val="96" w:id="-629961968"/>
                <w14:textFill>
                  <w14:solidFill>
                    <w14:srgbClr w14:val="000000">
                      <w14:alpha w14:val="100000"/>
                    </w14:srgbClr>
                  </w14:solidFill>
                </w14:textFill>
              </w:rPr>
              <w:t xml:space="preserve">　</w:t>
            </w:r>
            <w:r w:rsidR="00AF3C7B" w:rsidRPr="00AF3C7B">
              <w:rPr>
                <w:color w:val="000000"/>
                <w:w w:val="21"/>
                <w:shd w:val="solid" w:color="000000" w:fill="000000"/>
                <w:fitText w:val="96" w:id="-629961968"/>
                <w14:textFill>
                  <w14:solidFill>
                    <w14:srgbClr w14:val="000000">
                      <w14:alpha w14:val="100000"/>
                    </w14:srgbClr>
                  </w14:solidFill>
                </w14:textFill>
              </w:rPr>
              <w:t>|</w:t>
            </w:r>
            <w:r w:rsidR="00AF3C7B" w:rsidRPr="00AF3C7B">
              <w:rPr>
                <w:rFonts w:hint="eastAsia"/>
                <w:color w:val="000000"/>
                <w:spacing w:val="5"/>
                <w:w w:val="21"/>
                <w:shd w:val="solid" w:color="000000" w:fill="000000"/>
                <w:fitText w:val="96" w:id="-629961968"/>
                <w14:textFill>
                  <w14:solidFill>
                    <w14:srgbClr w14:val="000000">
                      <w14:alpha w14:val="100000"/>
                    </w14:srgbClr>
                  </w14:solidFill>
                </w14:textFill>
              </w:rPr>
              <w:t xml:space="preserve">　</w:t>
            </w:r>
            <w:r w:rsidR="008A7171" w:rsidRPr="00737598">
              <w:rPr>
                <w:vertAlign w:val="superscript"/>
              </w:rPr>
              <w:t>1</w:t>
            </w:r>
          </w:p>
          <w:p w14:paraId="612956C5" w14:textId="7ED8B3EC" w:rsidR="00126ECF" w:rsidRPr="00F277AE" w:rsidRDefault="00126ECF" w:rsidP="00F276FE">
            <w:pPr>
              <w:pStyle w:val="Tabletext0"/>
              <w:keepNext/>
              <w:jc w:val="center"/>
            </w:pPr>
            <w:r w:rsidRPr="00F277AE">
              <w:t xml:space="preserve">Yr 6: </w:t>
            </w:r>
            <w:r w:rsidR="00AF3C7B" w:rsidRPr="001338E4">
              <w:rPr>
                <w:rFonts w:hint="eastAsia"/>
                <w:color w:val="000000"/>
                <w:w w:val="21"/>
                <w:shd w:val="solid" w:color="000000" w:fill="000000"/>
                <w:fitText w:val="96" w:id="-629961984"/>
                <w14:textFill>
                  <w14:solidFill>
                    <w14:srgbClr w14:val="000000">
                      <w14:alpha w14:val="100000"/>
                    </w14:srgbClr>
                  </w14:solidFill>
                </w14:textFill>
              </w:rPr>
              <w:t xml:space="preserve">　</w:t>
            </w:r>
            <w:r w:rsidR="00AF3C7B" w:rsidRPr="001338E4">
              <w:rPr>
                <w:color w:val="000000"/>
                <w:w w:val="21"/>
                <w:shd w:val="solid" w:color="000000" w:fill="000000"/>
                <w:fitText w:val="96" w:id="-629961984"/>
                <w14:textFill>
                  <w14:solidFill>
                    <w14:srgbClr w14:val="000000">
                      <w14:alpha w14:val="100000"/>
                    </w14:srgbClr>
                  </w14:solidFill>
                </w14:textFill>
              </w:rPr>
              <w:t>|</w:t>
            </w:r>
            <w:r w:rsidR="00AF3C7B" w:rsidRPr="001338E4">
              <w:rPr>
                <w:rFonts w:hint="eastAsia"/>
                <w:color w:val="000000"/>
                <w:spacing w:val="5"/>
                <w:w w:val="21"/>
                <w:shd w:val="solid" w:color="000000" w:fill="000000"/>
                <w:fitText w:val="96" w:id="-629961984"/>
                <w14:textFill>
                  <w14:solidFill>
                    <w14:srgbClr w14:val="000000">
                      <w14:alpha w14:val="100000"/>
                    </w14:srgbClr>
                  </w14:solidFill>
                </w14:textFill>
              </w:rPr>
              <w:t xml:space="preserve">　</w:t>
            </w:r>
            <w:r w:rsidR="008A7171" w:rsidRPr="00737598">
              <w:rPr>
                <w:vertAlign w:val="superscript"/>
              </w:rPr>
              <w:t>1</w:t>
            </w:r>
          </w:p>
        </w:tc>
        <w:tc>
          <w:tcPr>
            <w:tcW w:w="5781" w:type="dxa"/>
          </w:tcPr>
          <w:p w14:paraId="09F2B7C9" w14:textId="05B9506B" w:rsidR="00F277AE" w:rsidRPr="00F277AE" w:rsidRDefault="00F277AE" w:rsidP="00F276FE">
            <w:pPr>
              <w:pStyle w:val="TableText"/>
              <w:keepNext/>
              <w:widowControl/>
              <w:spacing w:after="120"/>
              <w:rPr>
                <w:rFonts w:cstheme="minorHAnsi"/>
                <w:szCs w:val="20"/>
              </w:rPr>
            </w:pPr>
            <w:r w:rsidRPr="00F277AE">
              <w:rPr>
                <w:rFonts w:cstheme="minorHAnsi"/>
                <w:szCs w:val="20"/>
              </w:rPr>
              <w:t>Calculation: Number treated x scripts/patient/treatment course.</w:t>
            </w:r>
          </w:p>
        </w:tc>
      </w:tr>
    </w:tbl>
    <w:p w14:paraId="6A5FA462" w14:textId="294E6866" w:rsidR="00D47C1B" w:rsidRPr="00F277AE" w:rsidRDefault="00D47C1B" w:rsidP="00591C83">
      <w:pPr>
        <w:pStyle w:val="TableFigureFooter"/>
      </w:pPr>
      <w:r w:rsidRPr="00F277AE">
        <w:t>Source: Developed during the evaluation using data from Tables 4.2</w:t>
      </w:r>
      <w:r w:rsidR="00A46D2B">
        <w:noBreakHyphen/>
      </w:r>
      <w:r w:rsidRPr="00F277AE">
        <w:t>1 – 4.2</w:t>
      </w:r>
      <w:r w:rsidR="00A46D2B">
        <w:noBreakHyphen/>
      </w:r>
      <w:r w:rsidRPr="00F277AE">
        <w:t>6, pp207</w:t>
      </w:r>
      <w:r w:rsidR="00A46D2B">
        <w:noBreakHyphen/>
      </w:r>
      <w:r w:rsidRPr="00F277AE">
        <w:t>210 of the submission</w:t>
      </w:r>
    </w:p>
    <w:p w14:paraId="72322AA0" w14:textId="3F9DBC7D" w:rsidR="00D47C1B" w:rsidRPr="00F277AE" w:rsidRDefault="00D47C1B" w:rsidP="00591C83">
      <w:pPr>
        <w:pStyle w:val="TableFigureFooter"/>
      </w:pPr>
      <w:r w:rsidRPr="00F277AE">
        <w:t>AIHW= Australian Institute Health and Welfare; BIA = budget impact analysis; DUSC = Drug Utilisation sub</w:t>
      </w:r>
      <w:r w:rsidR="00A46D2B">
        <w:noBreakHyphen/>
      </w:r>
      <w:r w:rsidRPr="00F277AE">
        <w:t>committee; FRα=folate receptor alpha; MIRV = mirvetuximab soravtansine; OS = overall survival; PBS= Pharmaceutical Benefits Scheme; PFS = progression</w:t>
      </w:r>
      <w:r w:rsidR="00A46D2B">
        <w:noBreakHyphen/>
      </w:r>
      <w:r w:rsidRPr="00F277AE">
        <w:t xml:space="preserve">free survival; PROC = platinum resistant ovarian cancer; RPBS= Repatriation Pharmaceutical Benefits Scheme; Q3W = every 3 weeks; SOC = standard of care </w:t>
      </w:r>
    </w:p>
    <w:p w14:paraId="0BF360AB" w14:textId="731081F8" w:rsidR="006853EB" w:rsidRDefault="00D47C1B" w:rsidP="00591C83">
      <w:pPr>
        <w:pStyle w:val="TableFigureFooter"/>
      </w:pPr>
      <w:proofErr w:type="gramStart"/>
      <w:r w:rsidRPr="00F277AE">
        <w:rPr>
          <w:vertAlign w:val="superscript"/>
        </w:rPr>
        <w:t>a</w:t>
      </w:r>
      <w:r w:rsidRPr="00F277AE">
        <w:t xml:space="preserve"> Number of</w:t>
      </w:r>
      <w:proofErr w:type="gramEnd"/>
      <w:r w:rsidRPr="00F277AE">
        <w:t xml:space="preserve"> treated patients estimated at each step in Year 1 of the financial estimates.</w:t>
      </w:r>
      <w:r w:rsidR="00B65B3F">
        <w:t xml:space="preserve"> </w:t>
      </w:r>
    </w:p>
    <w:p w14:paraId="7BDC86B7" w14:textId="77777777" w:rsidR="00737598" w:rsidRPr="000A4147" w:rsidRDefault="006853EB" w:rsidP="00591C83">
      <w:pPr>
        <w:pStyle w:val="TableFigureFooter"/>
        <w:rPr>
          <w:i/>
          <w:iCs/>
        </w:rPr>
      </w:pPr>
      <w:r w:rsidRPr="000A4147">
        <w:rPr>
          <w:i/>
          <w:iCs/>
        </w:rPr>
        <w:t>The redacted values correspond to the following ranges:</w:t>
      </w:r>
      <w:r w:rsidR="00737598" w:rsidRPr="000A4147">
        <w:rPr>
          <w:i/>
          <w:iCs/>
        </w:rPr>
        <w:t xml:space="preserve"> </w:t>
      </w:r>
    </w:p>
    <w:p w14:paraId="588FA822" w14:textId="77777777" w:rsidR="008840AF" w:rsidRPr="000A4147" w:rsidRDefault="00737598" w:rsidP="00591C83">
      <w:pPr>
        <w:pStyle w:val="TableFigureFooter"/>
        <w:rPr>
          <w:i/>
          <w:iCs/>
        </w:rPr>
      </w:pPr>
      <w:r w:rsidRPr="000A4147">
        <w:rPr>
          <w:i/>
          <w:iCs/>
          <w:vertAlign w:val="superscript"/>
        </w:rPr>
        <w:t xml:space="preserve">1 </w:t>
      </w:r>
      <w:r w:rsidRPr="000A4147">
        <w:rPr>
          <w:i/>
          <w:iCs/>
        </w:rPr>
        <w:t>500 to &lt; 5,000</w:t>
      </w:r>
      <w:r w:rsidR="008840AF" w:rsidRPr="000A4147">
        <w:rPr>
          <w:i/>
          <w:iCs/>
        </w:rPr>
        <w:t xml:space="preserve"> </w:t>
      </w:r>
    </w:p>
    <w:p w14:paraId="099A32F7" w14:textId="6F422B9A" w:rsidR="00D47C1B" w:rsidRPr="000A4147" w:rsidRDefault="008840AF" w:rsidP="00591C83">
      <w:pPr>
        <w:pStyle w:val="TableFigureFooter"/>
        <w:rPr>
          <w:i/>
          <w:iCs/>
        </w:rPr>
      </w:pPr>
      <w:r w:rsidRPr="000A4147">
        <w:rPr>
          <w:i/>
          <w:iCs/>
          <w:vertAlign w:val="superscript"/>
        </w:rPr>
        <w:t>2</w:t>
      </w:r>
      <w:r w:rsidRPr="000A4147">
        <w:rPr>
          <w:i/>
          <w:iCs/>
        </w:rPr>
        <w:t xml:space="preserve"> &lt;500</w:t>
      </w:r>
    </w:p>
    <w:p w14:paraId="7BA1E480" w14:textId="0678DB59" w:rsidR="00D47C1B" w:rsidRPr="0033558D" w:rsidRDefault="00D47C1B" w:rsidP="00591C83">
      <w:pPr>
        <w:pStyle w:val="ListParagraph"/>
        <w:rPr>
          <w:color w:val="3366FF"/>
        </w:rPr>
      </w:pPr>
      <w:r w:rsidRPr="0033558D">
        <w:t xml:space="preserve">The </w:t>
      </w:r>
      <w:r w:rsidR="004D0952">
        <w:t>estimates</w:t>
      </w:r>
      <w:r w:rsidR="004D0952" w:rsidRPr="0033558D">
        <w:t xml:space="preserve"> </w:t>
      </w:r>
      <w:r w:rsidRPr="0033558D">
        <w:t xml:space="preserve">considered additional costs to the PBS/Repatriation Pharmaceutical Benefits Scheme (RPBS) from the use of prophylactic treatments for ocular events (for patients treated with MIRV) and cost offsets flowing from a reduction in comparator treatments (ICC and BEVA + ICC). Consistent with the economic evaluation, the </w:t>
      </w:r>
      <w:r w:rsidR="00E57AF7">
        <w:t>estimates</w:t>
      </w:r>
      <w:r w:rsidR="00E57AF7" w:rsidRPr="0033558D">
        <w:t xml:space="preserve"> </w:t>
      </w:r>
      <w:r w:rsidRPr="0033558D">
        <w:t>assume</w:t>
      </w:r>
      <w:r w:rsidR="00E57AF7">
        <w:t>d</w:t>
      </w:r>
      <w:r w:rsidRPr="0033558D">
        <w:t xml:space="preserve"> a 50:50 split between patients treated with ICC or BEVA + ICC. The selection of substituted treatments, scripts per treatment and population split is based on that used in the comparator arm of the MIRASOL (ICC</w:t>
      </w:r>
      <w:r w:rsidR="00A46D2B">
        <w:noBreakHyphen/>
      </w:r>
      <w:r w:rsidRPr="0033558D">
        <w:t xml:space="preserve"> PLD, paclitaxel, topotecan) and AURELIA trials (BEVA). However, the chemotherapy regimens used in MIRASOL were not consistent with</w:t>
      </w:r>
      <w:r w:rsidRPr="0033558D">
        <w:rPr>
          <w:szCs w:val="20"/>
        </w:rPr>
        <w:t xml:space="preserve"> non</w:t>
      </w:r>
      <w:r w:rsidR="00A46D2B">
        <w:rPr>
          <w:szCs w:val="20"/>
        </w:rPr>
        <w:noBreakHyphen/>
      </w:r>
      <w:r w:rsidRPr="0033558D">
        <w:rPr>
          <w:szCs w:val="20"/>
        </w:rPr>
        <w:t>platinum chemotherapy regimens used in Australia (based on CaSP registry data)</w:t>
      </w:r>
      <w:r w:rsidRPr="0033558D">
        <w:t xml:space="preserve"> </w:t>
      </w:r>
      <w:r w:rsidRPr="0033558D">
        <w:rPr>
          <w:szCs w:val="20"/>
        </w:rPr>
        <w:t>which demonstrate greater use of PLD and BEVA and little to no use of paclitaxel and topotecan. Given the greater unit costs of PLD and BEVA, cost offsets to the PBS/RPBS related to listing of MIRV may be underestimated.</w:t>
      </w:r>
    </w:p>
    <w:p w14:paraId="0CC7FA3D" w14:textId="1B9D6D32" w:rsidR="00D47C1B" w:rsidRPr="0033558D" w:rsidRDefault="00D47C1B" w:rsidP="00591C83">
      <w:pPr>
        <w:pStyle w:val="ListParagraph"/>
      </w:pPr>
      <w:r w:rsidRPr="0033558D">
        <w:t>The financial estimates also considered additional costs to the MBS associated with ophthalmic examinations for monitoring of ocular events for patients treated with MIRV (1 pre</w:t>
      </w:r>
      <w:r w:rsidR="00A46D2B">
        <w:noBreakHyphen/>
      </w:r>
      <w:r w:rsidRPr="0033558D">
        <w:t>treatment examination and 7 on</w:t>
      </w:r>
      <w:r w:rsidR="00A46D2B">
        <w:noBreakHyphen/>
      </w:r>
      <w:r w:rsidRPr="0033558D">
        <w:t xml:space="preserve">treatment examinations, as per </w:t>
      </w:r>
      <w:r w:rsidRPr="0033558D">
        <w:lastRenderedPageBreak/>
        <w:t>prescribing instructions for the first 8 cycles), as well as cost offsets resulting from changes in MBS items used for the administration of antineoplastic agents (flowing from the reduction in the number of administrations required to complete a course of treatment with MIRV [8.87] compared with ICC or BEVA + ICC [14.41]). This was appropriate.</w:t>
      </w:r>
    </w:p>
    <w:p w14:paraId="6ED7B3D3" w14:textId="2BC0A828" w:rsidR="00D47C1B" w:rsidRPr="0033558D" w:rsidRDefault="00D47C1B" w:rsidP="00591C83">
      <w:pPr>
        <w:pStyle w:val="ListParagraph"/>
      </w:pPr>
      <w:r w:rsidRPr="0033558D">
        <w:t>The estimated use and financial implications of listing the proposed co</w:t>
      </w:r>
      <w:r w:rsidR="00A46D2B">
        <w:noBreakHyphen/>
      </w:r>
      <w:r w:rsidRPr="0033558D">
        <w:t xml:space="preserve">dependent technologies to the health budget is presented in </w:t>
      </w:r>
      <w:r w:rsidR="00D7203C">
        <w:fldChar w:fldCharType="begin" w:fldLock="1"/>
      </w:r>
      <w:r w:rsidR="00D7203C">
        <w:instrText xml:space="preserve"> REF _Ref205199147 \h </w:instrText>
      </w:r>
      <w:r w:rsidR="00D7203C">
        <w:fldChar w:fldCharType="separate"/>
      </w:r>
      <w:r w:rsidR="00CC5CAD">
        <w:t xml:space="preserve">Table </w:t>
      </w:r>
      <w:r w:rsidR="00CC5CAD">
        <w:rPr>
          <w:noProof/>
        </w:rPr>
        <w:t>25</w:t>
      </w:r>
      <w:r w:rsidR="00D7203C">
        <w:fldChar w:fldCharType="end"/>
      </w:r>
      <w:r w:rsidRPr="0033558D">
        <w:fldChar w:fldCharType="begin" w:fldLock="1"/>
      </w:r>
      <w:r w:rsidRPr="0033558D">
        <w:instrText xml:space="preserve"> REF _Ref198628320 \h  \* MERGEFORMAT </w:instrText>
      </w:r>
      <w:r w:rsidRPr="0033558D">
        <w:fldChar w:fldCharType="end"/>
      </w:r>
      <w:r w:rsidRPr="0033558D">
        <w:t>.</w:t>
      </w:r>
    </w:p>
    <w:p w14:paraId="595864B4" w14:textId="4F8DF055" w:rsidR="00D7203C" w:rsidRDefault="00D7203C" w:rsidP="00B705A8">
      <w:pPr>
        <w:pStyle w:val="Caption"/>
        <w:keepLines/>
      </w:pPr>
      <w:bookmarkStart w:id="88" w:name="_Ref205199147"/>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25</w:t>
      </w:r>
      <w:r w:rsidR="00CC5CAD">
        <w:rPr>
          <w:noProof/>
        </w:rPr>
        <w:fldChar w:fldCharType="end"/>
      </w:r>
      <w:bookmarkEnd w:id="88"/>
      <w:r>
        <w:t xml:space="preserve">: </w:t>
      </w:r>
      <w:r w:rsidRPr="00561EFE">
        <w:t>Estimated use and financial implications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5: Estimated use and financial implications"/>
      </w:tblPr>
      <w:tblGrid>
        <w:gridCol w:w="2514"/>
        <w:gridCol w:w="1080"/>
        <w:gridCol w:w="1082"/>
        <w:gridCol w:w="1080"/>
        <w:gridCol w:w="1080"/>
        <w:gridCol w:w="1080"/>
        <w:gridCol w:w="1010"/>
      </w:tblGrid>
      <w:tr w:rsidR="00D47C1B" w:rsidRPr="00445EE0" w14:paraId="7350FAB6" w14:textId="77777777" w:rsidTr="00E979AE">
        <w:trPr>
          <w:tblHeader/>
        </w:trPr>
        <w:tc>
          <w:tcPr>
            <w:tcW w:w="1408" w:type="pct"/>
            <w:vAlign w:val="center"/>
          </w:tcPr>
          <w:p w14:paraId="32D43F1A" w14:textId="77777777" w:rsidR="00D47C1B" w:rsidRPr="00445EE0" w:rsidRDefault="00D47C1B" w:rsidP="00B705A8">
            <w:pPr>
              <w:keepNext/>
              <w:keepLines/>
              <w:spacing w:before="0" w:after="0"/>
              <w:jc w:val="left"/>
              <w:rPr>
                <w:rFonts w:ascii="Arial Narrow" w:hAnsi="Arial Narrow"/>
                <w:b/>
                <w:sz w:val="20"/>
              </w:rPr>
            </w:pPr>
          </w:p>
        </w:tc>
        <w:tc>
          <w:tcPr>
            <w:tcW w:w="605" w:type="pct"/>
            <w:vAlign w:val="center"/>
          </w:tcPr>
          <w:p w14:paraId="13859FBD" w14:textId="77777777" w:rsidR="00D47C1B" w:rsidRPr="00445EE0" w:rsidRDefault="00D47C1B" w:rsidP="00B705A8">
            <w:pPr>
              <w:keepNext/>
              <w:keepLines/>
              <w:spacing w:before="0" w:after="0"/>
              <w:jc w:val="center"/>
              <w:rPr>
                <w:rFonts w:ascii="Arial Narrow" w:eastAsiaTheme="majorEastAsia" w:hAnsi="Arial Narrow" w:cs="Times New Roman"/>
                <w:sz w:val="20"/>
                <w:szCs w:val="24"/>
                <w:lang w:eastAsia="en-AU"/>
              </w:rPr>
            </w:pPr>
            <w:r w:rsidRPr="00445EE0">
              <w:rPr>
                <w:rFonts w:ascii="Arial Narrow" w:eastAsiaTheme="majorEastAsia" w:hAnsi="Arial Narrow" w:cs="Times New Roman"/>
                <w:b/>
                <w:sz w:val="20"/>
                <w:szCs w:val="24"/>
                <w:lang w:eastAsia="en-AU"/>
              </w:rPr>
              <w:t>Year 1</w:t>
            </w:r>
          </w:p>
          <w:p w14:paraId="084DE098" w14:textId="77777777" w:rsidR="00D47C1B" w:rsidRPr="00445EE0" w:rsidRDefault="00D47C1B" w:rsidP="00B705A8">
            <w:pPr>
              <w:keepNext/>
              <w:keepLines/>
              <w:spacing w:before="0" w:after="0"/>
              <w:jc w:val="center"/>
              <w:rPr>
                <w:rFonts w:ascii="Arial Narrow" w:hAnsi="Arial Narrow"/>
                <w:b/>
                <w:sz w:val="20"/>
              </w:rPr>
            </w:pPr>
            <w:r w:rsidRPr="00445EE0">
              <w:rPr>
                <w:rFonts w:ascii="Arial Narrow" w:hAnsi="Arial Narrow"/>
                <w:b/>
                <w:bCs/>
                <w:sz w:val="20"/>
              </w:rPr>
              <w:t>2025</w:t>
            </w:r>
          </w:p>
        </w:tc>
        <w:tc>
          <w:tcPr>
            <w:tcW w:w="606" w:type="pct"/>
            <w:vAlign w:val="center"/>
          </w:tcPr>
          <w:p w14:paraId="2EADCCE9" w14:textId="77777777" w:rsidR="00D47C1B" w:rsidRPr="00445EE0" w:rsidRDefault="00D47C1B" w:rsidP="00B705A8">
            <w:pPr>
              <w:keepNext/>
              <w:keepLines/>
              <w:spacing w:before="0" w:after="0"/>
              <w:jc w:val="center"/>
              <w:rPr>
                <w:rFonts w:ascii="Arial Narrow" w:eastAsiaTheme="majorEastAsia" w:hAnsi="Arial Narrow" w:cs="Times New Roman"/>
                <w:sz w:val="20"/>
                <w:szCs w:val="24"/>
                <w:lang w:eastAsia="en-AU"/>
              </w:rPr>
            </w:pPr>
            <w:r w:rsidRPr="00445EE0">
              <w:rPr>
                <w:rFonts w:ascii="Arial Narrow" w:eastAsiaTheme="majorEastAsia" w:hAnsi="Arial Narrow" w:cs="Times New Roman"/>
                <w:b/>
                <w:sz w:val="20"/>
                <w:szCs w:val="24"/>
                <w:lang w:eastAsia="en-AU"/>
              </w:rPr>
              <w:t>Year 2</w:t>
            </w:r>
          </w:p>
          <w:p w14:paraId="5C9AC821" w14:textId="77777777" w:rsidR="00D47C1B" w:rsidRPr="00445EE0" w:rsidRDefault="00D47C1B" w:rsidP="00B705A8">
            <w:pPr>
              <w:keepNext/>
              <w:keepLines/>
              <w:spacing w:before="0" w:after="0"/>
              <w:jc w:val="center"/>
              <w:rPr>
                <w:rFonts w:ascii="Arial Narrow" w:hAnsi="Arial Narrow"/>
                <w:b/>
                <w:sz w:val="20"/>
              </w:rPr>
            </w:pPr>
            <w:r w:rsidRPr="00445EE0">
              <w:rPr>
                <w:rFonts w:ascii="Arial Narrow" w:hAnsi="Arial Narrow"/>
                <w:b/>
                <w:bCs/>
                <w:sz w:val="20"/>
              </w:rPr>
              <w:t>2026</w:t>
            </w:r>
          </w:p>
        </w:tc>
        <w:tc>
          <w:tcPr>
            <w:tcW w:w="605" w:type="pct"/>
            <w:vAlign w:val="center"/>
          </w:tcPr>
          <w:p w14:paraId="38FC90C0" w14:textId="77777777" w:rsidR="00D47C1B" w:rsidRPr="00445EE0" w:rsidRDefault="00D47C1B" w:rsidP="00B705A8">
            <w:pPr>
              <w:keepNext/>
              <w:keepLines/>
              <w:spacing w:before="0" w:after="0"/>
              <w:jc w:val="center"/>
              <w:rPr>
                <w:rFonts w:ascii="Arial Narrow" w:eastAsiaTheme="majorEastAsia" w:hAnsi="Arial Narrow" w:cs="Times New Roman"/>
                <w:sz w:val="20"/>
                <w:szCs w:val="24"/>
                <w:lang w:eastAsia="en-AU"/>
              </w:rPr>
            </w:pPr>
            <w:r w:rsidRPr="00445EE0">
              <w:rPr>
                <w:rFonts w:ascii="Arial Narrow" w:eastAsiaTheme="majorEastAsia" w:hAnsi="Arial Narrow" w:cs="Times New Roman"/>
                <w:b/>
                <w:sz w:val="20"/>
                <w:szCs w:val="24"/>
                <w:lang w:eastAsia="en-AU"/>
              </w:rPr>
              <w:t>Year 3</w:t>
            </w:r>
          </w:p>
          <w:p w14:paraId="4C49EBC4" w14:textId="77777777" w:rsidR="00D47C1B" w:rsidRPr="00445EE0" w:rsidRDefault="00D47C1B" w:rsidP="00B705A8">
            <w:pPr>
              <w:keepNext/>
              <w:keepLines/>
              <w:spacing w:before="0" w:after="0"/>
              <w:jc w:val="center"/>
              <w:rPr>
                <w:rFonts w:ascii="Arial Narrow" w:hAnsi="Arial Narrow"/>
                <w:b/>
                <w:sz w:val="20"/>
              </w:rPr>
            </w:pPr>
            <w:r w:rsidRPr="00445EE0">
              <w:rPr>
                <w:rFonts w:ascii="Arial Narrow" w:hAnsi="Arial Narrow"/>
                <w:b/>
                <w:bCs/>
                <w:sz w:val="20"/>
              </w:rPr>
              <w:t>2027</w:t>
            </w:r>
          </w:p>
        </w:tc>
        <w:tc>
          <w:tcPr>
            <w:tcW w:w="605" w:type="pct"/>
            <w:vAlign w:val="center"/>
          </w:tcPr>
          <w:p w14:paraId="4AE6AC1F" w14:textId="77777777" w:rsidR="00D47C1B" w:rsidRPr="00445EE0" w:rsidRDefault="00D47C1B" w:rsidP="00B705A8">
            <w:pPr>
              <w:keepNext/>
              <w:keepLines/>
              <w:spacing w:before="0" w:after="0"/>
              <w:jc w:val="center"/>
              <w:rPr>
                <w:rFonts w:ascii="Arial Narrow" w:eastAsiaTheme="majorEastAsia" w:hAnsi="Arial Narrow" w:cs="Times New Roman"/>
                <w:sz w:val="20"/>
                <w:szCs w:val="24"/>
                <w:lang w:eastAsia="en-AU"/>
              </w:rPr>
            </w:pPr>
            <w:r w:rsidRPr="00445EE0">
              <w:rPr>
                <w:rFonts w:ascii="Arial Narrow" w:eastAsiaTheme="majorEastAsia" w:hAnsi="Arial Narrow" w:cs="Times New Roman"/>
                <w:b/>
                <w:sz w:val="20"/>
                <w:szCs w:val="24"/>
                <w:lang w:eastAsia="en-AU"/>
              </w:rPr>
              <w:t>Year 4</w:t>
            </w:r>
          </w:p>
          <w:p w14:paraId="0E660D03" w14:textId="77777777" w:rsidR="00D47C1B" w:rsidRPr="00445EE0" w:rsidRDefault="00D47C1B" w:rsidP="00B705A8">
            <w:pPr>
              <w:keepNext/>
              <w:keepLines/>
              <w:spacing w:before="0" w:after="0"/>
              <w:jc w:val="center"/>
              <w:rPr>
                <w:rFonts w:ascii="Arial Narrow" w:hAnsi="Arial Narrow"/>
                <w:b/>
                <w:sz w:val="20"/>
              </w:rPr>
            </w:pPr>
            <w:r w:rsidRPr="00445EE0">
              <w:rPr>
                <w:rFonts w:ascii="Arial Narrow" w:hAnsi="Arial Narrow"/>
                <w:b/>
                <w:bCs/>
                <w:sz w:val="20"/>
              </w:rPr>
              <w:t>2028</w:t>
            </w:r>
          </w:p>
        </w:tc>
        <w:tc>
          <w:tcPr>
            <w:tcW w:w="605" w:type="pct"/>
            <w:vAlign w:val="center"/>
          </w:tcPr>
          <w:p w14:paraId="7C0DE734" w14:textId="77777777" w:rsidR="00D47C1B" w:rsidRPr="00445EE0" w:rsidRDefault="00D47C1B" w:rsidP="00B705A8">
            <w:pPr>
              <w:keepNext/>
              <w:keepLines/>
              <w:spacing w:before="0" w:after="0"/>
              <w:jc w:val="center"/>
              <w:rPr>
                <w:rFonts w:ascii="Arial Narrow" w:eastAsiaTheme="majorEastAsia" w:hAnsi="Arial Narrow" w:cs="Times New Roman"/>
                <w:sz w:val="20"/>
                <w:szCs w:val="24"/>
                <w:lang w:eastAsia="en-AU"/>
              </w:rPr>
            </w:pPr>
            <w:r w:rsidRPr="00445EE0">
              <w:rPr>
                <w:rFonts w:ascii="Arial Narrow" w:eastAsiaTheme="majorEastAsia" w:hAnsi="Arial Narrow" w:cs="Times New Roman"/>
                <w:b/>
                <w:sz w:val="20"/>
                <w:szCs w:val="24"/>
                <w:lang w:eastAsia="en-AU"/>
              </w:rPr>
              <w:t>Year 5</w:t>
            </w:r>
          </w:p>
          <w:p w14:paraId="3C6BC228" w14:textId="77777777" w:rsidR="00D47C1B" w:rsidRPr="00445EE0" w:rsidRDefault="00D47C1B" w:rsidP="00B705A8">
            <w:pPr>
              <w:keepNext/>
              <w:keepLines/>
              <w:spacing w:before="0" w:after="0"/>
              <w:jc w:val="center"/>
              <w:rPr>
                <w:rFonts w:ascii="Arial Narrow" w:hAnsi="Arial Narrow"/>
                <w:b/>
                <w:sz w:val="20"/>
              </w:rPr>
            </w:pPr>
            <w:r w:rsidRPr="00445EE0">
              <w:rPr>
                <w:rFonts w:ascii="Arial Narrow" w:hAnsi="Arial Narrow"/>
                <w:b/>
                <w:bCs/>
                <w:sz w:val="20"/>
              </w:rPr>
              <w:t>2029</w:t>
            </w:r>
          </w:p>
        </w:tc>
        <w:tc>
          <w:tcPr>
            <w:tcW w:w="566" w:type="pct"/>
            <w:vAlign w:val="center"/>
          </w:tcPr>
          <w:p w14:paraId="0D045393" w14:textId="77777777" w:rsidR="00D47C1B" w:rsidRPr="00445EE0" w:rsidRDefault="00D47C1B" w:rsidP="00B705A8">
            <w:pPr>
              <w:keepNext/>
              <w:keepLines/>
              <w:spacing w:before="0" w:after="0"/>
              <w:jc w:val="center"/>
              <w:rPr>
                <w:rFonts w:ascii="Arial Narrow" w:eastAsiaTheme="majorEastAsia" w:hAnsi="Arial Narrow" w:cs="Times New Roman"/>
                <w:sz w:val="20"/>
                <w:szCs w:val="24"/>
                <w:lang w:eastAsia="en-AU"/>
              </w:rPr>
            </w:pPr>
            <w:r w:rsidRPr="00445EE0">
              <w:rPr>
                <w:rFonts w:ascii="Arial Narrow" w:eastAsiaTheme="majorEastAsia" w:hAnsi="Arial Narrow" w:cs="Times New Roman"/>
                <w:b/>
                <w:sz w:val="20"/>
                <w:szCs w:val="24"/>
                <w:lang w:eastAsia="en-AU"/>
              </w:rPr>
              <w:t>Year 6</w:t>
            </w:r>
          </w:p>
          <w:p w14:paraId="7A06D61C" w14:textId="77777777" w:rsidR="00D47C1B" w:rsidRPr="00445EE0" w:rsidRDefault="00D47C1B" w:rsidP="00B705A8">
            <w:pPr>
              <w:keepNext/>
              <w:keepLines/>
              <w:spacing w:before="0" w:after="0"/>
              <w:jc w:val="center"/>
              <w:rPr>
                <w:rFonts w:ascii="Arial Narrow" w:hAnsi="Arial Narrow"/>
                <w:b/>
                <w:sz w:val="20"/>
              </w:rPr>
            </w:pPr>
            <w:r w:rsidRPr="00445EE0">
              <w:rPr>
                <w:rFonts w:ascii="Arial Narrow" w:hAnsi="Arial Narrow"/>
                <w:b/>
                <w:bCs/>
                <w:sz w:val="20"/>
              </w:rPr>
              <w:t>2030</w:t>
            </w:r>
          </w:p>
        </w:tc>
      </w:tr>
      <w:tr w:rsidR="00D47C1B" w:rsidRPr="00445EE0" w14:paraId="4B701D1B" w14:textId="77777777" w:rsidTr="00E979AE">
        <w:tc>
          <w:tcPr>
            <w:tcW w:w="5000" w:type="pct"/>
            <w:gridSpan w:val="7"/>
            <w:vAlign w:val="center"/>
          </w:tcPr>
          <w:p w14:paraId="04AF12C7" w14:textId="77777777" w:rsidR="00D47C1B" w:rsidRPr="00445EE0" w:rsidRDefault="00D47C1B" w:rsidP="00B705A8">
            <w:pPr>
              <w:keepNext/>
              <w:keepLines/>
              <w:spacing w:before="0" w:after="0"/>
              <w:jc w:val="left"/>
              <w:rPr>
                <w:rFonts w:ascii="Arial Narrow" w:hAnsi="Arial Narrow"/>
                <w:b/>
                <w:sz w:val="20"/>
              </w:rPr>
            </w:pPr>
            <w:r w:rsidRPr="00445EE0">
              <w:rPr>
                <w:rFonts w:ascii="Arial Narrow" w:hAnsi="Arial Narrow"/>
                <w:b/>
                <w:sz w:val="20"/>
              </w:rPr>
              <w:t xml:space="preserve">Estimated extent of use of </w:t>
            </w:r>
            <w:r w:rsidRPr="00445EE0">
              <w:rPr>
                <w:rFonts w:ascii="Arial Narrow" w:hAnsi="Arial Narrow"/>
                <w:b/>
                <w:bCs/>
                <w:sz w:val="20"/>
              </w:rPr>
              <w:t>FR</w:t>
            </w:r>
            <w:r w:rsidRPr="00445EE0">
              <w:rPr>
                <w:rFonts w:ascii="Arial Narrow" w:hAnsi="Arial Narrow" w:cs="Calibri"/>
                <w:b/>
                <w:bCs/>
                <w:sz w:val="20"/>
              </w:rPr>
              <w:t>α</w:t>
            </w:r>
            <w:r w:rsidRPr="00445EE0">
              <w:rPr>
                <w:rFonts w:ascii="Arial Narrow" w:hAnsi="Arial Narrow"/>
                <w:b/>
                <w:bCs/>
                <w:sz w:val="20"/>
              </w:rPr>
              <w:t xml:space="preserve"> expression testing</w:t>
            </w:r>
          </w:p>
        </w:tc>
      </w:tr>
      <w:tr w:rsidR="00D47C1B" w:rsidRPr="00445EE0" w14:paraId="33E7AF55" w14:textId="77777777" w:rsidTr="00E979AE">
        <w:tc>
          <w:tcPr>
            <w:tcW w:w="1408" w:type="pct"/>
            <w:vAlign w:val="center"/>
          </w:tcPr>
          <w:p w14:paraId="27197338"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Number of patients tested (at primary diagnosis)</w:t>
            </w:r>
          </w:p>
        </w:tc>
        <w:tc>
          <w:tcPr>
            <w:tcW w:w="605" w:type="pct"/>
            <w:vAlign w:val="center"/>
          </w:tcPr>
          <w:p w14:paraId="16660017" w14:textId="0E852BE6"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2"/>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2"/>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2"/>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6" w:type="pct"/>
            <w:vAlign w:val="center"/>
          </w:tcPr>
          <w:p w14:paraId="621E368A" w14:textId="7223AB61"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6"/>
                <w:sz w:val="20"/>
                <w:shd w:val="solid" w:color="000000" w:fill="000000"/>
                <w:fitText w:val="72" w:id="-629961981"/>
                <w14:textFill>
                  <w14:solidFill>
                    <w14:srgbClr w14:val="000000">
                      <w14:alpha w14:val="100000"/>
                    </w14:srgbClr>
                  </w14:solidFill>
                </w14:textFill>
              </w:rPr>
              <w:t xml:space="preserve">　</w:t>
            </w:r>
            <w:r w:rsidRPr="00AF3C7B">
              <w:rPr>
                <w:rFonts w:ascii="Arial Narrow" w:hAnsi="Arial Narrow"/>
                <w:color w:val="000000"/>
                <w:w w:val="16"/>
                <w:sz w:val="20"/>
                <w:shd w:val="solid" w:color="000000" w:fill="000000"/>
                <w:fitText w:val="72" w:id="-629961981"/>
                <w14:textFill>
                  <w14:solidFill>
                    <w14:srgbClr w14:val="000000">
                      <w14:alpha w14:val="100000"/>
                    </w14:srgbClr>
                  </w14:solidFill>
                </w14:textFill>
              </w:rPr>
              <w:t>|</w:t>
            </w:r>
            <w:r w:rsidRPr="00AF3C7B">
              <w:rPr>
                <w:rFonts w:ascii="Arial Narrow" w:hAnsi="Arial Narrow" w:hint="eastAsia"/>
                <w:color w:val="000000"/>
                <w:spacing w:val="2"/>
                <w:w w:val="16"/>
                <w:sz w:val="20"/>
                <w:shd w:val="solid" w:color="000000" w:fill="000000"/>
                <w:fitText w:val="72" w:id="-629961981"/>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5" w:type="pct"/>
            <w:vAlign w:val="center"/>
          </w:tcPr>
          <w:p w14:paraId="3C1F3136" w14:textId="075DBECF"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0"/>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0"/>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0"/>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5" w:type="pct"/>
            <w:vAlign w:val="center"/>
          </w:tcPr>
          <w:p w14:paraId="13AFBFBC" w14:textId="77AB735D"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9"/>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9"/>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9"/>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5" w:type="pct"/>
            <w:vAlign w:val="center"/>
          </w:tcPr>
          <w:p w14:paraId="585B3DFA" w14:textId="2AAF3350"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8"/>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8"/>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8"/>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566" w:type="pct"/>
            <w:vAlign w:val="center"/>
          </w:tcPr>
          <w:p w14:paraId="3F657FE1" w14:textId="408C989F"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24"/>
                <w:sz w:val="20"/>
                <w:shd w:val="solid" w:color="000000" w:fill="000000"/>
                <w:fitText w:val="108" w:id="-629961977"/>
                <w14:textFill>
                  <w14:solidFill>
                    <w14:srgbClr w14:val="000000">
                      <w14:alpha w14:val="100000"/>
                    </w14:srgbClr>
                  </w14:solidFill>
                </w14:textFill>
              </w:rPr>
              <w:t xml:space="preserve">　</w:t>
            </w:r>
            <w:r w:rsidRPr="00AF3C7B">
              <w:rPr>
                <w:rFonts w:ascii="Arial Narrow" w:hAnsi="Arial Narrow"/>
                <w:color w:val="000000"/>
                <w:w w:val="24"/>
                <w:sz w:val="20"/>
                <w:shd w:val="solid" w:color="000000" w:fill="000000"/>
                <w:fitText w:val="108" w:id="-629961977"/>
                <w14:textFill>
                  <w14:solidFill>
                    <w14:srgbClr w14:val="000000">
                      <w14:alpha w14:val="100000"/>
                    </w14:srgbClr>
                  </w14:solidFill>
                </w14:textFill>
              </w:rPr>
              <w:t>|</w:t>
            </w:r>
            <w:r w:rsidRPr="00AF3C7B">
              <w:rPr>
                <w:rFonts w:ascii="Arial Narrow" w:hAnsi="Arial Narrow" w:hint="eastAsia"/>
                <w:color w:val="000000"/>
                <w:spacing w:val="4"/>
                <w:w w:val="24"/>
                <w:sz w:val="20"/>
                <w:shd w:val="solid" w:color="000000" w:fill="000000"/>
                <w:fitText w:val="108" w:id="-629961977"/>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r>
      <w:tr w:rsidR="00D47C1B" w:rsidRPr="00445EE0" w14:paraId="1D2D5FA8" w14:textId="77777777" w:rsidTr="00E979AE">
        <w:tc>
          <w:tcPr>
            <w:tcW w:w="1408" w:type="pct"/>
            <w:vAlign w:val="center"/>
          </w:tcPr>
          <w:p w14:paraId="5A3E2C7D"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Number of patients tested (at platinum resistance)</w:t>
            </w:r>
          </w:p>
        </w:tc>
        <w:tc>
          <w:tcPr>
            <w:tcW w:w="605" w:type="pct"/>
            <w:vAlign w:val="center"/>
          </w:tcPr>
          <w:p w14:paraId="1E3DA4BC" w14:textId="10AE963A"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zCs w:val="20"/>
                <w:shd w:val="solid" w:color="000000" w:fill="000000"/>
                <w:fitText w:val="60" w:id="-629961976"/>
                <w14:textFill>
                  <w14:solidFill>
                    <w14:srgbClr w14:val="000000">
                      <w14:alpha w14:val="100000"/>
                    </w14:srgbClr>
                  </w14:solidFill>
                </w14:textFill>
              </w:rPr>
              <w:t xml:space="preserve">　</w:t>
            </w:r>
            <w:r w:rsidRPr="00AF3C7B">
              <w:rPr>
                <w:rFonts w:ascii="Arial Narrow" w:hAnsi="Arial Narrow"/>
                <w:color w:val="000000"/>
                <w:w w:val="15"/>
                <w:sz w:val="20"/>
                <w:szCs w:val="20"/>
                <w:shd w:val="solid" w:color="000000" w:fill="000000"/>
                <w:fitText w:val="60" w:id="-629961976"/>
                <w14:textFill>
                  <w14:solidFill>
                    <w14:srgbClr w14:val="000000">
                      <w14:alpha w14:val="100000"/>
                    </w14:srgbClr>
                  </w14:solidFill>
                </w14:textFill>
              </w:rPr>
              <w:t>|</w:t>
            </w:r>
            <w:r w:rsidRPr="00AF3C7B">
              <w:rPr>
                <w:rFonts w:ascii="Arial Narrow" w:hAnsi="Arial Narrow" w:hint="eastAsia"/>
                <w:color w:val="000000"/>
                <w:spacing w:val="-5"/>
                <w:w w:val="15"/>
                <w:sz w:val="20"/>
                <w:szCs w:val="20"/>
                <w:shd w:val="solid" w:color="000000" w:fill="000000"/>
                <w:fitText w:val="60" w:id="-629961976"/>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6" w:type="pct"/>
            <w:vAlign w:val="center"/>
          </w:tcPr>
          <w:p w14:paraId="3DE5744C" w14:textId="569A889B"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6"/>
                <w:sz w:val="20"/>
                <w:szCs w:val="20"/>
                <w:shd w:val="solid" w:color="000000" w:fill="000000"/>
                <w:fitText w:val="72" w:id="-629961975"/>
                <w14:textFill>
                  <w14:solidFill>
                    <w14:srgbClr w14:val="000000">
                      <w14:alpha w14:val="100000"/>
                    </w14:srgbClr>
                  </w14:solidFill>
                </w14:textFill>
              </w:rPr>
              <w:t xml:space="preserve">　</w:t>
            </w:r>
            <w:r w:rsidRPr="00AF3C7B">
              <w:rPr>
                <w:rFonts w:ascii="Arial Narrow" w:hAnsi="Arial Narrow"/>
                <w:color w:val="000000"/>
                <w:w w:val="16"/>
                <w:sz w:val="20"/>
                <w:szCs w:val="20"/>
                <w:shd w:val="solid" w:color="000000" w:fill="000000"/>
                <w:fitText w:val="72" w:id="-629961975"/>
                <w14:textFill>
                  <w14:solidFill>
                    <w14:srgbClr w14:val="000000">
                      <w14:alpha w14:val="100000"/>
                    </w14:srgbClr>
                  </w14:solidFill>
                </w14:textFill>
              </w:rPr>
              <w:t>|</w:t>
            </w:r>
            <w:r w:rsidRPr="00AF3C7B">
              <w:rPr>
                <w:rFonts w:ascii="Arial Narrow" w:hAnsi="Arial Narrow" w:hint="eastAsia"/>
                <w:color w:val="000000"/>
                <w:spacing w:val="2"/>
                <w:w w:val="16"/>
                <w:sz w:val="20"/>
                <w:szCs w:val="20"/>
                <w:shd w:val="solid" w:color="000000" w:fill="000000"/>
                <w:fitText w:val="72" w:id="-629961975"/>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5" w:type="pct"/>
            <w:vAlign w:val="center"/>
          </w:tcPr>
          <w:p w14:paraId="26AB63B3" w14:textId="03C92F6D"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zCs w:val="20"/>
                <w:shd w:val="solid" w:color="000000" w:fill="000000"/>
                <w:fitText w:val="60" w:id="-629961974"/>
                <w14:textFill>
                  <w14:solidFill>
                    <w14:srgbClr w14:val="000000">
                      <w14:alpha w14:val="100000"/>
                    </w14:srgbClr>
                  </w14:solidFill>
                </w14:textFill>
              </w:rPr>
              <w:t xml:space="preserve">　</w:t>
            </w:r>
            <w:r w:rsidRPr="00AF3C7B">
              <w:rPr>
                <w:rFonts w:ascii="Arial Narrow" w:hAnsi="Arial Narrow"/>
                <w:color w:val="000000"/>
                <w:w w:val="15"/>
                <w:sz w:val="20"/>
                <w:szCs w:val="20"/>
                <w:shd w:val="solid" w:color="000000" w:fill="000000"/>
                <w:fitText w:val="60" w:id="-629961974"/>
                <w14:textFill>
                  <w14:solidFill>
                    <w14:srgbClr w14:val="000000">
                      <w14:alpha w14:val="100000"/>
                    </w14:srgbClr>
                  </w14:solidFill>
                </w14:textFill>
              </w:rPr>
              <w:t>|</w:t>
            </w:r>
            <w:r w:rsidRPr="00AF3C7B">
              <w:rPr>
                <w:rFonts w:ascii="Arial Narrow" w:hAnsi="Arial Narrow" w:hint="eastAsia"/>
                <w:color w:val="000000"/>
                <w:spacing w:val="-5"/>
                <w:w w:val="15"/>
                <w:sz w:val="20"/>
                <w:szCs w:val="20"/>
                <w:shd w:val="solid" w:color="000000" w:fill="000000"/>
                <w:fitText w:val="60" w:id="-629961974"/>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5" w:type="pct"/>
            <w:vAlign w:val="center"/>
          </w:tcPr>
          <w:p w14:paraId="181C8692" w14:textId="3564E7F7"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zCs w:val="20"/>
                <w:shd w:val="solid" w:color="000000" w:fill="000000"/>
                <w:fitText w:val="60" w:id="-629961973"/>
                <w14:textFill>
                  <w14:solidFill>
                    <w14:srgbClr w14:val="000000">
                      <w14:alpha w14:val="100000"/>
                    </w14:srgbClr>
                  </w14:solidFill>
                </w14:textFill>
              </w:rPr>
              <w:t xml:space="preserve">　</w:t>
            </w:r>
            <w:r w:rsidRPr="00AF3C7B">
              <w:rPr>
                <w:rFonts w:ascii="Arial Narrow" w:hAnsi="Arial Narrow"/>
                <w:color w:val="000000"/>
                <w:w w:val="15"/>
                <w:sz w:val="20"/>
                <w:szCs w:val="20"/>
                <w:shd w:val="solid" w:color="000000" w:fill="000000"/>
                <w:fitText w:val="60" w:id="-629961973"/>
                <w14:textFill>
                  <w14:solidFill>
                    <w14:srgbClr w14:val="000000">
                      <w14:alpha w14:val="100000"/>
                    </w14:srgbClr>
                  </w14:solidFill>
                </w14:textFill>
              </w:rPr>
              <w:t>|</w:t>
            </w:r>
            <w:r w:rsidRPr="00AF3C7B">
              <w:rPr>
                <w:rFonts w:ascii="Arial Narrow" w:hAnsi="Arial Narrow" w:hint="eastAsia"/>
                <w:color w:val="000000"/>
                <w:spacing w:val="-5"/>
                <w:w w:val="15"/>
                <w:sz w:val="20"/>
                <w:szCs w:val="20"/>
                <w:shd w:val="solid" w:color="000000" w:fill="000000"/>
                <w:fitText w:val="60" w:id="-629961973"/>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5" w:type="pct"/>
            <w:vAlign w:val="center"/>
          </w:tcPr>
          <w:p w14:paraId="19635FE4" w14:textId="21D9A6C5"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zCs w:val="20"/>
                <w:shd w:val="solid" w:color="000000" w:fill="000000"/>
                <w:fitText w:val="60" w:id="-629961972"/>
                <w14:textFill>
                  <w14:solidFill>
                    <w14:srgbClr w14:val="000000">
                      <w14:alpha w14:val="100000"/>
                    </w14:srgbClr>
                  </w14:solidFill>
                </w14:textFill>
              </w:rPr>
              <w:t xml:space="preserve">　</w:t>
            </w:r>
            <w:r w:rsidRPr="00AF3C7B">
              <w:rPr>
                <w:rFonts w:ascii="Arial Narrow" w:hAnsi="Arial Narrow"/>
                <w:color w:val="000000"/>
                <w:w w:val="15"/>
                <w:sz w:val="20"/>
                <w:szCs w:val="20"/>
                <w:shd w:val="solid" w:color="000000" w:fill="000000"/>
                <w:fitText w:val="60" w:id="-629961972"/>
                <w14:textFill>
                  <w14:solidFill>
                    <w14:srgbClr w14:val="000000">
                      <w14:alpha w14:val="100000"/>
                    </w14:srgbClr>
                  </w14:solidFill>
                </w14:textFill>
              </w:rPr>
              <w:t>|</w:t>
            </w:r>
            <w:r w:rsidRPr="00AF3C7B">
              <w:rPr>
                <w:rFonts w:ascii="Arial Narrow" w:hAnsi="Arial Narrow" w:hint="eastAsia"/>
                <w:color w:val="000000"/>
                <w:spacing w:val="-5"/>
                <w:w w:val="15"/>
                <w:sz w:val="20"/>
                <w:szCs w:val="20"/>
                <w:shd w:val="solid" w:color="000000" w:fill="000000"/>
                <w:fitText w:val="60" w:id="-629961972"/>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566" w:type="pct"/>
            <w:vAlign w:val="center"/>
          </w:tcPr>
          <w:p w14:paraId="146260EF" w14:textId="6F4A91CC"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24"/>
                <w:sz w:val="20"/>
                <w:szCs w:val="20"/>
                <w:shd w:val="solid" w:color="000000" w:fill="000000"/>
                <w:fitText w:val="108" w:id="-629961971"/>
                <w14:textFill>
                  <w14:solidFill>
                    <w14:srgbClr w14:val="000000">
                      <w14:alpha w14:val="100000"/>
                    </w14:srgbClr>
                  </w14:solidFill>
                </w14:textFill>
              </w:rPr>
              <w:t xml:space="preserve">　</w:t>
            </w:r>
            <w:r w:rsidRPr="00AF3C7B">
              <w:rPr>
                <w:rFonts w:ascii="Arial Narrow" w:hAnsi="Arial Narrow"/>
                <w:color w:val="000000"/>
                <w:w w:val="24"/>
                <w:sz w:val="20"/>
                <w:szCs w:val="20"/>
                <w:shd w:val="solid" w:color="000000" w:fill="000000"/>
                <w:fitText w:val="108" w:id="-629961971"/>
                <w14:textFill>
                  <w14:solidFill>
                    <w14:srgbClr w14:val="000000">
                      <w14:alpha w14:val="100000"/>
                    </w14:srgbClr>
                  </w14:solidFill>
                </w14:textFill>
              </w:rPr>
              <w:t>|</w:t>
            </w:r>
            <w:r w:rsidRPr="00AF3C7B">
              <w:rPr>
                <w:rFonts w:ascii="Arial Narrow" w:hAnsi="Arial Narrow" w:hint="eastAsia"/>
                <w:color w:val="000000"/>
                <w:spacing w:val="4"/>
                <w:w w:val="24"/>
                <w:sz w:val="20"/>
                <w:szCs w:val="20"/>
                <w:shd w:val="solid" w:color="000000" w:fill="000000"/>
                <w:fitText w:val="108" w:id="-629961971"/>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r>
      <w:tr w:rsidR="00D47C1B" w:rsidRPr="00445EE0" w14:paraId="2B55E497" w14:textId="77777777" w:rsidTr="00E979AE">
        <w:tc>
          <w:tcPr>
            <w:tcW w:w="1408" w:type="pct"/>
            <w:vAlign w:val="center"/>
          </w:tcPr>
          <w:p w14:paraId="70BB77A9" w14:textId="0556A8B5"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 xml:space="preserve">Predicted number of patients with </w:t>
            </w:r>
            <w:r w:rsidRPr="00445EE0">
              <w:rPr>
                <w:rFonts w:ascii="Arial Narrow" w:hAnsi="Arial Narrow"/>
                <w:sz w:val="20"/>
                <w:szCs w:val="20"/>
              </w:rPr>
              <w:t>FRα</w:t>
            </w:r>
            <w:r w:rsidR="00A46D2B">
              <w:rPr>
                <w:rFonts w:ascii="Arial Narrow" w:hAnsi="Arial Narrow"/>
                <w:sz w:val="20"/>
                <w:szCs w:val="20"/>
              </w:rPr>
              <w:noBreakHyphen/>
            </w:r>
            <w:r w:rsidRPr="00445EE0">
              <w:rPr>
                <w:rFonts w:ascii="Arial Narrow" w:hAnsi="Arial Narrow"/>
                <w:sz w:val="20"/>
                <w:szCs w:val="20"/>
              </w:rPr>
              <w:t>high tumour cell expression and platinum</w:t>
            </w:r>
            <w:r w:rsidR="00A46D2B">
              <w:rPr>
                <w:rFonts w:ascii="Arial Narrow" w:hAnsi="Arial Narrow"/>
                <w:sz w:val="20"/>
                <w:szCs w:val="20"/>
              </w:rPr>
              <w:noBreakHyphen/>
            </w:r>
            <w:r w:rsidRPr="00445EE0">
              <w:rPr>
                <w:rFonts w:ascii="Arial Narrow" w:hAnsi="Arial Narrow"/>
                <w:sz w:val="20"/>
                <w:szCs w:val="20"/>
              </w:rPr>
              <w:t xml:space="preserve">resistance </w:t>
            </w:r>
            <w:r w:rsidRPr="00445EE0">
              <w:rPr>
                <w:rFonts w:ascii="Arial Narrow" w:hAnsi="Arial Narrow"/>
                <w:sz w:val="20"/>
              </w:rPr>
              <w:t>(eligible for treatment with MIRV)</w:t>
            </w:r>
          </w:p>
        </w:tc>
        <w:tc>
          <w:tcPr>
            <w:tcW w:w="605" w:type="pct"/>
            <w:vAlign w:val="center"/>
          </w:tcPr>
          <w:p w14:paraId="62EA811C" w14:textId="549D2A31"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0"/>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0"/>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0"/>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606" w:type="pct"/>
            <w:vAlign w:val="center"/>
          </w:tcPr>
          <w:p w14:paraId="5967EC9B" w14:textId="2E315F18"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6"/>
                <w:sz w:val="20"/>
                <w:shd w:val="solid" w:color="000000" w:fill="000000"/>
                <w:fitText w:val="72" w:id="-629961969"/>
                <w14:textFill>
                  <w14:solidFill>
                    <w14:srgbClr w14:val="000000">
                      <w14:alpha w14:val="100000"/>
                    </w14:srgbClr>
                  </w14:solidFill>
                </w14:textFill>
              </w:rPr>
              <w:t xml:space="preserve">　</w:t>
            </w:r>
            <w:r w:rsidRPr="00AF3C7B">
              <w:rPr>
                <w:rFonts w:ascii="Arial Narrow" w:hAnsi="Arial Narrow"/>
                <w:color w:val="000000"/>
                <w:w w:val="16"/>
                <w:sz w:val="20"/>
                <w:shd w:val="solid" w:color="000000" w:fill="000000"/>
                <w:fitText w:val="72" w:id="-629961969"/>
                <w14:textFill>
                  <w14:solidFill>
                    <w14:srgbClr w14:val="000000">
                      <w14:alpha w14:val="100000"/>
                    </w14:srgbClr>
                  </w14:solidFill>
                </w14:textFill>
              </w:rPr>
              <w:t>|</w:t>
            </w:r>
            <w:r w:rsidRPr="00AF3C7B">
              <w:rPr>
                <w:rFonts w:ascii="Arial Narrow" w:hAnsi="Arial Narrow" w:hint="eastAsia"/>
                <w:color w:val="000000"/>
                <w:spacing w:val="2"/>
                <w:w w:val="16"/>
                <w:sz w:val="20"/>
                <w:shd w:val="solid" w:color="000000" w:fill="000000"/>
                <w:fitText w:val="72" w:id="-629961969"/>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605" w:type="pct"/>
            <w:vAlign w:val="center"/>
          </w:tcPr>
          <w:p w14:paraId="02ECE38F" w14:textId="5A9EA27B"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68"/>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68"/>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68"/>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605" w:type="pct"/>
            <w:vAlign w:val="center"/>
          </w:tcPr>
          <w:p w14:paraId="54E291FB" w14:textId="1F9F3207"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4"/>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4"/>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4"/>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605" w:type="pct"/>
            <w:vAlign w:val="center"/>
          </w:tcPr>
          <w:p w14:paraId="13072A66" w14:textId="0EC328FA"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3"/>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3"/>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3"/>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566" w:type="pct"/>
            <w:vAlign w:val="center"/>
          </w:tcPr>
          <w:p w14:paraId="14F237DD" w14:textId="59C863EB" w:rsidR="00D47C1B" w:rsidRPr="00AB7A11" w:rsidRDefault="00AF3C7B" w:rsidP="00B705A8">
            <w:pPr>
              <w:keepNext/>
              <w:keepLines/>
              <w:tabs>
                <w:tab w:val="decimal" w:pos="396"/>
              </w:tabs>
              <w:spacing w:before="0" w:after="0"/>
              <w:jc w:val="center"/>
              <w:rPr>
                <w:rFonts w:ascii="Arial Narrow" w:hAnsi="Arial Narrow"/>
                <w:sz w:val="20"/>
                <w:highlight w:val="darkGray"/>
              </w:rPr>
            </w:pPr>
            <w:r w:rsidRPr="00AF3C7B">
              <w:rPr>
                <w:rFonts w:ascii="Arial Narrow" w:hAnsi="Arial Narrow" w:hint="eastAsia"/>
                <w:color w:val="000000"/>
                <w:w w:val="24"/>
                <w:sz w:val="20"/>
                <w:shd w:val="solid" w:color="000000" w:fill="000000"/>
                <w:fitText w:val="108" w:id="-629961982"/>
                <w14:textFill>
                  <w14:solidFill>
                    <w14:srgbClr w14:val="000000">
                      <w14:alpha w14:val="100000"/>
                    </w14:srgbClr>
                  </w14:solidFill>
                </w14:textFill>
              </w:rPr>
              <w:t xml:space="preserve">　</w:t>
            </w:r>
            <w:r w:rsidRPr="00AF3C7B">
              <w:rPr>
                <w:rFonts w:ascii="Arial Narrow" w:hAnsi="Arial Narrow"/>
                <w:color w:val="000000"/>
                <w:w w:val="24"/>
                <w:sz w:val="20"/>
                <w:shd w:val="solid" w:color="000000" w:fill="000000"/>
                <w:fitText w:val="108" w:id="-629961982"/>
                <w14:textFill>
                  <w14:solidFill>
                    <w14:srgbClr w14:val="000000">
                      <w14:alpha w14:val="100000"/>
                    </w14:srgbClr>
                  </w14:solidFill>
                </w14:textFill>
              </w:rPr>
              <w:t>|</w:t>
            </w:r>
            <w:r w:rsidRPr="00AF3C7B">
              <w:rPr>
                <w:rFonts w:ascii="Arial Narrow" w:hAnsi="Arial Narrow" w:hint="eastAsia"/>
                <w:color w:val="000000"/>
                <w:spacing w:val="4"/>
                <w:w w:val="24"/>
                <w:sz w:val="20"/>
                <w:shd w:val="solid" w:color="000000" w:fill="000000"/>
                <w:fitText w:val="108" w:id="-629961982"/>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r>
      <w:tr w:rsidR="00D47C1B" w:rsidRPr="00445EE0" w14:paraId="4452D236" w14:textId="77777777" w:rsidTr="00E979AE">
        <w:tc>
          <w:tcPr>
            <w:tcW w:w="5000" w:type="pct"/>
            <w:gridSpan w:val="7"/>
            <w:vAlign w:val="center"/>
          </w:tcPr>
          <w:p w14:paraId="192F3D64" w14:textId="77777777" w:rsidR="00D47C1B" w:rsidRPr="00445EE0" w:rsidRDefault="00D47C1B" w:rsidP="00B705A8">
            <w:pPr>
              <w:keepNext/>
              <w:keepLines/>
              <w:spacing w:before="0" w:after="0"/>
              <w:jc w:val="left"/>
              <w:rPr>
                <w:rFonts w:ascii="Arial Narrow" w:hAnsi="Arial Narrow"/>
                <w:b/>
                <w:sz w:val="20"/>
              </w:rPr>
            </w:pPr>
            <w:r w:rsidRPr="00445EE0">
              <w:rPr>
                <w:rFonts w:ascii="Arial Narrow" w:hAnsi="Arial Narrow"/>
                <w:b/>
                <w:sz w:val="20"/>
              </w:rPr>
              <w:t>Estimated extent of use of MIRV</w:t>
            </w:r>
          </w:p>
        </w:tc>
      </w:tr>
      <w:tr w:rsidR="00D47C1B" w:rsidRPr="00445EE0" w14:paraId="3EC1EFC5" w14:textId="77777777" w:rsidTr="00E979AE">
        <w:tc>
          <w:tcPr>
            <w:tcW w:w="1408" w:type="pct"/>
            <w:vAlign w:val="center"/>
          </w:tcPr>
          <w:p w14:paraId="385733E4" w14:textId="77777777" w:rsidR="00D47C1B" w:rsidRPr="00445EE0" w:rsidRDefault="00D47C1B" w:rsidP="00B705A8">
            <w:pPr>
              <w:keepNext/>
              <w:keepLines/>
              <w:spacing w:before="0" w:after="0"/>
              <w:jc w:val="left"/>
              <w:rPr>
                <w:rFonts w:ascii="Times" w:eastAsia="Times New Roman" w:hAnsi="Times" w:cs="Times New Roman"/>
                <w:sz w:val="20"/>
              </w:rPr>
            </w:pPr>
            <w:r w:rsidRPr="00445EE0">
              <w:rPr>
                <w:rFonts w:ascii="Arial Narrow" w:hAnsi="Arial Narrow"/>
                <w:sz w:val="20"/>
              </w:rPr>
              <w:t>Number of patients likely to be treated with proposed drug</w:t>
            </w:r>
          </w:p>
        </w:tc>
        <w:tc>
          <w:tcPr>
            <w:tcW w:w="605" w:type="pct"/>
            <w:vAlign w:val="center"/>
          </w:tcPr>
          <w:p w14:paraId="046E763E" w14:textId="76D67D7F"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81"/>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81"/>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81"/>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606" w:type="pct"/>
            <w:vAlign w:val="center"/>
          </w:tcPr>
          <w:p w14:paraId="1CBAD5C8" w14:textId="285DE213"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6"/>
                <w:sz w:val="20"/>
                <w:szCs w:val="20"/>
                <w:shd w:val="solid" w:color="000000" w:fill="000000"/>
                <w:fitText w:val="72" w:id="-629961980"/>
                <w14:textFill>
                  <w14:solidFill>
                    <w14:srgbClr w14:val="000000">
                      <w14:alpha w14:val="100000"/>
                    </w14:srgbClr>
                  </w14:solidFill>
                </w14:textFill>
              </w:rPr>
              <w:t xml:space="preserve">　</w:t>
            </w:r>
            <w:r w:rsidRPr="00AF3C7B">
              <w:rPr>
                <w:rFonts w:ascii="Arial Narrow" w:hAnsi="Arial Narrow" w:cs="Arial"/>
                <w:color w:val="000000"/>
                <w:w w:val="16"/>
                <w:sz w:val="20"/>
                <w:szCs w:val="20"/>
                <w:shd w:val="solid" w:color="000000" w:fill="000000"/>
                <w:fitText w:val="72" w:id="-629961980"/>
                <w14:textFill>
                  <w14:solidFill>
                    <w14:srgbClr w14:val="000000">
                      <w14:alpha w14:val="100000"/>
                    </w14:srgbClr>
                  </w14:solidFill>
                </w14:textFill>
              </w:rPr>
              <w:t>|</w:t>
            </w:r>
            <w:r w:rsidRPr="00AF3C7B">
              <w:rPr>
                <w:rFonts w:ascii="Arial Narrow" w:hAnsi="Arial Narrow" w:cs="Arial" w:hint="eastAsia"/>
                <w:color w:val="000000"/>
                <w:spacing w:val="2"/>
                <w:w w:val="16"/>
                <w:sz w:val="20"/>
                <w:szCs w:val="20"/>
                <w:shd w:val="solid" w:color="000000" w:fill="000000"/>
                <w:fitText w:val="72" w:id="-629961980"/>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605" w:type="pct"/>
            <w:vAlign w:val="center"/>
          </w:tcPr>
          <w:p w14:paraId="46A82868" w14:textId="37E33571"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9"/>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9"/>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9"/>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605" w:type="pct"/>
            <w:vAlign w:val="center"/>
          </w:tcPr>
          <w:p w14:paraId="3C22F3F3" w14:textId="73C807E0"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8"/>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8"/>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8"/>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605" w:type="pct"/>
            <w:vAlign w:val="center"/>
          </w:tcPr>
          <w:p w14:paraId="23F586C6" w14:textId="70FF569E"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7"/>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7"/>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7"/>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c>
          <w:tcPr>
            <w:tcW w:w="566" w:type="pct"/>
            <w:vAlign w:val="center"/>
          </w:tcPr>
          <w:p w14:paraId="1D401713" w14:textId="3D5ABE91"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24"/>
                <w:sz w:val="20"/>
                <w:szCs w:val="20"/>
                <w:shd w:val="solid" w:color="000000" w:fill="000000"/>
                <w:fitText w:val="108" w:id="-629961976"/>
                <w14:textFill>
                  <w14:solidFill>
                    <w14:srgbClr w14:val="000000">
                      <w14:alpha w14:val="100000"/>
                    </w14:srgbClr>
                  </w14:solidFill>
                </w14:textFill>
              </w:rPr>
              <w:t xml:space="preserve">　</w:t>
            </w:r>
            <w:r w:rsidRPr="00AF3C7B">
              <w:rPr>
                <w:rFonts w:ascii="Arial Narrow" w:hAnsi="Arial Narrow" w:cs="Arial"/>
                <w:color w:val="000000"/>
                <w:w w:val="24"/>
                <w:sz w:val="20"/>
                <w:szCs w:val="20"/>
                <w:shd w:val="solid" w:color="000000" w:fill="000000"/>
                <w:fitText w:val="108" w:id="-629961976"/>
                <w14:textFill>
                  <w14:solidFill>
                    <w14:srgbClr w14:val="000000">
                      <w14:alpha w14:val="100000"/>
                    </w14:srgbClr>
                  </w14:solidFill>
                </w14:textFill>
              </w:rPr>
              <w:t>|</w:t>
            </w:r>
            <w:r w:rsidRPr="00AF3C7B">
              <w:rPr>
                <w:rFonts w:ascii="Arial Narrow" w:hAnsi="Arial Narrow" w:cs="Arial" w:hint="eastAsia"/>
                <w:color w:val="000000"/>
                <w:spacing w:val="4"/>
                <w:w w:val="24"/>
                <w:sz w:val="20"/>
                <w:szCs w:val="20"/>
                <w:shd w:val="solid" w:color="000000" w:fill="000000"/>
                <w:fitText w:val="108" w:id="-629961976"/>
                <w14:textFill>
                  <w14:solidFill>
                    <w14:srgbClr w14:val="000000">
                      <w14:alpha w14:val="100000"/>
                    </w14:srgbClr>
                  </w14:solidFill>
                </w14:textFill>
              </w:rPr>
              <w:t xml:space="preserve">　</w:t>
            </w:r>
            <w:r w:rsidR="007E588B" w:rsidRPr="007E588B">
              <w:rPr>
                <w:rFonts w:ascii="Arial Narrow" w:hAnsi="Arial Narrow"/>
                <w:sz w:val="20"/>
                <w:vertAlign w:val="superscript"/>
              </w:rPr>
              <w:t>2</w:t>
            </w:r>
          </w:p>
        </w:tc>
      </w:tr>
      <w:tr w:rsidR="00D47C1B" w:rsidRPr="00445EE0" w14:paraId="36245D70" w14:textId="77777777" w:rsidTr="00E979AE">
        <w:tc>
          <w:tcPr>
            <w:tcW w:w="1408" w:type="pct"/>
            <w:vAlign w:val="center"/>
          </w:tcPr>
          <w:p w14:paraId="3118376D" w14:textId="77777777" w:rsidR="00D47C1B" w:rsidRPr="00445EE0" w:rsidRDefault="00D47C1B" w:rsidP="00B705A8">
            <w:pPr>
              <w:keepNext/>
              <w:keepLines/>
              <w:spacing w:before="0" w:after="0"/>
              <w:jc w:val="left"/>
              <w:rPr>
                <w:rFonts w:ascii="Times" w:eastAsia="Times New Roman" w:hAnsi="Times" w:cs="Times New Roman"/>
                <w:sz w:val="20"/>
                <w:vertAlign w:val="superscript"/>
              </w:rPr>
            </w:pPr>
            <w:r w:rsidRPr="00445EE0">
              <w:rPr>
                <w:rFonts w:ascii="Arial Narrow" w:hAnsi="Arial Narrow"/>
                <w:sz w:val="20"/>
              </w:rPr>
              <w:t xml:space="preserve">Number of scripts </w:t>
            </w:r>
            <w:proofErr w:type="spellStart"/>
            <w:r w:rsidRPr="00445EE0">
              <w:rPr>
                <w:rFonts w:ascii="Arial Narrow" w:hAnsi="Arial Narrow"/>
                <w:sz w:val="20"/>
              </w:rPr>
              <w:t>dispensed</w:t>
            </w:r>
            <w:r w:rsidRPr="00445EE0">
              <w:rPr>
                <w:rFonts w:ascii="Arial Narrow" w:hAnsi="Arial Narrow"/>
                <w:sz w:val="20"/>
                <w:vertAlign w:val="superscript"/>
              </w:rPr>
              <w:t>b</w:t>
            </w:r>
            <w:proofErr w:type="spellEnd"/>
          </w:p>
        </w:tc>
        <w:tc>
          <w:tcPr>
            <w:tcW w:w="605" w:type="pct"/>
            <w:vAlign w:val="center"/>
          </w:tcPr>
          <w:p w14:paraId="091328CB" w14:textId="78B8FD01"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5"/>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5"/>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5"/>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6" w:type="pct"/>
            <w:vAlign w:val="center"/>
          </w:tcPr>
          <w:p w14:paraId="3F109F34" w14:textId="6584A96B"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color w:val="000000"/>
                <w:spacing w:val="190"/>
                <w:sz w:val="20"/>
                <w:szCs w:val="20"/>
                <w:shd w:val="solid" w:color="000000" w:fill="000000"/>
                <w:fitText w:val="276" w:id="-629961974"/>
                <w14:textFill>
                  <w14:solidFill>
                    <w14:srgbClr w14:val="000000">
                      <w14:alpha w14:val="100000"/>
                    </w14:srgbClr>
                  </w14:solidFill>
                </w14:textFill>
              </w:rPr>
              <w:t>|</w:t>
            </w:r>
            <w:r w:rsidRPr="00AF3C7B">
              <w:rPr>
                <w:rFonts w:ascii="Arial Narrow" w:hAnsi="Arial Narrow" w:cs="Arial"/>
                <w:color w:val="000000"/>
                <w:spacing w:val="1"/>
                <w:sz w:val="20"/>
                <w:szCs w:val="20"/>
                <w:shd w:val="solid" w:color="000000" w:fill="000000"/>
                <w:fitText w:val="276" w:id="-629961974"/>
                <w14:textFill>
                  <w14:solidFill>
                    <w14:srgbClr w14:val="000000">
                      <w14:alpha w14:val="100000"/>
                    </w14:srgbClr>
                  </w14:solidFill>
                </w14:textFill>
              </w:rPr>
              <w:t>|</w:t>
            </w:r>
            <w:r w:rsidR="007E588B" w:rsidRPr="007E588B">
              <w:rPr>
                <w:rFonts w:ascii="Arial Narrow" w:hAnsi="Arial Narrow"/>
                <w:sz w:val="20"/>
                <w:vertAlign w:val="superscript"/>
              </w:rPr>
              <w:t>1</w:t>
            </w:r>
          </w:p>
        </w:tc>
        <w:tc>
          <w:tcPr>
            <w:tcW w:w="605" w:type="pct"/>
            <w:vAlign w:val="center"/>
          </w:tcPr>
          <w:p w14:paraId="7BB87537" w14:textId="17EFC49F"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2"/>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2"/>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2"/>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5" w:type="pct"/>
            <w:vAlign w:val="center"/>
          </w:tcPr>
          <w:p w14:paraId="6E75AB53" w14:textId="3328F2C2"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1"/>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1"/>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1"/>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605" w:type="pct"/>
            <w:vAlign w:val="center"/>
          </w:tcPr>
          <w:p w14:paraId="333A822B" w14:textId="3674AAE6"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0"/>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0"/>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0"/>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c>
          <w:tcPr>
            <w:tcW w:w="566" w:type="pct"/>
            <w:vAlign w:val="center"/>
          </w:tcPr>
          <w:p w14:paraId="66A07E91" w14:textId="5788173B"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24"/>
                <w:sz w:val="20"/>
                <w:szCs w:val="20"/>
                <w:shd w:val="solid" w:color="000000" w:fill="000000"/>
                <w:fitText w:val="108" w:id="-629961969"/>
                <w14:textFill>
                  <w14:solidFill>
                    <w14:srgbClr w14:val="000000">
                      <w14:alpha w14:val="100000"/>
                    </w14:srgbClr>
                  </w14:solidFill>
                </w14:textFill>
              </w:rPr>
              <w:t xml:space="preserve">　</w:t>
            </w:r>
            <w:r w:rsidRPr="00AF3C7B">
              <w:rPr>
                <w:rFonts w:ascii="Arial Narrow" w:hAnsi="Arial Narrow" w:cs="Arial"/>
                <w:color w:val="000000"/>
                <w:w w:val="24"/>
                <w:sz w:val="20"/>
                <w:szCs w:val="20"/>
                <w:shd w:val="solid" w:color="000000" w:fill="000000"/>
                <w:fitText w:val="108" w:id="-629961969"/>
                <w14:textFill>
                  <w14:solidFill>
                    <w14:srgbClr w14:val="000000">
                      <w14:alpha w14:val="100000"/>
                    </w14:srgbClr>
                  </w14:solidFill>
                </w14:textFill>
              </w:rPr>
              <w:t>|</w:t>
            </w:r>
            <w:r w:rsidRPr="00AF3C7B">
              <w:rPr>
                <w:rFonts w:ascii="Arial Narrow" w:hAnsi="Arial Narrow" w:cs="Arial" w:hint="eastAsia"/>
                <w:color w:val="000000"/>
                <w:spacing w:val="4"/>
                <w:w w:val="24"/>
                <w:sz w:val="20"/>
                <w:szCs w:val="20"/>
                <w:shd w:val="solid" w:color="000000" w:fill="000000"/>
                <w:fitText w:val="108" w:id="-629961969"/>
                <w14:textFill>
                  <w14:solidFill>
                    <w14:srgbClr w14:val="000000">
                      <w14:alpha w14:val="100000"/>
                    </w14:srgbClr>
                  </w14:solidFill>
                </w14:textFill>
              </w:rPr>
              <w:t xml:space="preserve">　</w:t>
            </w:r>
            <w:r w:rsidR="007E588B" w:rsidRPr="007E588B">
              <w:rPr>
                <w:rFonts w:ascii="Arial Narrow" w:hAnsi="Arial Narrow"/>
                <w:sz w:val="20"/>
                <w:vertAlign w:val="superscript"/>
              </w:rPr>
              <w:t>1</w:t>
            </w:r>
          </w:p>
        </w:tc>
      </w:tr>
      <w:tr w:rsidR="00D47C1B" w:rsidRPr="00445EE0" w14:paraId="18693441" w14:textId="77777777" w:rsidTr="00E979AE">
        <w:tc>
          <w:tcPr>
            <w:tcW w:w="5000" w:type="pct"/>
            <w:gridSpan w:val="7"/>
            <w:vAlign w:val="center"/>
          </w:tcPr>
          <w:p w14:paraId="2C216695" w14:textId="77777777" w:rsidR="00D47C1B" w:rsidRPr="00445EE0" w:rsidRDefault="00D47C1B" w:rsidP="00B705A8">
            <w:pPr>
              <w:keepNext/>
              <w:keepLines/>
              <w:spacing w:before="0" w:after="0"/>
              <w:jc w:val="left"/>
              <w:rPr>
                <w:rFonts w:ascii="Arial Narrow" w:hAnsi="Arial Narrow"/>
                <w:b/>
                <w:bCs/>
                <w:color w:val="000000"/>
                <w:sz w:val="20"/>
              </w:rPr>
            </w:pPr>
            <w:r w:rsidRPr="00445EE0">
              <w:rPr>
                <w:rFonts w:ascii="Arial Narrow" w:hAnsi="Arial Narrow"/>
                <w:b/>
                <w:sz w:val="20"/>
              </w:rPr>
              <w:t xml:space="preserve">Estimated financial implications of the </w:t>
            </w:r>
            <w:r w:rsidRPr="00445EE0">
              <w:rPr>
                <w:rFonts w:ascii="Arial Narrow" w:hAnsi="Arial Narrow"/>
                <w:b/>
                <w:bCs/>
                <w:sz w:val="20"/>
              </w:rPr>
              <w:t>FR</w:t>
            </w:r>
            <w:r w:rsidRPr="00445EE0">
              <w:rPr>
                <w:rFonts w:ascii="Arial Narrow" w:hAnsi="Arial Narrow" w:cs="Calibri"/>
                <w:b/>
                <w:bCs/>
                <w:sz w:val="20"/>
              </w:rPr>
              <w:t>α</w:t>
            </w:r>
            <w:r w:rsidRPr="00445EE0">
              <w:rPr>
                <w:rFonts w:ascii="Arial Narrow" w:hAnsi="Arial Narrow"/>
                <w:b/>
                <w:bCs/>
                <w:sz w:val="20"/>
              </w:rPr>
              <w:t xml:space="preserve"> expression testing</w:t>
            </w:r>
            <w:r w:rsidRPr="00445EE0">
              <w:rPr>
                <w:rFonts w:ascii="Arial Narrow" w:hAnsi="Arial Narrow"/>
                <w:b/>
                <w:sz w:val="20"/>
              </w:rPr>
              <w:t xml:space="preserve"> to the MBS</w:t>
            </w:r>
          </w:p>
        </w:tc>
      </w:tr>
      <w:tr w:rsidR="00D47C1B" w:rsidRPr="00445EE0" w14:paraId="14F0B01C" w14:textId="77777777" w:rsidTr="00E979AE">
        <w:tc>
          <w:tcPr>
            <w:tcW w:w="1408" w:type="pct"/>
            <w:vAlign w:val="center"/>
          </w:tcPr>
          <w:p w14:paraId="17065817"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Cost to the MBS less copayments – testing at primary diagnosis (base case)</w:t>
            </w:r>
          </w:p>
        </w:tc>
        <w:tc>
          <w:tcPr>
            <w:tcW w:w="605" w:type="pct"/>
            <w:vAlign w:val="center"/>
          </w:tcPr>
          <w:p w14:paraId="696E1FDA" w14:textId="2E05E9A5"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68"/>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68"/>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68"/>
                <w14:textFill>
                  <w14:solidFill>
                    <w14:srgbClr w14:val="000000">
                      <w14:alpha w14:val="100000"/>
                    </w14:srgbClr>
                  </w14:solidFill>
                </w14:textFill>
              </w:rPr>
              <w:t xml:space="preserve">　</w:t>
            </w:r>
            <w:r w:rsidR="004833D8" w:rsidRPr="004833D8">
              <w:rPr>
                <w:rFonts w:ascii="Arial Narrow" w:hAnsi="Arial Narrow"/>
                <w:sz w:val="20"/>
                <w:vertAlign w:val="superscript"/>
              </w:rPr>
              <w:t>3</w:t>
            </w:r>
          </w:p>
        </w:tc>
        <w:tc>
          <w:tcPr>
            <w:tcW w:w="606" w:type="pct"/>
            <w:vAlign w:val="center"/>
          </w:tcPr>
          <w:p w14:paraId="40C8E28F" w14:textId="782E0F0A"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6"/>
                <w:sz w:val="20"/>
                <w:shd w:val="solid" w:color="000000" w:fill="000000"/>
                <w:fitText w:val="72" w:id="-629961984"/>
                <w14:textFill>
                  <w14:solidFill>
                    <w14:srgbClr w14:val="000000">
                      <w14:alpha w14:val="100000"/>
                    </w14:srgbClr>
                  </w14:solidFill>
                </w14:textFill>
              </w:rPr>
              <w:t xml:space="preserve">　</w:t>
            </w:r>
            <w:r w:rsidRPr="00AF3C7B">
              <w:rPr>
                <w:rFonts w:ascii="Arial Narrow" w:hAnsi="Arial Narrow"/>
                <w:color w:val="000000"/>
                <w:w w:val="16"/>
                <w:sz w:val="20"/>
                <w:shd w:val="solid" w:color="000000" w:fill="000000"/>
                <w:fitText w:val="72" w:id="-629961984"/>
                <w14:textFill>
                  <w14:solidFill>
                    <w14:srgbClr w14:val="000000">
                      <w14:alpha w14:val="100000"/>
                    </w14:srgbClr>
                  </w14:solidFill>
                </w14:textFill>
              </w:rPr>
              <w:t>|</w:t>
            </w:r>
            <w:r w:rsidRPr="00AF3C7B">
              <w:rPr>
                <w:rFonts w:ascii="Arial Narrow" w:hAnsi="Arial Narrow" w:hint="eastAsia"/>
                <w:color w:val="000000"/>
                <w:spacing w:val="2"/>
                <w:w w:val="16"/>
                <w:sz w:val="20"/>
                <w:shd w:val="solid" w:color="000000" w:fill="000000"/>
                <w:fitText w:val="72" w:id="-629961984"/>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5" w:type="pct"/>
            <w:vAlign w:val="center"/>
          </w:tcPr>
          <w:p w14:paraId="75A86528" w14:textId="1959BF49"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3"/>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3"/>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3"/>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5" w:type="pct"/>
            <w:vAlign w:val="center"/>
          </w:tcPr>
          <w:p w14:paraId="583DAE3C" w14:textId="0F13A292"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2"/>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2"/>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2"/>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5" w:type="pct"/>
            <w:vAlign w:val="center"/>
          </w:tcPr>
          <w:p w14:paraId="515213A1" w14:textId="5227050A"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1"/>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1"/>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1"/>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566" w:type="pct"/>
            <w:vAlign w:val="center"/>
          </w:tcPr>
          <w:p w14:paraId="54C7ED8A" w14:textId="40B335E0"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24"/>
                <w:sz w:val="20"/>
                <w:shd w:val="solid" w:color="000000" w:fill="000000"/>
                <w:fitText w:val="108" w:id="-629961980"/>
                <w14:textFill>
                  <w14:solidFill>
                    <w14:srgbClr w14:val="000000">
                      <w14:alpha w14:val="100000"/>
                    </w14:srgbClr>
                  </w14:solidFill>
                </w14:textFill>
              </w:rPr>
              <w:t xml:space="preserve">　</w:t>
            </w:r>
            <w:r w:rsidRPr="00AF3C7B">
              <w:rPr>
                <w:rFonts w:ascii="Arial Narrow" w:hAnsi="Arial Narrow"/>
                <w:color w:val="000000"/>
                <w:w w:val="24"/>
                <w:sz w:val="20"/>
                <w:shd w:val="solid" w:color="000000" w:fill="000000"/>
                <w:fitText w:val="108" w:id="-629961980"/>
                <w14:textFill>
                  <w14:solidFill>
                    <w14:srgbClr w14:val="000000">
                      <w14:alpha w14:val="100000"/>
                    </w14:srgbClr>
                  </w14:solidFill>
                </w14:textFill>
              </w:rPr>
              <w:t>|</w:t>
            </w:r>
            <w:r w:rsidRPr="00AF3C7B">
              <w:rPr>
                <w:rFonts w:ascii="Arial Narrow" w:hAnsi="Arial Narrow" w:hint="eastAsia"/>
                <w:color w:val="000000"/>
                <w:spacing w:val="4"/>
                <w:w w:val="24"/>
                <w:sz w:val="20"/>
                <w:shd w:val="solid" w:color="000000" w:fill="000000"/>
                <w:fitText w:val="108" w:id="-629961980"/>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r>
      <w:tr w:rsidR="00D47C1B" w:rsidRPr="00445EE0" w14:paraId="4076AF17" w14:textId="77777777" w:rsidTr="00E979AE">
        <w:tc>
          <w:tcPr>
            <w:tcW w:w="1408" w:type="pct"/>
            <w:vAlign w:val="center"/>
          </w:tcPr>
          <w:p w14:paraId="70A0E801"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Cost to the MBS less copayments – testing at platinum resistance (scenario)</w:t>
            </w:r>
          </w:p>
        </w:tc>
        <w:tc>
          <w:tcPr>
            <w:tcW w:w="605" w:type="pct"/>
            <w:vAlign w:val="center"/>
          </w:tcPr>
          <w:p w14:paraId="67F1534A" w14:textId="1F3E9513"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9"/>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9"/>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9"/>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6" w:type="pct"/>
            <w:vAlign w:val="center"/>
          </w:tcPr>
          <w:p w14:paraId="30153180" w14:textId="78564383"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6"/>
                <w:sz w:val="20"/>
                <w:shd w:val="solid" w:color="000000" w:fill="000000"/>
                <w:fitText w:val="72" w:id="-629961978"/>
                <w14:textFill>
                  <w14:solidFill>
                    <w14:srgbClr w14:val="000000">
                      <w14:alpha w14:val="100000"/>
                    </w14:srgbClr>
                  </w14:solidFill>
                </w14:textFill>
              </w:rPr>
              <w:t xml:space="preserve">　</w:t>
            </w:r>
            <w:r w:rsidRPr="00AF3C7B">
              <w:rPr>
                <w:rFonts w:ascii="Arial Narrow" w:hAnsi="Arial Narrow"/>
                <w:color w:val="000000"/>
                <w:w w:val="16"/>
                <w:sz w:val="20"/>
                <w:shd w:val="solid" w:color="000000" w:fill="000000"/>
                <w:fitText w:val="72" w:id="-629961978"/>
                <w14:textFill>
                  <w14:solidFill>
                    <w14:srgbClr w14:val="000000">
                      <w14:alpha w14:val="100000"/>
                    </w14:srgbClr>
                  </w14:solidFill>
                </w14:textFill>
              </w:rPr>
              <w:t>|</w:t>
            </w:r>
            <w:r w:rsidRPr="00AF3C7B">
              <w:rPr>
                <w:rFonts w:ascii="Arial Narrow" w:hAnsi="Arial Narrow" w:hint="eastAsia"/>
                <w:color w:val="000000"/>
                <w:spacing w:val="2"/>
                <w:w w:val="16"/>
                <w:sz w:val="20"/>
                <w:shd w:val="solid" w:color="000000" w:fill="000000"/>
                <w:fitText w:val="72" w:id="-629961978"/>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5" w:type="pct"/>
            <w:vAlign w:val="center"/>
          </w:tcPr>
          <w:p w14:paraId="3818B964" w14:textId="3704EC69"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7"/>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7"/>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7"/>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5" w:type="pct"/>
            <w:vAlign w:val="center"/>
          </w:tcPr>
          <w:p w14:paraId="278D0C85" w14:textId="0F4F6484"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6"/>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6"/>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6"/>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5" w:type="pct"/>
            <w:vAlign w:val="center"/>
          </w:tcPr>
          <w:p w14:paraId="6925FFF6" w14:textId="3F9FEC26"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5"/>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5"/>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5"/>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566" w:type="pct"/>
            <w:vAlign w:val="center"/>
          </w:tcPr>
          <w:p w14:paraId="71D982AA" w14:textId="78CEAB4F"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24"/>
                <w:sz w:val="20"/>
                <w:shd w:val="solid" w:color="000000" w:fill="000000"/>
                <w:fitText w:val="108" w:id="-629961974"/>
                <w14:textFill>
                  <w14:solidFill>
                    <w14:srgbClr w14:val="000000">
                      <w14:alpha w14:val="100000"/>
                    </w14:srgbClr>
                  </w14:solidFill>
                </w14:textFill>
              </w:rPr>
              <w:t xml:space="preserve">　</w:t>
            </w:r>
            <w:r w:rsidRPr="00AF3C7B">
              <w:rPr>
                <w:rFonts w:ascii="Arial Narrow" w:hAnsi="Arial Narrow"/>
                <w:color w:val="000000"/>
                <w:w w:val="24"/>
                <w:sz w:val="20"/>
                <w:shd w:val="solid" w:color="000000" w:fill="000000"/>
                <w:fitText w:val="108" w:id="-629961974"/>
                <w14:textFill>
                  <w14:solidFill>
                    <w14:srgbClr w14:val="000000">
                      <w14:alpha w14:val="100000"/>
                    </w14:srgbClr>
                  </w14:solidFill>
                </w14:textFill>
              </w:rPr>
              <w:t>|</w:t>
            </w:r>
            <w:r w:rsidRPr="00AF3C7B">
              <w:rPr>
                <w:rFonts w:ascii="Arial Narrow" w:hAnsi="Arial Narrow" w:hint="eastAsia"/>
                <w:color w:val="000000"/>
                <w:spacing w:val="4"/>
                <w:w w:val="24"/>
                <w:sz w:val="20"/>
                <w:shd w:val="solid" w:color="000000" w:fill="000000"/>
                <w:fitText w:val="108" w:id="-629961974"/>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r>
      <w:tr w:rsidR="00D47C1B" w:rsidRPr="00445EE0" w14:paraId="289353DF" w14:textId="77777777" w:rsidTr="00E979AE">
        <w:tc>
          <w:tcPr>
            <w:tcW w:w="5000" w:type="pct"/>
            <w:gridSpan w:val="7"/>
            <w:vAlign w:val="center"/>
          </w:tcPr>
          <w:p w14:paraId="2427DE99" w14:textId="77777777" w:rsidR="00D47C1B" w:rsidRPr="00445EE0" w:rsidRDefault="00D47C1B" w:rsidP="00B705A8">
            <w:pPr>
              <w:keepNext/>
              <w:keepLines/>
              <w:spacing w:before="0" w:after="0"/>
              <w:jc w:val="left"/>
              <w:rPr>
                <w:rFonts w:ascii="Arial Narrow" w:hAnsi="Arial Narrow"/>
                <w:b/>
                <w:sz w:val="20"/>
              </w:rPr>
            </w:pPr>
            <w:r w:rsidRPr="00445EE0">
              <w:rPr>
                <w:rFonts w:ascii="Arial Narrow" w:hAnsi="Arial Narrow"/>
                <w:b/>
                <w:sz w:val="20"/>
              </w:rPr>
              <w:t>Estimated financial implications of MIRV to the PBS/RPBS</w:t>
            </w:r>
          </w:p>
        </w:tc>
      </w:tr>
      <w:tr w:rsidR="00D47C1B" w:rsidRPr="00445EE0" w14:paraId="01E39C4A" w14:textId="77777777" w:rsidTr="00E979AE">
        <w:tc>
          <w:tcPr>
            <w:tcW w:w="1408" w:type="pct"/>
            <w:vAlign w:val="center"/>
          </w:tcPr>
          <w:p w14:paraId="37056602"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Cost to PBS/RPBS less copayments</w:t>
            </w:r>
          </w:p>
        </w:tc>
        <w:tc>
          <w:tcPr>
            <w:tcW w:w="605" w:type="pct"/>
            <w:vAlign w:val="center"/>
          </w:tcPr>
          <w:p w14:paraId="652725F4" w14:textId="0A481812"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3"/>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3"/>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3"/>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6" w:type="pct"/>
            <w:vAlign w:val="center"/>
          </w:tcPr>
          <w:p w14:paraId="29E7E991" w14:textId="1488C8FD"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6"/>
                <w:sz w:val="20"/>
                <w:shd w:val="solid" w:color="000000" w:fill="000000"/>
                <w:fitText w:val="72" w:id="-629961972"/>
                <w14:textFill>
                  <w14:solidFill>
                    <w14:srgbClr w14:val="000000">
                      <w14:alpha w14:val="100000"/>
                    </w14:srgbClr>
                  </w14:solidFill>
                </w14:textFill>
              </w:rPr>
              <w:t xml:space="preserve">　</w:t>
            </w:r>
            <w:r w:rsidRPr="00AF3C7B">
              <w:rPr>
                <w:rFonts w:ascii="Arial Narrow" w:hAnsi="Arial Narrow"/>
                <w:color w:val="000000"/>
                <w:w w:val="16"/>
                <w:sz w:val="20"/>
                <w:shd w:val="solid" w:color="000000" w:fill="000000"/>
                <w:fitText w:val="72" w:id="-629961972"/>
                <w14:textFill>
                  <w14:solidFill>
                    <w14:srgbClr w14:val="000000">
                      <w14:alpha w14:val="100000"/>
                    </w14:srgbClr>
                  </w14:solidFill>
                </w14:textFill>
              </w:rPr>
              <w:t>|</w:t>
            </w:r>
            <w:r w:rsidRPr="00AF3C7B">
              <w:rPr>
                <w:rFonts w:ascii="Arial Narrow" w:hAnsi="Arial Narrow" w:hint="eastAsia"/>
                <w:color w:val="000000"/>
                <w:spacing w:val="2"/>
                <w:w w:val="16"/>
                <w:sz w:val="20"/>
                <w:shd w:val="solid" w:color="000000" w:fill="000000"/>
                <w:fitText w:val="72" w:id="-629961972"/>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40F8370B" w14:textId="212321C4"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1"/>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1"/>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1"/>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0D6472E5" w14:textId="0C2F40E3"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0"/>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0"/>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0"/>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6198831F" w14:textId="45791F87"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69"/>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69"/>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69"/>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566" w:type="pct"/>
            <w:vAlign w:val="center"/>
          </w:tcPr>
          <w:p w14:paraId="32EB247D" w14:textId="5CD5453F"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24"/>
                <w:sz w:val="20"/>
                <w:shd w:val="solid" w:color="000000" w:fill="000000"/>
                <w:fitText w:val="108" w:id="-629961968"/>
                <w14:textFill>
                  <w14:solidFill>
                    <w14:srgbClr w14:val="000000">
                      <w14:alpha w14:val="100000"/>
                    </w14:srgbClr>
                  </w14:solidFill>
                </w14:textFill>
              </w:rPr>
              <w:t xml:space="preserve">　</w:t>
            </w:r>
            <w:r w:rsidRPr="00AF3C7B">
              <w:rPr>
                <w:rFonts w:ascii="Arial Narrow" w:hAnsi="Arial Narrow"/>
                <w:color w:val="000000"/>
                <w:w w:val="24"/>
                <w:sz w:val="20"/>
                <w:shd w:val="solid" w:color="000000" w:fill="000000"/>
                <w:fitText w:val="108" w:id="-629961968"/>
                <w14:textFill>
                  <w14:solidFill>
                    <w14:srgbClr w14:val="000000">
                      <w14:alpha w14:val="100000"/>
                    </w14:srgbClr>
                  </w14:solidFill>
                </w14:textFill>
              </w:rPr>
              <w:t>|</w:t>
            </w:r>
            <w:r w:rsidRPr="00AF3C7B">
              <w:rPr>
                <w:rFonts w:ascii="Arial Narrow" w:hAnsi="Arial Narrow" w:hint="eastAsia"/>
                <w:color w:val="000000"/>
                <w:spacing w:val="4"/>
                <w:w w:val="24"/>
                <w:sz w:val="20"/>
                <w:shd w:val="solid" w:color="000000" w:fill="000000"/>
                <w:fitText w:val="108" w:id="-629961968"/>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r>
      <w:tr w:rsidR="00D47C1B" w:rsidRPr="00445EE0" w14:paraId="66B3210A" w14:textId="77777777" w:rsidTr="00E979AE">
        <w:tc>
          <w:tcPr>
            <w:tcW w:w="5000" w:type="pct"/>
            <w:gridSpan w:val="7"/>
            <w:vAlign w:val="center"/>
          </w:tcPr>
          <w:p w14:paraId="13EF844C" w14:textId="77777777" w:rsidR="00D47C1B" w:rsidRPr="00445EE0" w:rsidRDefault="00D47C1B" w:rsidP="00B705A8">
            <w:pPr>
              <w:keepNext/>
              <w:keepLines/>
              <w:spacing w:before="0" w:after="0"/>
              <w:jc w:val="left"/>
              <w:rPr>
                <w:rFonts w:ascii="Arial Narrow" w:hAnsi="Arial Narrow"/>
                <w:b/>
                <w:sz w:val="20"/>
              </w:rPr>
            </w:pPr>
            <w:r w:rsidRPr="00445EE0">
              <w:rPr>
                <w:rFonts w:ascii="Arial Narrow" w:hAnsi="Arial Narrow"/>
                <w:b/>
                <w:sz w:val="20"/>
              </w:rPr>
              <w:t>Estimated financial implications of changes to other services to the MBS</w:t>
            </w:r>
          </w:p>
        </w:tc>
      </w:tr>
      <w:tr w:rsidR="00D47C1B" w:rsidRPr="00445EE0" w14:paraId="3BDBFAA9" w14:textId="77777777" w:rsidTr="00E979AE">
        <w:tc>
          <w:tcPr>
            <w:tcW w:w="1408" w:type="pct"/>
            <w:vAlign w:val="center"/>
          </w:tcPr>
          <w:p w14:paraId="01076DC7"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Cost to MBS less copayments</w:t>
            </w:r>
          </w:p>
        </w:tc>
        <w:tc>
          <w:tcPr>
            <w:tcW w:w="605" w:type="pct"/>
            <w:vAlign w:val="center"/>
          </w:tcPr>
          <w:p w14:paraId="150B2969" w14:textId="4CF0E845"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84"/>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84"/>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84"/>
                <w14:textFill>
                  <w14:solidFill>
                    <w14:srgbClr w14:val="000000">
                      <w14:alpha w14:val="100000"/>
                    </w14:srgbClr>
                  </w14:solidFill>
                </w14:textFill>
              </w:rPr>
              <w:t xml:space="preserve">　</w:t>
            </w:r>
            <w:r w:rsidR="00A369F2" w:rsidRPr="00A369F2">
              <w:rPr>
                <w:rFonts w:ascii="Arial Narrow" w:hAnsi="Arial Narrow" w:cs="Arial"/>
                <w:sz w:val="20"/>
                <w:szCs w:val="20"/>
                <w:vertAlign w:val="superscript"/>
              </w:rPr>
              <w:t>5</w:t>
            </w:r>
          </w:p>
        </w:tc>
        <w:tc>
          <w:tcPr>
            <w:tcW w:w="606" w:type="pct"/>
            <w:vAlign w:val="center"/>
          </w:tcPr>
          <w:p w14:paraId="68406ADF" w14:textId="360C8169"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6"/>
                <w:sz w:val="20"/>
                <w:szCs w:val="20"/>
                <w:shd w:val="solid" w:color="000000" w:fill="000000"/>
                <w:fitText w:val="72" w:id="-629961983"/>
                <w14:textFill>
                  <w14:solidFill>
                    <w14:srgbClr w14:val="000000">
                      <w14:alpha w14:val="100000"/>
                    </w14:srgbClr>
                  </w14:solidFill>
                </w14:textFill>
              </w:rPr>
              <w:t xml:space="preserve">　</w:t>
            </w:r>
            <w:r w:rsidRPr="00AF3C7B">
              <w:rPr>
                <w:rFonts w:ascii="Arial Narrow" w:hAnsi="Arial Narrow" w:cs="Arial"/>
                <w:color w:val="000000"/>
                <w:w w:val="16"/>
                <w:sz w:val="20"/>
                <w:szCs w:val="20"/>
                <w:shd w:val="solid" w:color="000000" w:fill="000000"/>
                <w:fitText w:val="72" w:id="-629961983"/>
                <w14:textFill>
                  <w14:solidFill>
                    <w14:srgbClr w14:val="000000">
                      <w14:alpha w14:val="100000"/>
                    </w14:srgbClr>
                  </w14:solidFill>
                </w14:textFill>
              </w:rPr>
              <w:t>|</w:t>
            </w:r>
            <w:r w:rsidRPr="00AF3C7B">
              <w:rPr>
                <w:rFonts w:ascii="Arial Narrow" w:hAnsi="Arial Narrow" w:cs="Arial" w:hint="eastAsia"/>
                <w:color w:val="000000"/>
                <w:spacing w:val="2"/>
                <w:w w:val="16"/>
                <w:sz w:val="20"/>
                <w:szCs w:val="20"/>
                <w:shd w:val="solid" w:color="000000" w:fill="000000"/>
                <w:fitText w:val="72" w:id="-629961983"/>
                <w14:textFill>
                  <w14:solidFill>
                    <w14:srgbClr w14:val="000000">
                      <w14:alpha w14:val="100000"/>
                    </w14:srgbClr>
                  </w14:solidFill>
                </w14:textFill>
              </w:rPr>
              <w:t xml:space="preserve">　</w:t>
            </w:r>
            <w:r w:rsidR="00A369F2" w:rsidRPr="00A369F2">
              <w:rPr>
                <w:rFonts w:ascii="Arial Narrow" w:hAnsi="Arial Narrow" w:cs="Arial"/>
                <w:sz w:val="20"/>
                <w:szCs w:val="20"/>
                <w:vertAlign w:val="superscript"/>
              </w:rPr>
              <w:t>5</w:t>
            </w:r>
          </w:p>
        </w:tc>
        <w:tc>
          <w:tcPr>
            <w:tcW w:w="605" w:type="pct"/>
            <w:vAlign w:val="center"/>
          </w:tcPr>
          <w:p w14:paraId="0A50EE87" w14:textId="7F1BD9FC"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82"/>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82"/>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82"/>
                <w14:textFill>
                  <w14:solidFill>
                    <w14:srgbClr w14:val="000000">
                      <w14:alpha w14:val="100000"/>
                    </w14:srgbClr>
                  </w14:solidFill>
                </w14:textFill>
              </w:rPr>
              <w:t xml:space="preserve">　</w:t>
            </w:r>
            <w:r w:rsidR="00A369F2" w:rsidRPr="00A369F2">
              <w:rPr>
                <w:rFonts w:ascii="Arial Narrow" w:hAnsi="Arial Narrow" w:cs="Arial"/>
                <w:sz w:val="20"/>
                <w:szCs w:val="20"/>
                <w:vertAlign w:val="superscript"/>
              </w:rPr>
              <w:t>5</w:t>
            </w:r>
          </w:p>
        </w:tc>
        <w:tc>
          <w:tcPr>
            <w:tcW w:w="605" w:type="pct"/>
            <w:vAlign w:val="center"/>
          </w:tcPr>
          <w:p w14:paraId="5DDB766D" w14:textId="46D26AE1"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81"/>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81"/>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81"/>
                <w14:textFill>
                  <w14:solidFill>
                    <w14:srgbClr w14:val="000000">
                      <w14:alpha w14:val="100000"/>
                    </w14:srgbClr>
                  </w14:solidFill>
                </w14:textFill>
              </w:rPr>
              <w:t xml:space="preserve">　</w:t>
            </w:r>
            <w:r w:rsidR="00A369F2" w:rsidRPr="00A369F2">
              <w:rPr>
                <w:rFonts w:ascii="Arial Narrow" w:hAnsi="Arial Narrow" w:cs="Arial"/>
                <w:sz w:val="20"/>
                <w:szCs w:val="20"/>
                <w:vertAlign w:val="superscript"/>
              </w:rPr>
              <w:t>5</w:t>
            </w:r>
          </w:p>
        </w:tc>
        <w:tc>
          <w:tcPr>
            <w:tcW w:w="605" w:type="pct"/>
            <w:vAlign w:val="center"/>
          </w:tcPr>
          <w:p w14:paraId="475B1514" w14:textId="5FDF95C1"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80"/>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80"/>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80"/>
                <w14:textFill>
                  <w14:solidFill>
                    <w14:srgbClr w14:val="000000">
                      <w14:alpha w14:val="100000"/>
                    </w14:srgbClr>
                  </w14:solidFill>
                </w14:textFill>
              </w:rPr>
              <w:t xml:space="preserve">　</w:t>
            </w:r>
            <w:r w:rsidR="00A369F2" w:rsidRPr="00A369F2">
              <w:rPr>
                <w:rFonts w:ascii="Arial Narrow" w:hAnsi="Arial Narrow" w:cs="Arial"/>
                <w:sz w:val="20"/>
                <w:szCs w:val="20"/>
                <w:vertAlign w:val="superscript"/>
              </w:rPr>
              <w:t>5</w:t>
            </w:r>
          </w:p>
        </w:tc>
        <w:tc>
          <w:tcPr>
            <w:tcW w:w="566" w:type="pct"/>
            <w:vAlign w:val="center"/>
          </w:tcPr>
          <w:p w14:paraId="0C44862C" w14:textId="2B659195"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24"/>
                <w:sz w:val="20"/>
                <w:szCs w:val="20"/>
                <w:shd w:val="solid" w:color="000000" w:fill="000000"/>
                <w:fitText w:val="108" w:id="-629961979"/>
                <w14:textFill>
                  <w14:solidFill>
                    <w14:srgbClr w14:val="000000">
                      <w14:alpha w14:val="100000"/>
                    </w14:srgbClr>
                  </w14:solidFill>
                </w14:textFill>
              </w:rPr>
              <w:t xml:space="preserve">　</w:t>
            </w:r>
            <w:r w:rsidRPr="00AF3C7B">
              <w:rPr>
                <w:rFonts w:ascii="Arial Narrow" w:hAnsi="Arial Narrow" w:cs="Arial"/>
                <w:color w:val="000000"/>
                <w:w w:val="24"/>
                <w:sz w:val="20"/>
                <w:szCs w:val="20"/>
                <w:shd w:val="solid" w:color="000000" w:fill="000000"/>
                <w:fitText w:val="108" w:id="-629961979"/>
                <w14:textFill>
                  <w14:solidFill>
                    <w14:srgbClr w14:val="000000">
                      <w14:alpha w14:val="100000"/>
                    </w14:srgbClr>
                  </w14:solidFill>
                </w14:textFill>
              </w:rPr>
              <w:t>|</w:t>
            </w:r>
            <w:r w:rsidRPr="00AF3C7B">
              <w:rPr>
                <w:rFonts w:ascii="Arial Narrow" w:hAnsi="Arial Narrow" w:cs="Arial" w:hint="eastAsia"/>
                <w:color w:val="000000"/>
                <w:spacing w:val="4"/>
                <w:w w:val="24"/>
                <w:sz w:val="20"/>
                <w:szCs w:val="20"/>
                <w:shd w:val="solid" w:color="000000" w:fill="000000"/>
                <w:fitText w:val="108" w:id="-629961979"/>
                <w14:textFill>
                  <w14:solidFill>
                    <w14:srgbClr w14:val="000000">
                      <w14:alpha w14:val="100000"/>
                    </w14:srgbClr>
                  </w14:solidFill>
                </w14:textFill>
              </w:rPr>
              <w:t xml:space="preserve">　</w:t>
            </w:r>
            <w:r w:rsidR="00A369F2" w:rsidRPr="00A369F2">
              <w:rPr>
                <w:rFonts w:ascii="Arial Narrow" w:hAnsi="Arial Narrow" w:cs="Arial"/>
                <w:sz w:val="20"/>
                <w:szCs w:val="20"/>
                <w:vertAlign w:val="superscript"/>
              </w:rPr>
              <w:t>5</w:t>
            </w:r>
          </w:p>
        </w:tc>
      </w:tr>
      <w:tr w:rsidR="00D47C1B" w:rsidRPr="00445EE0" w14:paraId="0E2826C7" w14:textId="77777777" w:rsidTr="00E979AE">
        <w:tc>
          <w:tcPr>
            <w:tcW w:w="5000" w:type="pct"/>
            <w:gridSpan w:val="7"/>
            <w:vAlign w:val="center"/>
          </w:tcPr>
          <w:p w14:paraId="012BF379" w14:textId="77777777" w:rsidR="00D47C1B" w:rsidRPr="00445EE0" w:rsidRDefault="00D47C1B" w:rsidP="00B705A8">
            <w:pPr>
              <w:keepNext/>
              <w:keepLines/>
              <w:spacing w:before="0" w:after="0"/>
              <w:jc w:val="left"/>
              <w:rPr>
                <w:rFonts w:ascii="Arial Narrow" w:hAnsi="Arial Narrow"/>
                <w:b/>
                <w:sz w:val="20"/>
              </w:rPr>
            </w:pPr>
            <w:r w:rsidRPr="00445EE0">
              <w:rPr>
                <w:rFonts w:ascii="Arial Narrow" w:hAnsi="Arial Narrow"/>
                <w:b/>
                <w:sz w:val="20"/>
              </w:rPr>
              <w:t>Estimated financial implications of changes to affected medicines to the PBS/RPBS</w:t>
            </w:r>
          </w:p>
        </w:tc>
      </w:tr>
      <w:tr w:rsidR="00D47C1B" w:rsidRPr="00445EE0" w14:paraId="141187A6" w14:textId="77777777" w:rsidTr="00E979AE">
        <w:tc>
          <w:tcPr>
            <w:tcW w:w="1408" w:type="pct"/>
            <w:vAlign w:val="center"/>
          </w:tcPr>
          <w:p w14:paraId="35644E27"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Cost to PBS/RPBS less copayments</w:t>
            </w:r>
          </w:p>
        </w:tc>
        <w:tc>
          <w:tcPr>
            <w:tcW w:w="605" w:type="pct"/>
            <w:vAlign w:val="center"/>
          </w:tcPr>
          <w:p w14:paraId="6416F370" w14:textId="5E5E8DD9"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8"/>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8"/>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8"/>
                <w14:textFill>
                  <w14:solidFill>
                    <w14:srgbClr w14:val="000000">
                      <w14:alpha w14:val="100000"/>
                    </w14:srgbClr>
                  </w14:solidFill>
                </w14:textFill>
              </w:rPr>
              <w:t xml:space="preserve">　</w:t>
            </w:r>
            <w:r w:rsidR="00A369F2" w:rsidRPr="00A369F2">
              <w:rPr>
                <w:rFonts w:ascii="Arial Narrow" w:hAnsi="Arial Narrow" w:cs="Arial"/>
                <w:sz w:val="20"/>
                <w:szCs w:val="20"/>
                <w:vertAlign w:val="superscript"/>
              </w:rPr>
              <w:t>5</w:t>
            </w:r>
          </w:p>
        </w:tc>
        <w:tc>
          <w:tcPr>
            <w:tcW w:w="606" w:type="pct"/>
            <w:vAlign w:val="center"/>
          </w:tcPr>
          <w:p w14:paraId="5F85F9EF" w14:textId="5552B929"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6"/>
                <w:sz w:val="20"/>
                <w:shd w:val="solid" w:color="000000" w:fill="000000"/>
                <w:fitText w:val="72" w:id="-629961977"/>
                <w14:textFill>
                  <w14:solidFill>
                    <w14:srgbClr w14:val="000000">
                      <w14:alpha w14:val="100000"/>
                    </w14:srgbClr>
                  </w14:solidFill>
                </w14:textFill>
              </w:rPr>
              <w:t xml:space="preserve">　</w:t>
            </w:r>
            <w:r w:rsidRPr="00AF3C7B">
              <w:rPr>
                <w:rFonts w:ascii="Arial Narrow" w:hAnsi="Arial Narrow"/>
                <w:color w:val="000000"/>
                <w:w w:val="16"/>
                <w:sz w:val="20"/>
                <w:shd w:val="solid" w:color="000000" w:fill="000000"/>
                <w:fitText w:val="72" w:id="-629961977"/>
                <w14:textFill>
                  <w14:solidFill>
                    <w14:srgbClr w14:val="000000">
                      <w14:alpha w14:val="100000"/>
                    </w14:srgbClr>
                  </w14:solidFill>
                </w14:textFill>
              </w:rPr>
              <w:t>|</w:t>
            </w:r>
            <w:r w:rsidRPr="00AF3C7B">
              <w:rPr>
                <w:rFonts w:ascii="Arial Narrow" w:hAnsi="Arial Narrow" w:hint="eastAsia"/>
                <w:color w:val="000000"/>
                <w:spacing w:val="2"/>
                <w:w w:val="16"/>
                <w:sz w:val="20"/>
                <w:shd w:val="solid" w:color="000000" w:fill="000000"/>
                <w:fitText w:val="72" w:id="-629961977"/>
                <w14:textFill>
                  <w14:solidFill>
                    <w14:srgbClr w14:val="000000">
                      <w14:alpha w14:val="100000"/>
                    </w14:srgbClr>
                  </w14:solidFill>
                </w14:textFill>
              </w:rPr>
              <w:t xml:space="preserve">　</w:t>
            </w:r>
            <w:r w:rsidR="00391FFE" w:rsidRPr="00A369F2">
              <w:rPr>
                <w:rFonts w:ascii="Arial Narrow" w:hAnsi="Arial Narrow" w:cs="Arial"/>
                <w:sz w:val="20"/>
                <w:szCs w:val="20"/>
                <w:vertAlign w:val="superscript"/>
              </w:rPr>
              <w:t>5</w:t>
            </w:r>
          </w:p>
        </w:tc>
        <w:tc>
          <w:tcPr>
            <w:tcW w:w="605" w:type="pct"/>
            <w:vAlign w:val="center"/>
          </w:tcPr>
          <w:p w14:paraId="31D23565" w14:textId="658DCB87"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6"/>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6"/>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6"/>
                <w14:textFill>
                  <w14:solidFill>
                    <w14:srgbClr w14:val="000000">
                      <w14:alpha w14:val="100000"/>
                    </w14:srgbClr>
                  </w14:solidFill>
                </w14:textFill>
              </w:rPr>
              <w:t xml:space="preserve">　</w:t>
            </w:r>
            <w:r w:rsidR="00391FFE" w:rsidRPr="00A369F2">
              <w:rPr>
                <w:rFonts w:ascii="Arial Narrow" w:hAnsi="Arial Narrow" w:cs="Arial"/>
                <w:sz w:val="20"/>
                <w:szCs w:val="20"/>
                <w:vertAlign w:val="superscript"/>
              </w:rPr>
              <w:t>5</w:t>
            </w:r>
          </w:p>
        </w:tc>
        <w:tc>
          <w:tcPr>
            <w:tcW w:w="605" w:type="pct"/>
            <w:vAlign w:val="center"/>
          </w:tcPr>
          <w:p w14:paraId="685728EC" w14:textId="2D69727F"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5"/>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5"/>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5"/>
                <w14:textFill>
                  <w14:solidFill>
                    <w14:srgbClr w14:val="000000">
                      <w14:alpha w14:val="100000"/>
                    </w14:srgbClr>
                  </w14:solidFill>
                </w14:textFill>
              </w:rPr>
              <w:t xml:space="preserve">　</w:t>
            </w:r>
            <w:r w:rsidR="00391FFE" w:rsidRPr="00A369F2">
              <w:rPr>
                <w:rFonts w:ascii="Arial Narrow" w:hAnsi="Arial Narrow" w:cs="Arial"/>
                <w:sz w:val="20"/>
                <w:szCs w:val="20"/>
                <w:vertAlign w:val="superscript"/>
              </w:rPr>
              <w:t>5</w:t>
            </w:r>
          </w:p>
        </w:tc>
        <w:tc>
          <w:tcPr>
            <w:tcW w:w="605" w:type="pct"/>
            <w:vAlign w:val="center"/>
          </w:tcPr>
          <w:p w14:paraId="72C9DFA4" w14:textId="12740992"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4"/>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4"/>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4"/>
                <w14:textFill>
                  <w14:solidFill>
                    <w14:srgbClr w14:val="000000">
                      <w14:alpha w14:val="100000"/>
                    </w14:srgbClr>
                  </w14:solidFill>
                </w14:textFill>
              </w:rPr>
              <w:t xml:space="preserve">　</w:t>
            </w:r>
            <w:r w:rsidR="00391FFE" w:rsidRPr="00A369F2">
              <w:rPr>
                <w:rFonts w:ascii="Arial Narrow" w:hAnsi="Arial Narrow" w:cs="Arial"/>
                <w:sz w:val="20"/>
                <w:szCs w:val="20"/>
                <w:vertAlign w:val="superscript"/>
              </w:rPr>
              <w:t>5</w:t>
            </w:r>
          </w:p>
        </w:tc>
        <w:tc>
          <w:tcPr>
            <w:tcW w:w="566" w:type="pct"/>
            <w:vAlign w:val="center"/>
          </w:tcPr>
          <w:p w14:paraId="459584B9" w14:textId="6EBB59CB"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24"/>
                <w:sz w:val="20"/>
                <w:shd w:val="solid" w:color="000000" w:fill="000000"/>
                <w:fitText w:val="108" w:id="-629961973"/>
                <w14:textFill>
                  <w14:solidFill>
                    <w14:srgbClr w14:val="000000">
                      <w14:alpha w14:val="100000"/>
                    </w14:srgbClr>
                  </w14:solidFill>
                </w14:textFill>
              </w:rPr>
              <w:t xml:space="preserve">　</w:t>
            </w:r>
            <w:r w:rsidRPr="00AF3C7B">
              <w:rPr>
                <w:rFonts w:ascii="Arial Narrow" w:hAnsi="Arial Narrow"/>
                <w:color w:val="000000"/>
                <w:w w:val="24"/>
                <w:sz w:val="20"/>
                <w:shd w:val="solid" w:color="000000" w:fill="000000"/>
                <w:fitText w:val="108" w:id="-629961973"/>
                <w14:textFill>
                  <w14:solidFill>
                    <w14:srgbClr w14:val="000000">
                      <w14:alpha w14:val="100000"/>
                    </w14:srgbClr>
                  </w14:solidFill>
                </w14:textFill>
              </w:rPr>
              <w:t>|</w:t>
            </w:r>
            <w:r w:rsidRPr="00AF3C7B">
              <w:rPr>
                <w:rFonts w:ascii="Arial Narrow" w:hAnsi="Arial Narrow" w:hint="eastAsia"/>
                <w:color w:val="000000"/>
                <w:spacing w:val="4"/>
                <w:w w:val="24"/>
                <w:sz w:val="20"/>
                <w:shd w:val="solid" w:color="000000" w:fill="000000"/>
                <w:fitText w:val="108" w:id="-629961973"/>
                <w14:textFill>
                  <w14:solidFill>
                    <w14:srgbClr w14:val="000000">
                      <w14:alpha w14:val="100000"/>
                    </w14:srgbClr>
                  </w14:solidFill>
                </w14:textFill>
              </w:rPr>
              <w:t xml:space="preserve">　</w:t>
            </w:r>
            <w:r w:rsidR="00391FFE" w:rsidRPr="00A369F2">
              <w:rPr>
                <w:rFonts w:ascii="Arial Narrow" w:hAnsi="Arial Narrow" w:cs="Arial"/>
                <w:sz w:val="20"/>
                <w:szCs w:val="20"/>
                <w:vertAlign w:val="superscript"/>
              </w:rPr>
              <w:t>5</w:t>
            </w:r>
          </w:p>
        </w:tc>
      </w:tr>
      <w:tr w:rsidR="00D47C1B" w:rsidRPr="00445EE0" w14:paraId="7872C06B" w14:textId="77777777" w:rsidTr="00E979AE">
        <w:tc>
          <w:tcPr>
            <w:tcW w:w="5000" w:type="pct"/>
            <w:gridSpan w:val="7"/>
            <w:vAlign w:val="center"/>
          </w:tcPr>
          <w:p w14:paraId="7F8DA7FE" w14:textId="77777777" w:rsidR="00D47C1B" w:rsidRPr="00445EE0" w:rsidRDefault="00D47C1B" w:rsidP="00B705A8">
            <w:pPr>
              <w:keepNext/>
              <w:keepLines/>
              <w:spacing w:before="0" w:after="0"/>
              <w:jc w:val="left"/>
              <w:rPr>
                <w:rFonts w:ascii="Arial Narrow" w:hAnsi="Arial Narrow"/>
                <w:b/>
                <w:sz w:val="20"/>
              </w:rPr>
            </w:pPr>
            <w:r w:rsidRPr="00445EE0">
              <w:rPr>
                <w:rFonts w:ascii="Arial Narrow" w:hAnsi="Arial Narrow"/>
                <w:b/>
                <w:sz w:val="20"/>
              </w:rPr>
              <w:t>Net financial implications</w:t>
            </w:r>
            <w:r w:rsidRPr="00445EE0">
              <w:rPr>
                <w:rFonts w:ascii="Arial Narrow" w:hAnsi="Arial Narrow"/>
                <w:b/>
                <w:color w:val="4472C4" w:themeColor="accent5"/>
                <w:sz w:val="20"/>
              </w:rPr>
              <w:t xml:space="preserve"> </w:t>
            </w:r>
          </w:p>
        </w:tc>
      </w:tr>
      <w:tr w:rsidR="00D47C1B" w:rsidRPr="00445EE0" w14:paraId="7DE347E2" w14:textId="77777777" w:rsidTr="00E979AE">
        <w:tc>
          <w:tcPr>
            <w:tcW w:w="1408" w:type="pct"/>
            <w:vAlign w:val="center"/>
          </w:tcPr>
          <w:p w14:paraId="654CC088"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Net cost to PBS/RPBS</w:t>
            </w:r>
          </w:p>
        </w:tc>
        <w:tc>
          <w:tcPr>
            <w:tcW w:w="605" w:type="pct"/>
          </w:tcPr>
          <w:p w14:paraId="4C82FE64" w14:textId="57DECF95"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bCs/>
                <w:color w:val="000000"/>
                <w:w w:val="15"/>
                <w:sz w:val="20"/>
                <w:shd w:val="solid" w:color="000000" w:fill="000000"/>
                <w:fitText w:val="60" w:id="-629961972"/>
                <w14:textFill>
                  <w14:solidFill>
                    <w14:srgbClr w14:val="000000">
                      <w14:alpha w14:val="100000"/>
                    </w14:srgbClr>
                  </w14:solidFill>
                </w14:textFill>
              </w:rPr>
              <w:t xml:space="preserve">　</w:t>
            </w:r>
            <w:r w:rsidRPr="00AF3C7B">
              <w:rPr>
                <w:rFonts w:ascii="Arial Narrow" w:hAnsi="Arial Narrow"/>
                <w:bCs/>
                <w:color w:val="000000"/>
                <w:w w:val="15"/>
                <w:sz w:val="20"/>
                <w:shd w:val="solid" w:color="000000" w:fill="000000"/>
                <w:fitText w:val="60" w:id="-629961972"/>
                <w14:textFill>
                  <w14:solidFill>
                    <w14:srgbClr w14:val="000000">
                      <w14:alpha w14:val="100000"/>
                    </w14:srgbClr>
                  </w14:solidFill>
                </w14:textFill>
              </w:rPr>
              <w:t>|</w:t>
            </w:r>
            <w:r w:rsidRPr="00AF3C7B">
              <w:rPr>
                <w:rFonts w:ascii="Arial Narrow" w:hAnsi="Arial Narrow" w:hint="eastAsia"/>
                <w:bCs/>
                <w:color w:val="000000"/>
                <w:spacing w:val="-5"/>
                <w:w w:val="15"/>
                <w:sz w:val="20"/>
                <w:shd w:val="solid" w:color="000000" w:fill="000000"/>
                <w:fitText w:val="60" w:id="-629961972"/>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6" w:type="pct"/>
          </w:tcPr>
          <w:p w14:paraId="58662C20" w14:textId="7CDAD4D4"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bCs/>
                <w:color w:val="000000"/>
                <w:w w:val="16"/>
                <w:sz w:val="20"/>
                <w:shd w:val="solid" w:color="000000" w:fill="000000"/>
                <w:fitText w:val="72" w:id="-629961971"/>
                <w14:textFill>
                  <w14:solidFill>
                    <w14:srgbClr w14:val="000000">
                      <w14:alpha w14:val="100000"/>
                    </w14:srgbClr>
                  </w14:solidFill>
                </w14:textFill>
              </w:rPr>
              <w:t xml:space="preserve">　</w:t>
            </w:r>
            <w:r w:rsidRPr="00AF3C7B">
              <w:rPr>
                <w:rFonts w:ascii="Arial Narrow" w:hAnsi="Arial Narrow"/>
                <w:bCs/>
                <w:color w:val="000000"/>
                <w:w w:val="16"/>
                <w:sz w:val="20"/>
                <w:shd w:val="solid" w:color="000000" w:fill="000000"/>
                <w:fitText w:val="72" w:id="-629961971"/>
                <w14:textFill>
                  <w14:solidFill>
                    <w14:srgbClr w14:val="000000">
                      <w14:alpha w14:val="100000"/>
                    </w14:srgbClr>
                  </w14:solidFill>
                </w14:textFill>
              </w:rPr>
              <w:t>|</w:t>
            </w:r>
            <w:r w:rsidRPr="00AF3C7B">
              <w:rPr>
                <w:rFonts w:ascii="Arial Narrow" w:hAnsi="Arial Narrow" w:hint="eastAsia"/>
                <w:bCs/>
                <w:color w:val="000000"/>
                <w:spacing w:val="2"/>
                <w:w w:val="16"/>
                <w:sz w:val="20"/>
                <w:shd w:val="solid" w:color="000000" w:fill="000000"/>
                <w:fitText w:val="72" w:id="-629961971"/>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tcPr>
          <w:p w14:paraId="62B7B3BF" w14:textId="0B2FD631"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bCs/>
                <w:color w:val="000000"/>
                <w:w w:val="15"/>
                <w:sz w:val="20"/>
                <w:shd w:val="solid" w:color="000000" w:fill="000000"/>
                <w:fitText w:val="60" w:id="-629961970"/>
                <w14:textFill>
                  <w14:solidFill>
                    <w14:srgbClr w14:val="000000">
                      <w14:alpha w14:val="100000"/>
                    </w14:srgbClr>
                  </w14:solidFill>
                </w14:textFill>
              </w:rPr>
              <w:t xml:space="preserve">　</w:t>
            </w:r>
            <w:r w:rsidRPr="00AF3C7B">
              <w:rPr>
                <w:rFonts w:ascii="Arial Narrow" w:hAnsi="Arial Narrow"/>
                <w:bCs/>
                <w:color w:val="000000"/>
                <w:w w:val="15"/>
                <w:sz w:val="20"/>
                <w:shd w:val="solid" w:color="000000" w:fill="000000"/>
                <w:fitText w:val="60" w:id="-629961970"/>
                <w14:textFill>
                  <w14:solidFill>
                    <w14:srgbClr w14:val="000000">
                      <w14:alpha w14:val="100000"/>
                    </w14:srgbClr>
                  </w14:solidFill>
                </w14:textFill>
              </w:rPr>
              <w:t>|</w:t>
            </w:r>
            <w:r w:rsidRPr="00AF3C7B">
              <w:rPr>
                <w:rFonts w:ascii="Arial Narrow" w:hAnsi="Arial Narrow" w:hint="eastAsia"/>
                <w:bCs/>
                <w:color w:val="000000"/>
                <w:spacing w:val="-5"/>
                <w:w w:val="15"/>
                <w:sz w:val="20"/>
                <w:shd w:val="solid" w:color="000000" w:fill="000000"/>
                <w:fitText w:val="60" w:id="-629961970"/>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tcPr>
          <w:p w14:paraId="3C778459" w14:textId="1E69EA77"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bCs/>
                <w:color w:val="000000"/>
                <w:w w:val="15"/>
                <w:sz w:val="20"/>
                <w:shd w:val="solid" w:color="000000" w:fill="000000"/>
                <w:fitText w:val="60" w:id="-629961969"/>
                <w14:textFill>
                  <w14:solidFill>
                    <w14:srgbClr w14:val="000000">
                      <w14:alpha w14:val="100000"/>
                    </w14:srgbClr>
                  </w14:solidFill>
                </w14:textFill>
              </w:rPr>
              <w:t xml:space="preserve">　</w:t>
            </w:r>
            <w:r w:rsidRPr="00AF3C7B">
              <w:rPr>
                <w:rFonts w:ascii="Arial Narrow" w:hAnsi="Arial Narrow"/>
                <w:bCs/>
                <w:color w:val="000000"/>
                <w:w w:val="15"/>
                <w:sz w:val="20"/>
                <w:shd w:val="solid" w:color="000000" w:fill="000000"/>
                <w:fitText w:val="60" w:id="-629961969"/>
                <w14:textFill>
                  <w14:solidFill>
                    <w14:srgbClr w14:val="000000">
                      <w14:alpha w14:val="100000"/>
                    </w14:srgbClr>
                  </w14:solidFill>
                </w14:textFill>
              </w:rPr>
              <w:t>|</w:t>
            </w:r>
            <w:r w:rsidRPr="00AF3C7B">
              <w:rPr>
                <w:rFonts w:ascii="Arial Narrow" w:hAnsi="Arial Narrow" w:hint="eastAsia"/>
                <w:bCs/>
                <w:color w:val="000000"/>
                <w:spacing w:val="-5"/>
                <w:w w:val="15"/>
                <w:sz w:val="20"/>
                <w:shd w:val="solid" w:color="000000" w:fill="000000"/>
                <w:fitText w:val="60" w:id="-629961969"/>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tcPr>
          <w:p w14:paraId="501D1BA1" w14:textId="4810C6D7"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bCs/>
                <w:color w:val="000000"/>
                <w:w w:val="15"/>
                <w:sz w:val="20"/>
                <w:shd w:val="solid" w:color="000000" w:fill="000000"/>
                <w:fitText w:val="60" w:id="-629961968"/>
                <w14:textFill>
                  <w14:solidFill>
                    <w14:srgbClr w14:val="000000">
                      <w14:alpha w14:val="100000"/>
                    </w14:srgbClr>
                  </w14:solidFill>
                </w14:textFill>
              </w:rPr>
              <w:t xml:space="preserve">　</w:t>
            </w:r>
            <w:r w:rsidRPr="00AF3C7B">
              <w:rPr>
                <w:rFonts w:ascii="Arial Narrow" w:hAnsi="Arial Narrow"/>
                <w:bCs/>
                <w:color w:val="000000"/>
                <w:w w:val="15"/>
                <w:sz w:val="20"/>
                <w:shd w:val="solid" w:color="000000" w:fill="000000"/>
                <w:fitText w:val="60" w:id="-629961968"/>
                <w14:textFill>
                  <w14:solidFill>
                    <w14:srgbClr w14:val="000000">
                      <w14:alpha w14:val="100000"/>
                    </w14:srgbClr>
                  </w14:solidFill>
                </w14:textFill>
              </w:rPr>
              <w:t>|</w:t>
            </w:r>
            <w:r w:rsidRPr="00AF3C7B">
              <w:rPr>
                <w:rFonts w:ascii="Arial Narrow" w:hAnsi="Arial Narrow" w:hint="eastAsia"/>
                <w:bCs/>
                <w:color w:val="000000"/>
                <w:spacing w:val="-5"/>
                <w:w w:val="15"/>
                <w:sz w:val="20"/>
                <w:shd w:val="solid" w:color="000000" w:fill="000000"/>
                <w:fitText w:val="60" w:id="-629961968"/>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566" w:type="pct"/>
          </w:tcPr>
          <w:p w14:paraId="07B9CC67" w14:textId="017F91A5"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bCs/>
                <w:color w:val="000000"/>
                <w:w w:val="24"/>
                <w:sz w:val="20"/>
                <w:shd w:val="solid" w:color="000000" w:fill="000000"/>
                <w:fitText w:val="108" w:id="-629961984"/>
                <w14:textFill>
                  <w14:solidFill>
                    <w14:srgbClr w14:val="000000">
                      <w14:alpha w14:val="100000"/>
                    </w14:srgbClr>
                  </w14:solidFill>
                </w14:textFill>
              </w:rPr>
              <w:t xml:space="preserve">　</w:t>
            </w:r>
            <w:r w:rsidRPr="00AF3C7B">
              <w:rPr>
                <w:rFonts w:ascii="Arial Narrow" w:hAnsi="Arial Narrow"/>
                <w:bCs/>
                <w:color w:val="000000"/>
                <w:w w:val="24"/>
                <w:sz w:val="20"/>
                <w:shd w:val="solid" w:color="000000" w:fill="000000"/>
                <w:fitText w:val="108" w:id="-629961984"/>
                <w14:textFill>
                  <w14:solidFill>
                    <w14:srgbClr w14:val="000000">
                      <w14:alpha w14:val="100000"/>
                    </w14:srgbClr>
                  </w14:solidFill>
                </w14:textFill>
              </w:rPr>
              <w:t>|</w:t>
            </w:r>
            <w:r w:rsidRPr="00AF3C7B">
              <w:rPr>
                <w:rFonts w:ascii="Arial Narrow" w:hAnsi="Arial Narrow" w:hint="eastAsia"/>
                <w:bCs/>
                <w:color w:val="000000"/>
                <w:spacing w:val="4"/>
                <w:w w:val="24"/>
                <w:sz w:val="20"/>
                <w:shd w:val="solid" w:color="000000" w:fill="000000"/>
                <w:fitText w:val="108" w:id="-629961984"/>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r>
      <w:tr w:rsidR="00D47C1B" w:rsidRPr="00445EE0" w14:paraId="54A512B2" w14:textId="77777777" w:rsidTr="00E979AE">
        <w:tc>
          <w:tcPr>
            <w:tcW w:w="1408" w:type="pct"/>
            <w:vAlign w:val="center"/>
          </w:tcPr>
          <w:p w14:paraId="13499959" w14:textId="77777777" w:rsidR="00D47C1B" w:rsidRPr="00445EE0" w:rsidRDefault="00D47C1B" w:rsidP="00B705A8">
            <w:pPr>
              <w:keepNext/>
              <w:keepLines/>
              <w:spacing w:before="0" w:after="0"/>
              <w:jc w:val="left"/>
              <w:rPr>
                <w:rFonts w:ascii="Times" w:eastAsia="Times New Roman" w:hAnsi="Times" w:cs="Times New Roman"/>
                <w:sz w:val="20"/>
              </w:rPr>
            </w:pPr>
            <w:r w:rsidRPr="00445EE0">
              <w:rPr>
                <w:rFonts w:ascii="Arial Narrow" w:hAnsi="Arial Narrow"/>
                <w:sz w:val="20"/>
              </w:rPr>
              <w:t>Net cost to MBS (testing at primary diagnosis)</w:t>
            </w:r>
          </w:p>
        </w:tc>
        <w:tc>
          <w:tcPr>
            <w:tcW w:w="605" w:type="pct"/>
          </w:tcPr>
          <w:p w14:paraId="098CA2B5" w14:textId="39E3390A"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3"/>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3"/>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3"/>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6" w:type="pct"/>
          </w:tcPr>
          <w:p w14:paraId="734AB625" w14:textId="7C5374F3"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olor w:val="000000"/>
                <w:spacing w:val="190"/>
                <w:sz w:val="20"/>
                <w:shd w:val="solid" w:color="000000" w:fill="000000"/>
                <w:fitText w:val="276" w:id="-629961982"/>
                <w14:textFill>
                  <w14:solidFill>
                    <w14:srgbClr w14:val="000000">
                      <w14:alpha w14:val="100000"/>
                    </w14:srgbClr>
                  </w14:solidFill>
                </w14:textFill>
              </w:rPr>
              <w:t>|</w:t>
            </w:r>
            <w:r w:rsidRPr="00AF3C7B">
              <w:rPr>
                <w:rFonts w:ascii="Arial Narrow" w:hAnsi="Arial Narrow"/>
                <w:color w:val="000000"/>
                <w:spacing w:val="1"/>
                <w:sz w:val="20"/>
                <w:shd w:val="solid" w:color="000000" w:fill="000000"/>
                <w:fitText w:val="276" w:id="-629961982"/>
                <w14:textFill>
                  <w14:solidFill>
                    <w14:srgbClr w14:val="000000">
                      <w14:alpha w14:val="100000"/>
                    </w14:srgbClr>
                  </w14:solidFill>
                </w14:textFill>
              </w:rPr>
              <w:t>|</w:t>
            </w:r>
            <w:r w:rsidR="00694C3B" w:rsidRPr="004833D8">
              <w:rPr>
                <w:rFonts w:ascii="Arial Narrow" w:hAnsi="Arial Narrow"/>
                <w:sz w:val="20"/>
                <w:vertAlign w:val="superscript"/>
              </w:rPr>
              <w:t>3</w:t>
            </w:r>
          </w:p>
        </w:tc>
        <w:tc>
          <w:tcPr>
            <w:tcW w:w="605" w:type="pct"/>
          </w:tcPr>
          <w:p w14:paraId="143A92B8" w14:textId="0AD7EA12"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0"/>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0"/>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0"/>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5" w:type="pct"/>
          </w:tcPr>
          <w:p w14:paraId="261B5844" w14:textId="775B50CC"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9"/>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9"/>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9"/>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605" w:type="pct"/>
          </w:tcPr>
          <w:p w14:paraId="0215DDC2" w14:textId="023DB5A8"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78"/>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78"/>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78"/>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c>
          <w:tcPr>
            <w:tcW w:w="566" w:type="pct"/>
          </w:tcPr>
          <w:p w14:paraId="1BE8FFAB" w14:textId="63AAA991"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24"/>
                <w:sz w:val="20"/>
                <w:shd w:val="solid" w:color="000000" w:fill="000000"/>
                <w:fitText w:val="108" w:id="-629961977"/>
                <w14:textFill>
                  <w14:solidFill>
                    <w14:srgbClr w14:val="000000">
                      <w14:alpha w14:val="100000"/>
                    </w14:srgbClr>
                  </w14:solidFill>
                </w14:textFill>
              </w:rPr>
              <w:t xml:space="preserve">　</w:t>
            </w:r>
            <w:r w:rsidRPr="00AF3C7B">
              <w:rPr>
                <w:rFonts w:ascii="Arial Narrow" w:hAnsi="Arial Narrow"/>
                <w:color w:val="000000"/>
                <w:w w:val="24"/>
                <w:sz w:val="20"/>
                <w:shd w:val="solid" w:color="000000" w:fill="000000"/>
                <w:fitText w:val="108" w:id="-629961977"/>
                <w14:textFill>
                  <w14:solidFill>
                    <w14:srgbClr w14:val="000000">
                      <w14:alpha w14:val="100000"/>
                    </w14:srgbClr>
                  </w14:solidFill>
                </w14:textFill>
              </w:rPr>
              <w:t>|</w:t>
            </w:r>
            <w:r w:rsidRPr="00AF3C7B">
              <w:rPr>
                <w:rFonts w:ascii="Arial Narrow" w:hAnsi="Arial Narrow" w:hint="eastAsia"/>
                <w:color w:val="000000"/>
                <w:spacing w:val="4"/>
                <w:w w:val="24"/>
                <w:sz w:val="20"/>
                <w:shd w:val="solid" w:color="000000" w:fill="000000"/>
                <w:fitText w:val="108" w:id="-629961977"/>
                <w14:textFill>
                  <w14:solidFill>
                    <w14:srgbClr w14:val="000000">
                      <w14:alpha w14:val="100000"/>
                    </w14:srgbClr>
                  </w14:solidFill>
                </w14:textFill>
              </w:rPr>
              <w:t xml:space="preserve">　</w:t>
            </w:r>
            <w:r w:rsidR="00694C3B" w:rsidRPr="004833D8">
              <w:rPr>
                <w:rFonts w:ascii="Arial Narrow" w:hAnsi="Arial Narrow"/>
                <w:sz w:val="20"/>
                <w:vertAlign w:val="superscript"/>
              </w:rPr>
              <w:t>3</w:t>
            </w:r>
          </w:p>
        </w:tc>
      </w:tr>
      <w:tr w:rsidR="00D47C1B" w:rsidRPr="00445EE0" w14:paraId="4FECF03A" w14:textId="77777777" w:rsidTr="00E979AE">
        <w:tc>
          <w:tcPr>
            <w:tcW w:w="1408" w:type="pct"/>
            <w:vAlign w:val="center"/>
          </w:tcPr>
          <w:p w14:paraId="5BCB23C2"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Net cost to MBS (testing at platinum resistance)</w:t>
            </w:r>
          </w:p>
        </w:tc>
        <w:tc>
          <w:tcPr>
            <w:tcW w:w="605" w:type="pct"/>
            <w:vAlign w:val="center"/>
          </w:tcPr>
          <w:p w14:paraId="1B27B54D" w14:textId="6FD13F03"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6"/>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6"/>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6"/>
                <w14:textFill>
                  <w14:solidFill>
                    <w14:srgbClr w14:val="000000">
                      <w14:alpha w14:val="100000"/>
                    </w14:srgbClr>
                  </w14:solidFill>
                </w14:textFill>
              </w:rPr>
              <w:t xml:space="preserve">　</w:t>
            </w:r>
            <w:r w:rsidR="00492FDB" w:rsidRPr="00492FDB">
              <w:rPr>
                <w:rFonts w:ascii="Arial Narrow" w:hAnsi="Arial Narrow" w:cs="Arial"/>
                <w:color w:val="000000"/>
                <w:sz w:val="20"/>
                <w:szCs w:val="20"/>
                <w:vertAlign w:val="superscript"/>
              </w:rPr>
              <w:t>3</w:t>
            </w:r>
          </w:p>
        </w:tc>
        <w:tc>
          <w:tcPr>
            <w:tcW w:w="606" w:type="pct"/>
            <w:vAlign w:val="center"/>
          </w:tcPr>
          <w:p w14:paraId="5D630D0F" w14:textId="2B112487"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6"/>
                <w:sz w:val="20"/>
                <w:szCs w:val="20"/>
                <w:shd w:val="solid" w:color="000000" w:fill="000000"/>
                <w:fitText w:val="72" w:id="-629961975"/>
                <w14:textFill>
                  <w14:solidFill>
                    <w14:srgbClr w14:val="000000">
                      <w14:alpha w14:val="100000"/>
                    </w14:srgbClr>
                  </w14:solidFill>
                </w14:textFill>
              </w:rPr>
              <w:t xml:space="preserve">　</w:t>
            </w:r>
            <w:r w:rsidRPr="00AF3C7B">
              <w:rPr>
                <w:rFonts w:ascii="Arial Narrow" w:hAnsi="Arial Narrow" w:cs="Arial"/>
                <w:color w:val="000000"/>
                <w:w w:val="16"/>
                <w:sz w:val="20"/>
                <w:szCs w:val="20"/>
                <w:shd w:val="solid" w:color="000000" w:fill="000000"/>
                <w:fitText w:val="72" w:id="-629961975"/>
                <w14:textFill>
                  <w14:solidFill>
                    <w14:srgbClr w14:val="000000">
                      <w14:alpha w14:val="100000"/>
                    </w14:srgbClr>
                  </w14:solidFill>
                </w14:textFill>
              </w:rPr>
              <w:t>|</w:t>
            </w:r>
            <w:r w:rsidRPr="00AF3C7B">
              <w:rPr>
                <w:rFonts w:ascii="Arial Narrow" w:hAnsi="Arial Narrow" w:cs="Arial" w:hint="eastAsia"/>
                <w:color w:val="000000"/>
                <w:spacing w:val="2"/>
                <w:w w:val="16"/>
                <w:sz w:val="20"/>
                <w:szCs w:val="20"/>
                <w:shd w:val="solid" w:color="000000" w:fill="000000"/>
                <w:fitText w:val="72" w:id="-629961975"/>
                <w14:textFill>
                  <w14:solidFill>
                    <w14:srgbClr w14:val="000000">
                      <w14:alpha w14:val="100000"/>
                    </w14:srgbClr>
                  </w14:solidFill>
                </w14:textFill>
              </w:rPr>
              <w:t xml:space="preserve">　</w:t>
            </w:r>
            <w:r w:rsidR="00492FDB" w:rsidRPr="00492FDB">
              <w:rPr>
                <w:rFonts w:ascii="Arial Narrow" w:hAnsi="Arial Narrow" w:cs="Arial"/>
                <w:color w:val="000000"/>
                <w:sz w:val="20"/>
                <w:szCs w:val="20"/>
                <w:vertAlign w:val="superscript"/>
              </w:rPr>
              <w:t>3</w:t>
            </w:r>
          </w:p>
        </w:tc>
        <w:tc>
          <w:tcPr>
            <w:tcW w:w="605" w:type="pct"/>
            <w:vAlign w:val="center"/>
          </w:tcPr>
          <w:p w14:paraId="3BF8DA3B" w14:textId="151057DB"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color w:val="000000"/>
                <w:spacing w:val="190"/>
                <w:sz w:val="20"/>
                <w:szCs w:val="20"/>
                <w:shd w:val="solid" w:color="000000" w:fill="000000"/>
                <w:fitText w:val="276" w:id="-629961974"/>
                <w14:textFill>
                  <w14:solidFill>
                    <w14:srgbClr w14:val="000000">
                      <w14:alpha w14:val="100000"/>
                    </w14:srgbClr>
                  </w14:solidFill>
                </w14:textFill>
              </w:rPr>
              <w:t>|</w:t>
            </w:r>
            <w:r w:rsidRPr="00AF3C7B">
              <w:rPr>
                <w:rFonts w:ascii="Arial Narrow" w:hAnsi="Arial Narrow" w:cs="Arial"/>
                <w:color w:val="000000"/>
                <w:spacing w:val="1"/>
                <w:sz w:val="20"/>
                <w:szCs w:val="20"/>
                <w:shd w:val="solid" w:color="000000" w:fill="000000"/>
                <w:fitText w:val="276" w:id="-629961974"/>
                <w14:textFill>
                  <w14:solidFill>
                    <w14:srgbClr w14:val="000000">
                      <w14:alpha w14:val="100000"/>
                    </w14:srgbClr>
                  </w14:solidFill>
                </w14:textFill>
              </w:rPr>
              <w:t>|</w:t>
            </w:r>
            <w:r w:rsidR="00492FDB" w:rsidRPr="00492FDB">
              <w:rPr>
                <w:rFonts w:ascii="Arial Narrow" w:hAnsi="Arial Narrow" w:cs="Arial"/>
                <w:color w:val="000000"/>
                <w:sz w:val="20"/>
                <w:szCs w:val="20"/>
                <w:vertAlign w:val="superscript"/>
              </w:rPr>
              <w:t>3</w:t>
            </w:r>
          </w:p>
        </w:tc>
        <w:tc>
          <w:tcPr>
            <w:tcW w:w="605" w:type="pct"/>
            <w:vAlign w:val="center"/>
          </w:tcPr>
          <w:p w14:paraId="54D8E4D8" w14:textId="47F6EE5A"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2"/>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2"/>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2"/>
                <w14:textFill>
                  <w14:solidFill>
                    <w14:srgbClr w14:val="000000">
                      <w14:alpha w14:val="100000"/>
                    </w14:srgbClr>
                  </w14:solidFill>
                </w14:textFill>
              </w:rPr>
              <w:t xml:space="preserve">　</w:t>
            </w:r>
            <w:r w:rsidR="00492FDB" w:rsidRPr="00492FDB">
              <w:rPr>
                <w:rFonts w:ascii="Arial Narrow" w:hAnsi="Arial Narrow" w:cs="Arial"/>
                <w:color w:val="000000"/>
                <w:sz w:val="20"/>
                <w:szCs w:val="20"/>
                <w:vertAlign w:val="superscript"/>
              </w:rPr>
              <w:t>3</w:t>
            </w:r>
          </w:p>
        </w:tc>
        <w:tc>
          <w:tcPr>
            <w:tcW w:w="605" w:type="pct"/>
            <w:vAlign w:val="center"/>
          </w:tcPr>
          <w:p w14:paraId="1FD02363" w14:textId="17CC47F4"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1"/>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1"/>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1"/>
                <w14:textFill>
                  <w14:solidFill>
                    <w14:srgbClr w14:val="000000">
                      <w14:alpha w14:val="100000"/>
                    </w14:srgbClr>
                  </w14:solidFill>
                </w14:textFill>
              </w:rPr>
              <w:t xml:space="preserve">　</w:t>
            </w:r>
            <w:r w:rsidR="00492FDB" w:rsidRPr="00492FDB">
              <w:rPr>
                <w:rFonts w:ascii="Arial Narrow" w:hAnsi="Arial Narrow" w:cs="Arial"/>
                <w:color w:val="000000"/>
                <w:sz w:val="20"/>
                <w:szCs w:val="20"/>
                <w:vertAlign w:val="superscript"/>
              </w:rPr>
              <w:t>3</w:t>
            </w:r>
          </w:p>
        </w:tc>
        <w:tc>
          <w:tcPr>
            <w:tcW w:w="566" w:type="pct"/>
            <w:vAlign w:val="center"/>
          </w:tcPr>
          <w:p w14:paraId="0EEA5C8B" w14:textId="0872C588"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24"/>
                <w:sz w:val="20"/>
                <w:szCs w:val="20"/>
                <w:shd w:val="solid" w:color="000000" w:fill="000000"/>
                <w:fitText w:val="108" w:id="-629961970"/>
                <w14:textFill>
                  <w14:solidFill>
                    <w14:srgbClr w14:val="000000">
                      <w14:alpha w14:val="100000"/>
                    </w14:srgbClr>
                  </w14:solidFill>
                </w14:textFill>
              </w:rPr>
              <w:t xml:space="preserve">　</w:t>
            </w:r>
            <w:r w:rsidRPr="00AF3C7B">
              <w:rPr>
                <w:rFonts w:ascii="Arial Narrow" w:hAnsi="Arial Narrow" w:cs="Arial"/>
                <w:color w:val="000000"/>
                <w:w w:val="24"/>
                <w:sz w:val="20"/>
                <w:szCs w:val="20"/>
                <w:shd w:val="solid" w:color="000000" w:fill="000000"/>
                <w:fitText w:val="108" w:id="-629961970"/>
                <w14:textFill>
                  <w14:solidFill>
                    <w14:srgbClr w14:val="000000">
                      <w14:alpha w14:val="100000"/>
                    </w14:srgbClr>
                  </w14:solidFill>
                </w14:textFill>
              </w:rPr>
              <w:t>|</w:t>
            </w:r>
            <w:r w:rsidRPr="00AF3C7B">
              <w:rPr>
                <w:rFonts w:ascii="Arial Narrow" w:hAnsi="Arial Narrow" w:cs="Arial" w:hint="eastAsia"/>
                <w:color w:val="000000"/>
                <w:spacing w:val="4"/>
                <w:w w:val="24"/>
                <w:sz w:val="20"/>
                <w:szCs w:val="20"/>
                <w:shd w:val="solid" w:color="000000" w:fill="000000"/>
                <w:fitText w:val="108" w:id="-629961970"/>
                <w14:textFill>
                  <w14:solidFill>
                    <w14:srgbClr w14:val="000000">
                      <w14:alpha w14:val="100000"/>
                    </w14:srgbClr>
                  </w14:solidFill>
                </w14:textFill>
              </w:rPr>
              <w:t xml:space="preserve">　</w:t>
            </w:r>
            <w:r w:rsidR="00492FDB" w:rsidRPr="00492FDB">
              <w:rPr>
                <w:rFonts w:ascii="Arial Narrow" w:hAnsi="Arial Narrow" w:cs="Arial"/>
                <w:color w:val="000000"/>
                <w:sz w:val="20"/>
                <w:szCs w:val="20"/>
                <w:vertAlign w:val="superscript"/>
              </w:rPr>
              <w:t>3</w:t>
            </w:r>
          </w:p>
        </w:tc>
      </w:tr>
      <w:tr w:rsidR="00D47C1B" w:rsidRPr="00445EE0" w14:paraId="56566A21" w14:textId="77777777" w:rsidTr="00E979AE">
        <w:tc>
          <w:tcPr>
            <w:tcW w:w="1408" w:type="pct"/>
            <w:vAlign w:val="center"/>
          </w:tcPr>
          <w:p w14:paraId="4FC8AF98"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Net cost to health budget (testing at primary diagnosis)</w:t>
            </w:r>
          </w:p>
        </w:tc>
        <w:tc>
          <w:tcPr>
            <w:tcW w:w="605" w:type="pct"/>
            <w:vAlign w:val="center"/>
          </w:tcPr>
          <w:p w14:paraId="610541D8" w14:textId="05544CA2"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69"/>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69"/>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69"/>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6" w:type="pct"/>
            <w:vAlign w:val="center"/>
          </w:tcPr>
          <w:p w14:paraId="21BBDD54" w14:textId="60D9E575"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6"/>
                <w:sz w:val="20"/>
                <w:shd w:val="solid" w:color="000000" w:fill="000000"/>
                <w:fitText w:val="72" w:id="-629961968"/>
                <w14:textFill>
                  <w14:solidFill>
                    <w14:srgbClr w14:val="000000">
                      <w14:alpha w14:val="100000"/>
                    </w14:srgbClr>
                  </w14:solidFill>
                </w14:textFill>
              </w:rPr>
              <w:t xml:space="preserve">　</w:t>
            </w:r>
            <w:r w:rsidRPr="00AF3C7B">
              <w:rPr>
                <w:rFonts w:ascii="Arial Narrow" w:hAnsi="Arial Narrow"/>
                <w:color w:val="000000"/>
                <w:w w:val="16"/>
                <w:sz w:val="20"/>
                <w:shd w:val="solid" w:color="000000" w:fill="000000"/>
                <w:fitText w:val="72" w:id="-629961968"/>
                <w14:textFill>
                  <w14:solidFill>
                    <w14:srgbClr w14:val="000000">
                      <w14:alpha w14:val="100000"/>
                    </w14:srgbClr>
                  </w14:solidFill>
                </w14:textFill>
              </w:rPr>
              <w:t>|</w:t>
            </w:r>
            <w:r w:rsidRPr="00AF3C7B">
              <w:rPr>
                <w:rFonts w:ascii="Arial Narrow" w:hAnsi="Arial Narrow" w:hint="eastAsia"/>
                <w:color w:val="000000"/>
                <w:spacing w:val="2"/>
                <w:w w:val="16"/>
                <w:sz w:val="20"/>
                <w:shd w:val="solid" w:color="000000" w:fill="000000"/>
                <w:fitText w:val="72" w:id="-629961968"/>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3F269B89" w14:textId="035FF893"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4"/>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4"/>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4"/>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47299D34" w14:textId="2BB7B5EA"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3"/>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3"/>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3"/>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2280A3D7" w14:textId="27AF035B"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15"/>
                <w:sz w:val="20"/>
                <w:shd w:val="solid" w:color="000000" w:fill="000000"/>
                <w:fitText w:val="60" w:id="-629961982"/>
                <w14:textFill>
                  <w14:solidFill>
                    <w14:srgbClr w14:val="000000">
                      <w14:alpha w14:val="100000"/>
                    </w14:srgbClr>
                  </w14:solidFill>
                </w14:textFill>
              </w:rPr>
              <w:t xml:space="preserve">　</w:t>
            </w:r>
            <w:r w:rsidRPr="00AF3C7B">
              <w:rPr>
                <w:rFonts w:ascii="Arial Narrow" w:hAnsi="Arial Narrow"/>
                <w:color w:val="000000"/>
                <w:w w:val="15"/>
                <w:sz w:val="20"/>
                <w:shd w:val="solid" w:color="000000" w:fill="000000"/>
                <w:fitText w:val="60" w:id="-629961982"/>
                <w14:textFill>
                  <w14:solidFill>
                    <w14:srgbClr w14:val="000000">
                      <w14:alpha w14:val="100000"/>
                    </w14:srgbClr>
                  </w14:solidFill>
                </w14:textFill>
              </w:rPr>
              <w:t>|</w:t>
            </w:r>
            <w:r w:rsidRPr="00AF3C7B">
              <w:rPr>
                <w:rFonts w:ascii="Arial Narrow" w:hAnsi="Arial Narrow" w:hint="eastAsia"/>
                <w:color w:val="000000"/>
                <w:spacing w:val="-5"/>
                <w:w w:val="15"/>
                <w:sz w:val="20"/>
                <w:shd w:val="solid" w:color="000000" w:fill="000000"/>
                <w:fitText w:val="60" w:id="-629961982"/>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566" w:type="pct"/>
            <w:vAlign w:val="center"/>
          </w:tcPr>
          <w:p w14:paraId="3C1A41AD" w14:textId="523807C3"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hint="eastAsia"/>
                <w:color w:val="000000"/>
                <w:w w:val="24"/>
                <w:sz w:val="20"/>
                <w:shd w:val="solid" w:color="000000" w:fill="000000"/>
                <w:fitText w:val="108" w:id="-629961981"/>
                <w14:textFill>
                  <w14:solidFill>
                    <w14:srgbClr w14:val="000000">
                      <w14:alpha w14:val="100000"/>
                    </w14:srgbClr>
                  </w14:solidFill>
                </w14:textFill>
              </w:rPr>
              <w:t xml:space="preserve">　</w:t>
            </w:r>
            <w:r w:rsidRPr="00AF3C7B">
              <w:rPr>
                <w:rFonts w:ascii="Arial Narrow" w:hAnsi="Arial Narrow"/>
                <w:color w:val="000000"/>
                <w:w w:val="24"/>
                <w:sz w:val="20"/>
                <w:shd w:val="solid" w:color="000000" w:fill="000000"/>
                <w:fitText w:val="108" w:id="-629961981"/>
                <w14:textFill>
                  <w14:solidFill>
                    <w14:srgbClr w14:val="000000">
                      <w14:alpha w14:val="100000"/>
                    </w14:srgbClr>
                  </w14:solidFill>
                </w14:textFill>
              </w:rPr>
              <w:t>|</w:t>
            </w:r>
            <w:r w:rsidRPr="00AF3C7B">
              <w:rPr>
                <w:rFonts w:ascii="Arial Narrow" w:hAnsi="Arial Narrow" w:hint="eastAsia"/>
                <w:color w:val="000000"/>
                <w:spacing w:val="4"/>
                <w:w w:val="24"/>
                <w:sz w:val="20"/>
                <w:shd w:val="solid" w:color="000000" w:fill="000000"/>
                <w:fitText w:val="108" w:id="-629961981"/>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r>
      <w:tr w:rsidR="00D47C1B" w:rsidRPr="00445EE0" w14:paraId="45E1343A" w14:textId="77777777" w:rsidTr="00E979AE">
        <w:tc>
          <w:tcPr>
            <w:tcW w:w="1408" w:type="pct"/>
            <w:vAlign w:val="center"/>
          </w:tcPr>
          <w:p w14:paraId="4C325D7D" w14:textId="77777777" w:rsidR="00D47C1B" w:rsidRPr="00445EE0" w:rsidRDefault="00D47C1B" w:rsidP="00B705A8">
            <w:pPr>
              <w:keepNext/>
              <w:keepLines/>
              <w:spacing w:before="0" w:after="0"/>
              <w:jc w:val="left"/>
              <w:rPr>
                <w:rFonts w:ascii="Arial Narrow" w:hAnsi="Arial Narrow"/>
                <w:sz w:val="20"/>
              </w:rPr>
            </w:pPr>
            <w:r w:rsidRPr="00445EE0">
              <w:rPr>
                <w:rFonts w:ascii="Arial Narrow" w:hAnsi="Arial Narrow"/>
                <w:sz w:val="20"/>
              </w:rPr>
              <w:t>Net cost to health budget (testing at platinum resistance)</w:t>
            </w:r>
          </w:p>
        </w:tc>
        <w:tc>
          <w:tcPr>
            <w:tcW w:w="605" w:type="pct"/>
            <w:vAlign w:val="center"/>
          </w:tcPr>
          <w:p w14:paraId="433954A9" w14:textId="0B32E8F0"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80"/>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80"/>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80"/>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6" w:type="pct"/>
            <w:vAlign w:val="center"/>
          </w:tcPr>
          <w:p w14:paraId="09719F7B" w14:textId="659077A7"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6"/>
                <w:sz w:val="20"/>
                <w:szCs w:val="20"/>
                <w:shd w:val="solid" w:color="000000" w:fill="000000"/>
                <w:fitText w:val="72" w:id="-629961979"/>
                <w14:textFill>
                  <w14:solidFill>
                    <w14:srgbClr w14:val="000000">
                      <w14:alpha w14:val="100000"/>
                    </w14:srgbClr>
                  </w14:solidFill>
                </w14:textFill>
              </w:rPr>
              <w:t xml:space="preserve">　</w:t>
            </w:r>
            <w:r w:rsidRPr="00AF3C7B">
              <w:rPr>
                <w:rFonts w:ascii="Arial Narrow" w:hAnsi="Arial Narrow" w:cs="Arial"/>
                <w:color w:val="000000"/>
                <w:w w:val="16"/>
                <w:sz w:val="20"/>
                <w:szCs w:val="20"/>
                <w:shd w:val="solid" w:color="000000" w:fill="000000"/>
                <w:fitText w:val="72" w:id="-629961979"/>
                <w14:textFill>
                  <w14:solidFill>
                    <w14:srgbClr w14:val="000000">
                      <w14:alpha w14:val="100000"/>
                    </w14:srgbClr>
                  </w14:solidFill>
                </w14:textFill>
              </w:rPr>
              <w:t>|</w:t>
            </w:r>
            <w:r w:rsidRPr="00AF3C7B">
              <w:rPr>
                <w:rFonts w:ascii="Arial Narrow" w:hAnsi="Arial Narrow" w:cs="Arial" w:hint="eastAsia"/>
                <w:color w:val="000000"/>
                <w:spacing w:val="2"/>
                <w:w w:val="16"/>
                <w:sz w:val="20"/>
                <w:szCs w:val="20"/>
                <w:shd w:val="solid" w:color="000000" w:fill="000000"/>
                <w:fitText w:val="72" w:id="-629961979"/>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66FFDB1E" w14:textId="5583041F"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8"/>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8"/>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8"/>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0085F8E6" w14:textId="4CB985D0"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7"/>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7"/>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7"/>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605" w:type="pct"/>
            <w:vAlign w:val="center"/>
          </w:tcPr>
          <w:p w14:paraId="2EAA51B8" w14:textId="3A29B88E" w:rsidR="00D47C1B" w:rsidRPr="00AB7A11" w:rsidRDefault="00AF3C7B" w:rsidP="00B705A8">
            <w:pPr>
              <w:keepNext/>
              <w:keepLines/>
              <w:spacing w:before="0" w:after="0"/>
              <w:jc w:val="center"/>
              <w:rPr>
                <w:rFonts w:ascii="Arial Narrow" w:hAnsi="Arial Narrow"/>
                <w:sz w:val="20"/>
                <w:highlight w:val="darkGray"/>
              </w:rPr>
            </w:pPr>
            <w:r w:rsidRPr="00AF3C7B">
              <w:rPr>
                <w:rFonts w:ascii="Arial Narrow" w:hAnsi="Arial Narrow" w:cs="Arial" w:hint="eastAsia"/>
                <w:color w:val="000000"/>
                <w:w w:val="15"/>
                <w:sz w:val="20"/>
                <w:szCs w:val="20"/>
                <w:shd w:val="solid" w:color="000000" w:fill="000000"/>
                <w:fitText w:val="60" w:id="-629961976"/>
                <w14:textFill>
                  <w14:solidFill>
                    <w14:srgbClr w14:val="000000">
                      <w14:alpha w14:val="100000"/>
                    </w14:srgbClr>
                  </w14:solidFill>
                </w14:textFill>
              </w:rPr>
              <w:t xml:space="preserve">　</w:t>
            </w:r>
            <w:r w:rsidRPr="00AF3C7B">
              <w:rPr>
                <w:rFonts w:ascii="Arial Narrow" w:hAnsi="Arial Narrow" w:cs="Arial"/>
                <w:color w:val="000000"/>
                <w:w w:val="15"/>
                <w:sz w:val="20"/>
                <w:szCs w:val="20"/>
                <w:shd w:val="solid" w:color="000000" w:fill="000000"/>
                <w:fitText w:val="60" w:id="-629961976"/>
                <w14:textFill>
                  <w14:solidFill>
                    <w14:srgbClr w14:val="000000">
                      <w14:alpha w14:val="100000"/>
                    </w14:srgbClr>
                  </w14:solidFill>
                </w14:textFill>
              </w:rPr>
              <w:t>|</w:t>
            </w:r>
            <w:r w:rsidRPr="00AF3C7B">
              <w:rPr>
                <w:rFonts w:ascii="Arial Narrow" w:hAnsi="Arial Narrow" w:cs="Arial" w:hint="eastAsia"/>
                <w:color w:val="000000"/>
                <w:spacing w:val="-5"/>
                <w:w w:val="15"/>
                <w:sz w:val="20"/>
                <w:szCs w:val="20"/>
                <w:shd w:val="solid" w:color="000000" w:fill="000000"/>
                <w:fitText w:val="60" w:id="-629961976"/>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c>
          <w:tcPr>
            <w:tcW w:w="566" w:type="pct"/>
            <w:vAlign w:val="center"/>
          </w:tcPr>
          <w:p w14:paraId="570DC23B" w14:textId="51C44D90" w:rsidR="00D47C1B" w:rsidRPr="00AB7A11" w:rsidRDefault="00AF3C7B" w:rsidP="00B705A8">
            <w:pPr>
              <w:keepNext/>
              <w:keepLines/>
              <w:spacing w:before="0" w:after="0"/>
              <w:jc w:val="center"/>
              <w:rPr>
                <w:rFonts w:ascii="Arial Narrow" w:hAnsi="Arial Narrow"/>
                <w:sz w:val="20"/>
                <w:highlight w:val="darkGray"/>
              </w:rPr>
            </w:pPr>
            <w:r w:rsidRPr="001338E4">
              <w:rPr>
                <w:rFonts w:ascii="Arial Narrow" w:hAnsi="Arial Narrow" w:cs="Arial" w:hint="eastAsia"/>
                <w:color w:val="000000"/>
                <w:w w:val="24"/>
                <w:sz w:val="20"/>
                <w:szCs w:val="20"/>
                <w:shd w:val="solid" w:color="000000" w:fill="000000"/>
                <w:fitText w:val="108" w:id="-629961975"/>
                <w14:textFill>
                  <w14:solidFill>
                    <w14:srgbClr w14:val="000000">
                      <w14:alpha w14:val="100000"/>
                    </w14:srgbClr>
                  </w14:solidFill>
                </w14:textFill>
              </w:rPr>
              <w:t xml:space="preserve">　</w:t>
            </w:r>
            <w:r w:rsidRPr="001338E4">
              <w:rPr>
                <w:rFonts w:ascii="Arial Narrow" w:hAnsi="Arial Narrow" w:cs="Arial"/>
                <w:color w:val="000000"/>
                <w:w w:val="24"/>
                <w:sz w:val="20"/>
                <w:szCs w:val="20"/>
                <w:shd w:val="solid" w:color="000000" w:fill="000000"/>
                <w:fitText w:val="108" w:id="-629961975"/>
                <w14:textFill>
                  <w14:solidFill>
                    <w14:srgbClr w14:val="000000">
                      <w14:alpha w14:val="100000"/>
                    </w14:srgbClr>
                  </w14:solidFill>
                </w14:textFill>
              </w:rPr>
              <w:t>|</w:t>
            </w:r>
            <w:r w:rsidRPr="001338E4">
              <w:rPr>
                <w:rFonts w:ascii="Arial Narrow" w:hAnsi="Arial Narrow" w:cs="Arial" w:hint="eastAsia"/>
                <w:color w:val="000000"/>
                <w:spacing w:val="4"/>
                <w:w w:val="24"/>
                <w:sz w:val="20"/>
                <w:szCs w:val="20"/>
                <w:shd w:val="solid" w:color="000000" w:fill="000000"/>
                <w:fitText w:val="108" w:id="-629961975"/>
                <w14:textFill>
                  <w14:solidFill>
                    <w14:srgbClr w14:val="000000">
                      <w14:alpha w14:val="100000"/>
                    </w14:srgbClr>
                  </w14:solidFill>
                </w14:textFill>
              </w:rPr>
              <w:t xml:space="preserve">　</w:t>
            </w:r>
            <w:r w:rsidR="00E979AE" w:rsidRPr="00E979AE">
              <w:rPr>
                <w:rFonts w:ascii="Arial Narrow" w:hAnsi="Arial Narrow"/>
                <w:sz w:val="20"/>
                <w:vertAlign w:val="superscript"/>
              </w:rPr>
              <w:t>4</w:t>
            </w:r>
          </w:p>
        </w:tc>
      </w:tr>
    </w:tbl>
    <w:p w14:paraId="6B9D6EAF" w14:textId="0F24AD21" w:rsidR="00D47C1B" w:rsidRPr="00445EE0" w:rsidRDefault="00D47C1B" w:rsidP="00B705A8">
      <w:pPr>
        <w:keepNext/>
        <w:keepLines/>
        <w:spacing w:before="0" w:after="0"/>
        <w:contextualSpacing/>
        <w:rPr>
          <w:rFonts w:ascii="Arial Narrow" w:eastAsia="Times New Roman" w:hAnsi="Arial Narrow" w:cs="Arial"/>
          <w:snapToGrid w:val="0"/>
          <w:sz w:val="18"/>
          <w:szCs w:val="20"/>
        </w:rPr>
      </w:pPr>
      <w:r w:rsidRPr="00445EE0">
        <w:rPr>
          <w:rFonts w:ascii="Arial Narrow" w:eastAsia="Times New Roman" w:hAnsi="Arial Narrow" w:cs="Arial"/>
          <w:snapToGrid w:val="0"/>
          <w:sz w:val="18"/>
          <w:szCs w:val="20"/>
        </w:rPr>
        <w:t xml:space="preserve">Source: Developed during the evaluation using data from </w:t>
      </w:r>
      <w:r w:rsidRPr="00445EE0" w:rsidDel="0015247C">
        <w:rPr>
          <w:rFonts w:ascii="Arial Narrow" w:eastAsia="Times New Roman" w:hAnsi="Arial Narrow" w:cs="Arial"/>
          <w:snapToGrid w:val="0"/>
          <w:sz w:val="18"/>
          <w:szCs w:val="20"/>
        </w:rPr>
        <w:t>Table</w:t>
      </w:r>
      <w:r w:rsidRPr="00445EE0">
        <w:rPr>
          <w:rFonts w:ascii="Arial Narrow" w:eastAsia="Times New Roman" w:hAnsi="Arial Narrow" w:cs="Arial"/>
          <w:snapToGrid w:val="0"/>
          <w:sz w:val="18"/>
          <w:szCs w:val="20"/>
        </w:rPr>
        <w:t xml:space="preserve"> 4.2</w:t>
      </w:r>
      <w:r w:rsidR="00A46D2B">
        <w:rPr>
          <w:rFonts w:ascii="Arial Narrow" w:eastAsia="Times New Roman" w:hAnsi="Arial Narrow" w:cs="Arial"/>
          <w:snapToGrid w:val="0"/>
          <w:sz w:val="18"/>
          <w:szCs w:val="20"/>
        </w:rPr>
        <w:noBreakHyphen/>
      </w:r>
      <w:r w:rsidRPr="00445EE0">
        <w:rPr>
          <w:rFonts w:ascii="Arial Narrow" w:eastAsia="Times New Roman" w:hAnsi="Arial Narrow" w:cs="Arial"/>
          <w:snapToGrid w:val="0"/>
          <w:sz w:val="18"/>
          <w:szCs w:val="20"/>
        </w:rPr>
        <w:t>8</w:t>
      </w:r>
      <w:r w:rsidRPr="00445EE0" w:rsidDel="0015247C">
        <w:rPr>
          <w:rFonts w:ascii="Arial Narrow" w:eastAsia="Times New Roman" w:hAnsi="Arial Narrow" w:cs="Arial"/>
          <w:snapToGrid w:val="0"/>
          <w:sz w:val="18"/>
          <w:szCs w:val="20"/>
        </w:rPr>
        <w:t>, p</w:t>
      </w:r>
      <w:r w:rsidRPr="00445EE0">
        <w:rPr>
          <w:rFonts w:ascii="Arial Narrow" w:eastAsia="Times New Roman" w:hAnsi="Arial Narrow" w:cs="Arial"/>
          <w:snapToGrid w:val="0"/>
          <w:sz w:val="18"/>
          <w:szCs w:val="20"/>
        </w:rPr>
        <w:t>211,Table 4.3</w:t>
      </w:r>
      <w:r w:rsidR="00A46D2B">
        <w:rPr>
          <w:rFonts w:ascii="Arial Narrow" w:eastAsia="Times New Roman" w:hAnsi="Arial Narrow" w:cs="Arial"/>
          <w:snapToGrid w:val="0"/>
          <w:sz w:val="18"/>
          <w:szCs w:val="20"/>
        </w:rPr>
        <w:noBreakHyphen/>
      </w:r>
      <w:r w:rsidRPr="00445EE0">
        <w:rPr>
          <w:rFonts w:ascii="Arial Narrow" w:eastAsia="Times New Roman" w:hAnsi="Arial Narrow" w:cs="Arial"/>
          <w:snapToGrid w:val="0"/>
          <w:sz w:val="18"/>
          <w:szCs w:val="20"/>
        </w:rPr>
        <w:t>3, p215, Table 4.4</w:t>
      </w:r>
      <w:r w:rsidR="00A46D2B">
        <w:rPr>
          <w:rFonts w:ascii="Arial Narrow" w:eastAsia="Times New Roman" w:hAnsi="Arial Narrow" w:cs="Arial"/>
          <w:snapToGrid w:val="0"/>
          <w:sz w:val="18"/>
          <w:szCs w:val="20"/>
        </w:rPr>
        <w:noBreakHyphen/>
      </w:r>
      <w:r w:rsidRPr="00445EE0">
        <w:rPr>
          <w:rFonts w:ascii="Arial Narrow" w:eastAsia="Times New Roman" w:hAnsi="Arial Narrow" w:cs="Arial"/>
          <w:snapToGrid w:val="0"/>
          <w:sz w:val="18"/>
          <w:szCs w:val="20"/>
        </w:rPr>
        <w:t>1, p217, Tables 4.5</w:t>
      </w:r>
      <w:r w:rsidR="00A46D2B">
        <w:rPr>
          <w:rFonts w:ascii="Arial Narrow" w:eastAsia="Times New Roman" w:hAnsi="Arial Narrow" w:cs="Arial"/>
          <w:snapToGrid w:val="0"/>
          <w:sz w:val="18"/>
          <w:szCs w:val="20"/>
        </w:rPr>
        <w:noBreakHyphen/>
      </w:r>
      <w:r w:rsidRPr="00445EE0">
        <w:rPr>
          <w:rFonts w:ascii="Arial Narrow" w:eastAsia="Times New Roman" w:hAnsi="Arial Narrow" w:cs="Arial"/>
          <w:snapToGrid w:val="0"/>
          <w:sz w:val="18"/>
          <w:szCs w:val="20"/>
        </w:rPr>
        <w:t>3 – 4.5</w:t>
      </w:r>
      <w:r w:rsidR="00A46D2B">
        <w:rPr>
          <w:rFonts w:ascii="Arial Narrow" w:eastAsia="Times New Roman" w:hAnsi="Arial Narrow" w:cs="Arial"/>
          <w:snapToGrid w:val="0"/>
          <w:sz w:val="18"/>
          <w:szCs w:val="20"/>
        </w:rPr>
        <w:noBreakHyphen/>
      </w:r>
      <w:r w:rsidRPr="00445EE0">
        <w:rPr>
          <w:rFonts w:ascii="Arial Narrow" w:eastAsia="Times New Roman" w:hAnsi="Arial Narrow" w:cs="Arial"/>
          <w:snapToGrid w:val="0"/>
          <w:sz w:val="18"/>
          <w:szCs w:val="20"/>
        </w:rPr>
        <w:t>5, pp223</w:t>
      </w:r>
      <w:r w:rsidR="00A46D2B">
        <w:rPr>
          <w:rFonts w:ascii="Arial Narrow" w:eastAsia="Times New Roman" w:hAnsi="Arial Narrow" w:cs="Arial"/>
          <w:snapToGrid w:val="0"/>
          <w:sz w:val="18"/>
          <w:szCs w:val="20"/>
        </w:rPr>
        <w:noBreakHyphen/>
      </w:r>
      <w:r w:rsidRPr="00445EE0">
        <w:rPr>
          <w:rFonts w:ascii="Arial Narrow" w:eastAsia="Times New Roman" w:hAnsi="Arial Narrow" w:cs="Arial"/>
          <w:snapToGrid w:val="0"/>
          <w:sz w:val="18"/>
          <w:szCs w:val="20"/>
        </w:rPr>
        <w:t>225 of the submission and sheet ‘7.Net changes – MBS’ from the financial workbook.</w:t>
      </w:r>
    </w:p>
    <w:p w14:paraId="11AC12B5" w14:textId="77777777" w:rsidR="00D47C1B" w:rsidRPr="00F072F2" w:rsidRDefault="00D47C1B" w:rsidP="00B705A8">
      <w:pPr>
        <w:pStyle w:val="TableFigureFooter"/>
        <w:keepNext/>
        <w:keepLines/>
      </w:pPr>
      <w:r w:rsidRPr="00445EE0">
        <w:t>FRα=folate receptor alpha; MBS= Medicare Benefits Schedule; MIRV= mirvetuximab soravtansine; PBS=Pharmaceutical Benefits Scheme; RPBS= Repatriation</w:t>
      </w:r>
      <w:r w:rsidRPr="00F072F2">
        <w:t xml:space="preserve"> Pharmaceutical Benefits Schedule. </w:t>
      </w:r>
    </w:p>
    <w:p w14:paraId="11566939" w14:textId="1C091188" w:rsidR="00D47C1B" w:rsidRPr="00F072F2" w:rsidRDefault="00D47C1B" w:rsidP="00B705A8">
      <w:pPr>
        <w:keepNext/>
        <w:keepLines/>
        <w:spacing w:before="0" w:after="0"/>
        <w:contextualSpacing/>
        <w:rPr>
          <w:rFonts w:ascii="Arial Narrow" w:eastAsia="Times New Roman" w:hAnsi="Arial Narrow" w:cs="Arial"/>
          <w:snapToGrid w:val="0"/>
          <w:sz w:val="18"/>
          <w:szCs w:val="20"/>
        </w:rPr>
      </w:pPr>
      <w:r w:rsidRPr="00F072F2">
        <w:rPr>
          <w:rFonts w:ascii="Arial Narrow" w:eastAsia="Times New Roman" w:hAnsi="Arial Narrow" w:cs="Arial"/>
          <w:snapToGrid w:val="0"/>
          <w:sz w:val="18"/>
          <w:szCs w:val="20"/>
          <w:vertAlign w:val="superscript"/>
        </w:rPr>
        <w:t xml:space="preserve">a </w:t>
      </w:r>
      <w:r w:rsidRPr="00F072F2">
        <w:rPr>
          <w:rFonts w:ascii="Arial Narrow" w:eastAsia="Times New Roman" w:hAnsi="Arial Narrow" w:cs="Arial"/>
          <w:snapToGrid w:val="0"/>
          <w:sz w:val="18"/>
          <w:szCs w:val="20"/>
        </w:rPr>
        <w:t xml:space="preserve">Includes </w:t>
      </w:r>
      <w:r w:rsidR="001D0D38">
        <w:rPr>
          <w:rFonts w:ascii="Arial Narrow" w:eastAsia="Times New Roman" w:hAnsi="Arial Narrow" w:cs="Arial"/>
          <w:snapToGrid w:val="0"/>
          <w:sz w:val="18"/>
          <w:szCs w:val="20"/>
        </w:rPr>
        <w:t>&lt;500</w:t>
      </w:r>
      <w:r w:rsidR="001D0D38" w:rsidRPr="00F072F2">
        <w:rPr>
          <w:rFonts w:ascii="Arial Narrow" w:eastAsia="Times New Roman" w:hAnsi="Arial Narrow" w:cs="Arial"/>
          <w:snapToGrid w:val="0"/>
          <w:sz w:val="18"/>
          <w:szCs w:val="20"/>
        </w:rPr>
        <w:t xml:space="preserve"> </w:t>
      </w:r>
      <w:r w:rsidRPr="00F072F2">
        <w:rPr>
          <w:rFonts w:ascii="Arial Narrow" w:eastAsia="Times New Roman" w:hAnsi="Arial Narrow" w:cs="Arial"/>
          <w:snapToGrid w:val="0"/>
          <w:sz w:val="18"/>
          <w:szCs w:val="20"/>
        </w:rPr>
        <w:t>Grandfathered patients estimated to access MIRV through a pre</w:t>
      </w:r>
      <w:r w:rsidR="00A46D2B">
        <w:rPr>
          <w:rFonts w:ascii="Arial Narrow" w:eastAsia="Times New Roman" w:hAnsi="Arial Narrow" w:cs="Arial"/>
          <w:snapToGrid w:val="0"/>
          <w:sz w:val="18"/>
          <w:szCs w:val="20"/>
        </w:rPr>
        <w:noBreakHyphen/>
      </w:r>
      <w:r w:rsidRPr="00F072F2">
        <w:rPr>
          <w:rFonts w:ascii="Arial Narrow" w:eastAsia="Times New Roman" w:hAnsi="Arial Narrow" w:cs="Arial"/>
          <w:snapToGrid w:val="0"/>
          <w:sz w:val="18"/>
          <w:szCs w:val="20"/>
        </w:rPr>
        <w:t>reimbursement program prior to PBS listing</w:t>
      </w:r>
    </w:p>
    <w:p w14:paraId="3B0F5D6A" w14:textId="77777777" w:rsidR="00D47C1B" w:rsidRPr="00F072F2" w:rsidRDefault="00D47C1B" w:rsidP="00B705A8">
      <w:pPr>
        <w:keepNext/>
        <w:keepLines/>
        <w:spacing w:before="0" w:after="0"/>
        <w:contextualSpacing/>
        <w:rPr>
          <w:rFonts w:ascii="Arial Narrow" w:eastAsia="Times New Roman" w:hAnsi="Arial Narrow" w:cs="Arial"/>
          <w:snapToGrid w:val="0"/>
          <w:sz w:val="18"/>
          <w:szCs w:val="20"/>
        </w:rPr>
      </w:pPr>
      <w:r w:rsidRPr="00F072F2">
        <w:rPr>
          <w:rFonts w:ascii="Arial Narrow" w:eastAsia="Times New Roman" w:hAnsi="Arial Narrow" w:cs="Arial"/>
          <w:snapToGrid w:val="0"/>
          <w:sz w:val="18"/>
          <w:szCs w:val="20"/>
          <w:vertAlign w:val="superscript"/>
        </w:rPr>
        <w:t>b</w:t>
      </w:r>
      <w:r w:rsidRPr="00F072F2">
        <w:rPr>
          <w:rFonts w:ascii="Arial Narrow" w:eastAsia="Times New Roman" w:hAnsi="Arial Narrow" w:cs="Arial"/>
          <w:snapToGrid w:val="0"/>
          <w:sz w:val="18"/>
          <w:szCs w:val="20"/>
        </w:rPr>
        <w:t xml:space="preserve"> Assuming 8.87 scripts/patient/course of treatment as estimated by the submission </w:t>
      </w:r>
    </w:p>
    <w:p w14:paraId="0BF27177" w14:textId="77777777" w:rsidR="007E588B" w:rsidRDefault="00D47C1B" w:rsidP="00B705A8">
      <w:pPr>
        <w:keepNext/>
        <w:keepLines/>
        <w:spacing w:before="0" w:after="0"/>
        <w:contextualSpacing/>
      </w:pPr>
      <w:r w:rsidRPr="00F072F2">
        <w:rPr>
          <w:rFonts w:ascii="Arial Narrow" w:eastAsia="Times New Roman" w:hAnsi="Arial Narrow" w:cs="Arial"/>
          <w:snapToGrid w:val="0"/>
          <w:sz w:val="18"/>
          <w:szCs w:val="20"/>
        </w:rPr>
        <w:t>Note: Values in italics represent those corrected during the evaluation</w:t>
      </w:r>
      <w:r w:rsidR="007E588B" w:rsidRPr="007E588B">
        <w:t xml:space="preserve"> </w:t>
      </w:r>
    </w:p>
    <w:p w14:paraId="0726AD89" w14:textId="080A3DD3" w:rsidR="007E588B" w:rsidRPr="000A4147" w:rsidRDefault="007E588B" w:rsidP="00B705A8">
      <w:pPr>
        <w:keepNext/>
        <w:keepLines/>
        <w:spacing w:before="0" w:after="0"/>
        <w:contextualSpacing/>
        <w:rPr>
          <w:rFonts w:ascii="Arial Narrow" w:eastAsia="Times New Roman" w:hAnsi="Arial Narrow" w:cs="Arial"/>
          <w:i/>
          <w:iCs/>
          <w:snapToGrid w:val="0"/>
          <w:sz w:val="18"/>
          <w:szCs w:val="20"/>
        </w:rPr>
      </w:pPr>
      <w:r w:rsidRPr="000A4147">
        <w:rPr>
          <w:rFonts w:ascii="Arial Narrow" w:eastAsia="Times New Roman" w:hAnsi="Arial Narrow" w:cs="Arial"/>
          <w:i/>
          <w:iCs/>
          <w:snapToGrid w:val="0"/>
          <w:sz w:val="18"/>
          <w:szCs w:val="20"/>
        </w:rPr>
        <w:t xml:space="preserve">The redacted values correspond to the following ranges: </w:t>
      </w:r>
    </w:p>
    <w:p w14:paraId="71DC25ED" w14:textId="77777777" w:rsidR="007E588B" w:rsidRPr="000A4147" w:rsidRDefault="007E588B" w:rsidP="00B705A8">
      <w:pPr>
        <w:keepNext/>
        <w:keepLines/>
        <w:spacing w:before="0" w:after="0"/>
        <w:contextualSpacing/>
        <w:rPr>
          <w:rFonts w:ascii="Arial Narrow" w:eastAsia="Times New Roman" w:hAnsi="Arial Narrow" w:cs="Arial"/>
          <w:i/>
          <w:iCs/>
          <w:snapToGrid w:val="0"/>
          <w:sz w:val="18"/>
          <w:szCs w:val="20"/>
        </w:rPr>
      </w:pPr>
      <w:r w:rsidRPr="000A4147">
        <w:rPr>
          <w:rFonts w:ascii="Arial Narrow" w:eastAsia="Times New Roman" w:hAnsi="Arial Narrow" w:cs="Arial"/>
          <w:i/>
          <w:iCs/>
          <w:snapToGrid w:val="0"/>
          <w:sz w:val="18"/>
          <w:szCs w:val="20"/>
          <w:vertAlign w:val="superscript"/>
        </w:rPr>
        <w:t>1</w:t>
      </w:r>
      <w:r w:rsidRPr="000A4147">
        <w:rPr>
          <w:rFonts w:ascii="Arial Narrow" w:eastAsia="Times New Roman" w:hAnsi="Arial Narrow" w:cs="Arial"/>
          <w:i/>
          <w:iCs/>
          <w:snapToGrid w:val="0"/>
          <w:sz w:val="18"/>
          <w:szCs w:val="20"/>
        </w:rPr>
        <w:t xml:space="preserve"> 500 to &lt; 5,000 </w:t>
      </w:r>
    </w:p>
    <w:p w14:paraId="1DAA8A3A" w14:textId="77777777" w:rsidR="00694C3B" w:rsidRPr="000A4147" w:rsidRDefault="007E588B" w:rsidP="00B705A8">
      <w:pPr>
        <w:keepNext/>
        <w:keepLines/>
        <w:spacing w:before="0" w:after="0"/>
        <w:contextualSpacing/>
        <w:rPr>
          <w:rFonts w:ascii="Arial Narrow" w:eastAsia="Times New Roman" w:hAnsi="Arial Narrow" w:cs="Arial"/>
          <w:i/>
          <w:iCs/>
          <w:snapToGrid w:val="0"/>
          <w:sz w:val="18"/>
          <w:szCs w:val="20"/>
        </w:rPr>
      </w:pPr>
      <w:r w:rsidRPr="000A4147">
        <w:rPr>
          <w:rFonts w:ascii="Arial Narrow" w:eastAsia="Times New Roman" w:hAnsi="Arial Narrow" w:cs="Arial"/>
          <w:i/>
          <w:iCs/>
          <w:snapToGrid w:val="0"/>
          <w:sz w:val="18"/>
          <w:szCs w:val="20"/>
          <w:vertAlign w:val="superscript"/>
        </w:rPr>
        <w:t>2</w:t>
      </w:r>
      <w:r w:rsidRPr="000A4147">
        <w:rPr>
          <w:rFonts w:ascii="Arial Narrow" w:eastAsia="Times New Roman" w:hAnsi="Arial Narrow" w:cs="Arial"/>
          <w:i/>
          <w:iCs/>
          <w:snapToGrid w:val="0"/>
          <w:sz w:val="18"/>
          <w:szCs w:val="20"/>
        </w:rPr>
        <w:t xml:space="preserve"> &lt;500</w:t>
      </w:r>
      <w:r w:rsidR="00694C3B" w:rsidRPr="000A4147">
        <w:rPr>
          <w:rFonts w:ascii="Arial Narrow" w:eastAsia="Times New Roman" w:hAnsi="Arial Narrow" w:cs="Arial"/>
          <w:i/>
          <w:iCs/>
          <w:snapToGrid w:val="0"/>
          <w:sz w:val="18"/>
          <w:szCs w:val="20"/>
        </w:rPr>
        <w:t xml:space="preserve"> </w:t>
      </w:r>
    </w:p>
    <w:p w14:paraId="3A65ECC3" w14:textId="77777777" w:rsidR="00A369F2" w:rsidRPr="000A4147" w:rsidRDefault="00694C3B" w:rsidP="00B705A8">
      <w:pPr>
        <w:keepNext/>
        <w:keepLines/>
        <w:spacing w:before="0" w:after="0"/>
        <w:contextualSpacing/>
        <w:rPr>
          <w:rFonts w:ascii="Arial Narrow" w:eastAsia="Times New Roman" w:hAnsi="Arial Narrow" w:cs="Arial"/>
          <w:i/>
          <w:iCs/>
          <w:snapToGrid w:val="0"/>
          <w:sz w:val="18"/>
          <w:szCs w:val="20"/>
        </w:rPr>
      </w:pPr>
      <w:r w:rsidRPr="000A4147">
        <w:rPr>
          <w:rFonts w:ascii="Arial Narrow" w:eastAsia="Times New Roman" w:hAnsi="Arial Narrow" w:cs="Arial"/>
          <w:i/>
          <w:iCs/>
          <w:snapToGrid w:val="0"/>
          <w:sz w:val="18"/>
          <w:szCs w:val="20"/>
          <w:vertAlign w:val="superscript"/>
        </w:rPr>
        <w:t>3</w:t>
      </w:r>
      <w:r w:rsidRPr="000A4147">
        <w:rPr>
          <w:rFonts w:ascii="Arial Narrow" w:eastAsia="Times New Roman" w:hAnsi="Arial Narrow" w:cs="Arial"/>
          <w:i/>
          <w:iCs/>
          <w:snapToGrid w:val="0"/>
          <w:sz w:val="18"/>
          <w:szCs w:val="20"/>
        </w:rPr>
        <w:t xml:space="preserve"> $0 to &lt; $10 million</w:t>
      </w:r>
      <w:r w:rsidR="00A369F2" w:rsidRPr="000A4147">
        <w:rPr>
          <w:rFonts w:ascii="Arial Narrow" w:eastAsia="Times New Roman" w:hAnsi="Arial Narrow" w:cs="Arial"/>
          <w:i/>
          <w:iCs/>
          <w:snapToGrid w:val="0"/>
          <w:sz w:val="18"/>
          <w:szCs w:val="20"/>
        </w:rPr>
        <w:t xml:space="preserve"> </w:t>
      </w:r>
    </w:p>
    <w:p w14:paraId="7BCB6685" w14:textId="77777777" w:rsidR="001D0D38" w:rsidRPr="000A4147" w:rsidRDefault="00A369F2" w:rsidP="00B705A8">
      <w:pPr>
        <w:keepNext/>
        <w:keepLines/>
        <w:spacing w:before="0" w:after="0"/>
        <w:contextualSpacing/>
        <w:rPr>
          <w:rFonts w:ascii="Arial Narrow" w:eastAsia="Times New Roman" w:hAnsi="Arial Narrow" w:cs="Arial"/>
          <w:i/>
          <w:iCs/>
          <w:snapToGrid w:val="0"/>
          <w:sz w:val="18"/>
          <w:szCs w:val="20"/>
        </w:rPr>
      </w:pPr>
      <w:r w:rsidRPr="000A4147">
        <w:rPr>
          <w:rFonts w:ascii="Arial Narrow" w:eastAsia="Times New Roman" w:hAnsi="Arial Narrow" w:cs="Arial"/>
          <w:i/>
          <w:iCs/>
          <w:snapToGrid w:val="0"/>
          <w:sz w:val="18"/>
          <w:szCs w:val="20"/>
          <w:vertAlign w:val="superscript"/>
        </w:rPr>
        <w:t>4</w:t>
      </w:r>
      <w:r w:rsidRPr="000A4147">
        <w:rPr>
          <w:rFonts w:ascii="Arial Narrow" w:eastAsia="Times New Roman" w:hAnsi="Arial Narrow" w:cs="Arial"/>
          <w:i/>
          <w:iCs/>
          <w:snapToGrid w:val="0"/>
          <w:sz w:val="18"/>
          <w:szCs w:val="20"/>
        </w:rPr>
        <w:t xml:space="preserve"> $20 million to &lt; $30 million</w:t>
      </w:r>
      <w:r w:rsidR="001D0D38" w:rsidRPr="000A4147">
        <w:rPr>
          <w:rFonts w:ascii="Arial Narrow" w:eastAsia="Times New Roman" w:hAnsi="Arial Narrow" w:cs="Arial"/>
          <w:i/>
          <w:iCs/>
          <w:snapToGrid w:val="0"/>
          <w:sz w:val="18"/>
          <w:szCs w:val="20"/>
        </w:rPr>
        <w:t xml:space="preserve"> </w:t>
      </w:r>
    </w:p>
    <w:p w14:paraId="577F7DB4" w14:textId="64A3D265" w:rsidR="00D47C1B" w:rsidRPr="000A4147" w:rsidRDefault="001D0D38" w:rsidP="00B705A8">
      <w:pPr>
        <w:keepNext/>
        <w:keepLines/>
        <w:spacing w:before="0" w:after="0"/>
        <w:contextualSpacing/>
        <w:rPr>
          <w:rFonts w:ascii="Arial Narrow" w:eastAsia="Times New Roman" w:hAnsi="Arial Narrow" w:cs="Arial"/>
          <w:i/>
          <w:iCs/>
          <w:snapToGrid w:val="0"/>
          <w:sz w:val="18"/>
          <w:szCs w:val="20"/>
        </w:rPr>
      </w:pPr>
      <w:r w:rsidRPr="000A4147">
        <w:rPr>
          <w:rFonts w:ascii="Arial Narrow" w:eastAsia="Times New Roman" w:hAnsi="Arial Narrow" w:cs="Arial"/>
          <w:i/>
          <w:iCs/>
          <w:snapToGrid w:val="0"/>
          <w:sz w:val="18"/>
          <w:szCs w:val="20"/>
          <w:vertAlign w:val="superscript"/>
        </w:rPr>
        <w:t>5</w:t>
      </w:r>
      <w:r w:rsidRPr="000A4147">
        <w:rPr>
          <w:rFonts w:ascii="Arial Narrow" w:eastAsia="Times New Roman" w:hAnsi="Arial Narrow" w:cs="Arial"/>
          <w:i/>
          <w:iCs/>
          <w:snapToGrid w:val="0"/>
          <w:sz w:val="18"/>
          <w:szCs w:val="20"/>
        </w:rPr>
        <w:t xml:space="preserve"> net cost saving</w:t>
      </w:r>
    </w:p>
    <w:p w14:paraId="51064632" w14:textId="7DDE0634" w:rsidR="00D47C1B" w:rsidRPr="00F072F2" w:rsidRDefault="00D47C1B" w:rsidP="00591C83">
      <w:pPr>
        <w:pStyle w:val="ListParagraph"/>
        <w:rPr>
          <w:color w:val="3366FF"/>
        </w:rPr>
      </w:pPr>
      <w:r w:rsidRPr="00F072F2">
        <w:t xml:space="preserve">The net cost to the PBS/RPBS of listing MIRV was estimated to be </w:t>
      </w:r>
      <w:r w:rsidR="00A010FF" w:rsidRPr="00A010FF">
        <w:t xml:space="preserve">$20 million to &lt; $30 million </w:t>
      </w:r>
      <w:r w:rsidRPr="00F072F2">
        <w:t xml:space="preserve">in Year 6, and a total of </w:t>
      </w:r>
      <w:r w:rsidR="00EB577A" w:rsidRPr="00EB577A">
        <w:t>$100 million to &lt; $200 million</w:t>
      </w:r>
      <w:r w:rsidR="00BF4CAF">
        <w:t xml:space="preserve"> </w:t>
      </w:r>
      <w:r w:rsidRPr="00F072F2">
        <w:t>in the first 6 years of listing (</w:t>
      </w:r>
      <w:r w:rsidR="00355AFD">
        <w:t xml:space="preserve">based on the submission </w:t>
      </w:r>
      <w:r w:rsidRPr="00F072F2">
        <w:t>proposed effective price).</w:t>
      </w:r>
      <w:r w:rsidR="00F10E3B">
        <w:t xml:space="preserve"> </w:t>
      </w:r>
      <w:r w:rsidR="008C69F7">
        <w:t>With the reduced price proposed in the Pre</w:t>
      </w:r>
      <w:r w:rsidR="00A46D2B">
        <w:noBreakHyphen/>
      </w:r>
      <w:r w:rsidR="008C69F7">
        <w:t>PBAC response t</w:t>
      </w:r>
      <w:r w:rsidR="009258AA">
        <w:t xml:space="preserve">his was reduced to a net cost to the PBS/RPBS of </w:t>
      </w:r>
      <w:r w:rsidR="00843ED3" w:rsidRPr="00843ED3">
        <w:lastRenderedPageBreak/>
        <w:t>$10 million to &lt; $20 million</w:t>
      </w:r>
      <w:r w:rsidR="00BF4CAF">
        <w:t xml:space="preserve"> </w:t>
      </w:r>
      <w:r w:rsidR="00153EDB">
        <w:t xml:space="preserve">in year 6, and a total of </w:t>
      </w:r>
      <w:r w:rsidR="00EB577A" w:rsidRPr="00EB577A">
        <w:t>$100 million to &lt; $200 million</w:t>
      </w:r>
      <w:r w:rsidR="00BF4CAF">
        <w:t xml:space="preserve"> </w:t>
      </w:r>
      <w:r w:rsidR="007B4733">
        <w:t>in the first 6 years of listing.</w:t>
      </w:r>
    </w:p>
    <w:p w14:paraId="509DECD3" w14:textId="49A0EB3B" w:rsidR="00FC72C0" w:rsidRDefault="00D47C1B" w:rsidP="00591C83">
      <w:pPr>
        <w:pStyle w:val="ListParagraph"/>
      </w:pPr>
      <w:r w:rsidRPr="00F072F2">
        <w:t xml:space="preserve">The </w:t>
      </w:r>
      <w:r w:rsidR="007E1DA3">
        <w:t xml:space="preserve">evaluation considered that the </w:t>
      </w:r>
      <w:r w:rsidRPr="00F072F2">
        <w:t xml:space="preserve">approach used by the submission to estimate the number of patients eligible for treatment with MIRV may have double counted incident patients or underestimated prevalent patients. </w:t>
      </w:r>
      <w:r w:rsidR="002A7951">
        <w:t>T</w:t>
      </w:r>
      <w:r w:rsidRPr="00F072F2">
        <w:t xml:space="preserve">he </w:t>
      </w:r>
      <w:r w:rsidR="004335B6">
        <w:t>evaluation</w:t>
      </w:r>
      <w:r w:rsidR="002A7951">
        <w:t xml:space="preserve"> also </w:t>
      </w:r>
      <w:r w:rsidR="004A4396">
        <w:t xml:space="preserve">considered it </w:t>
      </w:r>
      <w:r w:rsidR="002A7951">
        <w:t>un</w:t>
      </w:r>
      <w:r w:rsidR="004A4396">
        <w:t xml:space="preserve">reasonable that the </w:t>
      </w:r>
      <w:r w:rsidRPr="00F072F2">
        <w:t xml:space="preserve">submission assumed that all </w:t>
      </w:r>
      <w:r w:rsidR="007F63CA">
        <w:t>&lt; 500</w:t>
      </w:r>
      <w:r w:rsidRPr="00F072F2">
        <w:t xml:space="preserve"> grandfathered patients will receive a full course of treatment funded through the PBS/RPBS, </w:t>
      </w:r>
      <w:r w:rsidR="00CC27FA">
        <w:t>but did not include</w:t>
      </w:r>
      <w:r w:rsidRPr="00F072F2">
        <w:t xml:space="preserve"> cost</w:t>
      </w:r>
      <w:r w:rsidR="00A46D2B">
        <w:noBreakHyphen/>
      </w:r>
      <w:r w:rsidRPr="00F072F2">
        <w:t xml:space="preserve">offsets to the PBS/RPBS (from changes to affected medicines) from the grandfathered patients. </w:t>
      </w:r>
    </w:p>
    <w:p w14:paraId="73DC433E" w14:textId="30647289" w:rsidR="00AB08E1" w:rsidRDefault="00FC72C0" w:rsidP="00591C83">
      <w:pPr>
        <w:pStyle w:val="ListParagraph"/>
      </w:pPr>
      <w:r w:rsidRPr="004A2C71">
        <w:t xml:space="preserve">The submission noted that platinum resistant ovarian cancer prevalent patients were not included in the financial estimates due to poor survival outcomes and </w:t>
      </w:r>
      <w:r w:rsidR="00705B35">
        <w:t>few patients</w:t>
      </w:r>
      <w:r w:rsidRPr="004A2C71">
        <w:t xml:space="preserve"> expected to remain alive </w:t>
      </w:r>
      <w:r w:rsidR="00705B35">
        <w:t>after</w:t>
      </w:r>
      <w:r w:rsidRPr="004A2C71">
        <w:t xml:space="preserve"> one year. DUSC noted data provided by </w:t>
      </w:r>
      <w:proofErr w:type="spellStart"/>
      <w:r w:rsidRPr="004A2C71">
        <w:t>Quantium</w:t>
      </w:r>
      <w:proofErr w:type="spellEnd"/>
      <w:r w:rsidRPr="004A2C71">
        <w:t xml:space="preserve"> </w:t>
      </w:r>
      <w:r w:rsidR="001D423E">
        <w:t>(</w:t>
      </w:r>
      <w:r w:rsidR="00705B35">
        <w:t>in</w:t>
      </w:r>
      <w:r w:rsidRPr="004A2C71">
        <w:t>cluded in the submission</w:t>
      </w:r>
      <w:r w:rsidR="001D423E">
        <w:t>)</w:t>
      </w:r>
      <w:r w:rsidRPr="004A2C71">
        <w:t xml:space="preserve"> suggests that 54% (</w:t>
      </w:r>
      <w:r w:rsidR="00115422">
        <w:t>&lt;500</w:t>
      </w:r>
      <w:r w:rsidRPr="004A2C71">
        <w:t>/</w:t>
      </w:r>
      <w:r w:rsidR="00115422">
        <w:t>&lt;500</w:t>
      </w:r>
      <w:r w:rsidRPr="004A2C71">
        <w:t xml:space="preserve">) </w:t>
      </w:r>
      <w:r w:rsidR="001D423E">
        <w:t xml:space="preserve">of </w:t>
      </w:r>
      <w:r w:rsidRPr="004A2C71">
        <w:t xml:space="preserve">patients were alive twelve months after diagnosis of platinum resistance. DUSC considered that this prevalent population should be included in the potential eligible population for the first year of listing. </w:t>
      </w:r>
      <w:r w:rsidR="002A7951">
        <w:t xml:space="preserve">Additionally, the </w:t>
      </w:r>
      <w:r w:rsidR="00F072F2" w:rsidRPr="007F5062">
        <w:t>DUSC consider</w:t>
      </w:r>
      <w:r w:rsidR="00F072F2">
        <w:t>ed</w:t>
      </w:r>
      <w:r w:rsidR="00F072F2" w:rsidRPr="007F5062">
        <w:t xml:space="preserve"> </w:t>
      </w:r>
      <w:r w:rsidR="00F57382">
        <w:t xml:space="preserve">that </w:t>
      </w:r>
      <w:r w:rsidR="00F57382" w:rsidRPr="00F57382">
        <w:t xml:space="preserve">there is an overestimation of </w:t>
      </w:r>
      <w:r w:rsidR="00F072F2" w:rsidRPr="007F5062">
        <w:t xml:space="preserve">the incident population with high grade serous ovarian cancer and </w:t>
      </w:r>
      <w:r w:rsidR="00553B93" w:rsidRPr="00F57382">
        <w:t>an overestimation in</w:t>
      </w:r>
      <w:r w:rsidR="00553B93" w:rsidRPr="007F5062">
        <w:t xml:space="preserve"> </w:t>
      </w:r>
      <w:r w:rsidR="00F072F2" w:rsidRPr="007F5062">
        <w:t>the proportion of patients who progress to later line therapies.</w:t>
      </w:r>
      <w:r w:rsidR="00B65B3F">
        <w:t xml:space="preserve"> </w:t>
      </w:r>
    </w:p>
    <w:p w14:paraId="1595A342" w14:textId="0844AF3E" w:rsidR="00E616FB" w:rsidRPr="007F5062" w:rsidRDefault="00E616FB" w:rsidP="00591C83">
      <w:pPr>
        <w:pStyle w:val="ListParagraph"/>
      </w:pPr>
      <w:r>
        <w:t xml:space="preserve">The DUSC considered that the </w:t>
      </w:r>
      <w:r w:rsidR="00AC754E">
        <w:t xml:space="preserve">MBS </w:t>
      </w:r>
      <w:r>
        <w:t>cost</w:t>
      </w:r>
      <w:r w:rsidR="008D2B12">
        <w:t xml:space="preserve"> inputs used </w:t>
      </w:r>
      <w:r w:rsidR="00E44BC5">
        <w:t>in the submission’s financial</w:t>
      </w:r>
      <w:r w:rsidR="008D2B12">
        <w:t xml:space="preserve"> estimate</w:t>
      </w:r>
      <w:r w:rsidR="00E44BC5">
        <w:t>s</w:t>
      </w:r>
      <w:r w:rsidR="008D2B12">
        <w:t xml:space="preserve"> </w:t>
      </w:r>
      <w:r w:rsidR="00E44BC5">
        <w:t xml:space="preserve">to be </w:t>
      </w:r>
      <w:r w:rsidR="00BF5DFD">
        <w:t>reasonable, with</w:t>
      </w:r>
      <w:r w:rsidR="00E21B19">
        <w:t xml:space="preserve"> the exception of </w:t>
      </w:r>
      <w:r w:rsidR="0033558D">
        <w:t>anaesthesia</w:t>
      </w:r>
      <w:r w:rsidR="00A46D2B">
        <w:noBreakHyphen/>
      </w:r>
      <w:r w:rsidR="0033558D">
        <w:t>associated</w:t>
      </w:r>
      <w:r w:rsidR="00E21B19">
        <w:t xml:space="preserve"> costs (</w:t>
      </w:r>
      <w:r w:rsidR="00F845D4">
        <w:t>‘</w:t>
      </w:r>
      <w:r w:rsidR="00E21B19" w:rsidRPr="00E21B19">
        <w:t xml:space="preserve">Professional attendance for </w:t>
      </w:r>
      <w:r w:rsidR="00F845D4">
        <w:t>A</w:t>
      </w:r>
      <w:r w:rsidR="00E21B19" w:rsidRPr="00E21B19">
        <w:t>naesthesia</w:t>
      </w:r>
      <w:r w:rsidR="00F845D4">
        <w:t>’</w:t>
      </w:r>
      <w:r w:rsidR="0033558D">
        <w:t xml:space="preserve">; and </w:t>
      </w:r>
      <w:r w:rsidR="00F845D4">
        <w:t>‘</w:t>
      </w:r>
      <w:r w:rsidR="0033558D" w:rsidRPr="0033558D">
        <w:t>Intrathecal, combined spinal</w:t>
      </w:r>
      <w:r w:rsidR="00A46D2B">
        <w:noBreakHyphen/>
      </w:r>
      <w:r w:rsidR="0033558D" w:rsidRPr="0033558D">
        <w:t>epidural or epidural infusion</w:t>
      </w:r>
      <w:r w:rsidR="00F845D4">
        <w:t>’</w:t>
      </w:r>
      <w:r w:rsidR="0033558D">
        <w:t xml:space="preserve">), for which the DUSC noted </w:t>
      </w:r>
      <w:r w:rsidR="0033558D" w:rsidRPr="0033558D">
        <w:t>some biopsies may be possible under local anaesthetic and may not require general anaesthesia.</w:t>
      </w:r>
    </w:p>
    <w:p w14:paraId="66094261" w14:textId="0FA2A076" w:rsidR="009302F2" w:rsidRDefault="00D47C1B" w:rsidP="00591C83">
      <w:pPr>
        <w:pStyle w:val="ListParagraph"/>
      </w:pPr>
      <w:r w:rsidRPr="00E616FB">
        <w:t>When tested during the evaluation, the financial estimates were not sensitive to the timing of FRα testing, i.e. whether FRα testing was undertaken at primary diagnosis or at platinum resistance made a negligible impact on financial estimates.</w:t>
      </w:r>
    </w:p>
    <w:p w14:paraId="149C9E40" w14:textId="1ED49B4E" w:rsidR="00C327B4" w:rsidRDefault="00C327B4" w:rsidP="00591C83">
      <w:pPr>
        <w:pStyle w:val="ListParagraph"/>
      </w:pPr>
      <w:r w:rsidRPr="007F5062">
        <w:t xml:space="preserve">DUSC presented a sensitivity analysis that indicates that the financial </w:t>
      </w:r>
      <w:r w:rsidR="00E22B0D">
        <w:t>estimates</w:t>
      </w:r>
      <w:r w:rsidRPr="007F5062">
        <w:t xml:space="preserve"> are overestimated in the first five years of listing with the addition of the prevalent pool and reduction in the proportion of incident patients</w:t>
      </w:r>
      <w:r w:rsidR="00560362">
        <w:rPr>
          <w:color w:val="FF0000"/>
        </w:rPr>
        <w:t xml:space="preserve"> </w:t>
      </w:r>
      <w:r w:rsidR="00AF3C7B" w:rsidRPr="00036719">
        <w:rPr>
          <w:color w:val="000000"/>
          <w:w w:val="15"/>
          <w:shd w:val="solid" w:color="000000" w:fill="000000"/>
          <w:fitText w:val="-20" w:id="-629961974"/>
          <w14:textFill>
            <w14:solidFill>
              <w14:srgbClr w14:val="000000">
                <w14:alpha w14:val="100000"/>
              </w14:srgbClr>
            </w14:solidFill>
          </w14:textFill>
        </w:rPr>
        <w:t>|</w:t>
      </w:r>
      <w:r w:rsidR="00B65B3F" w:rsidRPr="00036719">
        <w:rPr>
          <w:color w:val="000000"/>
          <w:w w:val="15"/>
          <w:shd w:val="solid" w:color="000000" w:fill="000000"/>
          <w:fitText w:val="-20" w:id="-629961974"/>
          <w14:textFill>
            <w14:solidFill>
              <w14:srgbClr w14:val="000000">
                <w14:alpha w14:val="100000"/>
              </w14:srgbClr>
            </w14:solidFill>
          </w14:textFill>
        </w:rPr>
        <w:t xml:space="preserve"> </w:t>
      </w:r>
      <w:r w:rsidR="00AF3C7B" w:rsidRPr="00036719">
        <w:rPr>
          <w:color w:val="000000"/>
          <w:spacing w:val="-61"/>
          <w:w w:val="15"/>
          <w:shd w:val="solid" w:color="000000" w:fill="000000"/>
          <w:fitText w:val="-20" w:id="-629961974"/>
          <w14:textFill>
            <w14:solidFill>
              <w14:srgbClr w14:val="000000">
                <w14:alpha w14:val="100000"/>
              </w14:srgbClr>
            </w14:solidFill>
          </w14:textFill>
        </w:rPr>
        <w:t>|</w:t>
      </w:r>
      <w:r w:rsidRPr="00560362">
        <w:rPr>
          <w:color w:val="auto"/>
        </w:rPr>
        <w:t>. The sensitivity analysis show</w:t>
      </w:r>
      <w:r w:rsidR="001E6FA6" w:rsidRPr="00560362">
        <w:rPr>
          <w:color w:val="auto"/>
        </w:rPr>
        <w:t>ed</w:t>
      </w:r>
      <w:r w:rsidRPr="00560362">
        <w:rPr>
          <w:color w:val="auto"/>
        </w:rPr>
        <w:t xml:space="preserve"> a decrease in overall costs over 6 years from </w:t>
      </w:r>
      <w:r w:rsidR="00E92B14" w:rsidRPr="00E92B14">
        <w:rPr>
          <w:color w:val="auto"/>
        </w:rPr>
        <w:t>$100 million to &lt; $200 million</w:t>
      </w:r>
      <w:r w:rsidR="00F65914">
        <w:rPr>
          <w:color w:val="auto"/>
        </w:rPr>
        <w:t xml:space="preserve"> </w:t>
      </w:r>
      <w:r w:rsidRPr="007F5062">
        <w:t xml:space="preserve">to </w:t>
      </w:r>
      <w:r w:rsidR="00E92B14" w:rsidRPr="00E92B14">
        <w:t>$100 million to &lt; $200 million</w:t>
      </w:r>
      <w:r w:rsidRPr="007F5062">
        <w:t xml:space="preserve">. </w:t>
      </w:r>
      <w:r w:rsidRPr="00591C83">
        <w:t>DUSC advised that minor changes to the methods used to derive the utilisation and financial estimates and structure of the estimates model should be considered with the addition of a prevalent population and reduction in the proportion of incident patients to only include high grade serous cases.</w:t>
      </w:r>
    </w:p>
    <w:p w14:paraId="05527BC3" w14:textId="7B7C6C0C" w:rsidR="00560362" w:rsidRDefault="00560362" w:rsidP="00591C83">
      <w:pPr>
        <w:pStyle w:val="Caption"/>
      </w:pPr>
      <w:bookmarkStart w:id="89" w:name="_Ref206136974"/>
      <w:r>
        <w:lastRenderedPageBreak/>
        <w:t xml:space="preserve">Table </w:t>
      </w:r>
      <w:r w:rsidR="00CC5CAD">
        <w:fldChar w:fldCharType="begin" w:fldLock="1"/>
      </w:r>
      <w:r w:rsidR="00CC5CAD">
        <w:instrText xml:space="preserve"> SEQ Table \* ARABIC </w:instrText>
      </w:r>
      <w:r w:rsidR="00CC5CAD">
        <w:fldChar w:fldCharType="separate"/>
      </w:r>
      <w:r w:rsidR="00CC5CAD">
        <w:rPr>
          <w:noProof/>
        </w:rPr>
        <w:t>26</w:t>
      </w:r>
      <w:r w:rsidR="00CC5CAD">
        <w:rPr>
          <w:noProof/>
        </w:rPr>
        <w:fldChar w:fldCharType="end"/>
      </w:r>
      <w:bookmarkEnd w:id="89"/>
      <w:r>
        <w:t xml:space="preserve">: </w:t>
      </w:r>
      <w:r w:rsidRPr="00B2371F">
        <w:t xml:space="preserve">Sensitivity Analysis </w:t>
      </w:r>
      <w:r w:rsidR="00A46D2B">
        <w:noBreakHyphen/>
      </w:r>
      <w:r w:rsidRPr="00B2371F">
        <w:t xml:space="preserve"> Estimated use and financial implications including DUSC </w:t>
      </w:r>
      <w:r w:rsidR="00537A4E">
        <w:t>a</w:t>
      </w:r>
      <w:r w:rsidRPr="00B2371F">
        <w:t>dvice on incident and prevalent cases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6: Sensitivity Analysis   Estimated use and financial implications including DUSC advice on incident and prevalent cases"/>
      </w:tblPr>
      <w:tblGrid>
        <w:gridCol w:w="3436"/>
        <w:gridCol w:w="959"/>
        <w:gridCol w:w="925"/>
        <w:gridCol w:w="925"/>
        <w:gridCol w:w="925"/>
        <w:gridCol w:w="925"/>
        <w:gridCol w:w="921"/>
      </w:tblGrid>
      <w:tr w:rsidR="00A01ED9" w:rsidRPr="007D0701" w14:paraId="702F7DCA" w14:textId="77777777" w:rsidTr="00B705A8">
        <w:trPr>
          <w:trHeight w:val="255"/>
        </w:trPr>
        <w:tc>
          <w:tcPr>
            <w:tcW w:w="1905" w:type="pct"/>
            <w:vAlign w:val="center"/>
            <w:hideMark/>
          </w:tcPr>
          <w:p w14:paraId="3C29D046"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 </w:t>
            </w:r>
          </w:p>
        </w:tc>
        <w:tc>
          <w:tcPr>
            <w:tcW w:w="532" w:type="pct"/>
            <w:vAlign w:val="center"/>
            <w:hideMark/>
          </w:tcPr>
          <w:p w14:paraId="2B27CFE5"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Year 1</w:t>
            </w:r>
          </w:p>
        </w:tc>
        <w:tc>
          <w:tcPr>
            <w:tcW w:w="513" w:type="pct"/>
            <w:vAlign w:val="center"/>
            <w:hideMark/>
          </w:tcPr>
          <w:p w14:paraId="315F3C17"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Year 2</w:t>
            </w:r>
          </w:p>
        </w:tc>
        <w:tc>
          <w:tcPr>
            <w:tcW w:w="513" w:type="pct"/>
            <w:vAlign w:val="center"/>
            <w:hideMark/>
          </w:tcPr>
          <w:p w14:paraId="2D91052A"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Year 3</w:t>
            </w:r>
          </w:p>
        </w:tc>
        <w:tc>
          <w:tcPr>
            <w:tcW w:w="513" w:type="pct"/>
            <w:vAlign w:val="center"/>
            <w:hideMark/>
          </w:tcPr>
          <w:p w14:paraId="2F7FE8B0"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Year 4</w:t>
            </w:r>
          </w:p>
        </w:tc>
        <w:tc>
          <w:tcPr>
            <w:tcW w:w="513" w:type="pct"/>
            <w:vAlign w:val="center"/>
            <w:hideMark/>
          </w:tcPr>
          <w:p w14:paraId="590E65E7"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Year 5</w:t>
            </w:r>
          </w:p>
        </w:tc>
        <w:tc>
          <w:tcPr>
            <w:tcW w:w="513" w:type="pct"/>
            <w:vAlign w:val="center"/>
            <w:hideMark/>
          </w:tcPr>
          <w:p w14:paraId="18683114"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Year 6</w:t>
            </w:r>
          </w:p>
        </w:tc>
      </w:tr>
      <w:tr w:rsidR="00A01ED9" w:rsidRPr="007D0701" w14:paraId="049D6474" w14:textId="77777777" w:rsidTr="00B705A8">
        <w:trPr>
          <w:trHeight w:val="255"/>
        </w:trPr>
        <w:tc>
          <w:tcPr>
            <w:tcW w:w="1905" w:type="pct"/>
            <w:vAlign w:val="center"/>
            <w:hideMark/>
          </w:tcPr>
          <w:p w14:paraId="68F9B10E" w14:textId="77777777" w:rsidR="00A01ED9" w:rsidRPr="007D0701" w:rsidRDefault="00A01ED9" w:rsidP="00591C83">
            <w:pPr>
              <w:keepNext/>
              <w:keepLines/>
              <w:spacing w:before="0" w:after="0"/>
              <w:jc w:val="left"/>
              <w:rPr>
                <w:rFonts w:ascii="Arial Narrow" w:hAnsi="Arial Narrow"/>
                <w:color w:val="000000"/>
                <w:sz w:val="20"/>
                <w:szCs w:val="20"/>
                <w:lang w:eastAsia="en-AU"/>
              </w:rPr>
            </w:pPr>
            <w:r w:rsidRPr="007D0701">
              <w:rPr>
                <w:rFonts w:ascii="Arial Narrow" w:hAnsi="Arial Narrow"/>
                <w:color w:val="000000"/>
                <w:sz w:val="20"/>
                <w:szCs w:val="20"/>
                <w:lang w:eastAsia="en-AU"/>
              </w:rPr>
              <w:t>Total Incident cases</w:t>
            </w:r>
          </w:p>
        </w:tc>
        <w:tc>
          <w:tcPr>
            <w:tcW w:w="532" w:type="pct"/>
            <w:vAlign w:val="center"/>
            <w:hideMark/>
          </w:tcPr>
          <w:p w14:paraId="4E0A5DE5" w14:textId="57C97C0D" w:rsidR="00A01ED9" w:rsidRPr="00AC12A8" w:rsidRDefault="00AF3C7B" w:rsidP="00591C83">
            <w:pPr>
              <w:keepNext/>
              <w:keepLines/>
              <w:spacing w:before="0" w:after="0"/>
              <w:jc w:val="center"/>
              <w:rPr>
                <w:rFonts w:ascii="Arial Narrow" w:hAnsi="Arial Narrow"/>
                <w:color w:val="000000"/>
                <w:sz w:val="20"/>
                <w:szCs w:val="20"/>
                <w:highlight w:val="darkGray"/>
                <w:lang w:eastAsia="en-AU"/>
              </w:rPr>
            </w:pPr>
            <w:r w:rsidRPr="00AF3C7B">
              <w:rPr>
                <w:rFonts w:ascii="Arial Narrow" w:hAnsi="Arial Narrow"/>
                <w:color w:val="000000"/>
                <w:spacing w:val="47"/>
                <w:sz w:val="20"/>
                <w:szCs w:val="20"/>
                <w:shd w:val="solid" w:color="000000" w:fill="000000"/>
                <w:fitText w:val="312" w:id="-629961973"/>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3"/>
                <w:lang w:eastAsia="en-AU"/>
                <w14:textFill>
                  <w14:solidFill>
                    <w14:srgbClr w14:val="000000">
                      <w14:alpha w14:val="100000"/>
                    </w14:srgbClr>
                  </w14:solidFill>
                </w14:textFill>
              </w:rPr>
              <w:t>|</w:t>
            </w:r>
            <w:r w:rsidR="007257F6" w:rsidRPr="00E87EDE">
              <w:rPr>
                <w:rFonts w:ascii="Arial Narrow" w:hAnsi="Arial Narrow"/>
                <w:color w:val="000000"/>
                <w:sz w:val="20"/>
                <w:szCs w:val="20"/>
                <w:vertAlign w:val="superscript"/>
                <w:lang w:eastAsia="en-AU"/>
              </w:rPr>
              <w:t>1</w:t>
            </w:r>
          </w:p>
        </w:tc>
        <w:tc>
          <w:tcPr>
            <w:tcW w:w="513" w:type="pct"/>
            <w:vAlign w:val="center"/>
            <w:hideMark/>
          </w:tcPr>
          <w:p w14:paraId="7EC10509" w14:textId="44FB3FDC" w:rsidR="00A01ED9" w:rsidRPr="00AC12A8" w:rsidRDefault="00AF3C7B" w:rsidP="00591C83">
            <w:pPr>
              <w:keepNext/>
              <w:keepLines/>
              <w:spacing w:before="0" w:after="0"/>
              <w:jc w:val="center"/>
              <w:rPr>
                <w:rFonts w:ascii="Arial Narrow" w:hAnsi="Arial Narrow"/>
                <w:color w:val="000000"/>
                <w:sz w:val="20"/>
                <w:szCs w:val="20"/>
                <w:highlight w:val="darkGray"/>
                <w:lang w:eastAsia="en-AU"/>
              </w:rPr>
            </w:pPr>
            <w:r w:rsidRPr="00AF3C7B">
              <w:rPr>
                <w:rFonts w:ascii="Arial Narrow" w:hAnsi="Arial Narrow"/>
                <w:color w:val="000000"/>
                <w:spacing w:val="47"/>
                <w:sz w:val="20"/>
                <w:szCs w:val="20"/>
                <w:shd w:val="solid" w:color="000000" w:fill="000000"/>
                <w:fitText w:val="312" w:id="-629961972"/>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2"/>
                <w:lang w:eastAsia="en-AU"/>
                <w14:textFill>
                  <w14:solidFill>
                    <w14:srgbClr w14:val="000000">
                      <w14:alpha w14:val="100000"/>
                    </w14:srgbClr>
                  </w14:solidFill>
                </w14:textFill>
              </w:rPr>
              <w:t>|</w:t>
            </w:r>
            <w:r w:rsidR="00CE2C3A" w:rsidRPr="00E87EDE">
              <w:rPr>
                <w:rFonts w:ascii="Arial Narrow" w:hAnsi="Arial Narrow"/>
                <w:color w:val="000000"/>
                <w:sz w:val="20"/>
                <w:szCs w:val="20"/>
                <w:vertAlign w:val="superscript"/>
                <w:lang w:eastAsia="en-AU"/>
              </w:rPr>
              <w:t>1</w:t>
            </w:r>
          </w:p>
        </w:tc>
        <w:tc>
          <w:tcPr>
            <w:tcW w:w="513" w:type="pct"/>
            <w:vAlign w:val="center"/>
            <w:hideMark/>
          </w:tcPr>
          <w:p w14:paraId="4DEB2B38" w14:textId="5724ADA6" w:rsidR="00A01ED9" w:rsidRPr="00AC12A8" w:rsidRDefault="00AF3C7B" w:rsidP="00591C83">
            <w:pPr>
              <w:keepNext/>
              <w:keepLines/>
              <w:spacing w:before="0" w:after="0"/>
              <w:jc w:val="center"/>
              <w:rPr>
                <w:rFonts w:ascii="Arial Narrow" w:hAnsi="Arial Narrow"/>
                <w:color w:val="000000"/>
                <w:sz w:val="20"/>
                <w:szCs w:val="20"/>
                <w:highlight w:val="darkGray"/>
                <w:lang w:eastAsia="en-AU"/>
              </w:rPr>
            </w:pPr>
            <w:r w:rsidRPr="00AF3C7B">
              <w:rPr>
                <w:rFonts w:ascii="Arial Narrow" w:hAnsi="Arial Narrow"/>
                <w:color w:val="000000"/>
                <w:spacing w:val="47"/>
                <w:sz w:val="20"/>
                <w:szCs w:val="20"/>
                <w:shd w:val="solid" w:color="000000" w:fill="000000"/>
                <w:fitText w:val="312" w:id="-629961971"/>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1"/>
                <w:lang w:eastAsia="en-AU"/>
                <w14:textFill>
                  <w14:solidFill>
                    <w14:srgbClr w14:val="000000">
                      <w14:alpha w14:val="100000"/>
                    </w14:srgbClr>
                  </w14:solidFill>
                </w14:textFill>
              </w:rPr>
              <w:t>|</w:t>
            </w:r>
            <w:r w:rsidR="00CE2C3A" w:rsidRPr="00E87EDE">
              <w:rPr>
                <w:rFonts w:ascii="Arial Narrow" w:hAnsi="Arial Narrow"/>
                <w:color w:val="000000"/>
                <w:sz w:val="20"/>
                <w:szCs w:val="20"/>
                <w:vertAlign w:val="superscript"/>
                <w:lang w:eastAsia="en-AU"/>
              </w:rPr>
              <w:t>1</w:t>
            </w:r>
          </w:p>
        </w:tc>
        <w:tc>
          <w:tcPr>
            <w:tcW w:w="513" w:type="pct"/>
            <w:vAlign w:val="center"/>
            <w:hideMark/>
          </w:tcPr>
          <w:p w14:paraId="51E5F469" w14:textId="55AF2DAB" w:rsidR="00A01ED9" w:rsidRPr="00AC12A8" w:rsidRDefault="00AF3C7B" w:rsidP="00591C83">
            <w:pPr>
              <w:keepNext/>
              <w:keepLines/>
              <w:spacing w:before="0" w:after="0"/>
              <w:jc w:val="center"/>
              <w:rPr>
                <w:rFonts w:ascii="Arial Narrow" w:hAnsi="Arial Narrow"/>
                <w:color w:val="000000"/>
                <w:sz w:val="20"/>
                <w:szCs w:val="20"/>
                <w:highlight w:val="darkGray"/>
                <w:lang w:eastAsia="en-AU"/>
              </w:rPr>
            </w:pPr>
            <w:r w:rsidRPr="00AF3C7B">
              <w:rPr>
                <w:rFonts w:ascii="Arial Narrow" w:hAnsi="Arial Narrow"/>
                <w:color w:val="000000"/>
                <w:spacing w:val="47"/>
                <w:sz w:val="20"/>
                <w:szCs w:val="20"/>
                <w:shd w:val="solid" w:color="000000" w:fill="000000"/>
                <w:fitText w:val="312" w:id="-629961970"/>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0"/>
                <w:lang w:eastAsia="en-AU"/>
                <w14:textFill>
                  <w14:solidFill>
                    <w14:srgbClr w14:val="000000">
                      <w14:alpha w14:val="100000"/>
                    </w14:srgbClr>
                  </w14:solidFill>
                </w14:textFill>
              </w:rPr>
              <w:t>|</w:t>
            </w:r>
            <w:r w:rsidR="00CE2C3A" w:rsidRPr="00E87EDE">
              <w:rPr>
                <w:rFonts w:ascii="Arial Narrow" w:hAnsi="Arial Narrow"/>
                <w:color w:val="000000"/>
                <w:sz w:val="20"/>
                <w:szCs w:val="20"/>
                <w:vertAlign w:val="superscript"/>
                <w:lang w:eastAsia="en-AU"/>
              </w:rPr>
              <w:t>1</w:t>
            </w:r>
          </w:p>
        </w:tc>
        <w:tc>
          <w:tcPr>
            <w:tcW w:w="513" w:type="pct"/>
            <w:vAlign w:val="center"/>
            <w:hideMark/>
          </w:tcPr>
          <w:p w14:paraId="7DDE3DA7" w14:textId="6A384F98" w:rsidR="00A01ED9" w:rsidRPr="00AC12A8" w:rsidRDefault="00AF3C7B" w:rsidP="00591C83">
            <w:pPr>
              <w:keepNext/>
              <w:keepLines/>
              <w:spacing w:before="0" w:after="0"/>
              <w:jc w:val="center"/>
              <w:rPr>
                <w:rFonts w:ascii="Arial Narrow" w:hAnsi="Arial Narrow"/>
                <w:color w:val="000000"/>
                <w:sz w:val="20"/>
                <w:szCs w:val="20"/>
                <w:highlight w:val="darkGray"/>
                <w:lang w:eastAsia="en-AU"/>
              </w:rPr>
            </w:pPr>
            <w:r w:rsidRPr="00AF3C7B">
              <w:rPr>
                <w:rFonts w:ascii="Arial Narrow" w:hAnsi="Arial Narrow"/>
                <w:color w:val="000000"/>
                <w:spacing w:val="47"/>
                <w:sz w:val="20"/>
                <w:szCs w:val="20"/>
                <w:shd w:val="solid" w:color="000000" w:fill="000000"/>
                <w:fitText w:val="312" w:id="-629961969"/>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69"/>
                <w:lang w:eastAsia="en-AU"/>
                <w14:textFill>
                  <w14:solidFill>
                    <w14:srgbClr w14:val="000000">
                      <w14:alpha w14:val="100000"/>
                    </w14:srgbClr>
                  </w14:solidFill>
                </w14:textFill>
              </w:rPr>
              <w:t>|</w:t>
            </w:r>
            <w:r w:rsidR="00CE2C3A" w:rsidRPr="00E87EDE">
              <w:rPr>
                <w:rFonts w:ascii="Arial Narrow" w:hAnsi="Arial Narrow"/>
                <w:color w:val="000000"/>
                <w:sz w:val="20"/>
                <w:szCs w:val="20"/>
                <w:vertAlign w:val="superscript"/>
                <w:lang w:eastAsia="en-AU"/>
              </w:rPr>
              <w:t>1</w:t>
            </w:r>
          </w:p>
        </w:tc>
        <w:tc>
          <w:tcPr>
            <w:tcW w:w="513" w:type="pct"/>
            <w:vAlign w:val="center"/>
            <w:hideMark/>
          </w:tcPr>
          <w:p w14:paraId="51F023E2" w14:textId="3F3C4394" w:rsidR="00A01ED9" w:rsidRPr="00AC12A8" w:rsidRDefault="00AF3C7B" w:rsidP="00591C83">
            <w:pPr>
              <w:keepNext/>
              <w:keepLines/>
              <w:spacing w:before="0" w:after="0"/>
              <w:jc w:val="center"/>
              <w:rPr>
                <w:rFonts w:ascii="Arial Narrow" w:hAnsi="Arial Narrow"/>
                <w:color w:val="000000"/>
                <w:sz w:val="20"/>
                <w:szCs w:val="20"/>
                <w:highlight w:val="darkGray"/>
                <w:lang w:eastAsia="en-AU"/>
              </w:rPr>
            </w:pPr>
            <w:r w:rsidRPr="00AF3C7B">
              <w:rPr>
                <w:rFonts w:ascii="Arial Narrow" w:hAnsi="Arial Narrow"/>
                <w:color w:val="000000"/>
                <w:spacing w:val="47"/>
                <w:sz w:val="20"/>
                <w:szCs w:val="20"/>
                <w:shd w:val="solid" w:color="000000" w:fill="000000"/>
                <w:fitText w:val="312" w:id="-629961968"/>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68"/>
                <w:lang w:eastAsia="en-AU"/>
                <w14:textFill>
                  <w14:solidFill>
                    <w14:srgbClr w14:val="000000">
                      <w14:alpha w14:val="100000"/>
                    </w14:srgbClr>
                  </w14:solidFill>
                </w14:textFill>
              </w:rPr>
              <w:t>|</w:t>
            </w:r>
            <w:r w:rsidR="00CE2C3A" w:rsidRPr="00E87EDE">
              <w:rPr>
                <w:rFonts w:ascii="Arial Narrow" w:hAnsi="Arial Narrow"/>
                <w:color w:val="000000"/>
                <w:sz w:val="20"/>
                <w:szCs w:val="20"/>
                <w:vertAlign w:val="superscript"/>
                <w:lang w:eastAsia="en-AU"/>
              </w:rPr>
              <w:t>1</w:t>
            </w:r>
          </w:p>
        </w:tc>
      </w:tr>
      <w:tr w:rsidR="00A01ED9" w:rsidRPr="007D0701" w14:paraId="18A4364C" w14:textId="77777777" w:rsidTr="00B705A8">
        <w:trPr>
          <w:trHeight w:val="255"/>
        </w:trPr>
        <w:tc>
          <w:tcPr>
            <w:tcW w:w="1905" w:type="pct"/>
            <w:vAlign w:val="center"/>
            <w:hideMark/>
          </w:tcPr>
          <w:p w14:paraId="25237755" w14:textId="03742DE1" w:rsidR="00A01ED9" w:rsidRPr="007D0701" w:rsidRDefault="00A01ED9" w:rsidP="00591C83">
            <w:pPr>
              <w:keepNext/>
              <w:keepLines/>
              <w:spacing w:before="0" w:after="0"/>
              <w:jc w:val="left"/>
              <w:rPr>
                <w:rFonts w:ascii="Arial Narrow" w:hAnsi="Arial Narrow"/>
                <w:color w:val="000000"/>
                <w:sz w:val="20"/>
                <w:szCs w:val="20"/>
                <w:lang w:eastAsia="en-AU"/>
              </w:rPr>
            </w:pPr>
            <w:r w:rsidRPr="007D0701">
              <w:rPr>
                <w:rFonts w:ascii="Arial Narrow" w:hAnsi="Arial Narrow"/>
                <w:color w:val="000000"/>
                <w:sz w:val="20"/>
                <w:szCs w:val="20"/>
                <w:lang w:eastAsia="en-AU"/>
              </w:rPr>
              <w:t>% cases high</w:t>
            </w:r>
            <w:r w:rsidR="00A46D2B">
              <w:rPr>
                <w:rFonts w:ascii="Arial Narrow" w:hAnsi="Arial Narrow"/>
                <w:color w:val="000000"/>
                <w:sz w:val="20"/>
                <w:szCs w:val="20"/>
                <w:lang w:eastAsia="en-AU"/>
              </w:rPr>
              <w:noBreakHyphen/>
            </w:r>
            <w:r w:rsidRPr="007D0701">
              <w:rPr>
                <w:rFonts w:ascii="Arial Narrow" w:hAnsi="Arial Narrow"/>
                <w:color w:val="000000"/>
                <w:sz w:val="20"/>
                <w:szCs w:val="20"/>
                <w:lang w:eastAsia="en-AU"/>
              </w:rPr>
              <w:t xml:space="preserve">grade epithelial and </w:t>
            </w:r>
            <w:proofErr w:type="spellStart"/>
            <w:r w:rsidRPr="007D0701">
              <w:rPr>
                <w:rFonts w:ascii="Arial Narrow" w:hAnsi="Arial Narrow"/>
                <w:color w:val="000000"/>
                <w:sz w:val="20"/>
                <w:szCs w:val="20"/>
                <w:lang w:eastAsia="en-AU"/>
              </w:rPr>
              <w:t>serous</w:t>
            </w:r>
            <w:r w:rsidRPr="007D0701">
              <w:rPr>
                <w:rFonts w:ascii="Arial Narrow" w:hAnsi="Arial Narrow"/>
                <w:color w:val="000000"/>
                <w:sz w:val="20"/>
                <w:szCs w:val="20"/>
                <w:vertAlign w:val="superscript"/>
                <w:lang w:eastAsia="en-AU"/>
              </w:rPr>
              <w:t>a</w:t>
            </w:r>
            <w:proofErr w:type="spellEnd"/>
          </w:p>
        </w:tc>
        <w:tc>
          <w:tcPr>
            <w:tcW w:w="532" w:type="pct"/>
            <w:vAlign w:val="center"/>
            <w:hideMark/>
          </w:tcPr>
          <w:p w14:paraId="5CA5AC67" w14:textId="77777777" w:rsidR="00A01ED9" w:rsidRPr="007D0701" w:rsidRDefault="00A01ED9" w:rsidP="00591C83">
            <w:pPr>
              <w:keepNext/>
              <w:keepLines/>
              <w:spacing w:before="0" w:after="0"/>
              <w:jc w:val="center"/>
              <w:rPr>
                <w:rFonts w:ascii="Arial Narrow" w:hAnsi="Arial Narrow"/>
                <w:color w:val="000000"/>
                <w:sz w:val="20"/>
                <w:szCs w:val="20"/>
                <w:lang w:eastAsia="en-AU"/>
              </w:rPr>
            </w:pPr>
            <w:r w:rsidRPr="007D0701">
              <w:rPr>
                <w:rFonts w:ascii="Arial Narrow" w:hAnsi="Arial Narrow"/>
                <w:color w:val="000000"/>
                <w:sz w:val="20"/>
                <w:szCs w:val="20"/>
                <w:lang w:eastAsia="en-AU"/>
              </w:rPr>
              <w:t>63%</w:t>
            </w:r>
          </w:p>
        </w:tc>
        <w:tc>
          <w:tcPr>
            <w:tcW w:w="513" w:type="pct"/>
            <w:vAlign w:val="center"/>
            <w:hideMark/>
          </w:tcPr>
          <w:p w14:paraId="5AD3D1EB" w14:textId="77777777" w:rsidR="00A01ED9" w:rsidRPr="007D0701" w:rsidRDefault="00A01ED9" w:rsidP="00591C83">
            <w:pPr>
              <w:keepNext/>
              <w:keepLines/>
              <w:spacing w:before="0" w:after="0"/>
              <w:jc w:val="center"/>
              <w:rPr>
                <w:rFonts w:ascii="Arial Narrow" w:hAnsi="Arial Narrow"/>
                <w:color w:val="000000"/>
                <w:sz w:val="20"/>
                <w:szCs w:val="20"/>
                <w:lang w:eastAsia="en-AU"/>
              </w:rPr>
            </w:pPr>
            <w:r w:rsidRPr="007D0701">
              <w:rPr>
                <w:rFonts w:ascii="Arial Narrow" w:hAnsi="Arial Narrow"/>
                <w:color w:val="000000"/>
                <w:sz w:val="20"/>
                <w:szCs w:val="20"/>
                <w:lang w:eastAsia="en-AU"/>
              </w:rPr>
              <w:t>63%</w:t>
            </w:r>
          </w:p>
        </w:tc>
        <w:tc>
          <w:tcPr>
            <w:tcW w:w="513" w:type="pct"/>
            <w:vAlign w:val="center"/>
            <w:hideMark/>
          </w:tcPr>
          <w:p w14:paraId="0B2910CC" w14:textId="77777777" w:rsidR="00A01ED9" w:rsidRPr="007D0701" w:rsidRDefault="00A01ED9" w:rsidP="00591C83">
            <w:pPr>
              <w:keepNext/>
              <w:keepLines/>
              <w:spacing w:before="0" w:after="0"/>
              <w:jc w:val="center"/>
              <w:rPr>
                <w:rFonts w:ascii="Arial Narrow" w:hAnsi="Arial Narrow"/>
                <w:color w:val="000000"/>
                <w:sz w:val="20"/>
                <w:szCs w:val="20"/>
                <w:lang w:eastAsia="en-AU"/>
              </w:rPr>
            </w:pPr>
            <w:r w:rsidRPr="007D0701">
              <w:rPr>
                <w:rFonts w:ascii="Arial Narrow" w:hAnsi="Arial Narrow"/>
                <w:color w:val="000000"/>
                <w:sz w:val="20"/>
                <w:szCs w:val="20"/>
                <w:lang w:eastAsia="en-AU"/>
              </w:rPr>
              <w:t>63%</w:t>
            </w:r>
          </w:p>
        </w:tc>
        <w:tc>
          <w:tcPr>
            <w:tcW w:w="513" w:type="pct"/>
            <w:vAlign w:val="center"/>
            <w:hideMark/>
          </w:tcPr>
          <w:p w14:paraId="41760F37" w14:textId="77777777" w:rsidR="00A01ED9" w:rsidRPr="007D0701" w:rsidRDefault="00A01ED9" w:rsidP="00591C83">
            <w:pPr>
              <w:keepNext/>
              <w:keepLines/>
              <w:spacing w:before="0" w:after="0"/>
              <w:jc w:val="center"/>
              <w:rPr>
                <w:rFonts w:ascii="Arial Narrow" w:hAnsi="Arial Narrow"/>
                <w:color w:val="000000"/>
                <w:sz w:val="20"/>
                <w:szCs w:val="20"/>
                <w:lang w:eastAsia="en-AU"/>
              </w:rPr>
            </w:pPr>
            <w:r w:rsidRPr="007D0701">
              <w:rPr>
                <w:rFonts w:ascii="Arial Narrow" w:hAnsi="Arial Narrow"/>
                <w:color w:val="000000"/>
                <w:sz w:val="20"/>
                <w:szCs w:val="20"/>
                <w:lang w:eastAsia="en-AU"/>
              </w:rPr>
              <w:t>63%</w:t>
            </w:r>
          </w:p>
        </w:tc>
        <w:tc>
          <w:tcPr>
            <w:tcW w:w="513" w:type="pct"/>
            <w:vAlign w:val="center"/>
            <w:hideMark/>
          </w:tcPr>
          <w:p w14:paraId="69329828" w14:textId="77777777" w:rsidR="00A01ED9" w:rsidRPr="007D0701" w:rsidRDefault="00A01ED9" w:rsidP="00591C83">
            <w:pPr>
              <w:keepNext/>
              <w:keepLines/>
              <w:spacing w:before="0" w:after="0"/>
              <w:jc w:val="center"/>
              <w:rPr>
                <w:rFonts w:ascii="Arial Narrow" w:hAnsi="Arial Narrow"/>
                <w:color w:val="000000"/>
                <w:sz w:val="20"/>
                <w:szCs w:val="20"/>
                <w:lang w:eastAsia="en-AU"/>
              </w:rPr>
            </w:pPr>
            <w:r w:rsidRPr="007D0701">
              <w:rPr>
                <w:rFonts w:ascii="Arial Narrow" w:hAnsi="Arial Narrow"/>
                <w:color w:val="000000"/>
                <w:sz w:val="20"/>
                <w:szCs w:val="20"/>
                <w:lang w:eastAsia="en-AU"/>
              </w:rPr>
              <w:t>63%</w:t>
            </w:r>
          </w:p>
        </w:tc>
        <w:tc>
          <w:tcPr>
            <w:tcW w:w="513" w:type="pct"/>
            <w:vAlign w:val="center"/>
            <w:hideMark/>
          </w:tcPr>
          <w:p w14:paraId="550414F1" w14:textId="77777777" w:rsidR="00A01ED9" w:rsidRPr="007D0701" w:rsidRDefault="00A01ED9" w:rsidP="00591C83">
            <w:pPr>
              <w:keepNext/>
              <w:keepLines/>
              <w:spacing w:before="0" w:after="0"/>
              <w:jc w:val="center"/>
              <w:rPr>
                <w:rFonts w:ascii="Arial Narrow" w:hAnsi="Arial Narrow"/>
                <w:color w:val="000000"/>
                <w:sz w:val="20"/>
                <w:szCs w:val="20"/>
                <w:lang w:eastAsia="en-AU"/>
              </w:rPr>
            </w:pPr>
            <w:r w:rsidRPr="007D0701">
              <w:rPr>
                <w:rFonts w:ascii="Arial Narrow" w:hAnsi="Arial Narrow"/>
                <w:color w:val="000000"/>
                <w:sz w:val="20"/>
                <w:szCs w:val="20"/>
                <w:lang w:eastAsia="en-AU"/>
              </w:rPr>
              <w:t>63%</w:t>
            </w:r>
          </w:p>
        </w:tc>
      </w:tr>
      <w:tr w:rsidR="00A01ED9" w:rsidRPr="007D0701" w14:paraId="10EDB6F9" w14:textId="77777777" w:rsidTr="00B705A8">
        <w:trPr>
          <w:trHeight w:val="840"/>
        </w:trPr>
        <w:tc>
          <w:tcPr>
            <w:tcW w:w="1905" w:type="pct"/>
            <w:vAlign w:val="center"/>
            <w:hideMark/>
          </w:tcPr>
          <w:p w14:paraId="6EC3C5CB" w14:textId="1CB87EFB" w:rsidR="00A01ED9" w:rsidRPr="007D0701" w:rsidRDefault="00A01ED9" w:rsidP="00591C83">
            <w:pPr>
              <w:keepNext/>
              <w:keepLines/>
              <w:spacing w:before="0" w:after="0"/>
              <w:jc w:val="left"/>
              <w:rPr>
                <w:rFonts w:ascii="Arial Narrow" w:hAnsi="Arial Narrow"/>
                <w:color w:val="000000"/>
                <w:sz w:val="20"/>
                <w:szCs w:val="20"/>
                <w:lang w:eastAsia="en-AU"/>
              </w:rPr>
            </w:pPr>
            <w:r w:rsidRPr="007D0701">
              <w:rPr>
                <w:rFonts w:ascii="Arial Narrow" w:hAnsi="Arial Narrow"/>
                <w:color w:val="000000"/>
                <w:sz w:val="20"/>
                <w:szCs w:val="20"/>
                <w:lang w:eastAsia="en-AU"/>
              </w:rPr>
              <w:t>Predicted number of patients with FRα</w:t>
            </w:r>
            <w:r w:rsidR="00A46D2B">
              <w:rPr>
                <w:rFonts w:ascii="Arial Narrow" w:hAnsi="Arial Narrow"/>
                <w:color w:val="000000"/>
                <w:sz w:val="20"/>
                <w:szCs w:val="20"/>
                <w:lang w:eastAsia="en-AU"/>
              </w:rPr>
              <w:noBreakHyphen/>
            </w:r>
            <w:r w:rsidRPr="007D0701">
              <w:rPr>
                <w:rFonts w:ascii="Arial Narrow" w:hAnsi="Arial Narrow"/>
                <w:color w:val="000000"/>
                <w:sz w:val="20"/>
                <w:szCs w:val="20"/>
                <w:lang w:eastAsia="en-AU"/>
              </w:rPr>
              <w:t>high tumour cell expression and platinum</w:t>
            </w:r>
            <w:r w:rsidR="00A46D2B">
              <w:rPr>
                <w:rFonts w:ascii="Arial Narrow" w:hAnsi="Arial Narrow"/>
                <w:color w:val="000000"/>
                <w:sz w:val="20"/>
                <w:szCs w:val="20"/>
                <w:lang w:eastAsia="en-AU"/>
              </w:rPr>
              <w:noBreakHyphen/>
            </w:r>
            <w:r w:rsidRPr="007D0701">
              <w:rPr>
                <w:rFonts w:ascii="Arial Narrow" w:hAnsi="Arial Narrow"/>
                <w:color w:val="000000"/>
                <w:sz w:val="20"/>
                <w:szCs w:val="20"/>
                <w:lang w:eastAsia="en-AU"/>
              </w:rPr>
              <w:t>resistance (eligible for treatment with MIRV)</w:t>
            </w:r>
          </w:p>
        </w:tc>
        <w:tc>
          <w:tcPr>
            <w:tcW w:w="532" w:type="pct"/>
            <w:vAlign w:val="center"/>
            <w:hideMark/>
          </w:tcPr>
          <w:p w14:paraId="6787E1D3" w14:textId="6C9629E8"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84"/>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84"/>
                <w14:textFill>
                  <w14:solidFill>
                    <w14:srgbClr w14:val="000000">
                      <w14:alpha w14:val="100000"/>
                    </w14:srgbClr>
                  </w14:solidFill>
                </w14:textFill>
              </w:rPr>
              <w:t>|</w:t>
            </w:r>
            <w:r w:rsidR="002361AD" w:rsidRPr="002361AD">
              <w:rPr>
                <w:rFonts w:ascii="Arial Narrow" w:hAnsi="Arial Narrow"/>
                <w:sz w:val="20"/>
                <w:szCs w:val="20"/>
                <w:vertAlign w:val="superscript"/>
              </w:rPr>
              <w:t>2</w:t>
            </w:r>
          </w:p>
        </w:tc>
        <w:tc>
          <w:tcPr>
            <w:tcW w:w="513" w:type="pct"/>
            <w:vAlign w:val="center"/>
            <w:hideMark/>
          </w:tcPr>
          <w:p w14:paraId="62EF36D7" w14:textId="772DE159"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83"/>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83"/>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0E17B21F" w14:textId="3AE7D27E"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82"/>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82"/>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3E1904D6" w14:textId="762247ED"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81"/>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81"/>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60DB5AB6" w14:textId="4F9199C5"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80"/>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80"/>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5A33D135" w14:textId="5A22053B"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79"/>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9"/>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r>
      <w:tr w:rsidR="00A01ED9" w:rsidRPr="007D0701" w14:paraId="2BD9A44B" w14:textId="77777777" w:rsidTr="00B705A8">
        <w:trPr>
          <w:trHeight w:val="419"/>
        </w:trPr>
        <w:tc>
          <w:tcPr>
            <w:tcW w:w="1905" w:type="pct"/>
            <w:vAlign w:val="center"/>
            <w:hideMark/>
          </w:tcPr>
          <w:p w14:paraId="0A912456" w14:textId="77777777" w:rsidR="00A01ED9" w:rsidRPr="007D0701" w:rsidRDefault="00A01ED9" w:rsidP="00591C83">
            <w:pPr>
              <w:keepNext/>
              <w:keepLines/>
              <w:spacing w:before="0" w:after="0"/>
              <w:jc w:val="left"/>
              <w:rPr>
                <w:rFonts w:ascii="Arial Narrow" w:hAnsi="Arial Narrow"/>
                <w:color w:val="FF0000"/>
                <w:sz w:val="20"/>
                <w:szCs w:val="20"/>
                <w:lang w:eastAsia="en-AU"/>
              </w:rPr>
            </w:pPr>
            <w:r w:rsidRPr="007D0701">
              <w:rPr>
                <w:rFonts w:ascii="Arial Narrow" w:hAnsi="Arial Narrow"/>
                <w:sz w:val="20"/>
                <w:szCs w:val="20"/>
                <w:lang w:eastAsia="en-AU"/>
              </w:rPr>
              <w:t>Prevalent population from 2024</w:t>
            </w:r>
            <w:r w:rsidRPr="007D0701">
              <w:rPr>
                <w:rFonts w:ascii="Arial Narrow" w:hAnsi="Arial Narrow"/>
                <w:sz w:val="20"/>
                <w:szCs w:val="20"/>
                <w:vertAlign w:val="superscript"/>
                <w:lang w:eastAsia="en-AU"/>
              </w:rPr>
              <w:t>b</w:t>
            </w:r>
          </w:p>
        </w:tc>
        <w:tc>
          <w:tcPr>
            <w:tcW w:w="532" w:type="pct"/>
            <w:vAlign w:val="center"/>
            <w:hideMark/>
          </w:tcPr>
          <w:p w14:paraId="7D2B9B5B" w14:textId="54DBF443"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78"/>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8"/>
                <w:lang w:eastAsia="en-AU"/>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0CF3E108" w14:textId="382426E0"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77"/>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7"/>
                <w:lang w:eastAsia="en-AU"/>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030CA3D6" w14:textId="6C72484B"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76"/>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6"/>
                <w:lang w:eastAsia="en-AU"/>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16F5F780" w14:textId="443322BC"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75"/>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5"/>
                <w:lang w:eastAsia="en-AU"/>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7524AA2A" w14:textId="3AA3A90D"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74"/>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4"/>
                <w:lang w:eastAsia="en-AU"/>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c>
          <w:tcPr>
            <w:tcW w:w="513" w:type="pct"/>
            <w:vAlign w:val="center"/>
            <w:hideMark/>
          </w:tcPr>
          <w:p w14:paraId="1AA0F4BD" w14:textId="62A0F541" w:rsidR="00A01ED9" w:rsidRPr="004A03F6" w:rsidRDefault="00AF3C7B" w:rsidP="00591C83">
            <w:pPr>
              <w:keepNext/>
              <w:keepLines/>
              <w:spacing w:before="0" w:after="0"/>
              <w:jc w:val="center"/>
              <w:rPr>
                <w:rFonts w:ascii="Arial Narrow" w:hAnsi="Arial Narrow"/>
                <w:sz w:val="20"/>
                <w:szCs w:val="20"/>
                <w:highlight w:val="darkGray"/>
                <w:lang w:eastAsia="en-AU"/>
              </w:rPr>
            </w:pPr>
            <w:r w:rsidRPr="00AF3C7B">
              <w:rPr>
                <w:rFonts w:ascii="Arial Narrow" w:hAnsi="Arial Narrow"/>
                <w:color w:val="000000"/>
                <w:spacing w:val="47"/>
                <w:sz w:val="20"/>
                <w:szCs w:val="20"/>
                <w:shd w:val="solid" w:color="000000" w:fill="000000"/>
                <w:fitText w:val="312" w:id="-629961973"/>
                <w:lang w:eastAsia="en-AU"/>
                <w14:textFill>
                  <w14:solidFill>
                    <w14:srgbClr w14:val="000000">
                      <w14:alpha w14:val="100000"/>
                    </w14:srgbClr>
                  </w14:solidFill>
                </w14:textFill>
              </w:rPr>
              <w:t>|||</w:t>
            </w:r>
            <w:r w:rsidRPr="00AF3C7B">
              <w:rPr>
                <w:rFonts w:ascii="Arial Narrow" w:hAnsi="Arial Narrow"/>
                <w:color w:val="000000"/>
                <w:spacing w:val="1"/>
                <w:sz w:val="20"/>
                <w:szCs w:val="20"/>
                <w:shd w:val="solid" w:color="000000" w:fill="000000"/>
                <w:fitText w:val="312" w:id="-629961973"/>
                <w:lang w:eastAsia="en-AU"/>
                <w14:textFill>
                  <w14:solidFill>
                    <w14:srgbClr w14:val="000000">
                      <w14:alpha w14:val="100000"/>
                    </w14:srgbClr>
                  </w14:solidFill>
                </w14:textFill>
              </w:rPr>
              <w:t>|</w:t>
            </w:r>
            <w:r w:rsidR="00F61661" w:rsidRPr="002361AD">
              <w:rPr>
                <w:rFonts w:ascii="Arial Narrow" w:hAnsi="Arial Narrow"/>
                <w:sz w:val="20"/>
                <w:szCs w:val="20"/>
                <w:vertAlign w:val="superscript"/>
              </w:rPr>
              <w:t>2</w:t>
            </w:r>
          </w:p>
        </w:tc>
      </w:tr>
      <w:tr w:rsidR="00A01ED9" w:rsidRPr="007D0701" w14:paraId="7BFFB5E1" w14:textId="77777777" w:rsidTr="00B705A8">
        <w:trPr>
          <w:trHeight w:val="152"/>
        </w:trPr>
        <w:tc>
          <w:tcPr>
            <w:tcW w:w="5000" w:type="pct"/>
            <w:gridSpan w:val="7"/>
            <w:vAlign w:val="center"/>
            <w:hideMark/>
          </w:tcPr>
          <w:p w14:paraId="57809C79"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Estimated extent of use of MIRV</w:t>
            </w:r>
          </w:p>
        </w:tc>
      </w:tr>
      <w:tr w:rsidR="00A01ED9" w:rsidRPr="007D0701" w14:paraId="03B88DE6" w14:textId="77777777" w:rsidTr="00B705A8">
        <w:trPr>
          <w:trHeight w:val="557"/>
        </w:trPr>
        <w:tc>
          <w:tcPr>
            <w:tcW w:w="1905" w:type="pct"/>
            <w:vAlign w:val="center"/>
            <w:hideMark/>
          </w:tcPr>
          <w:p w14:paraId="1BF17678" w14:textId="77777777" w:rsidR="00A01ED9" w:rsidRPr="007D0701" w:rsidRDefault="00A01ED9" w:rsidP="00591C83">
            <w:pPr>
              <w:keepNext/>
              <w:keepLines/>
              <w:spacing w:before="0" w:after="0"/>
              <w:jc w:val="left"/>
              <w:rPr>
                <w:rFonts w:ascii="Arial Narrow" w:hAnsi="Arial Narrow"/>
                <w:color w:val="000000"/>
                <w:sz w:val="20"/>
                <w:szCs w:val="20"/>
                <w:lang w:eastAsia="en-AU"/>
              </w:rPr>
            </w:pPr>
            <w:r w:rsidRPr="007D0701">
              <w:rPr>
                <w:rFonts w:ascii="Arial Narrow" w:hAnsi="Arial Narrow"/>
                <w:color w:val="000000"/>
                <w:sz w:val="20"/>
                <w:szCs w:val="20"/>
                <w:lang w:eastAsia="en-AU"/>
              </w:rPr>
              <w:t>Number of patients likely to be treated with proposed drug</w:t>
            </w:r>
          </w:p>
        </w:tc>
        <w:tc>
          <w:tcPr>
            <w:tcW w:w="532" w:type="pct"/>
            <w:vAlign w:val="center"/>
            <w:hideMark/>
          </w:tcPr>
          <w:p w14:paraId="195AABA5" w14:textId="6E055133" w:rsidR="00A01ED9" w:rsidRPr="004A03F6" w:rsidRDefault="00AF3C7B" w:rsidP="003E7496">
            <w:pPr>
              <w:pStyle w:val="Tabletext0"/>
              <w:keepNext/>
              <w:keepLines/>
              <w:jc w:val="center"/>
              <w:rPr>
                <w:color w:val="000000"/>
                <w:szCs w:val="20"/>
                <w:highlight w:val="darkGray"/>
              </w:rPr>
            </w:pPr>
            <w:r w:rsidRPr="00E67BBE">
              <w:rPr>
                <w:color w:val="000000"/>
                <w:spacing w:val="47"/>
                <w:shd w:val="solid" w:color="000000" w:fill="000000"/>
                <w:fitText w:val="312" w:id="-629961972"/>
                <w14:textFill>
                  <w14:solidFill>
                    <w14:srgbClr w14:val="000000">
                      <w14:alpha w14:val="100000"/>
                    </w14:srgbClr>
                  </w14:solidFill>
                </w14:textFill>
              </w:rPr>
              <w:t>|||</w:t>
            </w:r>
            <w:r w:rsidRPr="00E67BBE">
              <w:rPr>
                <w:color w:val="000000"/>
                <w:spacing w:val="1"/>
                <w:shd w:val="solid" w:color="000000" w:fill="000000"/>
                <w:fitText w:val="312" w:id="-629961972"/>
                <w14:textFill>
                  <w14:solidFill>
                    <w14:srgbClr w14:val="000000">
                      <w14:alpha w14:val="100000"/>
                    </w14:srgbClr>
                  </w14:solidFill>
                </w14:textFill>
              </w:rPr>
              <w:t>|</w:t>
            </w:r>
            <w:r w:rsidR="00BC3E97" w:rsidRPr="00E87EDE">
              <w:rPr>
                <w:color w:val="000000"/>
                <w:szCs w:val="20"/>
                <w:vertAlign w:val="superscript"/>
              </w:rPr>
              <w:t>1</w:t>
            </w:r>
          </w:p>
        </w:tc>
        <w:tc>
          <w:tcPr>
            <w:tcW w:w="513" w:type="pct"/>
            <w:vAlign w:val="center"/>
            <w:hideMark/>
          </w:tcPr>
          <w:p w14:paraId="46778872" w14:textId="010027C8"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71"/>
                <w14:textFill>
                  <w14:solidFill>
                    <w14:srgbClr w14:val="000000">
                      <w14:alpha w14:val="100000"/>
                    </w14:srgbClr>
                  </w14:solidFill>
                </w14:textFill>
              </w:rPr>
              <w:t>|||</w:t>
            </w:r>
            <w:r w:rsidRPr="00AF3C7B">
              <w:rPr>
                <w:color w:val="000000"/>
                <w:spacing w:val="1"/>
                <w:shd w:val="solid" w:color="000000" w:fill="000000"/>
                <w:fitText w:val="312" w:id="-629961971"/>
                <w14:textFill>
                  <w14:solidFill>
                    <w14:srgbClr w14:val="000000">
                      <w14:alpha w14:val="100000"/>
                    </w14:srgbClr>
                  </w14:solidFill>
                </w14:textFill>
              </w:rPr>
              <w:t>|</w:t>
            </w:r>
            <w:r w:rsidR="00F61661" w:rsidRPr="002361AD">
              <w:rPr>
                <w:szCs w:val="20"/>
                <w:vertAlign w:val="superscript"/>
              </w:rPr>
              <w:t>2</w:t>
            </w:r>
          </w:p>
        </w:tc>
        <w:tc>
          <w:tcPr>
            <w:tcW w:w="513" w:type="pct"/>
            <w:vAlign w:val="center"/>
            <w:hideMark/>
          </w:tcPr>
          <w:p w14:paraId="72BA5D65" w14:textId="016AD6D4"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70"/>
                <w14:textFill>
                  <w14:solidFill>
                    <w14:srgbClr w14:val="000000">
                      <w14:alpha w14:val="100000"/>
                    </w14:srgbClr>
                  </w14:solidFill>
                </w14:textFill>
              </w:rPr>
              <w:t>|||</w:t>
            </w:r>
            <w:r w:rsidRPr="00AF3C7B">
              <w:rPr>
                <w:color w:val="000000"/>
                <w:spacing w:val="1"/>
                <w:shd w:val="solid" w:color="000000" w:fill="000000"/>
                <w:fitText w:val="312" w:id="-629961970"/>
                <w14:textFill>
                  <w14:solidFill>
                    <w14:srgbClr w14:val="000000">
                      <w14:alpha w14:val="100000"/>
                    </w14:srgbClr>
                  </w14:solidFill>
                </w14:textFill>
              </w:rPr>
              <w:t>|</w:t>
            </w:r>
            <w:r w:rsidR="00F61661" w:rsidRPr="002361AD">
              <w:rPr>
                <w:szCs w:val="20"/>
                <w:vertAlign w:val="superscript"/>
              </w:rPr>
              <w:t>2</w:t>
            </w:r>
          </w:p>
        </w:tc>
        <w:tc>
          <w:tcPr>
            <w:tcW w:w="513" w:type="pct"/>
            <w:vAlign w:val="center"/>
            <w:hideMark/>
          </w:tcPr>
          <w:p w14:paraId="729DDFAD" w14:textId="781997BE"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69"/>
                <w14:textFill>
                  <w14:solidFill>
                    <w14:srgbClr w14:val="000000">
                      <w14:alpha w14:val="100000"/>
                    </w14:srgbClr>
                  </w14:solidFill>
                </w14:textFill>
              </w:rPr>
              <w:t>|||</w:t>
            </w:r>
            <w:r w:rsidRPr="00AF3C7B">
              <w:rPr>
                <w:color w:val="000000"/>
                <w:spacing w:val="1"/>
                <w:shd w:val="solid" w:color="000000" w:fill="000000"/>
                <w:fitText w:val="312" w:id="-629961969"/>
                <w14:textFill>
                  <w14:solidFill>
                    <w14:srgbClr w14:val="000000">
                      <w14:alpha w14:val="100000"/>
                    </w14:srgbClr>
                  </w14:solidFill>
                </w14:textFill>
              </w:rPr>
              <w:t>|</w:t>
            </w:r>
            <w:r w:rsidR="00F61661" w:rsidRPr="002361AD">
              <w:rPr>
                <w:szCs w:val="20"/>
                <w:vertAlign w:val="superscript"/>
              </w:rPr>
              <w:t>2</w:t>
            </w:r>
          </w:p>
        </w:tc>
        <w:tc>
          <w:tcPr>
            <w:tcW w:w="513" w:type="pct"/>
            <w:vAlign w:val="center"/>
            <w:hideMark/>
          </w:tcPr>
          <w:p w14:paraId="2D9AF6F2" w14:textId="2DE7556E"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68"/>
                <w14:textFill>
                  <w14:solidFill>
                    <w14:srgbClr w14:val="000000">
                      <w14:alpha w14:val="100000"/>
                    </w14:srgbClr>
                  </w14:solidFill>
                </w14:textFill>
              </w:rPr>
              <w:t>|||</w:t>
            </w:r>
            <w:r w:rsidRPr="00AF3C7B">
              <w:rPr>
                <w:color w:val="000000"/>
                <w:spacing w:val="1"/>
                <w:shd w:val="solid" w:color="000000" w:fill="000000"/>
                <w:fitText w:val="312" w:id="-629961968"/>
                <w14:textFill>
                  <w14:solidFill>
                    <w14:srgbClr w14:val="000000">
                      <w14:alpha w14:val="100000"/>
                    </w14:srgbClr>
                  </w14:solidFill>
                </w14:textFill>
              </w:rPr>
              <w:t>|</w:t>
            </w:r>
            <w:r w:rsidR="00F61661" w:rsidRPr="002361AD">
              <w:rPr>
                <w:szCs w:val="20"/>
                <w:vertAlign w:val="superscript"/>
              </w:rPr>
              <w:t>2</w:t>
            </w:r>
          </w:p>
        </w:tc>
        <w:tc>
          <w:tcPr>
            <w:tcW w:w="513" w:type="pct"/>
            <w:vAlign w:val="center"/>
            <w:hideMark/>
          </w:tcPr>
          <w:p w14:paraId="2D006893" w14:textId="7FE4C661"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84"/>
                <w14:textFill>
                  <w14:solidFill>
                    <w14:srgbClr w14:val="000000">
                      <w14:alpha w14:val="100000"/>
                    </w14:srgbClr>
                  </w14:solidFill>
                </w14:textFill>
              </w:rPr>
              <w:t>|||</w:t>
            </w:r>
            <w:r w:rsidRPr="00AF3C7B">
              <w:rPr>
                <w:color w:val="000000"/>
                <w:spacing w:val="1"/>
                <w:shd w:val="solid" w:color="000000" w:fill="000000"/>
                <w:fitText w:val="312" w:id="-629961984"/>
                <w14:textFill>
                  <w14:solidFill>
                    <w14:srgbClr w14:val="000000">
                      <w14:alpha w14:val="100000"/>
                    </w14:srgbClr>
                  </w14:solidFill>
                </w14:textFill>
              </w:rPr>
              <w:t>|</w:t>
            </w:r>
            <w:r w:rsidR="00F61661" w:rsidRPr="002361AD">
              <w:rPr>
                <w:szCs w:val="20"/>
                <w:vertAlign w:val="superscript"/>
              </w:rPr>
              <w:t>2</w:t>
            </w:r>
          </w:p>
        </w:tc>
      </w:tr>
      <w:tr w:rsidR="00A01ED9" w:rsidRPr="007D0701" w14:paraId="3013E049" w14:textId="77777777" w:rsidTr="00B705A8">
        <w:trPr>
          <w:trHeight w:val="396"/>
        </w:trPr>
        <w:tc>
          <w:tcPr>
            <w:tcW w:w="1905" w:type="pct"/>
            <w:vAlign w:val="center"/>
            <w:hideMark/>
          </w:tcPr>
          <w:p w14:paraId="5A285066" w14:textId="77777777" w:rsidR="00A01ED9" w:rsidRPr="007D0701" w:rsidRDefault="00A01ED9" w:rsidP="00591C83">
            <w:pPr>
              <w:keepNext/>
              <w:keepLines/>
              <w:spacing w:before="0" w:after="0"/>
              <w:jc w:val="left"/>
              <w:rPr>
                <w:rFonts w:ascii="Arial Narrow" w:hAnsi="Arial Narrow"/>
                <w:color w:val="000000"/>
                <w:sz w:val="20"/>
                <w:szCs w:val="20"/>
                <w:lang w:eastAsia="en-AU"/>
              </w:rPr>
            </w:pPr>
            <w:r w:rsidRPr="007D0701">
              <w:rPr>
                <w:rFonts w:ascii="Arial Narrow" w:hAnsi="Arial Narrow"/>
                <w:color w:val="000000"/>
                <w:sz w:val="20"/>
                <w:szCs w:val="20"/>
                <w:lang w:eastAsia="en-AU"/>
              </w:rPr>
              <w:t>Number of scripts dispensed</w:t>
            </w:r>
          </w:p>
        </w:tc>
        <w:tc>
          <w:tcPr>
            <w:tcW w:w="532" w:type="pct"/>
            <w:vAlign w:val="center"/>
            <w:hideMark/>
          </w:tcPr>
          <w:p w14:paraId="57A13A76" w14:textId="786A15EA" w:rsidR="00A01ED9" w:rsidRPr="004A03F6" w:rsidRDefault="00AF3C7B" w:rsidP="003E7496">
            <w:pPr>
              <w:pStyle w:val="Tabletext0"/>
              <w:keepNext/>
              <w:keepLines/>
              <w:jc w:val="center"/>
              <w:rPr>
                <w:color w:val="000000"/>
                <w:szCs w:val="20"/>
                <w:highlight w:val="darkGray"/>
              </w:rPr>
            </w:pPr>
            <w:r w:rsidRPr="00AF3C7B">
              <w:rPr>
                <w:color w:val="000000"/>
                <w:spacing w:val="47"/>
                <w:shd w:val="solid" w:color="000000" w:fill="000000"/>
                <w:fitText w:val="312" w:id="-629961983"/>
                <w14:textFill>
                  <w14:solidFill>
                    <w14:srgbClr w14:val="000000">
                      <w14:alpha w14:val="100000"/>
                    </w14:srgbClr>
                  </w14:solidFill>
                </w14:textFill>
              </w:rPr>
              <w:t>|||</w:t>
            </w:r>
            <w:r w:rsidRPr="00AF3C7B">
              <w:rPr>
                <w:color w:val="000000"/>
                <w:spacing w:val="1"/>
                <w:shd w:val="solid" w:color="000000" w:fill="000000"/>
                <w:fitText w:val="312" w:id="-629961983"/>
                <w14:textFill>
                  <w14:solidFill>
                    <w14:srgbClr w14:val="000000">
                      <w14:alpha w14:val="100000"/>
                    </w14:srgbClr>
                  </w14:solidFill>
                </w14:textFill>
              </w:rPr>
              <w:t>|</w:t>
            </w:r>
            <w:r w:rsidR="00BC3E97" w:rsidRPr="00E87EDE">
              <w:rPr>
                <w:color w:val="000000"/>
                <w:szCs w:val="20"/>
                <w:vertAlign w:val="superscript"/>
              </w:rPr>
              <w:t>1</w:t>
            </w:r>
          </w:p>
        </w:tc>
        <w:tc>
          <w:tcPr>
            <w:tcW w:w="513" w:type="pct"/>
            <w:vAlign w:val="center"/>
            <w:hideMark/>
          </w:tcPr>
          <w:p w14:paraId="5F4C9FCD" w14:textId="31888AFE"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82"/>
                <w14:textFill>
                  <w14:solidFill>
                    <w14:srgbClr w14:val="000000">
                      <w14:alpha w14:val="100000"/>
                    </w14:srgbClr>
                  </w14:solidFill>
                </w14:textFill>
              </w:rPr>
              <w:t>|||</w:t>
            </w:r>
            <w:r w:rsidRPr="00AF3C7B">
              <w:rPr>
                <w:color w:val="000000"/>
                <w:spacing w:val="1"/>
                <w:shd w:val="solid" w:color="000000" w:fill="000000"/>
                <w:fitText w:val="312" w:id="-629961982"/>
                <w14:textFill>
                  <w14:solidFill>
                    <w14:srgbClr w14:val="000000">
                      <w14:alpha w14:val="100000"/>
                    </w14:srgbClr>
                  </w14:solidFill>
                </w14:textFill>
              </w:rPr>
              <w:t>|</w:t>
            </w:r>
            <w:r w:rsidR="00BC3E97" w:rsidRPr="00E87EDE">
              <w:rPr>
                <w:color w:val="000000"/>
                <w:szCs w:val="20"/>
                <w:vertAlign w:val="superscript"/>
              </w:rPr>
              <w:t>1</w:t>
            </w:r>
          </w:p>
        </w:tc>
        <w:tc>
          <w:tcPr>
            <w:tcW w:w="513" w:type="pct"/>
            <w:vAlign w:val="center"/>
            <w:hideMark/>
          </w:tcPr>
          <w:p w14:paraId="199B5AA2" w14:textId="6797FBBF"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81"/>
                <w14:textFill>
                  <w14:solidFill>
                    <w14:srgbClr w14:val="000000">
                      <w14:alpha w14:val="100000"/>
                    </w14:srgbClr>
                  </w14:solidFill>
                </w14:textFill>
              </w:rPr>
              <w:t>|||</w:t>
            </w:r>
            <w:r w:rsidRPr="00AF3C7B">
              <w:rPr>
                <w:color w:val="000000"/>
                <w:spacing w:val="1"/>
                <w:shd w:val="solid" w:color="000000" w:fill="000000"/>
                <w:fitText w:val="312" w:id="-629961981"/>
                <w14:textFill>
                  <w14:solidFill>
                    <w14:srgbClr w14:val="000000">
                      <w14:alpha w14:val="100000"/>
                    </w14:srgbClr>
                  </w14:solidFill>
                </w14:textFill>
              </w:rPr>
              <w:t>|</w:t>
            </w:r>
            <w:r w:rsidR="00BC3E97" w:rsidRPr="00E87EDE">
              <w:rPr>
                <w:color w:val="000000"/>
                <w:szCs w:val="20"/>
                <w:vertAlign w:val="superscript"/>
              </w:rPr>
              <w:t>1</w:t>
            </w:r>
          </w:p>
        </w:tc>
        <w:tc>
          <w:tcPr>
            <w:tcW w:w="513" w:type="pct"/>
            <w:vAlign w:val="center"/>
            <w:hideMark/>
          </w:tcPr>
          <w:p w14:paraId="77F0C68D" w14:textId="031002FD"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80"/>
                <w14:textFill>
                  <w14:solidFill>
                    <w14:srgbClr w14:val="000000">
                      <w14:alpha w14:val="100000"/>
                    </w14:srgbClr>
                  </w14:solidFill>
                </w14:textFill>
              </w:rPr>
              <w:t>|||</w:t>
            </w:r>
            <w:r w:rsidRPr="00AF3C7B">
              <w:rPr>
                <w:color w:val="000000"/>
                <w:spacing w:val="1"/>
                <w:shd w:val="solid" w:color="000000" w:fill="000000"/>
                <w:fitText w:val="312" w:id="-629961980"/>
                <w14:textFill>
                  <w14:solidFill>
                    <w14:srgbClr w14:val="000000">
                      <w14:alpha w14:val="100000"/>
                    </w14:srgbClr>
                  </w14:solidFill>
                </w14:textFill>
              </w:rPr>
              <w:t>|</w:t>
            </w:r>
            <w:r w:rsidR="00BC3E97" w:rsidRPr="00E87EDE">
              <w:rPr>
                <w:color w:val="000000"/>
                <w:szCs w:val="20"/>
                <w:vertAlign w:val="superscript"/>
              </w:rPr>
              <w:t>1</w:t>
            </w:r>
          </w:p>
        </w:tc>
        <w:tc>
          <w:tcPr>
            <w:tcW w:w="513" w:type="pct"/>
            <w:vAlign w:val="center"/>
            <w:hideMark/>
          </w:tcPr>
          <w:p w14:paraId="6AFDF6EC" w14:textId="7B89EA55"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79"/>
                <w14:textFill>
                  <w14:solidFill>
                    <w14:srgbClr w14:val="000000">
                      <w14:alpha w14:val="100000"/>
                    </w14:srgbClr>
                  </w14:solidFill>
                </w14:textFill>
              </w:rPr>
              <w:t>|||</w:t>
            </w:r>
            <w:r w:rsidRPr="00AF3C7B">
              <w:rPr>
                <w:color w:val="000000"/>
                <w:spacing w:val="1"/>
                <w:shd w:val="solid" w:color="000000" w:fill="000000"/>
                <w:fitText w:val="312" w:id="-629961979"/>
                <w14:textFill>
                  <w14:solidFill>
                    <w14:srgbClr w14:val="000000">
                      <w14:alpha w14:val="100000"/>
                    </w14:srgbClr>
                  </w14:solidFill>
                </w14:textFill>
              </w:rPr>
              <w:t>|</w:t>
            </w:r>
            <w:r w:rsidR="00BC3E97" w:rsidRPr="00E87EDE">
              <w:rPr>
                <w:color w:val="000000"/>
                <w:szCs w:val="20"/>
                <w:vertAlign w:val="superscript"/>
              </w:rPr>
              <w:t>1</w:t>
            </w:r>
          </w:p>
        </w:tc>
        <w:tc>
          <w:tcPr>
            <w:tcW w:w="513" w:type="pct"/>
            <w:vAlign w:val="center"/>
            <w:hideMark/>
          </w:tcPr>
          <w:p w14:paraId="2BF6A490" w14:textId="637ABDCD" w:rsidR="00A01ED9" w:rsidRPr="004A03F6" w:rsidRDefault="00AF3C7B" w:rsidP="003E7496">
            <w:pPr>
              <w:pStyle w:val="Tabletext0"/>
              <w:keepNext/>
              <w:keepLines/>
              <w:jc w:val="center"/>
              <w:rPr>
                <w:color w:val="000000"/>
                <w:highlight w:val="darkGray"/>
              </w:rPr>
            </w:pPr>
            <w:r w:rsidRPr="00AF3C7B">
              <w:rPr>
                <w:color w:val="000000"/>
                <w:spacing w:val="47"/>
                <w:shd w:val="solid" w:color="000000" w:fill="000000"/>
                <w:fitText w:val="312" w:id="-629961978"/>
                <w14:textFill>
                  <w14:solidFill>
                    <w14:srgbClr w14:val="000000">
                      <w14:alpha w14:val="100000"/>
                    </w14:srgbClr>
                  </w14:solidFill>
                </w14:textFill>
              </w:rPr>
              <w:t>|||</w:t>
            </w:r>
            <w:r w:rsidRPr="00AF3C7B">
              <w:rPr>
                <w:color w:val="000000"/>
                <w:spacing w:val="1"/>
                <w:shd w:val="solid" w:color="000000" w:fill="000000"/>
                <w:fitText w:val="312" w:id="-629961978"/>
                <w14:textFill>
                  <w14:solidFill>
                    <w14:srgbClr w14:val="000000">
                      <w14:alpha w14:val="100000"/>
                    </w14:srgbClr>
                  </w14:solidFill>
                </w14:textFill>
              </w:rPr>
              <w:t>|</w:t>
            </w:r>
            <w:r w:rsidR="00BC3E97" w:rsidRPr="00E87EDE">
              <w:rPr>
                <w:color w:val="000000"/>
                <w:szCs w:val="20"/>
                <w:vertAlign w:val="superscript"/>
              </w:rPr>
              <w:t>1</w:t>
            </w:r>
          </w:p>
        </w:tc>
      </w:tr>
      <w:tr w:rsidR="00A01ED9" w:rsidRPr="007D0701" w14:paraId="04E711EB" w14:textId="77777777" w:rsidTr="00B705A8">
        <w:trPr>
          <w:trHeight w:val="60"/>
        </w:trPr>
        <w:tc>
          <w:tcPr>
            <w:tcW w:w="5000" w:type="pct"/>
            <w:gridSpan w:val="7"/>
            <w:vAlign w:val="center"/>
            <w:hideMark/>
          </w:tcPr>
          <w:p w14:paraId="05901E4D"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Estimated financial implications of MIRV to the PBS/RPBS</w:t>
            </w:r>
          </w:p>
        </w:tc>
      </w:tr>
      <w:tr w:rsidR="00A01ED9" w:rsidRPr="007D0701" w14:paraId="0619D746" w14:textId="77777777" w:rsidTr="00B705A8">
        <w:trPr>
          <w:trHeight w:val="392"/>
        </w:trPr>
        <w:tc>
          <w:tcPr>
            <w:tcW w:w="1905" w:type="pct"/>
            <w:vAlign w:val="center"/>
            <w:hideMark/>
          </w:tcPr>
          <w:p w14:paraId="2FA722B6" w14:textId="77777777" w:rsidR="00A01ED9" w:rsidRPr="007D0701" w:rsidRDefault="00A01ED9" w:rsidP="00591C83">
            <w:pPr>
              <w:keepNext/>
              <w:keepLines/>
              <w:spacing w:before="0" w:after="0"/>
              <w:jc w:val="left"/>
              <w:rPr>
                <w:rFonts w:ascii="Arial Narrow" w:hAnsi="Arial Narrow"/>
                <w:color w:val="000000"/>
                <w:sz w:val="20"/>
                <w:szCs w:val="20"/>
                <w:lang w:eastAsia="en-AU"/>
              </w:rPr>
            </w:pPr>
            <w:r w:rsidRPr="007D0701">
              <w:rPr>
                <w:rFonts w:ascii="Arial Narrow" w:hAnsi="Arial Narrow"/>
                <w:color w:val="000000"/>
                <w:sz w:val="20"/>
                <w:szCs w:val="20"/>
                <w:lang w:eastAsia="en-AU"/>
              </w:rPr>
              <w:t>Cost to PBS/RPBS less copayments</w:t>
            </w:r>
          </w:p>
        </w:tc>
        <w:tc>
          <w:tcPr>
            <w:tcW w:w="532" w:type="pct"/>
            <w:vAlign w:val="center"/>
            <w:hideMark/>
          </w:tcPr>
          <w:p w14:paraId="39EB7EC1" w14:textId="4EFECE0A" w:rsidR="00A01ED9" w:rsidRPr="007C4D0D" w:rsidRDefault="00AF3C7B" w:rsidP="003E7496">
            <w:pPr>
              <w:pStyle w:val="Tabletext0"/>
              <w:keepNext/>
              <w:keepLines/>
              <w:rPr>
                <w:szCs w:val="20"/>
                <w:highlight w:val="darkGray"/>
              </w:rPr>
            </w:pPr>
            <w:r w:rsidRPr="00AF3C7B">
              <w:rPr>
                <w:color w:val="000000"/>
                <w:spacing w:val="51"/>
                <w:shd w:val="solid" w:color="000000" w:fill="000000"/>
                <w:fitText w:val="324" w:id="-629961977"/>
                <w14:textFill>
                  <w14:solidFill>
                    <w14:srgbClr w14:val="000000">
                      <w14:alpha w14:val="100000"/>
                    </w14:srgbClr>
                  </w14:solidFill>
                </w14:textFill>
              </w:rPr>
              <w:t>|||</w:t>
            </w:r>
            <w:r w:rsidRPr="00AF3C7B">
              <w:rPr>
                <w:color w:val="000000"/>
                <w:spacing w:val="1"/>
                <w:shd w:val="solid" w:color="000000" w:fill="000000"/>
                <w:fitText w:val="324" w:id="-629961977"/>
                <w14:textFill>
                  <w14:solidFill>
                    <w14:srgbClr w14:val="000000">
                      <w14:alpha w14:val="100000"/>
                    </w14:srgbClr>
                  </w14:solidFill>
                </w14:textFill>
              </w:rPr>
              <w:t>|</w:t>
            </w:r>
            <w:r w:rsidR="00BD3E9E" w:rsidRPr="00BD3E9E">
              <w:rPr>
                <w:vertAlign w:val="superscript"/>
              </w:rPr>
              <w:t>3</w:t>
            </w:r>
          </w:p>
        </w:tc>
        <w:tc>
          <w:tcPr>
            <w:tcW w:w="513" w:type="pct"/>
            <w:vAlign w:val="center"/>
            <w:hideMark/>
          </w:tcPr>
          <w:p w14:paraId="1A6A7567" w14:textId="765B3DD1"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976"/>
                <w14:textFill>
                  <w14:solidFill>
                    <w14:srgbClr w14:val="000000">
                      <w14:alpha w14:val="100000"/>
                    </w14:srgbClr>
                  </w14:solidFill>
                </w14:textFill>
              </w:rPr>
              <w:t>|||</w:t>
            </w:r>
            <w:r w:rsidRPr="00AF3C7B">
              <w:rPr>
                <w:color w:val="000000"/>
                <w:spacing w:val="1"/>
                <w:shd w:val="solid" w:color="000000" w:fill="000000"/>
                <w:fitText w:val="324" w:id="-629961976"/>
                <w14:textFill>
                  <w14:solidFill>
                    <w14:srgbClr w14:val="000000">
                      <w14:alpha w14:val="100000"/>
                    </w14:srgbClr>
                  </w14:solidFill>
                </w14:textFill>
              </w:rPr>
              <w:t>|</w:t>
            </w:r>
            <w:r w:rsidR="00C41CD5" w:rsidRPr="00C41CD5">
              <w:rPr>
                <w:vertAlign w:val="superscript"/>
              </w:rPr>
              <w:t>4</w:t>
            </w:r>
          </w:p>
        </w:tc>
        <w:tc>
          <w:tcPr>
            <w:tcW w:w="513" w:type="pct"/>
            <w:vAlign w:val="center"/>
            <w:hideMark/>
          </w:tcPr>
          <w:p w14:paraId="0126A83E" w14:textId="123EA034"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975"/>
                <w14:textFill>
                  <w14:solidFill>
                    <w14:srgbClr w14:val="000000">
                      <w14:alpha w14:val="100000"/>
                    </w14:srgbClr>
                  </w14:solidFill>
                </w14:textFill>
              </w:rPr>
              <w:t>|||</w:t>
            </w:r>
            <w:r w:rsidRPr="00AF3C7B">
              <w:rPr>
                <w:color w:val="000000"/>
                <w:spacing w:val="1"/>
                <w:shd w:val="solid" w:color="000000" w:fill="000000"/>
                <w:fitText w:val="324" w:id="-629961975"/>
                <w14:textFill>
                  <w14:solidFill>
                    <w14:srgbClr w14:val="000000">
                      <w14:alpha w14:val="100000"/>
                    </w14:srgbClr>
                  </w14:solidFill>
                </w14:textFill>
              </w:rPr>
              <w:t>|</w:t>
            </w:r>
            <w:r w:rsidR="00C41CD5" w:rsidRPr="00C41CD5">
              <w:rPr>
                <w:vertAlign w:val="superscript"/>
              </w:rPr>
              <w:t>4</w:t>
            </w:r>
          </w:p>
        </w:tc>
        <w:tc>
          <w:tcPr>
            <w:tcW w:w="513" w:type="pct"/>
            <w:vAlign w:val="center"/>
            <w:hideMark/>
          </w:tcPr>
          <w:p w14:paraId="4311125D" w14:textId="0637B499"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974"/>
                <w14:textFill>
                  <w14:solidFill>
                    <w14:srgbClr w14:val="000000">
                      <w14:alpha w14:val="100000"/>
                    </w14:srgbClr>
                  </w14:solidFill>
                </w14:textFill>
              </w:rPr>
              <w:t>|||</w:t>
            </w:r>
            <w:r w:rsidRPr="00AF3C7B">
              <w:rPr>
                <w:color w:val="000000"/>
                <w:spacing w:val="1"/>
                <w:shd w:val="solid" w:color="000000" w:fill="000000"/>
                <w:fitText w:val="324" w:id="-629961974"/>
                <w14:textFill>
                  <w14:solidFill>
                    <w14:srgbClr w14:val="000000">
                      <w14:alpha w14:val="100000"/>
                    </w14:srgbClr>
                  </w14:solidFill>
                </w14:textFill>
              </w:rPr>
              <w:t>|</w:t>
            </w:r>
            <w:r w:rsidR="00C41CD5" w:rsidRPr="00C41CD5">
              <w:rPr>
                <w:vertAlign w:val="superscript"/>
              </w:rPr>
              <w:t>4</w:t>
            </w:r>
          </w:p>
        </w:tc>
        <w:tc>
          <w:tcPr>
            <w:tcW w:w="513" w:type="pct"/>
            <w:vAlign w:val="center"/>
            <w:hideMark/>
          </w:tcPr>
          <w:p w14:paraId="00FA4A57" w14:textId="4DAD81EF"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973"/>
                <w14:textFill>
                  <w14:solidFill>
                    <w14:srgbClr w14:val="000000">
                      <w14:alpha w14:val="100000"/>
                    </w14:srgbClr>
                  </w14:solidFill>
                </w14:textFill>
              </w:rPr>
              <w:t>|||</w:t>
            </w:r>
            <w:r w:rsidRPr="00AF3C7B">
              <w:rPr>
                <w:color w:val="000000"/>
                <w:spacing w:val="1"/>
                <w:shd w:val="solid" w:color="000000" w:fill="000000"/>
                <w:fitText w:val="324" w:id="-629961973"/>
                <w14:textFill>
                  <w14:solidFill>
                    <w14:srgbClr w14:val="000000">
                      <w14:alpha w14:val="100000"/>
                    </w14:srgbClr>
                  </w14:solidFill>
                </w14:textFill>
              </w:rPr>
              <w:t>|</w:t>
            </w:r>
            <w:r w:rsidR="00C41CD5" w:rsidRPr="00C41CD5">
              <w:rPr>
                <w:vertAlign w:val="superscript"/>
              </w:rPr>
              <w:t>4</w:t>
            </w:r>
          </w:p>
        </w:tc>
        <w:tc>
          <w:tcPr>
            <w:tcW w:w="513" w:type="pct"/>
            <w:vAlign w:val="center"/>
            <w:hideMark/>
          </w:tcPr>
          <w:p w14:paraId="1D028E4D" w14:textId="6D4FD155"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28"/>
                <w14:textFill>
                  <w14:solidFill>
                    <w14:srgbClr w14:val="000000">
                      <w14:alpha w14:val="100000"/>
                    </w14:srgbClr>
                  </w14:solidFill>
                </w14:textFill>
              </w:rPr>
              <w:t>|||</w:t>
            </w:r>
            <w:r w:rsidRPr="00AF3C7B">
              <w:rPr>
                <w:color w:val="000000"/>
                <w:spacing w:val="1"/>
                <w:shd w:val="solid" w:color="000000" w:fill="000000"/>
                <w:fitText w:val="324" w:id="-629961728"/>
                <w14:textFill>
                  <w14:solidFill>
                    <w14:srgbClr w14:val="000000">
                      <w14:alpha w14:val="100000"/>
                    </w14:srgbClr>
                  </w14:solidFill>
                </w14:textFill>
              </w:rPr>
              <w:t>|</w:t>
            </w:r>
            <w:r w:rsidR="00C41CD5" w:rsidRPr="00C41CD5">
              <w:rPr>
                <w:vertAlign w:val="superscript"/>
              </w:rPr>
              <w:t>4</w:t>
            </w:r>
          </w:p>
        </w:tc>
      </w:tr>
      <w:tr w:rsidR="00A01ED9" w:rsidRPr="007D0701" w14:paraId="2CC4CDBE" w14:textId="77777777" w:rsidTr="00B705A8">
        <w:trPr>
          <w:trHeight w:val="60"/>
        </w:trPr>
        <w:tc>
          <w:tcPr>
            <w:tcW w:w="5000" w:type="pct"/>
            <w:gridSpan w:val="7"/>
            <w:vAlign w:val="center"/>
            <w:hideMark/>
          </w:tcPr>
          <w:p w14:paraId="2864595B"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Estimated financial implications of changes to affected medicines to the PBS/RPBS</w:t>
            </w:r>
          </w:p>
        </w:tc>
      </w:tr>
      <w:tr w:rsidR="00A01ED9" w:rsidRPr="007D0701" w14:paraId="3BB04759" w14:textId="77777777" w:rsidTr="00B705A8">
        <w:trPr>
          <w:trHeight w:val="60"/>
        </w:trPr>
        <w:tc>
          <w:tcPr>
            <w:tcW w:w="1905" w:type="pct"/>
            <w:vAlign w:val="center"/>
            <w:hideMark/>
          </w:tcPr>
          <w:p w14:paraId="1515AD68" w14:textId="77777777" w:rsidR="00A01ED9" w:rsidRPr="007D0701" w:rsidRDefault="00A01ED9" w:rsidP="00591C83">
            <w:pPr>
              <w:keepNext/>
              <w:keepLines/>
              <w:spacing w:before="0" w:after="0"/>
              <w:jc w:val="left"/>
              <w:rPr>
                <w:rFonts w:ascii="Arial Narrow" w:hAnsi="Arial Narrow"/>
                <w:color w:val="000000"/>
                <w:sz w:val="20"/>
                <w:szCs w:val="20"/>
                <w:lang w:eastAsia="en-AU"/>
              </w:rPr>
            </w:pPr>
            <w:r w:rsidRPr="007D0701">
              <w:rPr>
                <w:rFonts w:ascii="Arial Narrow" w:hAnsi="Arial Narrow"/>
                <w:color w:val="000000"/>
                <w:sz w:val="20"/>
                <w:szCs w:val="20"/>
                <w:lang w:eastAsia="en-AU"/>
              </w:rPr>
              <w:t>Cost to PBS/RPBS less copayments</w:t>
            </w:r>
          </w:p>
        </w:tc>
        <w:tc>
          <w:tcPr>
            <w:tcW w:w="532" w:type="pct"/>
            <w:vAlign w:val="center"/>
            <w:hideMark/>
          </w:tcPr>
          <w:p w14:paraId="7BAA3386" w14:textId="7AB31D13" w:rsidR="00A01ED9" w:rsidRPr="007C4D0D" w:rsidRDefault="00AF3C7B" w:rsidP="003E7496">
            <w:pPr>
              <w:pStyle w:val="Tabletext0"/>
              <w:keepNext/>
              <w:keepLines/>
              <w:rPr>
                <w:szCs w:val="20"/>
                <w:highlight w:val="darkGray"/>
              </w:rPr>
            </w:pPr>
            <w:r w:rsidRPr="00AF3C7B">
              <w:rPr>
                <w:color w:val="000000"/>
                <w:spacing w:val="51"/>
                <w:shd w:val="solid" w:color="000000" w:fill="000000"/>
                <w:fitText w:val="324" w:id="-629961727"/>
                <w14:textFill>
                  <w14:solidFill>
                    <w14:srgbClr w14:val="000000">
                      <w14:alpha w14:val="100000"/>
                    </w14:srgbClr>
                  </w14:solidFill>
                </w14:textFill>
              </w:rPr>
              <w:t>|||</w:t>
            </w:r>
            <w:r w:rsidRPr="00AF3C7B">
              <w:rPr>
                <w:color w:val="000000"/>
                <w:spacing w:val="1"/>
                <w:shd w:val="solid" w:color="000000" w:fill="000000"/>
                <w:fitText w:val="324" w:id="-629961727"/>
                <w14:textFill>
                  <w14:solidFill>
                    <w14:srgbClr w14:val="000000">
                      <w14:alpha w14:val="100000"/>
                    </w14:srgbClr>
                  </w14:solidFill>
                </w14:textFill>
              </w:rPr>
              <w:t>|</w:t>
            </w:r>
            <w:r w:rsidR="00681595" w:rsidRPr="00681595">
              <w:rPr>
                <w:vertAlign w:val="superscript"/>
              </w:rPr>
              <w:t>5</w:t>
            </w:r>
          </w:p>
        </w:tc>
        <w:tc>
          <w:tcPr>
            <w:tcW w:w="513" w:type="pct"/>
            <w:vAlign w:val="center"/>
            <w:hideMark/>
          </w:tcPr>
          <w:p w14:paraId="4B87A1D7" w14:textId="24929083"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26"/>
                <w14:textFill>
                  <w14:solidFill>
                    <w14:srgbClr w14:val="000000">
                      <w14:alpha w14:val="100000"/>
                    </w14:srgbClr>
                  </w14:solidFill>
                </w14:textFill>
              </w:rPr>
              <w:t>|||</w:t>
            </w:r>
            <w:r w:rsidRPr="00AF3C7B">
              <w:rPr>
                <w:color w:val="000000"/>
                <w:spacing w:val="1"/>
                <w:shd w:val="solid" w:color="000000" w:fill="000000"/>
                <w:fitText w:val="324" w:id="-629961726"/>
                <w14:textFill>
                  <w14:solidFill>
                    <w14:srgbClr w14:val="000000">
                      <w14:alpha w14:val="100000"/>
                    </w14:srgbClr>
                  </w14:solidFill>
                </w14:textFill>
              </w:rPr>
              <w:t>|</w:t>
            </w:r>
            <w:r w:rsidR="00681595" w:rsidRPr="00681595">
              <w:rPr>
                <w:vertAlign w:val="superscript"/>
              </w:rPr>
              <w:t>5</w:t>
            </w:r>
          </w:p>
        </w:tc>
        <w:tc>
          <w:tcPr>
            <w:tcW w:w="513" w:type="pct"/>
            <w:vAlign w:val="center"/>
            <w:hideMark/>
          </w:tcPr>
          <w:p w14:paraId="2D58849B" w14:textId="1937039A"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25"/>
                <w14:textFill>
                  <w14:solidFill>
                    <w14:srgbClr w14:val="000000">
                      <w14:alpha w14:val="100000"/>
                    </w14:srgbClr>
                  </w14:solidFill>
                </w14:textFill>
              </w:rPr>
              <w:t>|||</w:t>
            </w:r>
            <w:r w:rsidRPr="00AF3C7B">
              <w:rPr>
                <w:color w:val="000000"/>
                <w:spacing w:val="1"/>
                <w:shd w:val="solid" w:color="000000" w:fill="000000"/>
                <w:fitText w:val="324" w:id="-629961725"/>
                <w14:textFill>
                  <w14:solidFill>
                    <w14:srgbClr w14:val="000000">
                      <w14:alpha w14:val="100000"/>
                    </w14:srgbClr>
                  </w14:solidFill>
                </w14:textFill>
              </w:rPr>
              <w:t>|</w:t>
            </w:r>
            <w:r w:rsidR="00681595" w:rsidRPr="00681595">
              <w:rPr>
                <w:vertAlign w:val="superscript"/>
              </w:rPr>
              <w:t>5</w:t>
            </w:r>
          </w:p>
        </w:tc>
        <w:tc>
          <w:tcPr>
            <w:tcW w:w="513" w:type="pct"/>
            <w:vAlign w:val="center"/>
            <w:hideMark/>
          </w:tcPr>
          <w:p w14:paraId="37E3FD6F" w14:textId="30F6F6DC"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24"/>
                <w14:textFill>
                  <w14:solidFill>
                    <w14:srgbClr w14:val="000000">
                      <w14:alpha w14:val="100000"/>
                    </w14:srgbClr>
                  </w14:solidFill>
                </w14:textFill>
              </w:rPr>
              <w:t>|||</w:t>
            </w:r>
            <w:r w:rsidRPr="00AF3C7B">
              <w:rPr>
                <w:color w:val="000000"/>
                <w:spacing w:val="1"/>
                <w:shd w:val="solid" w:color="000000" w:fill="000000"/>
                <w:fitText w:val="324" w:id="-629961724"/>
                <w14:textFill>
                  <w14:solidFill>
                    <w14:srgbClr w14:val="000000">
                      <w14:alpha w14:val="100000"/>
                    </w14:srgbClr>
                  </w14:solidFill>
                </w14:textFill>
              </w:rPr>
              <w:t>|</w:t>
            </w:r>
            <w:r w:rsidR="00681595" w:rsidRPr="00681595">
              <w:rPr>
                <w:vertAlign w:val="superscript"/>
              </w:rPr>
              <w:t>5</w:t>
            </w:r>
          </w:p>
        </w:tc>
        <w:tc>
          <w:tcPr>
            <w:tcW w:w="513" w:type="pct"/>
            <w:vAlign w:val="center"/>
            <w:hideMark/>
          </w:tcPr>
          <w:p w14:paraId="407E5DF8" w14:textId="2B581E8F"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23"/>
                <w14:textFill>
                  <w14:solidFill>
                    <w14:srgbClr w14:val="000000">
                      <w14:alpha w14:val="100000"/>
                    </w14:srgbClr>
                  </w14:solidFill>
                </w14:textFill>
              </w:rPr>
              <w:t>|||</w:t>
            </w:r>
            <w:r w:rsidRPr="00AF3C7B">
              <w:rPr>
                <w:color w:val="000000"/>
                <w:spacing w:val="1"/>
                <w:shd w:val="solid" w:color="000000" w:fill="000000"/>
                <w:fitText w:val="324" w:id="-629961723"/>
                <w14:textFill>
                  <w14:solidFill>
                    <w14:srgbClr w14:val="000000">
                      <w14:alpha w14:val="100000"/>
                    </w14:srgbClr>
                  </w14:solidFill>
                </w14:textFill>
              </w:rPr>
              <w:t>|</w:t>
            </w:r>
            <w:r w:rsidR="00681595" w:rsidRPr="00681595">
              <w:rPr>
                <w:vertAlign w:val="superscript"/>
              </w:rPr>
              <w:t>5</w:t>
            </w:r>
          </w:p>
        </w:tc>
        <w:tc>
          <w:tcPr>
            <w:tcW w:w="513" w:type="pct"/>
            <w:vAlign w:val="center"/>
            <w:hideMark/>
          </w:tcPr>
          <w:p w14:paraId="4AE7DA58" w14:textId="089AF2BF"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22"/>
                <w14:textFill>
                  <w14:solidFill>
                    <w14:srgbClr w14:val="000000">
                      <w14:alpha w14:val="100000"/>
                    </w14:srgbClr>
                  </w14:solidFill>
                </w14:textFill>
              </w:rPr>
              <w:t>|||</w:t>
            </w:r>
            <w:r w:rsidRPr="00AF3C7B">
              <w:rPr>
                <w:color w:val="000000"/>
                <w:spacing w:val="1"/>
                <w:shd w:val="solid" w:color="000000" w:fill="000000"/>
                <w:fitText w:val="324" w:id="-629961722"/>
                <w14:textFill>
                  <w14:solidFill>
                    <w14:srgbClr w14:val="000000">
                      <w14:alpha w14:val="100000"/>
                    </w14:srgbClr>
                  </w14:solidFill>
                </w14:textFill>
              </w:rPr>
              <w:t>|</w:t>
            </w:r>
            <w:r w:rsidR="00681595" w:rsidRPr="00681595">
              <w:rPr>
                <w:vertAlign w:val="superscript"/>
              </w:rPr>
              <w:t>5</w:t>
            </w:r>
          </w:p>
        </w:tc>
      </w:tr>
      <w:tr w:rsidR="00A01ED9" w:rsidRPr="007D0701" w14:paraId="50280890" w14:textId="77777777" w:rsidTr="00B705A8">
        <w:trPr>
          <w:trHeight w:val="60"/>
        </w:trPr>
        <w:tc>
          <w:tcPr>
            <w:tcW w:w="5000" w:type="pct"/>
            <w:gridSpan w:val="7"/>
            <w:vAlign w:val="center"/>
            <w:hideMark/>
          </w:tcPr>
          <w:p w14:paraId="74ADF1F4" w14:textId="77777777" w:rsidR="00A01ED9" w:rsidRPr="007D0701" w:rsidRDefault="00A01ED9" w:rsidP="00591C83">
            <w:pPr>
              <w:keepNext/>
              <w:keepLines/>
              <w:spacing w:before="0" w:after="0"/>
              <w:jc w:val="left"/>
              <w:rPr>
                <w:rFonts w:ascii="Arial Narrow" w:hAnsi="Arial Narrow"/>
                <w:b/>
                <w:bCs/>
                <w:color w:val="000000"/>
                <w:sz w:val="20"/>
                <w:szCs w:val="20"/>
                <w:lang w:eastAsia="en-AU"/>
              </w:rPr>
            </w:pPr>
            <w:r w:rsidRPr="007D0701">
              <w:rPr>
                <w:rFonts w:ascii="Arial Narrow" w:hAnsi="Arial Narrow"/>
                <w:b/>
                <w:bCs/>
                <w:color w:val="000000"/>
                <w:sz w:val="20"/>
                <w:szCs w:val="20"/>
                <w:lang w:eastAsia="en-AU"/>
              </w:rPr>
              <w:t xml:space="preserve">Net financial implications </w:t>
            </w:r>
          </w:p>
        </w:tc>
      </w:tr>
      <w:tr w:rsidR="00A01ED9" w:rsidRPr="007D0701" w14:paraId="7C8C87AE" w14:textId="77777777" w:rsidTr="00B705A8">
        <w:trPr>
          <w:trHeight w:val="357"/>
        </w:trPr>
        <w:tc>
          <w:tcPr>
            <w:tcW w:w="1905" w:type="pct"/>
            <w:vAlign w:val="center"/>
            <w:hideMark/>
          </w:tcPr>
          <w:p w14:paraId="2ADD5DF2" w14:textId="77777777" w:rsidR="00A01ED9" w:rsidRPr="007D0701" w:rsidRDefault="00A01ED9" w:rsidP="00591C83">
            <w:pPr>
              <w:keepNext/>
              <w:keepLines/>
              <w:spacing w:before="0" w:after="0"/>
              <w:jc w:val="left"/>
              <w:rPr>
                <w:rFonts w:ascii="Arial Narrow" w:hAnsi="Arial Narrow"/>
                <w:color w:val="000000"/>
                <w:sz w:val="20"/>
                <w:szCs w:val="20"/>
                <w:lang w:eastAsia="en-AU"/>
              </w:rPr>
            </w:pPr>
            <w:r w:rsidRPr="007D0701">
              <w:rPr>
                <w:rFonts w:ascii="Arial Narrow" w:hAnsi="Arial Narrow"/>
                <w:color w:val="000000"/>
                <w:sz w:val="20"/>
                <w:szCs w:val="20"/>
                <w:lang w:eastAsia="en-AU"/>
              </w:rPr>
              <w:t>Net cost to PBS/RPBS</w:t>
            </w:r>
          </w:p>
        </w:tc>
        <w:tc>
          <w:tcPr>
            <w:tcW w:w="532" w:type="pct"/>
            <w:vAlign w:val="center"/>
            <w:hideMark/>
          </w:tcPr>
          <w:p w14:paraId="0969DA65" w14:textId="72194887" w:rsidR="00A01ED9" w:rsidRPr="007C4D0D" w:rsidRDefault="00AF3C7B" w:rsidP="003E7496">
            <w:pPr>
              <w:pStyle w:val="Tabletext0"/>
              <w:keepNext/>
              <w:keepLines/>
              <w:rPr>
                <w:szCs w:val="20"/>
                <w:highlight w:val="darkGray"/>
              </w:rPr>
            </w:pPr>
            <w:r w:rsidRPr="00AF3C7B">
              <w:rPr>
                <w:color w:val="000000"/>
                <w:spacing w:val="51"/>
                <w:shd w:val="solid" w:color="000000" w:fill="000000"/>
                <w:fitText w:val="324" w:id="-629961721"/>
                <w14:textFill>
                  <w14:solidFill>
                    <w14:srgbClr w14:val="000000">
                      <w14:alpha w14:val="100000"/>
                    </w14:srgbClr>
                  </w14:solidFill>
                </w14:textFill>
              </w:rPr>
              <w:t>|||</w:t>
            </w:r>
            <w:r w:rsidRPr="00AF3C7B">
              <w:rPr>
                <w:color w:val="000000"/>
                <w:spacing w:val="1"/>
                <w:shd w:val="solid" w:color="000000" w:fill="000000"/>
                <w:fitText w:val="324" w:id="-629961721"/>
                <w14:textFill>
                  <w14:solidFill>
                    <w14:srgbClr w14:val="000000">
                      <w14:alpha w14:val="100000"/>
                    </w14:srgbClr>
                  </w14:solidFill>
                </w14:textFill>
              </w:rPr>
              <w:t>|</w:t>
            </w:r>
            <w:r w:rsidR="00BD3E9E" w:rsidRPr="00BD3E9E">
              <w:rPr>
                <w:vertAlign w:val="superscript"/>
              </w:rPr>
              <w:t>3</w:t>
            </w:r>
          </w:p>
        </w:tc>
        <w:tc>
          <w:tcPr>
            <w:tcW w:w="513" w:type="pct"/>
            <w:vAlign w:val="center"/>
            <w:hideMark/>
          </w:tcPr>
          <w:p w14:paraId="3CEC0120" w14:textId="058FCC63"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20"/>
                <w14:textFill>
                  <w14:solidFill>
                    <w14:srgbClr w14:val="000000">
                      <w14:alpha w14:val="100000"/>
                    </w14:srgbClr>
                  </w14:solidFill>
                </w14:textFill>
              </w:rPr>
              <w:t>|||</w:t>
            </w:r>
            <w:r w:rsidRPr="00AF3C7B">
              <w:rPr>
                <w:color w:val="000000"/>
                <w:spacing w:val="1"/>
                <w:shd w:val="solid" w:color="000000" w:fill="000000"/>
                <w:fitText w:val="324" w:id="-629961720"/>
                <w14:textFill>
                  <w14:solidFill>
                    <w14:srgbClr w14:val="000000">
                      <w14:alpha w14:val="100000"/>
                    </w14:srgbClr>
                  </w14:solidFill>
                </w14:textFill>
              </w:rPr>
              <w:t>|</w:t>
            </w:r>
            <w:r w:rsidR="00C41CD5" w:rsidRPr="00C41CD5">
              <w:rPr>
                <w:vertAlign w:val="superscript"/>
              </w:rPr>
              <w:t>4</w:t>
            </w:r>
          </w:p>
        </w:tc>
        <w:tc>
          <w:tcPr>
            <w:tcW w:w="513" w:type="pct"/>
            <w:vAlign w:val="center"/>
            <w:hideMark/>
          </w:tcPr>
          <w:p w14:paraId="44F3F773" w14:textId="58C81134"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19"/>
                <w14:textFill>
                  <w14:solidFill>
                    <w14:srgbClr w14:val="000000">
                      <w14:alpha w14:val="100000"/>
                    </w14:srgbClr>
                  </w14:solidFill>
                </w14:textFill>
              </w:rPr>
              <w:t>|||</w:t>
            </w:r>
            <w:r w:rsidRPr="00AF3C7B">
              <w:rPr>
                <w:color w:val="000000"/>
                <w:spacing w:val="1"/>
                <w:shd w:val="solid" w:color="000000" w:fill="000000"/>
                <w:fitText w:val="324" w:id="-629961719"/>
                <w14:textFill>
                  <w14:solidFill>
                    <w14:srgbClr w14:val="000000">
                      <w14:alpha w14:val="100000"/>
                    </w14:srgbClr>
                  </w14:solidFill>
                </w14:textFill>
              </w:rPr>
              <w:t>|</w:t>
            </w:r>
            <w:r w:rsidR="00C41CD5" w:rsidRPr="00C41CD5">
              <w:rPr>
                <w:vertAlign w:val="superscript"/>
              </w:rPr>
              <w:t>4</w:t>
            </w:r>
          </w:p>
        </w:tc>
        <w:tc>
          <w:tcPr>
            <w:tcW w:w="513" w:type="pct"/>
            <w:vAlign w:val="center"/>
            <w:hideMark/>
          </w:tcPr>
          <w:p w14:paraId="5E68D3E9" w14:textId="620A787D"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18"/>
                <w14:textFill>
                  <w14:solidFill>
                    <w14:srgbClr w14:val="000000">
                      <w14:alpha w14:val="100000"/>
                    </w14:srgbClr>
                  </w14:solidFill>
                </w14:textFill>
              </w:rPr>
              <w:t>|||</w:t>
            </w:r>
            <w:r w:rsidRPr="00AF3C7B">
              <w:rPr>
                <w:color w:val="000000"/>
                <w:spacing w:val="1"/>
                <w:shd w:val="solid" w:color="000000" w:fill="000000"/>
                <w:fitText w:val="324" w:id="-629961718"/>
                <w14:textFill>
                  <w14:solidFill>
                    <w14:srgbClr w14:val="000000">
                      <w14:alpha w14:val="100000"/>
                    </w14:srgbClr>
                  </w14:solidFill>
                </w14:textFill>
              </w:rPr>
              <w:t>|</w:t>
            </w:r>
            <w:r w:rsidR="00C41CD5" w:rsidRPr="00C41CD5">
              <w:rPr>
                <w:vertAlign w:val="superscript"/>
              </w:rPr>
              <w:t>4</w:t>
            </w:r>
          </w:p>
        </w:tc>
        <w:tc>
          <w:tcPr>
            <w:tcW w:w="513" w:type="pct"/>
            <w:vAlign w:val="center"/>
            <w:hideMark/>
          </w:tcPr>
          <w:p w14:paraId="76968960" w14:textId="2A00D354"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17"/>
                <w14:textFill>
                  <w14:solidFill>
                    <w14:srgbClr w14:val="000000">
                      <w14:alpha w14:val="100000"/>
                    </w14:srgbClr>
                  </w14:solidFill>
                </w14:textFill>
              </w:rPr>
              <w:t>|||</w:t>
            </w:r>
            <w:r w:rsidRPr="00AF3C7B">
              <w:rPr>
                <w:color w:val="000000"/>
                <w:spacing w:val="1"/>
                <w:shd w:val="solid" w:color="000000" w:fill="000000"/>
                <w:fitText w:val="324" w:id="-629961717"/>
                <w14:textFill>
                  <w14:solidFill>
                    <w14:srgbClr w14:val="000000">
                      <w14:alpha w14:val="100000"/>
                    </w14:srgbClr>
                  </w14:solidFill>
                </w14:textFill>
              </w:rPr>
              <w:t>|</w:t>
            </w:r>
            <w:r w:rsidR="00C41CD5" w:rsidRPr="00C41CD5">
              <w:rPr>
                <w:vertAlign w:val="superscript"/>
              </w:rPr>
              <w:t>4</w:t>
            </w:r>
          </w:p>
        </w:tc>
        <w:tc>
          <w:tcPr>
            <w:tcW w:w="513" w:type="pct"/>
            <w:vAlign w:val="center"/>
            <w:hideMark/>
          </w:tcPr>
          <w:p w14:paraId="0821321F" w14:textId="29CC9555" w:rsidR="00A01ED9" w:rsidRPr="007C4D0D" w:rsidRDefault="00AF3C7B" w:rsidP="003E7496">
            <w:pPr>
              <w:pStyle w:val="Tabletext0"/>
              <w:keepNext/>
              <w:keepLines/>
              <w:rPr>
                <w:highlight w:val="darkGray"/>
              </w:rPr>
            </w:pPr>
            <w:r w:rsidRPr="00AF3C7B">
              <w:rPr>
                <w:color w:val="000000"/>
                <w:spacing w:val="51"/>
                <w:shd w:val="solid" w:color="000000" w:fill="000000"/>
                <w:fitText w:val="324" w:id="-629961716"/>
                <w14:textFill>
                  <w14:solidFill>
                    <w14:srgbClr w14:val="000000">
                      <w14:alpha w14:val="100000"/>
                    </w14:srgbClr>
                  </w14:solidFill>
                </w14:textFill>
              </w:rPr>
              <w:t>|||</w:t>
            </w:r>
            <w:r w:rsidRPr="00AF3C7B">
              <w:rPr>
                <w:color w:val="000000"/>
                <w:spacing w:val="1"/>
                <w:shd w:val="solid" w:color="000000" w:fill="000000"/>
                <w:fitText w:val="324" w:id="-629961716"/>
                <w14:textFill>
                  <w14:solidFill>
                    <w14:srgbClr w14:val="000000">
                      <w14:alpha w14:val="100000"/>
                    </w14:srgbClr>
                  </w14:solidFill>
                </w14:textFill>
              </w:rPr>
              <w:t>|</w:t>
            </w:r>
            <w:r w:rsidR="00C41CD5" w:rsidRPr="00C41CD5">
              <w:rPr>
                <w:vertAlign w:val="superscript"/>
              </w:rPr>
              <w:t>4</w:t>
            </w:r>
          </w:p>
        </w:tc>
      </w:tr>
    </w:tbl>
    <w:p w14:paraId="363E15CC" w14:textId="4751C278" w:rsidR="00A01ED9" w:rsidRPr="007D0701" w:rsidRDefault="00A01ED9" w:rsidP="00591C83">
      <w:pPr>
        <w:pStyle w:val="TableFigureFooter"/>
        <w:keepNext/>
        <w:keepLines/>
      </w:pPr>
      <w:r w:rsidRPr="007D0701">
        <w:t>Source:</w:t>
      </w:r>
      <w:r w:rsidR="00080E2D" w:rsidRPr="007D0701">
        <w:t xml:space="preserve"> Table 3, DUSC Advice</w:t>
      </w:r>
      <w:r w:rsidR="0005525E" w:rsidRPr="007D0701">
        <w:t xml:space="preserve"> (derived from</w:t>
      </w:r>
      <w:r w:rsidRPr="007D0701">
        <w:t xml:space="preserve"> Section 4 workbook</w:t>
      </w:r>
      <w:r w:rsidR="0005525E" w:rsidRPr="007D0701">
        <w:t xml:space="preserve">). </w:t>
      </w:r>
    </w:p>
    <w:p w14:paraId="06D7090E" w14:textId="6394F608" w:rsidR="00A01ED9" w:rsidRPr="0005525E" w:rsidRDefault="00A01ED9" w:rsidP="00591C83">
      <w:pPr>
        <w:pStyle w:val="TableFigureFooter"/>
        <w:keepNext/>
        <w:keepLines/>
      </w:pPr>
      <w:r w:rsidRPr="007D0701">
        <w:rPr>
          <w:vertAlign w:val="superscript"/>
        </w:rPr>
        <w:t>a</w:t>
      </w:r>
      <w:r w:rsidRPr="007D0701">
        <w:t xml:space="preserve"> Proportion of high</w:t>
      </w:r>
      <w:r w:rsidR="00A46D2B">
        <w:noBreakHyphen/>
      </w:r>
      <w:r w:rsidRPr="007D0701">
        <w:t>grade epithelial ovarian</w:t>
      </w:r>
      <w:r w:rsidRPr="0005525E">
        <w:t xml:space="preserve"> can</w:t>
      </w:r>
      <w:r w:rsidR="00184B18">
        <w:t>c</w:t>
      </w:r>
      <w:r w:rsidRPr="0005525E">
        <w:t>ers that are serous according to Reid et al 2017 which states 70% of the total 90% of high</w:t>
      </w:r>
      <w:r w:rsidR="00A46D2B">
        <w:noBreakHyphen/>
      </w:r>
      <w:r w:rsidRPr="0005525E">
        <w:t>grade epithelial cancers are serous.</w:t>
      </w:r>
      <w:r w:rsidR="00B65B3F">
        <w:t xml:space="preserve"> </w:t>
      </w:r>
      <w:r w:rsidRPr="0005525E">
        <w:t xml:space="preserve"> </w:t>
      </w:r>
    </w:p>
    <w:p w14:paraId="4F362FE6" w14:textId="682E69D7" w:rsidR="007257F6" w:rsidRDefault="00A01ED9" w:rsidP="008D4651">
      <w:pPr>
        <w:pStyle w:val="TableFigureFooter"/>
        <w:keepNext/>
        <w:keepLines/>
      </w:pPr>
      <w:r w:rsidRPr="00184B18">
        <w:rPr>
          <w:vertAlign w:val="superscript"/>
        </w:rPr>
        <w:t>b</w:t>
      </w:r>
      <w:r w:rsidRPr="00184B18">
        <w:t xml:space="preserve"> Prevalent population derived based on extrapolation of survival data from </w:t>
      </w:r>
      <w:proofErr w:type="spellStart"/>
      <w:r w:rsidRPr="00184B18">
        <w:t>Quantium</w:t>
      </w:r>
      <w:proofErr w:type="spellEnd"/>
      <w:r w:rsidRPr="00184B18">
        <w:t xml:space="preserve"> (Submission Attachment 1.1 p35) where 2</w:t>
      </w:r>
      <w:r w:rsidR="00A46D2B">
        <w:noBreakHyphen/>
      </w:r>
      <w:r w:rsidRPr="00184B18">
        <w:t>year survival was 33.7% and 5</w:t>
      </w:r>
      <w:r w:rsidR="00A46D2B">
        <w:noBreakHyphen/>
      </w:r>
      <w:r w:rsidRPr="00184B18">
        <w:t xml:space="preserve">year survival was 7.3%. Prevalent population includes </w:t>
      </w:r>
      <w:r w:rsidR="007F63CA">
        <w:t>&lt; 500</w:t>
      </w:r>
      <w:r w:rsidRPr="00184B18">
        <w:t xml:space="preserve"> grandfathered patients with a </w:t>
      </w:r>
      <w:r w:rsidR="00F57356" w:rsidRPr="00184B18">
        <w:t>6</w:t>
      </w:r>
      <w:r w:rsidR="00A46D2B">
        <w:noBreakHyphen/>
      </w:r>
      <w:r w:rsidR="00F57356" w:rsidRPr="00184B18">
        <w:t>month</w:t>
      </w:r>
      <w:r w:rsidRPr="00184B18">
        <w:t xml:space="preserve"> duration of treatment </w:t>
      </w:r>
      <w:r w:rsidRPr="00E445E6">
        <w:t xml:space="preserve">and </w:t>
      </w:r>
      <w:r w:rsidR="00AF3C7B" w:rsidRPr="00AF3C7B">
        <w:rPr>
          <w:color w:val="000000"/>
          <w:spacing w:val="211"/>
          <w:shd w:val="solid" w:color="000000" w:fill="000000"/>
          <w:fitText w:val="288" w:id="-629961715"/>
          <w14:textFill>
            <w14:solidFill>
              <w14:srgbClr w14:val="000000">
                <w14:alpha w14:val="100000"/>
              </w14:srgbClr>
            </w14:solidFill>
          </w14:textFill>
        </w:rPr>
        <w:t>|</w:t>
      </w:r>
      <w:r w:rsidR="00AF3C7B" w:rsidRPr="00AF3C7B">
        <w:rPr>
          <w:color w:val="000000"/>
          <w:spacing w:val="1"/>
          <w:shd w:val="solid" w:color="000000" w:fill="000000"/>
          <w:fitText w:val="288" w:id="-629961715"/>
          <w14:textFill>
            <w14:solidFill>
              <w14:srgbClr w14:val="000000">
                <w14:alpha w14:val="100000"/>
              </w14:srgbClr>
            </w14:solidFill>
          </w14:textFill>
        </w:rPr>
        <w:t>|</w:t>
      </w:r>
      <w:r w:rsidRPr="00E445E6">
        <w:t xml:space="preserve">% of patients electing treatment. The remaining prevalent population have an </w:t>
      </w:r>
      <w:r w:rsidR="00AF3C7B" w:rsidRPr="00AF3C7B">
        <w:rPr>
          <w:color w:val="000000"/>
          <w:spacing w:val="223"/>
          <w:shd w:val="solid" w:color="000000" w:fill="000000"/>
          <w:fitText w:val="300" w:id="-629961714"/>
          <w14:textFill>
            <w14:solidFill>
              <w14:srgbClr w14:val="000000">
                <w14:alpha w14:val="100000"/>
              </w14:srgbClr>
            </w14:solidFill>
          </w14:textFill>
        </w:rPr>
        <w:t>|</w:t>
      </w:r>
      <w:r w:rsidR="00AF3C7B" w:rsidRPr="00AF3C7B">
        <w:rPr>
          <w:color w:val="000000"/>
          <w:spacing w:val="1"/>
          <w:shd w:val="solid" w:color="000000" w:fill="000000"/>
          <w:fitText w:val="300" w:id="-629961714"/>
          <w14:textFill>
            <w14:solidFill>
              <w14:srgbClr w14:val="000000">
                <w14:alpha w14:val="100000"/>
              </w14:srgbClr>
            </w14:solidFill>
          </w14:textFill>
        </w:rPr>
        <w:t>|</w:t>
      </w:r>
      <w:r w:rsidRPr="00E445E6">
        <w:t>% electing treatment rate applied, which may be an overestimate, noting that some will be at advanced stages of disease.</w:t>
      </w:r>
      <w:r w:rsidR="007257F6" w:rsidRPr="007257F6">
        <w:t xml:space="preserve"> </w:t>
      </w:r>
    </w:p>
    <w:p w14:paraId="7F78086B" w14:textId="3CA6E4A2" w:rsidR="008D4651" w:rsidRPr="007973F1" w:rsidRDefault="007257F6" w:rsidP="008D4651">
      <w:pPr>
        <w:pStyle w:val="TableFigureFooter"/>
        <w:keepNext/>
        <w:keepLines/>
        <w:rPr>
          <w:i/>
          <w:iCs/>
        </w:rPr>
      </w:pPr>
      <w:r w:rsidRPr="007973F1">
        <w:rPr>
          <w:i/>
          <w:iCs/>
        </w:rPr>
        <w:t>The redacted values correspond to the following ranges:</w:t>
      </w:r>
      <w:r w:rsidR="00B65B3F">
        <w:rPr>
          <w:i/>
          <w:iCs/>
        </w:rPr>
        <w:t xml:space="preserve"> </w:t>
      </w:r>
    </w:p>
    <w:p w14:paraId="39DE9B0E" w14:textId="21060845" w:rsidR="008D4651" w:rsidRPr="007973F1" w:rsidRDefault="008D4651" w:rsidP="008D4651">
      <w:pPr>
        <w:pStyle w:val="TableFigureFooter"/>
        <w:keepNext/>
        <w:keepLines/>
        <w:rPr>
          <w:i/>
          <w:iCs/>
        </w:rPr>
      </w:pPr>
      <w:r w:rsidRPr="007973F1">
        <w:rPr>
          <w:i/>
          <w:iCs/>
          <w:vertAlign w:val="superscript"/>
        </w:rPr>
        <w:t>1</w:t>
      </w:r>
      <w:r w:rsidRPr="007973F1">
        <w:rPr>
          <w:i/>
          <w:iCs/>
        </w:rPr>
        <w:t xml:space="preserve"> 500 to &lt; 5,000 </w:t>
      </w:r>
    </w:p>
    <w:p w14:paraId="7C1DA87A" w14:textId="77777777" w:rsidR="00C41CD5" w:rsidRPr="007973F1" w:rsidRDefault="008D4651" w:rsidP="008D4651">
      <w:pPr>
        <w:pStyle w:val="TableFigureFooter"/>
        <w:keepNext/>
        <w:keepLines/>
        <w:rPr>
          <w:i/>
          <w:iCs/>
        </w:rPr>
      </w:pPr>
      <w:r w:rsidRPr="007973F1">
        <w:rPr>
          <w:i/>
          <w:iCs/>
          <w:vertAlign w:val="superscript"/>
        </w:rPr>
        <w:t>2</w:t>
      </w:r>
      <w:r w:rsidRPr="007973F1">
        <w:rPr>
          <w:i/>
          <w:iCs/>
        </w:rPr>
        <w:t xml:space="preserve"> &lt;500</w:t>
      </w:r>
    </w:p>
    <w:p w14:paraId="5FD6F278" w14:textId="669B9BB5" w:rsidR="001447BA" w:rsidRPr="007973F1" w:rsidRDefault="00C41CD5" w:rsidP="008D4651">
      <w:pPr>
        <w:pStyle w:val="TableFigureFooter"/>
        <w:keepNext/>
        <w:keepLines/>
        <w:rPr>
          <w:i/>
          <w:iCs/>
        </w:rPr>
      </w:pPr>
      <w:r w:rsidRPr="007973F1">
        <w:rPr>
          <w:i/>
          <w:iCs/>
          <w:vertAlign w:val="superscript"/>
        </w:rPr>
        <w:t>3</w:t>
      </w:r>
      <w:r w:rsidRPr="007973F1">
        <w:rPr>
          <w:i/>
          <w:iCs/>
        </w:rPr>
        <w:t xml:space="preserve"> $30 million to &lt; $40 million</w:t>
      </w:r>
      <w:r w:rsidR="001447BA" w:rsidRPr="007973F1">
        <w:rPr>
          <w:i/>
          <w:iCs/>
        </w:rPr>
        <w:t xml:space="preserve"> </w:t>
      </w:r>
    </w:p>
    <w:p w14:paraId="2BEF3257" w14:textId="21EB6D90" w:rsidR="008D4651" w:rsidRPr="007973F1" w:rsidRDefault="001447BA" w:rsidP="008D4651">
      <w:pPr>
        <w:pStyle w:val="TableFigureFooter"/>
        <w:keepNext/>
        <w:keepLines/>
        <w:rPr>
          <w:i/>
          <w:iCs/>
        </w:rPr>
      </w:pPr>
      <w:r w:rsidRPr="007973F1">
        <w:rPr>
          <w:i/>
          <w:iCs/>
          <w:vertAlign w:val="superscript"/>
        </w:rPr>
        <w:t>4</w:t>
      </w:r>
      <w:r w:rsidRPr="007973F1">
        <w:rPr>
          <w:i/>
          <w:iCs/>
        </w:rPr>
        <w:t xml:space="preserve"> $10 million to &lt; $20 million</w:t>
      </w:r>
    </w:p>
    <w:p w14:paraId="126B0DAC" w14:textId="3F6F7581" w:rsidR="008D4651" w:rsidRPr="007973F1" w:rsidRDefault="003D05AD" w:rsidP="008D4651">
      <w:pPr>
        <w:pStyle w:val="TableFigureFooter"/>
        <w:keepNext/>
        <w:keepLines/>
        <w:rPr>
          <w:i/>
          <w:iCs/>
        </w:rPr>
      </w:pPr>
      <w:r w:rsidRPr="007973F1">
        <w:rPr>
          <w:i/>
          <w:iCs/>
          <w:vertAlign w:val="superscript"/>
        </w:rPr>
        <w:t>5</w:t>
      </w:r>
      <w:r w:rsidR="008D4651" w:rsidRPr="007973F1">
        <w:rPr>
          <w:i/>
          <w:iCs/>
        </w:rPr>
        <w:t xml:space="preserve"> $0 to &lt; $10 million </w:t>
      </w:r>
    </w:p>
    <w:p w14:paraId="61F0F87F" w14:textId="7A5FDF3D" w:rsidR="00C412C4" w:rsidRPr="00E445E6" w:rsidRDefault="00C327B4" w:rsidP="00591C83">
      <w:pPr>
        <w:pStyle w:val="ListParagraph"/>
      </w:pPr>
      <w:bookmarkStart w:id="90" w:name="_Ref204781391"/>
      <w:r w:rsidRPr="00E445E6">
        <w:t>The pre</w:t>
      </w:r>
      <w:r w:rsidR="00A46D2B">
        <w:noBreakHyphen/>
      </w:r>
      <w:r w:rsidRPr="00E445E6">
        <w:t>PBAC response</w:t>
      </w:r>
      <w:r w:rsidR="00B65B3F">
        <w:t xml:space="preserve"> </w:t>
      </w:r>
      <w:r w:rsidRPr="00E445E6">
        <w:t>considered the methods applied by DUSC in conducting the sensitivity analysis to be a reasonable alternative estimate of the number of patients treated with MIRV each year</w:t>
      </w:r>
      <w:r w:rsidR="0022355C" w:rsidRPr="00E445E6">
        <w:t xml:space="preserve"> (including reducing the annual number of incident patients and increasing the number of prevalent patients),</w:t>
      </w:r>
      <w:r w:rsidRPr="00E445E6">
        <w:t xml:space="preserve"> and provided updated </w:t>
      </w:r>
      <w:r w:rsidR="00C0000E" w:rsidRPr="00E445E6">
        <w:t>estimates</w:t>
      </w:r>
      <w:r w:rsidRPr="00E445E6">
        <w:t xml:space="preserve"> incorporating DUSC advice, noting some minor amendment</w:t>
      </w:r>
      <w:r w:rsidR="00C0000E" w:rsidRPr="00E445E6">
        <w:t>s</w:t>
      </w:r>
      <w:r w:rsidRPr="00E445E6">
        <w:t xml:space="preserve"> to the estimated prevalent population to account for FRα prevalence and the expected shorter duration of treatment with MIRV for the prevalent and grandfathered populations. The Pre</w:t>
      </w:r>
      <w:r w:rsidR="00A46D2B">
        <w:noBreakHyphen/>
      </w:r>
      <w:r w:rsidRPr="00E445E6">
        <w:t>PBAC response indicated that proposed new vial price for MIRV of $</w:t>
      </w:r>
      <w:r w:rsidR="00AF3C7B" w:rsidRPr="00036719">
        <w:rPr>
          <w:w w:val="15"/>
          <w:shd w:val="solid" w:color="000000" w:fill="000000"/>
          <w:fitText w:val="-20" w:id="-629961713"/>
          <w14:textFill>
            <w14:solidFill>
              <w14:schemeClr w14:val="tx1">
                <w14:alpha w14:val="100000"/>
              </w14:schemeClr>
            </w14:solidFill>
          </w14:textFill>
        </w:rPr>
        <w:t>|</w:t>
      </w:r>
      <w:r w:rsidR="00B65B3F" w:rsidRPr="00036719">
        <w:rPr>
          <w:w w:val="15"/>
          <w:shd w:val="solid" w:color="000000" w:fill="000000"/>
          <w:fitText w:val="-20" w:id="-629961713"/>
          <w14:textFill>
            <w14:solidFill>
              <w14:schemeClr w14:val="tx1">
                <w14:alpha w14:val="100000"/>
              </w14:schemeClr>
            </w14:solidFill>
          </w14:textFill>
        </w:rPr>
        <w:t xml:space="preserve"> </w:t>
      </w:r>
      <w:r w:rsidR="00AF3C7B" w:rsidRPr="00036719">
        <w:rPr>
          <w:spacing w:val="-61"/>
          <w:w w:val="15"/>
          <w:shd w:val="solid" w:color="000000" w:fill="000000"/>
          <w:fitText w:val="-20" w:id="-629961713"/>
          <w14:textFill>
            <w14:solidFill>
              <w14:schemeClr w14:val="tx1">
                <w14:alpha w14:val="100000"/>
              </w14:schemeClr>
            </w14:solidFill>
          </w14:textFill>
        </w:rPr>
        <w:t>|</w:t>
      </w:r>
      <w:r w:rsidRPr="00E445E6">
        <w:t xml:space="preserve"> results in a further decrease in overall costs over 6 years from </w:t>
      </w:r>
      <w:r w:rsidR="000C356D" w:rsidRPr="000C356D">
        <w:t>$100 million to &lt; $200 million</w:t>
      </w:r>
      <w:r w:rsidR="00F65914">
        <w:t xml:space="preserve"> </w:t>
      </w:r>
      <w:r w:rsidRPr="00E445E6">
        <w:t xml:space="preserve">in the DUSC sensitivity analysis to </w:t>
      </w:r>
      <w:r w:rsidR="001225EF" w:rsidRPr="001225EF">
        <w:t>$80 million to &lt; $90 million</w:t>
      </w:r>
      <w:r w:rsidR="00050061" w:rsidRPr="00E445E6">
        <w:t>.</w:t>
      </w:r>
      <w:bookmarkEnd w:id="90"/>
      <w:r w:rsidR="00050061" w:rsidRPr="00E445E6">
        <w:t xml:space="preserve"> </w:t>
      </w:r>
    </w:p>
    <w:p w14:paraId="13408963" w14:textId="1488312A" w:rsidR="00FC30F3" w:rsidRPr="00EF2E8A" w:rsidRDefault="00F97E5F" w:rsidP="00591C83">
      <w:pPr>
        <w:pStyle w:val="OutlineHeading2"/>
        <w:rPr>
          <w:rFonts w:ascii="Calibri" w:hAnsi="Calibri" w:cs="Calibri"/>
        </w:rPr>
      </w:pPr>
      <w:r w:rsidRPr="00EF2E8A">
        <w:t xml:space="preserve"> </w:t>
      </w:r>
      <w:bookmarkStart w:id="91" w:name="_Toc413139285"/>
      <w:r w:rsidR="00FC30F3" w:rsidRPr="00EF2E8A">
        <w:rPr>
          <w:rFonts w:ascii="Calibri" w:hAnsi="Calibri" w:cs="Calibri"/>
        </w:rPr>
        <w:t>Quality use of medicines</w:t>
      </w:r>
      <w:bookmarkEnd w:id="91"/>
    </w:p>
    <w:p w14:paraId="2DE34AEC" w14:textId="77C05F77" w:rsidR="00FC30F3" w:rsidRPr="00EF2E8A" w:rsidRDefault="002B2694" w:rsidP="00591C83">
      <w:pPr>
        <w:pStyle w:val="ListParagraph"/>
      </w:pPr>
      <w:r w:rsidRPr="00EF2E8A">
        <w:t xml:space="preserve">The submission stated that the introduction of MIRV will require some management of a patient’s ocular health due to the occurrence of adverse events, with the draft TGA Product Information including guidance on performing an ocular examination prior to treatment initiation and the ongoing use of prophylactic eye drops. The submission stated that the sponsor intends to work closely with the clinical and </w:t>
      </w:r>
      <w:r w:rsidRPr="00EF2E8A">
        <w:lastRenderedPageBreak/>
        <w:t>patient community as appropriate to ensure adequate education and support is provided so that this aspect of MIRV treatment is optimally managed.</w:t>
      </w:r>
      <w:r w:rsidR="00B65B3F">
        <w:t xml:space="preserve"> </w:t>
      </w:r>
      <w:r w:rsidR="00803FE4" w:rsidRPr="00EF2E8A">
        <w:rPr>
          <w:rStyle w:val="3-BodyTextChar"/>
          <w:rFonts w:eastAsiaTheme="minorHAnsi"/>
        </w:rPr>
        <w:t>The sponsor outlined a risk minimisation strategy for managing ocular side effects associated with MIRV supported by insights from advisory boards and international experience. Efforts are also underway to strengthen referral pathways between oncologists and eye specialists to support optimal patient care.</w:t>
      </w:r>
      <w:r w:rsidR="00803FE4" w:rsidRPr="00EF2E8A" w:rsidDel="00E826E8">
        <w:t xml:space="preserve"> </w:t>
      </w:r>
    </w:p>
    <w:p w14:paraId="03BDFCCE" w14:textId="77777777" w:rsidR="00C317F3" w:rsidRPr="00EF2E8A" w:rsidRDefault="00070D75" w:rsidP="00591C83">
      <w:pPr>
        <w:pStyle w:val="OutlineHeading2"/>
        <w:rPr>
          <w:rFonts w:ascii="Calibri" w:hAnsi="Calibri" w:cs="Calibri"/>
        </w:rPr>
      </w:pPr>
      <w:r w:rsidRPr="00EF2E8A">
        <w:rPr>
          <w:rFonts w:ascii="Calibri" w:hAnsi="Calibri" w:cs="Calibri"/>
        </w:rPr>
        <w:t>Financial management – risk sharing a</w:t>
      </w:r>
      <w:r w:rsidR="00C317F3" w:rsidRPr="00EF2E8A">
        <w:rPr>
          <w:rFonts w:ascii="Calibri" w:hAnsi="Calibri" w:cs="Calibri"/>
        </w:rPr>
        <w:t>rrangements</w:t>
      </w:r>
      <w:bookmarkEnd w:id="86"/>
    </w:p>
    <w:p w14:paraId="74456B80" w14:textId="03CCF82C" w:rsidR="002B2694" w:rsidRPr="003C7218" w:rsidRDefault="002B2694" w:rsidP="00591C83">
      <w:pPr>
        <w:pStyle w:val="ListParagraph"/>
      </w:pPr>
      <w:r w:rsidRPr="00EF2E8A">
        <w:t xml:space="preserve">The submission did not propose a Risk Sharing Arrangement (RSA), however stated they would be open to working with the PBAC and the Department of Health and Aged Care on an </w:t>
      </w:r>
      <w:r w:rsidRPr="003C7218">
        <w:t>appropriate arrangement if required as part of the Deed behind MIRV listing on the PBS.</w:t>
      </w:r>
    </w:p>
    <w:p w14:paraId="2D91BE2A" w14:textId="78D47C34" w:rsidR="003C7218" w:rsidRPr="003C7218" w:rsidRDefault="003C7218" w:rsidP="00591C83">
      <w:pPr>
        <w:pStyle w:val="ListParagraph"/>
      </w:pPr>
      <w:r w:rsidRPr="003C7218">
        <w:t>DUSC considered it unlikely that there would be use beyond the requested restriction or beyond expectations.</w:t>
      </w:r>
    </w:p>
    <w:p w14:paraId="1E2A4A26" w14:textId="28E48EC3" w:rsidR="007816AF" w:rsidRPr="00EF2E8A" w:rsidRDefault="00234271" w:rsidP="00591C83">
      <w:bookmarkStart w:id="92" w:name="_Hlk103934877"/>
      <w:r w:rsidRPr="00EF2E8A">
        <w:rPr>
          <w:i/>
          <w:iCs/>
        </w:rPr>
        <w:t>For more detail on PBAC’s view, see section 7 PBAC outcome.</w:t>
      </w:r>
      <w:bookmarkEnd w:id="92"/>
    </w:p>
    <w:p w14:paraId="6E7668E0" w14:textId="77777777" w:rsidR="007816AF" w:rsidRPr="008279C3" w:rsidRDefault="007816AF" w:rsidP="00591C83">
      <w:pPr>
        <w:pStyle w:val="2-SectionHeading"/>
        <w:numPr>
          <w:ilvl w:val="0"/>
          <w:numId w:val="3"/>
        </w:numPr>
      </w:pPr>
      <w:bookmarkStart w:id="93" w:name="_Hlk76381249"/>
      <w:bookmarkStart w:id="94" w:name="_Hlk76377955"/>
      <w:r w:rsidRPr="008279C3">
        <w:t>PBAC Outcome</w:t>
      </w:r>
    </w:p>
    <w:p w14:paraId="22C5E1C1" w14:textId="5CFCC280" w:rsidR="00900D47" w:rsidRPr="00A00129" w:rsidRDefault="00900D47" w:rsidP="00591C83">
      <w:pPr>
        <w:pStyle w:val="ListParagraph"/>
      </w:pPr>
      <w:r w:rsidRPr="00A00129">
        <w:t xml:space="preserve">The PBAC deferred its consideration of </w:t>
      </w:r>
      <w:r w:rsidR="00E94D07" w:rsidRPr="00A00129">
        <w:t xml:space="preserve">mirvetuximab soravtansine (MIRV) </w:t>
      </w:r>
      <w:r w:rsidRPr="00A00129">
        <w:t>for the treatment of patients with platinum</w:t>
      </w:r>
      <w:r w:rsidR="00A46D2B">
        <w:noBreakHyphen/>
      </w:r>
      <w:r w:rsidRPr="00A00129">
        <w:t>resistant high</w:t>
      </w:r>
      <w:r w:rsidR="00A46D2B">
        <w:noBreakHyphen/>
      </w:r>
      <w:r w:rsidRPr="00A00129">
        <w:t xml:space="preserve">grade epithelial ovarian, fallopian tube, or primary peritoneal cancer, </w:t>
      </w:r>
      <w:r w:rsidR="002A1E1C">
        <w:t xml:space="preserve">(EOC) </w:t>
      </w:r>
      <w:r w:rsidRPr="00A00129">
        <w:t xml:space="preserve">who have received at least one prior systemic treatment </w:t>
      </w:r>
      <w:r w:rsidR="00F57356" w:rsidRPr="00A00129">
        <w:t>regimen and</w:t>
      </w:r>
      <w:r w:rsidRPr="00A00129">
        <w:t xml:space="preserve"> have high </w:t>
      </w:r>
      <w:r w:rsidR="00337256" w:rsidRPr="00A00129">
        <w:t xml:space="preserve">folate receptor alpha (FRα) </w:t>
      </w:r>
      <w:r w:rsidRPr="00A00129">
        <w:t xml:space="preserve">tumour cell expression. The PBAC was of a mind to recommend </w:t>
      </w:r>
      <w:r w:rsidR="00E271B3" w:rsidRPr="00A00129">
        <w:t>MIRV</w:t>
      </w:r>
      <w:r w:rsidRPr="00A00129">
        <w:t xml:space="preserve">, but noted that as an integrated codependent submission, MBS listing of FRα expression testing by immunohistochemistry would be considered at the August 2025 MSAC meeting, and that the TGA delegate’s overview is expected by September 2025. The PBAC considered that there is a clinical need for additional treatments for this population, acknowledging the severe impact of disease. The PBAC considered that </w:t>
      </w:r>
      <w:r w:rsidR="00E271B3" w:rsidRPr="00A00129">
        <w:t>MIRV</w:t>
      </w:r>
      <w:r w:rsidRPr="00A00129">
        <w:t xml:space="preserve"> provides a moderate clinical benefit in the small group of patients with high FRα tumour cell expression, noting the potential for inferior outcomes for those patients without high FRα tumour cell expression. The PBAC considered that </w:t>
      </w:r>
      <w:r w:rsidR="00E271B3" w:rsidRPr="00A00129">
        <w:t xml:space="preserve">MIRV </w:t>
      </w:r>
      <w:r w:rsidRPr="00A00129">
        <w:t>would be cost</w:t>
      </w:r>
      <w:r w:rsidR="00A46D2B">
        <w:noBreakHyphen/>
      </w:r>
      <w:r w:rsidRPr="00A00129">
        <w:t>effective with a substantial reduction in the price, to reflect the moderate benefit, and uncertainties in the economic model.</w:t>
      </w:r>
    </w:p>
    <w:p w14:paraId="42C17539" w14:textId="19FDAE9D" w:rsidR="00734FD6" w:rsidRPr="00A00129" w:rsidRDefault="002725DD" w:rsidP="00591C83">
      <w:pPr>
        <w:pStyle w:val="ListParagraph"/>
        <w:rPr>
          <w:lang w:val="en-GB"/>
        </w:rPr>
      </w:pPr>
      <w:r w:rsidRPr="00A00129">
        <w:t xml:space="preserve">The PBAC considered that there is a </w:t>
      </w:r>
      <w:r w:rsidR="00DD18E4" w:rsidRPr="00A00129">
        <w:rPr>
          <w:lang w:val="en-GB"/>
        </w:rPr>
        <w:t>moderate</w:t>
      </w:r>
      <w:r w:rsidR="00734FD6" w:rsidRPr="00A00129">
        <w:rPr>
          <w:lang w:val="en-GB"/>
        </w:rPr>
        <w:t xml:space="preserve"> clinical need</w:t>
      </w:r>
      <w:r w:rsidRPr="00A00129">
        <w:rPr>
          <w:lang w:val="en-GB"/>
        </w:rPr>
        <w:t xml:space="preserve"> for new t</w:t>
      </w:r>
      <w:r w:rsidR="0044684C" w:rsidRPr="00A00129">
        <w:rPr>
          <w:lang w:val="en-GB"/>
        </w:rPr>
        <w:t xml:space="preserve">herapies for platinum resistant </w:t>
      </w:r>
      <w:r w:rsidR="00FC66E6">
        <w:t>EOC</w:t>
      </w:r>
      <w:r w:rsidR="0044684C" w:rsidRPr="00A00129">
        <w:rPr>
          <w:lang w:val="en-GB"/>
        </w:rPr>
        <w:t xml:space="preserve">, noting the </w:t>
      </w:r>
      <w:r w:rsidR="00F92657" w:rsidRPr="00A00129">
        <w:rPr>
          <w:lang w:val="en-GB"/>
        </w:rPr>
        <w:t xml:space="preserve">severity of </w:t>
      </w:r>
      <w:r w:rsidR="001E5239">
        <w:rPr>
          <w:lang w:val="en-GB"/>
        </w:rPr>
        <w:t xml:space="preserve">symptoms and </w:t>
      </w:r>
      <w:r w:rsidR="00C04DE4">
        <w:rPr>
          <w:lang w:val="en-GB"/>
        </w:rPr>
        <w:t>impact on patient quality of life</w:t>
      </w:r>
      <w:r w:rsidR="00C55913">
        <w:rPr>
          <w:lang w:val="en-GB"/>
        </w:rPr>
        <w:t xml:space="preserve">. The PBAC also noted </w:t>
      </w:r>
      <w:r w:rsidR="00F92657" w:rsidRPr="00A00129">
        <w:rPr>
          <w:lang w:val="en-GB"/>
        </w:rPr>
        <w:t xml:space="preserve">that </w:t>
      </w:r>
      <w:r w:rsidR="005F4B2C" w:rsidRPr="00A00129">
        <w:rPr>
          <w:lang w:val="en-GB"/>
        </w:rPr>
        <w:t xml:space="preserve">currently available </w:t>
      </w:r>
      <w:r w:rsidR="00734FD6" w:rsidRPr="00A00129">
        <w:rPr>
          <w:lang w:val="en-GB"/>
        </w:rPr>
        <w:t xml:space="preserve">chemotherapy </w:t>
      </w:r>
      <w:r w:rsidR="005F4B2C" w:rsidRPr="00A00129">
        <w:rPr>
          <w:lang w:val="en-GB"/>
        </w:rPr>
        <w:t>options are</w:t>
      </w:r>
      <w:r w:rsidR="00734FD6" w:rsidRPr="00A00129">
        <w:rPr>
          <w:lang w:val="en-GB"/>
        </w:rPr>
        <w:t xml:space="preserve"> </w:t>
      </w:r>
      <w:r w:rsidR="00381BB7">
        <w:rPr>
          <w:lang w:val="en-GB"/>
        </w:rPr>
        <w:t xml:space="preserve">associated with significant side effects and are </w:t>
      </w:r>
      <w:r w:rsidR="00734FD6" w:rsidRPr="00A00129">
        <w:rPr>
          <w:lang w:val="en-GB"/>
        </w:rPr>
        <w:t>only modestly effective,</w:t>
      </w:r>
      <w:r w:rsidR="0043501F" w:rsidRPr="00A00129">
        <w:rPr>
          <w:lang w:val="en-GB"/>
        </w:rPr>
        <w:t xml:space="preserve"> with </w:t>
      </w:r>
      <w:r w:rsidR="00832313">
        <w:rPr>
          <w:lang w:val="en-GB"/>
        </w:rPr>
        <w:t>approximately</w:t>
      </w:r>
      <w:r w:rsidR="00832313" w:rsidRPr="00A00129">
        <w:rPr>
          <w:lang w:val="en-GB"/>
        </w:rPr>
        <w:t xml:space="preserve"> </w:t>
      </w:r>
      <w:r w:rsidR="0043501F" w:rsidRPr="00A00129">
        <w:rPr>
          <w:lang w:val="en-GB"/>
        </w:rPr>
        <w:t>21% of patients</w:t>
      </w:r>
      <w:r w:rsidR="00734FD6" w:rsidRPr="00A00129">
        <w:rPr>
          <w:lang w:val="en-GB"/>
        </w:rPr>
        <w:t xml:space="preserve"> </w:t>
      </w:r>
      <w:r w:rsidR="0043501F" w:rsidRPr="00A00129">
        <w:rPr>
          <w:lang w:val="en-GB"/>
        </w:rPr>
        <w:t xml:space="preserve">alive at </w:t>
      </w:r>
      <w:r w:rsidR="00734FD6" w:rsidRPr="00A00129">
        <w:rPr>
          <w:lang w:val="en-GB"/>
        </w:rPr>
        <w:t>5</w:t>
      </w:r>
      <w:r w:rsidR="0043501F" w:rsidRPr="00A00129">
        <w:rPr>
          <w:lang w:val="en-GB"/>
        </w:rPr>
        <w:t xml:space="preserve"> years. </w:t>
      </w:r>
    </w:p>
    <w:p w14:paraId="2D43088D" w14:textId="6CA9AF9B" w:rsidR="003C63E5" w:rsidRPr="00A00129" w:rsidRDefault="003C63E5" w:rsidP="00591C83">
      <w:pPr>
        <w:pStyle w:val="ListParagraph"/>
      </w:pPr>
      <w:bookmarkStart w:id="95" w:name="_Ref223517883"/>
      <w:r w:rsidRPr="00A00129">
        <w:t xml:space="preserve">The PBAC considered that a Telephone/online authority listing for MIRV is appropriate, </w:t>
      </w:r>
      <w:r w:rsidR="0084504F" w:rsidRPr="00A00129">
        <w:t>and that the restriction should include</w:t>
      </w:r>
      <w:r w:rsidR="00905716" w:rsidRPr="00A00129">
        <w:t xml:space="preserve"> the following:</w:t>
      </w:r>
      <w:bookmarkEnd w:id="95"/>
      <w:r w:rsidR="00905716" w:rsidRPr="00A00129">
        <w:t xml:space="preserve"> </w:t>
      </w:r>
    </w:p>
    <w:p w14:paraId="136A4FBE" w14:textId="14037C21" w:rsidR="00BA6D42" w:rsidRPr="00A00129" w:rsidRDefault="00D806BD" w:rsidP="00591C83">
      <w:pPr>
        <w:pStyle w:val="ListParagraph"/>
        <w:numPr>
          <w:ilvl w:val="0"/>
          <w:numId w:val="18"/>
        </w:numPr>
        <w:spacing w:before="0" w:after="0"/>
        <w:ind w:left="1080"/>
        <w:contextualSpacing/>
        <w:rPr>
          <w:rFonts w:cs="Arial"/>
          <w:snapToGrid w:val="0"/>
        </w:rPr>
      </w:pPr>
      <w:r w:rsidRPr="00A00129">
        <w:rPr>
          <w:rFonts w:cs="Arial"/>
          <w:snapToGrid w:val="0"/>
        </w:rPr>
        <w:t xml:space="preserve">The submission proposed that patients should have received one or more prior lines of therapy, rather than one to three prior lines of therapy (as per the MIRASOL trial and proposed TGA indication), which would </w:t>
      </w:r>
      <w:r w:rsidR="0014335E">
        <w:rPr>
          <w:rFonts w:cs="Arial"/>
          <w:snapToGrid w:val="0"/>
        </w:rPr>
        <w:t>allow</w:t>
      </w:r>
      <w:r w:rsidRPr="00A00129">
        <w:rPr>
          <w:rFonts w:cs="Arial"/>
          <w:snapToGrid w:val="0"/>
        </w:rPr>
        <w:t xml:space="preserve"> access for </w:t>
      </w:r>
      <w:r w:rsidR="0014335E">
        <w:rPr>
          <w:rFonts w:cs="Arial"/>
          <w:snapToGrid w:val="0"/>
        </w:rPr>
        <w:t xml:space="preserve">the </w:t>
      </w:r>
      <w:r w:rsidR="0014335E">
        <w:rPr>
          <w:rFonts w:cs="Arial"/>
          <w:snapToGrid w:val="0"/>
        </w:rPr>
        <w:lastRenderedPageBreak/>
        <w:t xml:space="preserve">small number of </w:t>
      </w:r>
      <w:r w:rsidRPr="00A00129">
        <w:rPr>
          <w:rFonts w:cs="Arial"/>
          <w:snapToGrid w:val="0"/>
        </w:rPr>
        <w:t>patients who may have received additional lines of treatment.</w:t>
      </w:r>
      <w:r w:rsidR="0033202E" w:rsidRPr="00A00129">
        <w:rPr>
          <w:rFonts w:cs="Arial"/>
          <w:snapToGrid w:val="0"/>
        </w:rPr>
        <w:t xml:space="preserve"> The PBAC considered this to be appropriate</w:t>
      </w:r>
      <w:r w:rsidR="008B549F">
        <w:rPr>
          <w:rFonts w:cs="Arial"/>
          <w:snapToGrid w:val="0"/>
        </w:rPr>
        <w:t xml:space="preserve"> </w:t>
      </w:r>
      <w:r w:rsidR="00FD2DD7">
        <w:rPr>
          <w:rFonts w:cs="Arial"/>
          <w:snapToGrid w:val="0"/>
        </w:rPr>
        <w:t xml:space="preserve">(paragraph </w:t>
      </w:r>
      <w:r w:rsidR="00532950">
        <w:rPr>
          <w:rFonts w:cs="Arial"/>
          <w:snapToGrid w:val="0"/>
        </w:rPr>
        <w:fldChar w:fldCharType="begin" w:fldLock="1"/>
      </w:r>
      <w:r w:rsidR="00532950">
        <w:rPr>
          <w:rFonts w:cs="Arial"/>
          <w:snapToGrid w:val="0"/>
        </w:rPr>
        <w:instrText xml:space="preserve"> REF _Ref204777457 \r \h </w:instrText>
      </w:r>
      <w:r w:rsidR="00532950">
        <w:rPr>
          <w:rFonts w:cs="Arial"/>
          <w:snapToGrid w:val="0"/>
        </w:rPr>
      </w:r>
      <w:r w:rsidR="00532950">
        <w:rPr>
          <w:rFonts w:cs="Arial"/>
          <w:snapToGrid w:val="0"/>
        </w:rPr>
        <w:fldChar w:fldCharType="separate"/>
      </w:r>
      <w:r w:rsidR="00CC5CAD">
        <w:rPr>
          <w:rFonts w:cs="Arial"/>
          <w:snapToGrid w:val="0"/>
        </w:rPr>
        <w:t>3.2</w:t>
      </w:r>
      <w:r w:rsidR="00532950">
        <w:rPr>
          <w:rFonts w:cs="Arial"/>
          <w:snapToGrid w:val="0"/>
        </w:rPr>
        <w:fldChar w:fldCharType="end"/>
      </w:r>
      <w:r w:rsidR="00FD2DD7">
        <w:rPr>
          <w:rFonts w:cs="Arial"/>
          <w:snapToGrid w:val="0"/>
        </w:rPr>
        <w:t>)</w:t>
      </w:r>
      <w:r w:rsidR="008B549F">
        <w:rPr>
          <w:rFonts w:cs="Arial"/>
          <w:snapToGrid w:val="0"/>
        </w:rPr>
        <w:t>.</w:t>
      </w:r>
    </w:p>
    <w:p w14:paraId="72439824" w14:textId="122AFA53" w:rsidR="00325FDF" w:rsidRPr="00325FDF" w:rsidRDefault="00325FDF" w:rsidP="00591C83">
      <w:pPr>
        <w:pStyle w:val="ListParagraph"/>
        <w:numPr>
          <w:ilvl w:val="0"/>
          <w:numId w:val="18"/>
        </w:numPr>
        <w:ind w:left="1080"/>
        <w:rPr>
          <w:rFonts w:cs="Arial"/>
          <w:snapToGrid w:val="0"/>
        </w:rPr>
      </w:pPr>
      <w:r w:rsidRPr="00A00129">
        <w:rPr>
          <w:rFonts w:cs="Arial"/>
          <w:snapToGrid w:val="0"/>
        </w:rPr>
        <w:t>The requested restriction omitted reference to serous tumour histology in the proposed target population to prevent inappropriate exclusion of patients with tumour histology difficult to identify</w:t>
      </w:r>
      <w:r w:rsidR="005354F9" w:rsidRPr="00A00129">
        <w:rPr>
          <w:rFonts w:cs="Arial"/>
          <w:snapToGrid w:val="0"/>
        </w:rPr>
        <w:t xml:space="preserve">. </w:t>
      </w:r>
      <w:r w:rsidRPr="00A00129">
        <w:rPr>
          <w:rFonts w:cs="Arial"/>
          <w:snapToGrid w:val="0"/>
        </w:rPr>
        <w:t>The</w:t>
      </w:r>
      <w:r w:rsidR="005354F9" w:rsidRPr="00A00129">
        <w:rPr>
          <w:rFonts w:cs="Arial"/>
          <w:snapToGrid w:val="0"/>
        </w:rPr>
        <w:t xml:space="preserve"> PBAC agreed with the</w:t>
      </w:r>
      <w:r w:rsidRPr="00A00129">
        <w:rPr>
          <w:rFonts w:cs="Arial"/>
          <w:snapToGrid w:val="0"/>
        </w:rPr>
        <w:t xml:space="preserve"> ESCs that the very small group of patients with non</w:t>
      </w:r>
      <w:r w:rsidR="00A46D2B">
        <w:rPr>
          <w:rFonts w:cs="Arial"/>
          <w:snapToGrid w:val="0"/>
        </w:rPr>
        <w:noBreakHyphen/>
      </w:r>
      <w:r w:rsidRPr="00A00129">
        <w:rPr>
          <w:rFonts w:cs="Arial"/>
          <w:snapToGrid w:val="0"/>
        </w:rPr>
        <w:t>serous ovarian cancer and high FRα expression is likely to benefit from treatment with MIRV</w:t>
      </w:r>
      <w:r w:rsidRPr="0084504F">
        <w:rPr>
          <w:rFonts w:cs="Arial"/>
          <w:snapToGrid w:val="0"/>
        </w:rPr>
        <w:t xml:space="preserve"> and it </w:t>
      </w:r>
      <w:r w:rsidR="005354F9" w:rsidRPr="0084504F">
        <w:rPr>
          <w:rFonts w:cs="Arial"/>
          <w:snapToGrid w:val="0"/>
        </w:rPr>
        <w:t>is</w:t>
      </w:r>
      <w:r w:rsidRPr="0084504F">
        <w:rPr>
          <w:rFonts w:cs="Arial"/>
          <w:snapToGrid w:val="0"/>
        </w:rPr>
        <w:t xml:space="preserve"> reasonable </w:t>
      </w:r>
      <w:r w:rsidR="000C1E64">
        <w:rPr>
          <w:rFonts w:cs="Arial"/>
          <w:snapToGrid w:val="0"/>
        </w:rPr>
        <w:t xml:space="preserve">for the restrictions to be silent regarding </w:t>
      </w:r>
      <w:r w:rsidR="0014335E">
        <w:rPr>
          <w:rFonts w:cs="Arial"/>
          <w:snapToGrid w:val="0"/>
        </w:rPr>
        <w:t>tumour histology</w:t>
      </w:r>
      <w:r w:rsidRPr="00325FDF">
        <w:rPr>
          <w:rFonts w:cs="Arial"/>
          <w:snapToGrid w:val="0"/>
        </w:rPr>
        <w:t xml:space="preserve"> </w:t>
      </w:r>
      <w:r w:rsidR="00FD2DD7">
        <w:rPr>
          <w:rFonts w:cs="Arial"/>
          <w:snapToGrid w:val="0"/>
        </w:rPr>
        <w:t xml:space="preserve">(paragraph </w:t>
      </w:r>
      <w:r w:rsidR="00FD2DD7">
        <w:rPr>
          <w:rFonts w:cs="Arial"/>
          <w:snapToGrid w:val="0"/>
        </w:rPr>
        <w:fldChar w:fldCharType="begin" w:fldLock="1"/>
      </w:r>
      <w:r w:rsidR="00FD2DD7">
        <w:rPr>
          <w:rFonts w:cs="Arial"/>
          <w:snapToGrid w:val="0"/>
        </w:rPr>
        <w:instrText xml:space="preserve"> REF _Ref204777443 \r \h </w:instrText>
      </w:r>
      <w:r w:rsidR="00FD2DD7">
        <w:rPr>
          <w:rFonts w:cs="Arial"/>
          <w:snapToGrid w:val="0"/>
        </w:rPr>
      </w:r>
      <w:r w:rsidR="00FD2DD7">
        <w:rPr>
          <w:rFonts w:cs="Arial"/>
          <w:snapToGrid w:val="0"/>
        </w:rPr>
        <w:fldChar w:fldCharType="separate"/>
      </w:r>
      <w:r w:rsidR="00CC5CAD">
        <w:rPr>
          <w:rFonts w:cs="Arial"/>
          <w:snapToGrid w:val="0"/>
        </w:rPr>
        <w:t>3.3</w:t>
      </w:r>
      <w:r w:rsidR="00FD2DD7">
        <w:rPr>
          <w:rFonts w:cs="Arial"/>
          <w:snapToGrid w:val="0"/>
        </w:rPr>
        <w:fldChar w:fldCharType="end"/>
      </w:r>
      <w:r w:rsidR="00FD2DD7">
        <w:rPr>
          <w:rFonts w:cs="Arial"/>
          <w:snapToGrid w:val="0"/>
        </w:rPr>
        <w:t>)</w:t>
      </w:r>
      <w:r w:rsidR="008B549F">
        <w:rPr>
          <w:rFonts w:cs="Arial"/>
          <w:snapToGrid w:val="0"/>
        </w:rPr>
        <w:t>.</w:t>
      </w:r>
    </w:p>
    <w:p w14:paraId="25FA2C7F" w14:textId="1E617B48" w:rsidR="00E31DB7" w:rsidRPr="00E31DB7" w:rsidRDefault="00E31DB7" w:rsidP="00591C83">
      <w:pPr>
        <w:pStyle w:val="ListParagraph"/>
        <w:numPr>
          <w:ilvl w:val="0"/>
          <w:numId w:val="18"/>
        </w:numPr>
        <w:ind w:left="1080"/>
        <w:rPr>
          <w:rFonts w:cs="Arial"/>
          <w:snapToGrid w:val="0"/>
        </w:rPr>
      </w:pPr>
      <w:r w:rsidRPr="00E31DB7">
        <w:rPr>
          <w:rFonts w:cs="Arial"/>
          <w:snapToGrid w:val="0"/>
        </w:rPr>
        <w:t>The</w:t>
      </w:r>
      <w:r>
        <w:rPr>
          <w:rFonts w:cs="Arial"/>
          <w:snapToGrid w:val="0"/>
        </w:rPr>
        <w:t xml:space="preserve"> PBAC considered </w:t>
      </w:r>
      <w:r w:rsidR="00FF1A64">
        <w:rPr>
          <w:rFonts w:cs="Arial"/>
          <w:snapToGrid w:val="0"/>
        </w:rPr>
        <w:t xml:space="preserve">it was reasonable for the </w:t>
      </w:r>
      <w:r w:rsidR="00FF1A64" w:rsidRPr="00E31DB7">
        <w:rPr>
          <w:rFonts w:cs="Arial"/>
          <w:snapToGrid w:val="0"/>
        </w:rPr>
        <w:t xml:space="preserve">restriction </w:t>
      </w:r>
      <w:r w:rsidR="00FF1A64">
        <w:rPr>
          <w:rFonts w:cs="Arial"/>
          <w:snapToGrid w:val="0"/>
        </w:rPr>
        <w:t>to be</w:t>
      </w:r>
      <w:r w:rsidR="00FF1A64" w:rsidRPr="00E31DB7">
        <w:rPr>
          <w:rFonts w:cs="Arial"/>
          <w:snapToGrid w:val="0"/>
        </w:rPr>
        <w:t xml:space="preserve"> silent on whether MIRV should be used as monotherapy or combination therapy</w:t>
      </w:r>
      <w:r>
        <w:rPr>
          <w:rFonts w:cs="Arial"/>
          <w:snapToGrid w:val="0"/>
        </w:rPr>
        <w:t>, to allow for</w:t>
      </w:r>
      <w:r w:rsidR="008B549F">
        <w:rPr>
          <w:rFonts w:cs="Arial"/>
          <w:snapToGrid w:val="0"/>
        </w:rPr>
        <w:t xml:space="preserve"> potential</w:t>
      </w:r>
      <w:r>
        <w:rPr>
          <w:rFonts w:cs="Arial"/>
          <w:snapToGrid w:val="0"/>
        </w:rPr>
        <w:t xml:space="preserve"> future use in </w:t>
      </w:r>
      <w:r w:rsidRPr="00E31DB7">
        <w:rPr>
          <w:rFonts w:cs="Arial"/>
          <w:snapToGrid w:val="0"/>
        </w:rPr>
        <w:t>combination use with bevacizumab</w:t>
      </w:r>
      <w:r w:rsidR="00FD2DD7">
        <w:rPr>
          <w:rFonts w:cs="Arial"/>
          <w:snapToGrid w:val="0"/>
        </w:rPr>
        <w:t xml:space="preserve"> (paragraph </w:t>
      </w:r>
      <w:r w:rsidR="00FD2DD7">
        <w:rPr>
          <w:rFonts w:cs="Arial"/>
          <w:snapToGrid w:val="0"/>
        </w:rPr>
        <w:fldChar w:fldCharType="begin" w:fldLock="1"/>
      </w:r>
      <w:r w:rsidR="00FD2DD7">
        <w:rPr>
          <w:rFonts w:cs="Arial"/>
          <w:snapToGrid w:val="0"/>
        </w:rPr>
        <w:instrText xml:space="preserve"> REF _Ref204777422 \r \h </w:instrText>
      </w:r>
      <w:r w:rsidR="00FD2DD7">
        <w:rPr>
          <w:rFonts w:cs="Arial"/>
          <w:snapToGrid w:val="0"/>
        </w:rPr>
      </w:r>
      <w:r w:rsidR="00FD2DD7">
        <w:rPr>
          <w:rFonts w:cs="Arial"/>
          <w:snapToGrid w:val="0"/>
        </w:rPr>
        <w:fldChar w:fldCharType="separate"/>
      </w:r>
      <w:r w:rsidR="00CC5CAD">
        <w:rPr>
          <w:rFonts w:cs="Arial"/>
          <w:snapToGrid w:val="0"/>
        </w:rPr>
        <w:t>3.5</w:t>
      </w:r>
      <w:r w:rsidR="00FD2DD7">
        <w:rPr>
          <w:rFonts w:cs="Arial"/>
          <w:snapToGrid w:val="0"/>
        </w:rPr>
        <w:fldChar w:fldCharType="end"/>
      </w:r>
      <w:r w:rsidR="00FD2DD7">
        <w:rPr>
          <w:rFonts w:cs="Arial"/>
          <w:snapToGrid w:val="0"/>
        </w:rPr>
        <w:t>).</w:t>
      </w:r>
    </w:p>
    <w:p w14:paraId="07F5B562" w14:textId="77005232" w:rsidR="00325FDF" w:rsidRPr="00720560" w:rsidRDefault="004E7026" w:rsidP="00591C83">
      <w:pPr>
        <w:pStyle w:val="ListParagraph"/>
        <w:numPr>
          <w:ilvl w:val="0"/>
          <w:numId w:val="18"/>
        </w:numPr>
        <w:ind w:left="1080"/>
        <w:rPr>
          <w:rFonts w:cs="Arial"/>
          <w:snapToGrid w:val="0"/>
        </w:rPr>
      </w:pPr>
      <w:r w:rsidRPr="004E7026">
        <w:rPr>
          <w:rFonts w:cs="Arial"/>
          <w:snapToGrid w:val="0"/>
        </w:rPr>
        <w:t xml:space="preserve">The proposed target population </w:t>
      </w:r>
      <w:r w:rsidR="008B549F">
        <w:rPr>
          <w:rFonts w:cs="Arial"/>
          <w:snapToGrid w:val="0"/>
        </w:rPr>
        <w:t xml:space="preserve">(as defined in the submission) </w:t>
      </w:r>
      <w:r w:rsidRPr="004E7026">
        <w:rPr>
          <w:rFonts w:cs="Arial"/>
          <w:snapToGrid w:val="0"/>
        </w:rPr>
        <w:t>of platinum resistant patients excluded those with a platinum</w:t>
      </w:r>
      <w:r w:rsidR="00A46D2B">
        <w:rPr>
          <w:rFonts w:cs="Arial"/>
          <w:snapToGrid w:val="0"/>
        </w:rPr>
        <w:noBreakHyphen/>
      </w:r>
      <w:r w:rsidRPr="004E7026">
        <w:rPr>
          <w:rFonts w:cs="Arial"/>
          <w:snapToGrid w:val="0"/>
        </w:rPr>
        <w:t xml:space="preserve">free interval of less than three months following one line of platinum therapy (these patients were defined in the submission as ‘platinum refractory’). The </w:t>
      </w:r>
      <w:r w:rsidR="00916D2A">
        <w:rPr>
          <w:rFonts w:cs="Arial"/>
          <w:snapToGrid w:val="0"/>
        </w:rPr>
        <w:t xml:space="preserve">PBAC agreed with the </w:t>
      </w:r>
      <w:r w:rsidRPr="004E7026">
        <w:rPr>
          <w:rFonts w:cs="Arial"/>
          <w:snapToGrid w:val="0"/>
        </w:rPr>
        <w:t xml:space="preserve">ESCs that patients classified </w:t>
      </w:r>
      <w:r w:rsidR="0082226C">
        <w:rPr>
          <w:rFonts w:cs="Arial"/>
          <w:snapToGrid w:val="0"/>
        </w:rPr>
        <w:t xml:space="preserve">in the submission </w:t>
      </w:r>
      <w:r w:rsidRPr="004E7026">
        <w:rPr>
          <w:rFonts w:cs="Arial"/>
          <w:snapToGrid w:val="0"/>
        </w:rPr>
        <w:t xml:space="preserve">as </w:t>
      </w:r>
      <w:r w:rsidR="0082226C">
        <w:rPr>
          <w:rFonts w:cs="Arial"/>
          <w:snapToGrid w:val="0"/>
        </w:rPr>
        <w:t>‘</w:t>
      </w:r>
      <w:r w:rsidRPr="004E7026">
        <w:rPr>
          <w:rFonts w:cs="Arial"/>
          <w:snapToGrid w:val="0"/>
        </w:rPr>
        <w:t>platinum refractory</w:t>
      </w:r>
      <w:r w:rsidR="0082226C">
        <w:rPr>
          <w:rFonts w:cs="Arial"/>
          <w:snapToGrid w:val="0"/>
        </w:rPr>
        <w:t>’</w:t>
      </w:r>
      <w:r w:rsidRPr="004E7026">
        <w:rPr>
          <w:rFonts w:cs="Arial"/>
          <w:snapToGrid w:val="0"/>
        </w:rPr>
        <w:t xml:space="preserve"> may also benefit from MIRV</w:t>
      </w:r>
      <w:r w:rsidR="0082226C">
        <w:rPr>
          <w:rFonts w:cs="Arial"/>
          <w:snapToGrid w:val="0"/>
        </w:rPr>
        <w:t>, and that</w:t>
      </w:r>
      <w:r w:rsidR="0008527D">
        <w:rPr>
          <w:rFonts w:cs="Arial"/>
          <w:snapToGrid w:val="0"/>
        </w:rPr>
        <w:t xml:space="preserve"> </w:t>
      </w:r>
      <w:r w:rsidR="0082226C">
        <w:t>p</w:t>
      </w:r>
      <w:r w:rsidR="0082226C" w:rsidRPr="0082226C">
        <w:rPr>
          <w:rFonts w:cs="Arial"/>
          <w:snapToGrid w:val="0"/>
        </w:rPr>
        <w:t xml:space="preserve">latinum resistance </w:t>
      </w:r>
      <w:r w:rsidR="0008527D">
        <w:rPr>
          <w:rFonts w:cs="Arial"/>
          <w:snapToGrid w:val="0"/>
        </w:rPr>
        <w:t>should be defined in</w:t>
      </w:r>
      <w:r w:rsidR="0008527D" w:rsidRPr="0082226C">
        <w:rPr>
          <w:rFonts w:cs="Arial"/>
          <w:snapToGrid w:val="0"/>
        </w:rPr>
        <w:t xml:space="preserve"> prescribing instructions</w:t>
      </w:r>
      <w:r w:rsidR="0008527D">
        <w:rPr>
          <w:rFonts w:cs="Arial"/>
          <w:snapToGrid w:val="0"/>
        </w:rPr>
        <w:t xml:space="preserve"> as</w:t>
      </w:r>
      <w:r w:rsidR="0082226C" w:rsidRPr="0082226C">
        <w:rPr>
          <w:rFonts w:cs="Arial"/>
          <w:snapToGrid w:val="0"/>
        </w:rPr>
        <w:t xml:space="preserve"> progression during or within 6 months of </w:t>
      </w:r>
      <w:r w:rsidR="0008527D">
        <w:rPr>
          <w:rFonts w:cs="Arial"/>
          <w:snapToGrid w:val="0"/>
        </w:rPr>
        <w:t xml:space="preserve">the </w:t>
      </w:r>
      <w:r w:rsidR="0082226C" w:rsidRPr="0082226C">
        <w:rPr>
          <w:rFonts w:cs="Arial"/>
          <w:snapToGrid w:val="0"/>
        </w:rPr>
        <w:t>last dose (not 3</w:t>
      </w:r>
      <w:r w:rsidR="00A46D2B">
        <w:rPr>
          <w:rFonts w:cs="Arial"/>
          <w:snapToGrid w:val="0"/>
        </w:rPr>
        <w:noBreakHyphen/>
      </w:r>
      <w:r w:rsidR="0082226C" w:rsidRPr="0082226C">
        <w:rPr>
          <w:rFonts w:cs="Arial"/>
          <w:snapToGrid w:val="0"/>
        </w:rPr>
        <w:t>6 months)</w:t>
      </w:r>
      <w:r w:rsidR="00A520E1">
        <w:rPr>
          <w:rFonts w:cs="Arial"/>
          <w:snapToGrid w:val="0"/>
        </w:rPr>
        <w:t xml:space="preserve"> </w:t>
      </w:r>
      <w:r w:rsidR="00105FCF">
        <w:rPr>
          <w:rFonts w:cs="Arial"/>
          <w:snapToGrid w:val="0"/>
        </w:rPr>
        <w:t xml:space="preserve">(paragraph </w:t>
      </w:r>
      <w:r w:rsidR="00F26B49">
        <w:rPr>
          <w:rFonts w:cs="Arial"/>
          <w:snapToGrid w:val="0"/>
        </w:rPr>
        <w:fldChar w:fldCharType="begin" w:fldLock="1"/>
      </w:r>
      <w:r w:rsidR="00F26B49">
        <w:rPr>
          <w:rFonts w:cs="Arial"/>
          <w:snapToGrid w:val="0"/>
        </w:rPr>
        <w:instrText xml:space="preserve"> REF _Ref204777401 \r \h </w:instrText>
      </w:r>
      <w:r w:rsidR="00F26B49">
        <w:rPr>
          <w:rFonts w:cs="Arial"/>
          <w:snapToGrid w:val="0"/>
        </w:rPr>
      </w:r>
      <w:r w:rsidR="00F26B49">
        <w:rPr>
          <w:rFonts w:cs="Arial"/>
          <w:snapToGrid w:val="0"/>
        </w:rPr>
        <w:fldChar w:fldCharType="separate"/>
      </w:r>
      <w:r w:rsidR="00CC5CAD">
        <w:rPr>
          <w:rFonts w:cs="Arial"/>
          <w:snapToGrid w:val="0"/>
        </w:rPr>
        <w:t>3.4</w:t>
      </w:r>
      <w:r w:rsidR="00F26B49">
        <w:rPr>
          <w:rFonts w:cs="Arial"/>
          <w:snapToGrid w:val="0"/>
        </w:rPr>
        <w:fldChar w:fldCharType="end"/>
      </w:r>
      <w:r w:rsidR="00105FCF">
        <w:rPr>
          <w:rFonts w:cs="Arial"/>
          <w:snapToGrid w:val="0"/>
        </w:rPr>
        <w:t>)</w:t>
      </w:r>
      <w:r w:rsidR="00A520E1">
        <w:rPr>
          <w:rFonts w:cs="Arial"/>
          <w:snapToGrid w:val="0"/>
        </w:rPr>
        <w:t>.</w:t>
      </w:r>
    </w:p>
    <w:p w14:paraId="2CD06221" w14:textId="6B893A49" w:rsidR="001728A9" w:rsidRPr="004D7414" w:rsidRDefault="004F7860" w:rsidP="00591C83">
      <w:pPr>
        <w:pStyle w:val="ListParagraph"/>
      </w:pPr>
      <w:r w:rsidRPr="00AD75D5">
        <w:t>The PBAC accepted the submission’s c</w:t>
      </w:r>
      <w:r w:rsidR="007816AF" w:rsidRPr="00AD75D5">
        <w:t xml:space="preserve">linical place for </w:t>
      </w:r>
      <w:r w:rsidRPr="00AD75D5">
        <w:t xml:space="preserve">MIRV, </w:t>
      </w:r>
      <w:r w:rsidR="000B695D">
        <w:t xml:space="preserve">noting it </w:t>
      </w:r>
      <w:r w:rsidR="000B695D" w:rsidRPr="000B695D">
        <w:t xml:space="preserve">is recommended in </w:t>
      </w:r>
      <w:r w:rsidR="00102BA5">
        <w:t>relevant</w:t>
      </w:r>
      <w:r w:rsidR="000B695D" w:rsidRPr="000B695D">
        <w:t xml:space="preserve"> </w:t>
      </w:r>
      <w:r w:rsidR="00167AC1">
        <w:t xml:space="preserve">international </w:t>
      </w:r>
      <w:r w:rsidR="000B695D" w:rsidRPr="000B695D">
        <w:t>clinical guidelines</w:t>
      </w:r>
      <w:r w:rsidR="000B695D">
        <w:t xml:space="preserve">. </w:t>
      </w:r>
      <w:r w:rsidR="00011D23">
        <w:t xml:space="preserve">The PBAC </w:t>
      </w:r>
      <w:r w:rsidR="00860703">
        <w:t xml:space="preserve">accepted the claim of codependence </w:t>
      </w:r>
      <w:r w:rsidR="00054A7C">
        <w:t xml:space="preserve">for the test </w:t>
      </w:r>
      <w:r w:rsidR="00EF2404">
        <w:t xml:space="preserve">(IHC </w:t>
      </w:r>
      <w:r w:rsidR="0058013B">
        <w:t xml:space="preserve">testing of solid tumour tissue to determine FRα expression status) and treatment (MIRV). The PBAC </w:t>
      </w:r>
      <w:r w:rsidR="00613703">
        <w:t>noted that the FORWARD</w:t>
      </w:r>
      <w:r w:rsidR="00A46D2B">
        <w:noBreakHyphen/>
      </w:r>
      <w:r w:rsidR="00613703">
        <w:t xml:space="preserve">I trial results </w:t>
      </w:r>
      <w:r w:rsidR="00FF3503">
        <w:t xml:space="preserve">showed a clear difference in outcomes between the </w:t>
      </w:r>
      <w:r w:rsidR="00A0343E">
        <w:t>FRα</w:t>
      </w:r>
      <w:r w:rsidR="00A46D2B">
        <w:noBreakHyphen/>
      </w:r>
      <w:r w:rsidR="00A0343E">
        <w:t>high population and the FRα</w:t>
      </w:r>
      <w:r w:rsidR="00A46D2B">
        <w:noBreakHyphen/>
      </w:r>
      <w:r w:rsidR="00A0343E">
        <w:t xml:space="preserve">medium population and the test for interaction was </w:t>
      </w:r>
      <w:r w:rsidR="001728A9">
        <w:t>statistically significant. The PBAC</w:t>
      </w:r>
      <w:r w:rsidR="00A0343E">
        <w:t xml:space="preserve"> </w:t>
      </w:r>
      <w:r w:rsidR="00011D23">
        <w:t xml:space="preserve">agreed with the ESCs that FRα expression is critical to identifying patients likely to benefit from MIRV, given the potential for patients without high FRα expression to have worse survival outcomes when treated with MIRV compared to </w:t>
      </w:r>
      <w:r w:rsidR="0019075E">
        <w:t>chemotherapy</w:t>
      </w:r>
      <w:r w:rsidR="00011D23">
        <w:t>, and in the context of specific safety concerns for MIRV (see paragraph</w:t>
      </w:r>
      <w:r w:rsidR="008B052D">
        <w:t xml:space="preserve"> </w:t>
      </w:r>
      <w:r w:rsidR="00357111">
        <w:fldChar w:fldCharType="begin" w:fldLock="1"/>
      </w:r>
      <w:r w:rsidR="00357111">
        <w:instrText xml:space="preserve"> REF _Ref205300547 \r \h </w:instrText>
      </w:r>
      <w:r w:rsidR="00357111">
        <w:fldChar w:fldCharType="separate"/>
      </w:r>
      <w:r w:rsidR="00357111">
        <w:t>7.9</w:t>
      </w:r>
      <w:r w:rsidR="00357111">
        <w:fldChar w:fldCharType="end"/>
      </w:r>
      <w:r w:rsidR="00011D23">
        <w:t xml:space="preserve">). </w:t>
      </w:r>
    </w:p>
    <w:p w14:paraId="0EA94949" w14:textId="05925EF4" w:rsidR="00040C2C" w:rsidRPr="00040C2C" w:rsidRDefault="000B695D" w:rsidP="00591C83">
      <w:pPr>
        <w:pStyle w:val="ListParagraph"/>
      </w:pPr>
      <w:r>
        <w:t xml:space="preserve">The PBAC considered </w:t>
      </w:r>
      <w:r w:rsidR="00EC7AD6" w:rsidRPr="00AD75D5">
        <w:t>the p</w:t>
      </w:r>
      <w:r w:rsidR="00734FD6" w:rsidRPr="00734FD6">
        <w:t xml:space="preserve">lace in therapy </w:t>
      </w:r>
      <w:r w:rsidR="001728A9">
        <w:t xml:space="preserve">for MIRV </w:t>
      </w:r>
      <w:r w:rsidR="00734FD6" w:rsidRPr="00734FD6">
        <w:t>may change</w:t>
      </w:r>
      <w:r w:rsidR="008E3F8C" w:rsidRPr="00AD75D5">
        <w:t xml:space="preserve"> in the future as more evidence becomes available for a broader population including those with </w:t>
      </w:r>
      <w:r w:rsidR="00734FD6" w:rsidRPr="00734FD6">
        <w:t>platinum</w:t>
      </w:r>
      <w:r w:rsidR="00A46D2B">
        <w:noBreakHyphen/>
      </w:r>
      <w:r w:rsidR="00734FD6" w:rsidRPr="00734FD6">
        <w:t>sensitive</w:t>
      </w:r>
      <w:r w:rsidR="008E3F8C" w:rsidRPr="00AD75D5">
        <w:t xml:space="preserve"> ovarian cancer</w:t>
      </w:r>
      <w:r w:rsidR="00315B37">
        <w:t xml:space="preserve"> </w:t>
      </w:r>
      <w:r w:rsidR="0043537F" w:rsidRPr="00AD75D5">
        <w:t>or for</w:t>
      </w:r>
      <w:r w:rsidR="00393705">
        <w:t xml:space="preserve"> use in</w:t>
      </w:r>
      <w:r w:rsidR="0043537F" w:rsidRPr="00AD75D5">
        <w:t xml:space="preserve"> </w:t>
      </w:r>
      <w:r w:rsidR="00AD75D5" w:rsidRPr="00AD75D5">
        <w:t>combination</w:t>
      </w:r>
      <w:r w:rsidR="00930782" w:rsidRPr="00AD75D5">
        <w:t xml:space="preserve"> therapy including </w:t>
      </w:r>
      <w:r w:rsidR="00734FD6" w:rsidRPr="00734FD6">
        <w:t>bevacizumab</w:t>
      </w:r>
      <w:r w:rsidR="00930782" w:rsidRPr="00AD75D5">
        <w:t xml:space="preserve">. The PBAC noted that MIRV treatment is </w:t>
      </w:r>
      <w:r w:rsidR="0023668C">
        <w:t>administered intravenously</w:t>
      </w:r>
      <w:r w:rsidR="00040C2C" w:rsidRPr="00040C2C">
        <w:t xml:space="preserve"> and requires screening and monitoring for corneal keratopathy</w:t>
      </w:r>
      <w:r w:rsidR="00AD75D5" w:rsidRPr="00AD75D5">
        <w:t>,</w:t>
      </w:r>
      <w:r w:rsidR="00040C2C" w:rsidRPr="00040C2C">
        <w:t xml:space="preserve"> which</w:t>
      </w:r>
      <w:r w:rsidR="00AD75D5" w:rsidRPr="00AD75D5">
        <w:t xml:space="preserve"> the Committee considered</w:t>
      </w:r>
      <w:r w:rsidR="00040C2C" w:rsidRPr="00040C2C">
        <w:t xml:space="preserve"> may reduce access for rural and regional patients</w:t>
      </w:r>
      <w:r w:rsidR="00077711">
        <w:t>.</w:t>
      </w:r>
    </w:p>
    <w:p w14:paraId="4797ED30" w14:textId="45F7BD47" w:rsidR="00297B70" w:rsidRPr="00297B70" w:rsidRDefault="00297B70" w:rsidP="00591C83">
      <w:pPr>
        <w:pStyle w:val="ListParagraph"/>
      </w:pPr>
      <w:r w:rsidRPr="00297B70">
        <w:t>The</w:t>
      </w:r>
      <w:r w:rsidR="005910F4" w:rsidRPr="000B5867">
        <w:t xml:space="preserve"> PBAC accepted the submission’s</w:t>
      </w:r>
      <w:r w:rsidRPr="00297B70">
        <w:t xml:space="preserve"> proposed comparator </w:t>
      </w:r>
      <w:r w:rsidR="009C574F" w:rsidRPr="000B5867">
        <w:t>of</w:t>
      </w:r>
      <w:r w:rsidRPr="00297B70">
        <w:t xml:space="preserve"> </w:t>
      </w:r>
      <w:r w:rsidR="009015F9">
        <w:t>non</w:t>
      </w:r>
      <w:r w:rsidR="00A46D2B">
        <w:noBreakHyphen/>
      </w:r>
      <w:r w:rsidR="009015F9">
        <w:t xml:space="preserve">platinum </w:t>
      </w:r>
      <w:r w:rsidRPr="00297B70">
        <w:t>chemotherapy (+/</w:t>
      </w:r>
      <w:r w:rsidR="00A46D2B">
        <w:noBreakHyphen/>
      </w:r>
      <w:r w:rsidRPr="00297B70">
        <w:t xml:space="preserve"> bevacizumab) including comparators of paclitaxel, topotecan, liposomal doxorubicin</w:t>
      </w:r>
      <w:r w:rsidR="00582ED6" w:rsidRPr="000B5867">
        <w:t>, which the Committee considered</w:t>
      </w:r>
      <w:r w:rsidRPr="00297B70">
        <w:t xml:space="preserve"> </w:t>
      </w:r>
      <w:r w:rsidR="00A63DC5">
        <w:t>reflects</w:t>
      </w:r>
      <w:r w:rsidRPr="00297B70">
        <w:t xml:space="preserve"> current standard of care for platinum</w:t>
      </w:r>
      <w:r w:rsidR="00A46D2B">
        <w:noBreakHyphen/>
      </w:r>
      <w:r w:rsidRPr="00297B70">
        <w:t>resistant ovarian cancer</w:t>
      </w:r>
      <w:r w:rsidR="00582ED6" w:rsidRPr="000B5867">
        <w:t xml:space="preserve"> in Australia. </w:t>
      </w:r>
    </w:p>
    <w:p w14:paraId="1E83E10C" w14:textId="46DAD6F3" w:rsidR="005B5EA7" w:rsidRPr="007F0483" w:rsidRDefault="009A2AF0" w:rsidP="00591C83">
      <w:pPr>
        <w:pStyle w:val="ListParagraph"/>
        <w:rPr>
          <w:rFonts w:cs="Arial"/>
          <w:iCs/>
          <w:snapToGrid w:val="0"/>
          <w:szCs w:val="20"/>
        </w:rPr>
      </w:pPr>
      <w:bookmarkStart w:id="96" w:name="_Ref204705242"/>
      <w:r w:rsidRPr="000E1CB4">
        <w:t>The PBAC considered that the submission’s key trial,</w:t>
      </w:r>
      <w:r w:rsidR="007816AF" w:rsidRPr="000E1CB4">
        <w:t xml:space="preserve"> </w:t>
      </w:r>
      <w:r w:rsidR="007A4596" w:rsidRPr="007A4596">
        <w:rPr>
          <w:rFonts w:cs="Arial"/>
          <w:snapToGrid w:val="0"/>
          <w:szCs w:val="20"/>
        </w:rPr>
        <w:t xml:space="preserve">MIRASOL RCT (n=453, vs </w:t>
      </w:r>
      <w:r w:rsidR="007F3E0A">
        <w:rPr>
          <w:rFonts w:cs="Arial"/>
          <w:snapToGrid w:val="0"/>
          <w:szCs w:val="20"/>
        </w:rPr>
        <w:t>investigator</w:t>
      </w:r>
      <w:r w:rsidR="00E06C7A">
        <w:rPr>
          <w:rFonts w:cs="Arial"/>
          <w:snapToGrid w:val="0"/>
          <w:szCs w:val="20"/>
        </w:rPr>
        <w:t>’</w:t>
      </w:r>
      <w:r w:rsidR="007F3E0A">
        <w:rPr>
          <w:rFonts w:cs="Arial"/>
          <w:snapToGrid w:val="0"/>
          <w:szCs w:val="20"/>
        </w:rPr>
        <w:t xml:space="preserve">s choice of </w:t>
      </w:r>
      <w:r w:rsidR="007A4596" w:rsidRPr="007A4596">
        <w:rPr>
          <w:rFonts w:cs="Arial"/>
          <w:snapToGrid w:val="0"/>
          <w:szCs w:val="20"/>
        </w:rPr>
        <w:t>chemo</w:t>
      </w:r>
      <w:r w:rsidR="00D16DF9">
        <w:rPr>
          <w:rFonts w:cs="Arial"/>
          <w:snapToGrid w:val="0"/>
          <w:szCs w:val="20"/>
        </w:rPr>
        <w:t>therapy</w:t>
      </w:r>
      <w:r w:rsidR="00760C4F">
        <w:rPr>
          <w:rFonts w:cs="Arial"/>
          <w:snapToGrid w:val="0"/>
          <w:szCs w:val="20"/>
        </w:rPr>
        <w:t xml:space="preserve"> </w:t>
      </w:r>
      <w:r w:rsidR="004E6DF9">
        <w:rPr>
          <w:rFonts w:cs="Arial"/>
          <w:snapToGrid w:val="0"/>
          <w:szCs w:val="20"/>
        </w:rPr>
        <w:t>(</w:t>
      </w:r>
      <w:r w:rsidR="007F3E0A">
        <w:rPr>
          <w:rFonts w:cs="Arial"/>
          <w:snapToGrid w:val="0"/>
          <w:szCs w:val="20"/>
        </w:rPr>
        <w:t xml:space="preserve">ICC, including </w:t>
      </w:r>
      <w:r w:rsidR="004E6DF9" w:rsidRPr="00297B70">
        <w:t xml:space="preserve">paclitaxel, topotecan, </w:t>
      </w:r>
      <w:r w:rsidR="004E6DF9">
        <w:t xml:space="preserve">or </w:t>
      </w:r>
      <w:r w:rsidR="004E6DF9" w:rsidRPr="00297B70">
        <w:t>liposomal doxorubicin</w:t>
      </w:r>
      <w:r w:rsidR="004E6DF9">
        <w:t>)</w:t>
      </w:r>
      <w:r w:rsidR="007A4596" w:rsidRPr="007A4596">
        <w:rPr>
          <w:rFonts w:cs="Arial"/>
          <w:snapToGrid w:val="0"/>
          <w:szCs w:val="20"/>
        </w:rPr>
        <w:t xml:space="preserve">) </w:t>
      </w:r>
      <w:r w:rsidR="004A1870">
        <w:rPr>
          <w:rFonts w:cs="Arial"/>
          <w:snapToGrid w:val="0"/>
          <w:szCs w:val="20"/>
        </w:rPr>
        <w:t>had</w:t>
      </w:r>
      <w:r w:rsidR="004A1870" w:rsidRPr="007A4596">
        <w:rPr>
          <w:rFonts w:cs="Arial"/>
          <w:snapToGrid w:val="0"/>
          <w:szCs w:val="20"/>
        </w:rPr>
        <w:t xml:space="preserve"> </w:t>
      </w:r>
      <w:r w:rsidR="007A4596" w:rsidRPr="007A4596">
        <w:rPr>
          <w:rFonts w:cs="Arial"/>
          <w:snapToGrid w:val="0"/>
          <w:szCs w:val="20"/>
        </w:rPr>
        <w:t>a high risk of bias</w:t>
      </w:r>
      <w:r w:rsidRPr="007F0483">
        <w:rPr>
          <w:rFonts w:cs="Arial"/>
          <w:snapToGrid w:val="0"/>
          <w:szCs w:val="20"/>
        </w:rPr>
        <w:t xml:space="preserve"> due to its o</w:t>
      </w:r>
      <w:r w:rsidR="007A4596" w:rsidRPr="007A4596">
        <w:rPr>
          <w:rFonts w:cs="Arial"/>
          <w:snapToGrid w:val="0"/>
          <w:szCs w:val="20"/>
        </w:rPr>
        <w:t>pen</w:t>
      </w:r>
      <w:r w:rsidR="00A46D2B">
        <w:rPr>
          <w:rFonts w:cs="Arial"/>
          <w:snapToGrid w:val="0"/>
          <w:szCs w:val="20"/>
        </w:rPr>
        <w:noBreakHyphen/>
      </w:r>
      <w:r w:rsidR="007A4596" w:rsidRPr="007A4596">
        <w:rPr>
          <w:rFonts w:cs="Arial"/>
          <w:snapToGrid w:val="0"/>
          <w:szCs w:val="20"/>
        </w:rPr>
        <w:t>label design</w:t>
      </w:r>
      <w:r w:rsidRPr="007F0483">
        <w:rPr>
          <w:rFonts w:cs="Arial"/>
          <w:snapToGrid w:val="0"/>
          <w:szCs w:val="20"/>
        </w:rPr>
        <w:t xml:space="preserve"> </w:t>
      </w:r>
      <w:r w:rsidR="00777B40">
        <w:rPr>
          <w:rFonts w:cs="Arial"/>
          <w:snapToGrid w:val="0"/>
          <w:szCs w:val="20"/>
        </w:rPr>
        <w:t>due</w:t>
      </w:r>
      <w:r w:rsidR="00777B40" w:rsidRPr="007A4596">
        <w:rPr>
          <w:rFonts w:cs="Arial"/>
          <w:snapToGrid w:val="0"/>
          <w:szCs w:val="20"/>
        </w:rPr>
        <w:t xml:space="preserve"> </w:t>
      </w:r>
      <w:r w:rsidR="007A4596" w:rsidRPr="007A4596">
        <w:rPr>
          <w:rFonts w:cs="Arial"/>
          <w:snapToGrid w:val="0"/>
          <w:szCs w:val="20"/>
        </w:rPr>
        <w:t xml:space="preserve">to </w:t>
      </w:r>
      <w:r w:rsidR="007A4596" w:rsidRPr="007A4596">
        <w:rPr>
          <w:rFonts w:cs="Arial"/>
          <w:snapToGrid w:val="0"/>
          <w:szCs w:val="20"/>
        </w:rPr>
        <w:lastRenderedPageBreak/>
        <w:t>dropouts at treatment allocation and prior to disease progression</w:t>
      </w:r>
      <w:bookmarkEnd w:id="96"/>
      <w:r w:rsidR="00AB5C64">
        <w:rPr>
          <w:rFonts w:cs="Arial"/>
          <w:snapToGrid w:val="0"/>
          <w:szCs w:val="20"/>
        </w:rPr>
        <w:t>, however the impact of these biases was unclear</w:t>
      </w:r>
      <w:r w:rsidR="00CD3399" w:rsidRPr="007F0483">
        <w:rPr>
          <w:rFonts w:cs="Arial"/>
          <w:snapToGrid w:val="0"/>
          <w:szCs w:val="20"/>
        </w:rPr>
        <w:t xml:space="preserve">. </w:t>
      </w:r>
      <w:r w:rsidR="002340CF">
        <w:rPr>
          <w:rFonts w:cs="Arial"/>
          <w:snapToGrid w:val="0"/>
          <w:szCs w:val="20"/>
        </w:rPr>
        <w:t>The PBAC also note</w:t>
      </w:r>
      <w:r w:rsidR="000C3DCB">
        <w:rPr>
          <w:rFonts w:cs="Arial"/>
          <w:snapToGrid w:val="0"/>
          <w:szCs w:val="20"/>
        </w:rPr>
        <w:t>d</w:t>
      </w:r>
      <w:r w:rsidR="002340CF">
        <w:rPr>
          <w:rFonts w:cs="Arial"/>
          <w:snapToGrid w:val="0"/>
          <w:szCs w:val="20"/>
        </w:rPr>
        <w:t xml:space="preserve"> that there was </w:t>
      </w:r>
      <w:r w:rsidR="007F1B82">
        <w:rPr>
          <w:rFonts w:cs="Arial"/>
          <w:snapToGrid w:val="0"/>
          <w:szCs w:val="20"/>
        </w:rPr>
        <w:t xml:space="preserve">poor concordance between the </w:t>
      </w:r>
      <w:r w:rsidR="00D61AEC" w:rsidRPr="007A4596">
        <w:rPr>
          <w:rFonts w:cs="Arial"/>
          <w:snapToGrid w:val="0"/>
          <w:szCs w:val="20"/>
        </w:rPr>
        <w:t>primary endpoint of</w:t>
      </w:r>
      <w:r w:rsidR="00D61AEC" w:rsidRPr="007F0483">
        <w:rPr>
          <w:rFonts w:cs="Arial"/>
          <w:snapToGrid w:val="0"/>
          <w:szCs w:val="20"/>
        </w:rPr>
        <w:t xml:space="preserve"> </w:t>
      </w:r>
      <w:r w:rsidR="00D61AEC" w:rsidRPr="007A4596">
        <w:rPr>
          <w:rFonts w:cs="Arial"/>
          <w:snapToGrid w:val="0"/>
          <w:szCs w:val="20"/>
        </w:rPr>
        <w:t>PFS based on investigator assessment</w:t>
      </w:r>
      <w:r w:rsidR="007F1B82">
        <w:rPr>
          <w:rFonts w:cs="Arial"/>
          <w:snapToGrid w:val="0"/>
          <w:szCs w:val="20"/>
        </w:rPr>
        <w:t xml:space="preserve"> and</w:t>
      </w:r>
      <w:r w:rsidR="0055792A">
        <w:rPr>
          <w:rFonts w:cs="Arial"/>
          <w:snapToGrid w:val="0"/>
          <w:szCs w:val="20"/>
        </w:rPr>
        <w:t xml:space="preserve"> </w:t>
      </w:r>
      <w:r w:rsidR="000852CF">
        <w:rPr>
          <w:rFonts w:cs="Arial"/>
          <w:snapToGrid w:val="0"/>
          <w:szCs w:val="20"/>
        </w:rPr>
        <w:t xml:space="preserve">secondary outcome of PFS based on </w:t>
      </w:r>
      <w:r w:rsidR="0055792A">
        <w:rPr>
          <w:rFonts w:cs="Arial"/>
          <w:snapToGrid w:val="0"/>
          <w:szCs w:val="20"/>
        </w:rPr>
        <w:t>BICR</w:t>
      </w:r>
      <w:r w:rsidR="000C3DCB">
        <w:rPr>
          <w:rFonts w:cs="Arial"/>
          <w:snapToGrid w:val="0"/>
          <w:szCs w:val="20"/>
        </w:rPr>
        <w:t xml:space="preserve"> due to differences in </w:t>
      </w:r>
      <w:r w:rsidR="000852CF">
        <w:rPr>
          <w:rFonts w:cs="Arial"/>
          <w:snapToGrid w:val="0"/>
          <w:szCs w:val="20"/>
        </w:rPr>
        <w:t xml:space="preserve">censoring and </w:t>
      </w:r>
      <w:r w:rsidR="000C3DCB">
        <w:rPr>
          <w:rFonts w:cs="Arial"/>
          <w:snapToGrid w:val="0"/>
          <w:szCs w:val="20"/>
        </w:rPr>
        <w:t>the assessment</w:t>
      </w:r>
      <w:r w:rsidR="00C00D1D">
        <w:rPr>
          <w:rFonts w:cs="Arial"/>
          <w:snapToGrid w:val="0"/>
          <w:szCs w:val="20"/>
        </w:rPr>
        <w:t xml:space="preserve"> of these outcomes</w:t>
      </w:r>
      <w:r w:rsidR="009A1995">
        <w:rPr>
          <w:rFonts w:cs="Arial"/>
          <w:snapToGrid w:val="0"/>
          <w:szCs w:val="20"/>
        </w:rPr>
        <w:t>, however the secondary outcome of OS was supportive of a treatment effect</w:t>
      </w:r>
      <w:r w:rsidR="00C00D1D">
        <w:rPr>
          <w:rFonts w:cs="Arial"/>
          <w:snapToGrid w:val="0"/>
          <w:szCs w:val="20"/>
        </w:rPr>
        <w:t xml:space="preserve">. </w:t>
      </w:r>
      <w:r w:rsidR="007A4596" w:rsidRPr="007A4596">
        <w:rPr>
          <w:rFonts w:cs="Arial"/>
          <w:iCs/>
          <w:snapToGrid w:val="0"/>
          <w:szCs w:val="20"/>
        </w:rPr>
        <w:t xml:space="preserve">The </w:t>
      </w:r>
      <w:r w:rsidR="007F0483" w:rsidRPr="007F0483">
        <w:rPr>
          <w:rFonts w:cs="Arial"/>
          <w:iCs/>
          <w:snapToGrid w:val="0"/>
          <w:szCs w:val="20"/>
        </w:rPr>
        <w:t xml:space="preserve">PBAC considered that the </w:t>
      </w:r>
      <w:r w:rsidR="007F0483">
        <w:rPr>
          <w:rFonts w:cs="Arial"/>
          <w:iCs/>
          <w:snapToGrid w:val="0"/>
          <w:szCs w:val="20"/>
        </w:rPr>
        <w:t xml:space="preserve">MIRASOL </w:t>
      </w:r>
      <w:r w:rsidR="007A4596" w:rsidRPr="007A4596">
        <w:rPr>
          <w:rFonts w:cs="Arial"/>
          <w:iCs/>
          <w:snapToGrid w:val="0"/>
          <w:szCs w:val="20"/>
        </w:rPr>
        <w:t>trial population</w:t>
      </w:r>
      <w:r w:rsidR="007F0483" w:rsidRPr="007F0483">
        <w:rPr>
          <w:rFonts w:cs="Arial"/>
          <w:iCs/>
          <w:snapToGrid w:val="0"/>
          <w:szCs w:val="20"/>
        </w:rPr>
        <w:t xml:space="preserve"> </w:t>
      </w:r>
      <w:r w:rsidR="007A4596" w:rsidRPr="007A4596">
        <w:rPr>
          <w:rFonts w:cs="Arial"/>
          <w:iCs/>
          <w:snapToGrid w:val="0"/>
          <w:szCs w:val="20"/>
        </w:rPr>
        <w:t xml:space="preserve">and </w:t>
      </w:r>
      <w:r w:rsidR="009E040D">
        <w:rPr>
          <w:rFonts w:cs="Arial"/>
          <w:iCs/>
          <w:snapToGrid w:val="0"/>
          <w:szCs w:val="20"/>
        </w:rPr>
        <w:t>standard</w:t>
      </w:r>
      <w:r w:rsidR="007A4596" w:rsidRPr="007A4596">
        <w:rPr>
          <w:rFonts w:cs="Arial"/>
          <w:iCs/>
          <w:snapToGrid w:val="0"/>
          <w:szCs w:val="20"/>
        </w:rPr>
        <w:t xml:space="preserve"> care</w:t>
      </w:r>
      <w:r w:rsidR="009E040D">
        <w:rPr>
          <w:rFonts w:cs="Arial"/>
          <w:iCs/>
          <w:snapToGrid w:val="0"/>
          <w:szCs w:val="20"/>
        </w:rPr>
        <w:t xml:space="preserve"> arm</w:t>
      </w:r>
      <w:r w:rsidR="007A4596" w:rsidRPr="007A4596">
        <w:rPr>
          <w:rFonts w:cs="Arial"/>
          <w:iCs/>
          <w:snapToGrid w:val="0"/>
          <w:szCs w:val="20"/>
        </w:rPr>
        <w:t xml:space="preserve"> were representative</w:t>
      </w:r>
      <w:r w:rsidR="007F0483" w:rsidRPr="007F0483">
        <w:rPr>
          <w:rFonts w:cs="Arial"/>
          <w:iCs/>
          <w:snapToGrid w:val="0"/>
          <w:szCs w:val="20"/>
        </w:rPr>
        <w:t xml:space="preserve"> of the</w:t>
      </w:r>
      <w:r w:rsidR="007A4596" w:rsidRPr="007A4596">
        <w:rPr>
          <w:rFonts w:cs="Arial"/>
          <w:iCs/>
          <w:snapToGrid w:val="0"/>
          <w:szCs w:val="20"/>
        </w:rPr>
        <w:t xml:space="preserve"> Australia</w:t>
      </w:r>
      <w:r w:rsidR="007F0483" w:rsidRPr="007F0483">
        <w:rPr>
          <w:rFonts w:cs="Arial"/>
          <w:iCs/>
          <w:snapToGrid w:val="0"/>
          <w:szCs w:val="20"/>
        </w:rPr>
        <w:t xml:space="preserve">n population and clinical practice, </w:t>
      </w:r>
      <w:r w:rsidR="007A4596" w:rsidRPr="007A4596">
        <w:rPr>
          <w:rFonts w:cs="Arial"/>
          <w:iCs/>
          <w:snapToGrid w:val="0"/>
          <w:szCs w:val="20"/>
        </w:rPr>
        <w:t xml:space="preserve">except </w:t>
      </w:r>
      <w:r w:rsidR="007F0483" w:rsidRPr="007F0483">
        <w:rPr>
          <w:rFonts w:cs="Arial"/>
          <w:iCs/>
          <w:snapToGrid w:val="0"/>
          <w:szCs w:val="20"/>
        </w:rPr>
        <w:t xml:space="preserve">that </w:t>
      </w:r>
      <w:r w:rsidR="007A4596" w:rsidRPr="007A4596">
        <w:rPr>
          <w:rFonts w:cs="Arial"/>
          <w:iCs/>
          <w:snapToGrid w:val="0"/>
          <w:szCs w:val="20"/>
        </w:rPr>
        <w:t>bevacizumab</w:t>
      </w:r>
      <w:r w:rsidR="007F0483" w:rsidRPr="007F0483">
        <w:rPr>
          <w:rFonts w:cs="Arial"/>
          <w:iCs/>
          <w:snapToGrid w:val="0"/>
          <w:szCs w:val="20"/>
        </w:rPr>
        <w:t xml:space="preserve"> is </w:t>
      </w:r>
      <w:r w:rsidR="00F3492F">
        <w:rPr>
          <w:rFonts w:cs="Arial"/>
          <w:iCs/>
          <w:snapToGrid w:val="0"/>
          <w:szCs w:val="20"/>
        </w:rPr>
        <w:t>also</w:t>
      </w:r>
      <w:r w:rsidR="00F3492F" w:rsidRPr="007F0483">
        <w:rPr>
          <w:rFonts w:cs="Arial"/>
          <w:iCs/>
          <w:snapToGrid w:val="0"/>
          <w:szCs w:val="20"/>
        </w:rPr>
        <w:t xml:space="preserve"> </w:t>
      </w:r>
      <w:r w:rsidR="007F0483" w:rsidRPr="007F0483">
        <w:rPr>
          <w:rFonts w:cs="Arial"/>
          <w:iCs/>
          <w:snapToGrid w:val="0"/>
          <w:szCs w:val="20"/>
        </w:rPr>
        <w:t xml:space="preserve">commonly used with chemotherapy </w:t>
      </w:r>
      <w:r w:rsidR="007A4596" w:rsidRPr="007A4596">
        <w:rPr>
          <w:rFonts w:cs="Arial"/>
          <w:iCs/>
          <w:snapToGrid w:val="0"/>
          <w:szCs w:val="20"/>
        </w:rPr>
        <w:t>in Australia</w:t>
      </w:r>
      <w:r w:rsidR="007F0483" w:rsidRPr="007F0483">
        <w:rPr>
          <w:rFonts w:cs="Arial"/>
          <w:iCs/>
          <w:snapToGrid w:val="0"/>
          <w:szCs w:val="20"/>
        </w:rPr>
        <w:t xml:space="preserve">. </w:t>
      </w:r>
    </w:p>
    <w:p w14:paraId="55BD8B59" w14:textId="25BFC304" w:rsidR="008F2695" w:rsidRDefault="00DD48F9" w:rsidP="00591C83">
      <w:pPr>
        <w:pStyle w:val="ListParagraph"/>
        <w:rPr>
          <w:rFonts w:cs="Arial"/>
          <w:iCs/>
          <w:snapToGrid w:val="0"/>
          <w:szCs w:val="20"/>
        </w:rPr>
      </w:pPr>
      <w:r w:rsidRPr="008F2695">
        <w:rPr>
          <w:rFonts w:cs="Arial"/>
          <w:iCs/>
          <w:snapToGrid w:val="0"/>
          <w:szCs w:val="20"/>
        </w:rPr>
        <w:t>The PBAC</w:t>
      </w:r>
      <w:r w:rsidR="003B1602" w:rsidRPr="008F2695">
        <w:rPr>
          <w:rFonts w:cs="Arial"/>
          <w:iCs/>
          <w:snapToGrid w:val="0"/>
          <w:szCs w:val="20"/>
        </w:rPr>
        <w:t xml:space="preserve"> </w:t>
      </w:r>
      <w:r w:rsidR="005819C6" w:rsidRPr="005819C6">
        <w:rPr>
          <w:rFonts w:cs="Arial"/>
          <w:snapToGrid w:val="0"/>
          <w:szCs w:val="20"/>
        </w:rPr>
        <w:t>not</w:t>
      </w:r>
      <w:r w:rsidRPr="008F2695">
        <w:rPr>
          <w:rFonts w:cs="Arial"/>
          <w:snapToGrid w:val="0"/>
          <w:szCs w:val="20"/>
        </w:rPr>
        <w:t>ed</w:t>
      </w:r>
      <w:r w:rsidR="00F40EEF">
        <w:rPr>
          <w:rFonts w:cs="Arial"/>
          <w:iCs/>
          <w:snapToGrid w:val="0"/>
          <w:szCs w:val="20"/>
        </w:rPr>
        <w:t xml:space="preserve"> </w:t>
      </w:r>
      <w:r w:rsidR="008534CD">
        <w:rPr>
          <w:rFonts w:cs="Arial"/>
          <w:iCs/>
          <w:snapToGrid w:val="0"/>
          <w:szCs w:val="20"/>
        </w:rPr>
        <w:t xml:space="preserve">for </w:t>
      </w:r>
      <w:r w:rsidR="00F40EEF">
        <w:rPr>
          <w:rFonts w:cs="Arial"/>
          <w:iCs/>
          <w:snapToGrid w:val="0"/>
          <w:szCs w:val="20"/>
        </w:rPr>
        <w:t xml:space="preserve">patients with </w:t>
      </w:r>
      <w:r w:rsidR="00F40EEF" w:rsidRPr="00F40EEF">
        <w:rPr>
          <w:rFonts w:cs="Arial"/>
          <w:iCs/>
          <w:snapToGrid w:val="0"/>
          <w:szCs w:val="20"/>
        </w:rPr>
        <w:t>FRα</w:t>
      </w:r>
      <w:r w:rsidR="00A46D2B">
        <w:rPr>
          <w:rFonts w:cs="Arial"/>
          <w:iCs/>
          <w:snapToGrid w:val="0"/>
          <w:szCs w:val="20"/>
        </w:rPr>
        <w:noBreakHyphen/>
      </w:r>
      <w:r w:rsidR="00F40EEF">
        <w:rPr>
          <w:rFonts w:cs="Arial"/>
          <w:iCs/>
          <w:snapToGrid w:val="0"/>
          <w:szCs w:val="20"/>
        </w:rPr>
        <w:t>high</w:t>
      </w:r>
      <w:r w:rsidR="00F40EEF" w:rsidRPr="00F40EEF">
        <w:rPr>
          <w:rFonts w:cs="Arial"/>
          <w:iCs/>
          <w:snapToGrid w:val="0"/>
          <w:szCs w:val="20"/>
        </w:rPr>
        <w:t xml:space="preserve"> expression</w:t>
      </w:r>
      <w:r w:rsidR="00816873">
        <w:rPr>
          <w:rFonts w:cs="Arial"/>
          <w:iCs/>
          <w:snapToGrid w:val="0"/>
          <w:szCs w:val="20"/>
        </w:rPr>
        <w:t xml:space="preserve"> MIRV was associated with</w:t>
      </w:r>
      <w:r w:rsidR="00A555A0">
        <w:rPr>
          <w:rFonts w:cs="Arial"/>
          <w:iCs/>
          <w:snapToGrid w:val="0"/>
          <w:szCs w:val="20"/>
        </w:rPr>
        <w:t xml:space="preserve"> a </w:t>
      </w:r>
      <w:r w:rsidR="00FA647B">
        <w:rPr>
          <w:rFonts w:cs="Arial"/>
          <w:iCs/>
          <w:snapToGrid w:val="0"/>
          <w:szCs w:val="20"/>
        </w:rPr>
        <w:t xml:space="preserve">small benefit in </w:t>
      </w:r>
      <w:r w:rsidR="00204DAA">
        <w:rPr>
          <w:rFonts w:cs="Arial"/>
          <w:iCs/>
          <w:snapToGrid w:val="0"/>
          <w:szCs w:val="20"/>
        </w:rPr>
        <w:t>median investigator assessed</w:t>
      </w:r>
      <w:r w:rsidR="00FA647B">
        <w:rPr>
          <w:rFonts w:cs="Arial"/>
          <w:iCs/>
          <w:snapToGrid w:val="0"/>
          <w:szCs w:val="20"/>
        </w:rPr>
        <w:t xml:space="preserve"> PFS (1.6 months)</w:t>
      </w:r>
      <w:r w:rsidR="0036320F">
        <w:rPr>
          <w:rFonts w:cs="Arial"/>
          <w:iCs/>
          <w:snapToGrid w:val="0"/>
          <w:szCs w:val="20"/>
        </w:rPr>
        <w:t xml:space="preserve"> in MIRASOL</w:t>
      </w:r>
      <w:r w:rsidRPr="008F2695">
        <w:rPr>
          <w:rFonts w:cs="Arial"/>
          <w:iCs/>
          <w:snapToGrid w:val="0"/>
          <w:szCs w:val="20"/>
        </w:rPr>
        <w:t>, which it considered</w:t>
      </w:r>
      <w:r w:rsidR="005819C6" w:rsidRPr="005819C6">
        <w:rPr>
          <w:rFonts w:cs="Arial"/>
          <w:iCs/>
          <w:snapToGrid w:val="0"/>
          <w:szCs w:val="20"/>
        </w:rPr>
        <w:t xml:space="preserve"> </w:t>
      </w:r>
      <w:r w:rsidRPr="008F2695">
        <w:rPr>
          <w:rFonts w:cs="Arial"/>
          <w:iCs/>
          <w:snapToGrid w:val="0"/>
          <w:szCs w:val="20"/>
        </w:rPr>
        <w:t xml:space="preserve">was </w:t>
      </w:r>
      <w:r w:rsidR="005819C6" w:rsidRPr="005819C6">
        <w:rPr>
          <w:rFonts w:cs="Arial"/>
          <w:iCs/>
          <w:snapToGrid w:val="0"/>
          <w:szCs w:val="20"/>
        </w:rPr>
        <w:t>likely</w:t>
      </w:r>
      <w:r w:rsidR="00AF03A8" w:rsidRPr="008F2695">
        <w:rPr>
          <w:rFonts w:cs="Arial"/>
          <w:iCs/>
          <w:snapToGrid w:val="0"/>
          <w:szCs w:val="20"/>
        </w:rPr>
        <w:t xml:space="preserve"> to be</w:t>
      </w:r>
      <w:r w:rsidR="005819C6" w:rsidRPr="005819C6">
        <w:rPr>
          <w:rFonts w:cs="Arial"/>
          <w:iCs/>
          <w:snapToGrid w:val="0"/>
          <w:szCs w:val="20"/>
        </w:rPr>
        <w:t xml:space="preserve"> overestimated</w:t>
      </w:r>
      <w:r w:rsidR="00AF03A8" w:rsidRPr="008F2695">
        <w:rPr>
          <w:rFonts w:cs="Arial"/>
          <w:iCs/>
          <w:snapToGrid w:val="0"/>
          <w:szCs w:val="20"/>
        </w:rPr>
        <w:t xml:space="preserve"> due to the trial’s high risk of bias (see paragraph</w:t>
      </w:r>
      <w:r w:rsidR="00DC3047">
        <w:rPr>
          <w:rFonts w:cs="Arial"/>
          <w:iCs/>
          <w:snapToGrid w:val="0"/>
          <w:szCs w:val="20"/>
        </w:rPr>
        <w:t xml:space="preserve"> </w:t>
      </w:r>
      <w:r w:rsidR="00AF03A8" w:rsidRPr="008F2695">
        <w:rPr>
          <w:rFonts w:cs="Arial"/>
          <w:iCs/>
          <w:snapToGrid w:val="0"/>
          <w:szCs w:val="20"/>
        </w:rPr>
        <w:fldChar w:fldCharType="begin" w:fldLock="1"/>
      </w:r>
      <w:r w:rsidR="00AF03A8" w:rsidRPr="008F2695">
        <w:rPr>
          <w:rFonts w:cs="Arial"/>
          <w:iCs/>
          <w:snapToGrid w:val="0"/>
          <w:szCs w:val="20"/>
        </w:rPr>
        <w:instrText xml:space="preserve"> REF _Ref204705242 \r \h </w:instrText>
      </w:r>
      <w:r w:rsidR="00AF03A8" w:rsidRPr="008F2695">
        <w:rPr>
          <w:rFonts w:cs="Arial"/>
          <w:iCs/>
          <w:snapToGrid w:val="0"/>
          <w:szCs w:val="20"/>
        </w:rPr>
      </w:r>
      <w:r w:rsidR="00AF03A8" w:rsidRPr="008F2695">
        <w:rPr>
          <w:rFonts w:cs="Arial"/>
          <w:iCs/>
          <w:snapToGrid w:val="0"/>
          <w:szCs w:val="20"/>
        </w:rPr>
        <w:fldChar w:fldCharType="separate"/>
      </w:r>
      <w:r w:rsidR="00AF03A8" w:rsidRPr="008F2695">
        <w:rPr>
          <w:rFonts w:cs="Arial"/>
          <w:iCs/>
          <w:snapToGrid w:val="0"/>
          <w:szCs w:val="20"/>
        </w:rPr>
        <w:fldChar w:fldCharType="end"/>
      </w:r>
      <w:r w:rsidR="00AF03A8" w:rsidRPr="008F2695">
        <w:rPr>
          <w:rFonts w:cs="Arial"/>
          <w:iCs/>
          <w:snapToGrid w:val="0"/>
          <w:szCs w:val="20"/>
        </w:rPr>
        <w:t xml:space="preserve">). </w:t>
      </w:r>
      <w:r w:rsidR="00816873">
        <w:rPr>
          <w:rFonts w:cs="Arial"/>
          <w:iCs/>
          <w:snapToGrid w:val="0"/>
          <w:szCs w:val="20"/>
        </w:rPr>
        <w:t>The PBAC also noted that MIRV treatment resulted in a</w:t>
      </w:r>
      <w:r w:rsidR="00816873" w:rsidRPr="008F2695">
        <w:rPr>
          <w:rFonts w:cs="Arial"/>
          <w:iCs/>
          <w:snapToGrid w:val="0"/>
          <w:szCs w:val="20"/>
        </w:rPr>
        <w:t xml:space="preserve"> </w:t>
      </w:r>
      <w:r w:rsidR="00816873" w:rsidRPr="005819C6">
        <w:rPr>
          <w:rFonts w:cs="Arial"/>
          <w:iCs/>
          <w:snapToGrid w:val="0"/>
          <w:szCs w:val="20"/>
        </w:rPr>
        <w:t xml:space="preserve">modest </w:t>
      </w:r>
      <w:r w:rsidR="001F703F">
        <w:rPr>
          <w:rFonts w:cs="Arial"/>
          <w:iCs/>
          <w:snapToGrid w:val="0"/>
          <w:szCs w:val="20"/>
        </w:rPr>
        <w:t xml:space="preserve">increase in median </w:t>
      </w:r>
      <w:r w:rsidR="00816873">
        <w:rPr>
          <w:rFonts w:cs="Arial"/>
          <w:iCs/>
          <w:snapToGrid w:val="0"/>
          <w:szCs w:val="20"/>
        </w:rPr>
        <w:t xml:space="preserve">OS </w:t>
      </w:r>
      <w:r w:rsidR="00816873" w:rsidRPr="008F2695">
        <w:rPr>
          <w:rFonts w:cs="Arial"/>
          <w:iCs/>
          <w:snapToGrid w:val="0"/>
          <w:szCs w:val="20"/>
        </w:rPr>
        <w:t>of 3.5 months in MIRASOL</w:t>
      </w:r>
      <w:r w:rsidR="00816873">
        <w:rPr>
          <w:rFonts w:cs="Arial"/>
          <w:iCs/>
          <w:snapToGrid w:val="0"/>
          <w:szCs w:val="20"/>
        </w:rPr>
        <w:t xml:space="preserve">. </w:t>
      </w:r>
      <w:r w:rsidR="006934E9" w:rsidRPr="008F2695">
        <w:rPr>
          <w:rFonts w:cs="Arial"/>
          <w:snapToGrid w:val="0"/>
          <w:lang w:eastAsia="en-AU"/>
        </w:rPr>
        <w:t>The</w:t>
      </w:r>
      <w:r w:rsidR="006934E9" w:rsidRPr="008F2695">
        <w:rPr>
          <w:rFonts w:cs="Arial"/>
          <w:snapToGrid w:val="0"/>
          <w:szCs w:val="20"/>
        </w:rPr>
        <w:t xml:space="preserve"> PBAC </w:t>
      </w:r>
      <w:r w:rsidR="006934E9" w:rsidRPr="00357EC0">
        <w:t>considered</w:t>
      </w:r>
      <w:r w:rsidR="006934E9" w:rsidRPr="008F2695">
        <w:rPr>
          <w:rFonts w:cs="Arial"/>
          <w:snapToGrid w:val="0"/>
          <w:szCs w:val="20"/>
        </w:rPr>
        <w:t xml:space="preserve"> that the claim of superior comparative effectiveness </w:t>
      </w:r>
      <w:r w:rsidR="00AB7331">
        <w:rPr>
          <w:rFonts w:cs="Arial"/>
          <w:snapToGrid w:val="0"/>
          <w:szCs w:val="20"/>
        </w:rPr>
        <w:t>compared with</w:t>
      </w:r>
      <w:r w:rsidR="00AB7331" w:rsidRPr="005819C6">
        <w:rPr>
          <w:rFonts w:cs="Arial"/>
          <w:snapToGrid w:val="0"/>
          <w:szCs w:val="20"/>
        </w:rPr>
        <w:t xml:space="preserve"> chemotherapy</w:t>
      </w:r>
      <w:r w:rsidR="00AB7331" w:rsidRPr="008F2695">
        <w:rPr>
          <w:rFonts w:cs="Arial"/>
          <w:snapToGrid w:val="0"/>
          <w:szCs w:val="20"/>
        </w:rPr>
        <w:t xml:space="preserve"> </w:t>
      </w:r>
      <w:r w:rsidR="006934E9" w:rsidRPr="008F2695">
        <w:rPr>
          <w:rFonts w:cs="Arial"/>
          <w:snapToGrid w:val="0"/>
          <w:szCs w:val="20"/>
        </w:rPr>
        <w:t>was supported by the data</w:t>
      </w:r>
      <w:r w:rsidR="006934E9" w:rsidRPr="008F2695">
        <w:rPr>
          <w:rFonts w:cs="Arial"/>
          <w:iCs/>
          <w:snapToGrid w:val="0"/>
          <w:szCs w:val="20"/>
        </w:rPr>
        <w:t>.</w:t>
      </w:r>
      <w:r w:rsidR="00CE488A">
        <w:rPr>
          <w:rFonts w:cs="Arial"/>
          <w:iCs/>
          <w:snapToGrid w:val="0"/>
          <w:szCs w:val="20"/>
        </w:rPr>
        <w:t xml:space="preserve"> </w:t>
      </w:r>
      <w:r w:rsidR="00E8013B">
        <w:rPr>
          <w:rFonts w:cs="Arial"/>
          <w:iCs/>
          <w:snapToGrid w:val="0"/>
          <w:szCs w:val="20"/>
        </w:rPr>
        <w:t xml:space="preserve">The PBAC noted that </w:t>
      </w:r>
      <w:r w:rsidR="00CE488A" w:rsidRPr="00CE488A">
        <w:rPr>
          <w:rFonts w:cs="Arial"/>
          <w:iCs/>
          <w:snapToGrid w:val="0"/>
          <w:szCs w:val="20"/>
        </w:rPr>
        <w:t xml:space="preserve">while the patient reported outcomes (PROs) generally favoured MIRV, the analyses were </w:t>
      </w:r>
      <w:r w:rsidR="000E23AC">
        <w:rPr>
          <w:rFonts w:cs="Arial"/>
          <w:iCs/>
          <w:snapToGrid w:val="0"/>
          <w:szCs w:val="20"/>
        </w:rPr>
        <w:t xml:space="preserve">not statistically significant and were likely to be </w:t>
      </w:r>
      <w:r w:rsidR="00CE488A">
        <w:rPr>
          <w:rFonts w:cs="Arial"/>
          <w:iCs/>
          <w:snapToGrid w:val="0"/>
          <w:szCs w:val="20"/>
        </w:rPr>
        <w:t>affected</w:t>
      </w:r>
      <w:r w:rsidR="000E23AC">
        <w:rPr>
          <w:rFonts w:cs="Arial"/>
          <w:iCs/>
          <w:snapToGrid w:val="0"/>
          <w:szCs w:val="20"/>
        </w:rPr>
        <w:t xml:space="preserve"> by </w:t>
      </w:r>
      <w:r w:rsidR="00677FD9">
        <w:rPr>
          <w:rFonts w:cs="Arial"/>
          <w:iCs/>
          <w:snapToGrid w:val="0"/>
          <w:szCs w:val="20"/>
        </w:rPr>
        <w:t xml:space="preserve">low </w:t>
      </w:r>
      <w:r w:rsidR="00CE488A" w:rsidRPr="00CE488A">
        <w:rPr>
          <w:rFonts w:cs="Arial"/>
          <w:iCs/>
          <w:snapToGrid w:val="0"/>
          <w:szCs w:val="20"/>
        </w:rPr>
        <w:t>completion rates</w:t>
      </w:r>
      <w:r w:rsidR="00BC65B6">
        <w:rPr>
          <w:rFonts w:cs="Arial"/>
          <w:iCs/>
          <w:snapToGrid w:val="0"/>
          <w:szCs w:val="20"/>
        </w:rPr>
        <w:t xml:space="preserve">. </w:t>
      </w:r>
    </w:p>
    <w:p w14:paraId="544A1383" w14:textId="1B03223C" w:rsidR="007A4596" w:rsidRPr="007A4596" w:rsidRDefault="00AB6DAA" w:rsidP="00591C83">
      <w:pPr>
        <w:pStyle w:val="ListParagraph"/>
        <w:rPr>
          <w:rFonts w:cs="Arial"/>
          <w:iCs/>
          <w:snapToGrid w:val="0"/>
          <w:szCs w:val="20"/>
        </w:rPr>
      </w:pPr>
      <w:r w:rsidRPr="007F0483">
        <w:rPr>
          <w:rFonts w:cs="Arial"/>
          <w:snapToGrid w:val="0"/>
          <w:szCs w:val="20"/>
        </w:rPr>
        <w:t xml:space="preserve">The PBAC considered that the </w:t>
      </w:r>
      <w:r w:rsidRPr="007A4596">
        <w:rPr>
          <w:rFonts w:cs="Arial"/>
          <w:snapToGrid w:val="0"/>
          <w:szCs w:val="20"/>
        </w:rPr>
        <w:t>indirect comparison of MIRV versus chemo</w:t>
      </w:r>
      <w:r w:rsidRPr="007F0483">
        <w:rPr>
          <w:rFonts w:cs="Arial"/>
          <w:snapToGrid w:val="0"/>
          <w:szCs w:val="20"/>
        </w:rPr>
        <w:t>therapy</w:t>
      </w:r>
      <w:r w:rsidRPr="007A4596">
        <w:rPr>
          <w:rFonts w:cs="Arial"/>
          <w:snapToGrid w:val="0"/>
          <w:szCs w:val="20"/>
        </w:rPr>
        <w:t xml:space="preserve"> + bevacizumab </w:t>
      </w:r>
      <w:r>
        <w:rPr>
          <w:rFonts w:cs="Arial"/>
          <w:snapToGrid w:val="0"/>
          <w:szCs w:val="20"/>
        </w:rPr>
        <w:t xml:space="preserve">using the </w:t>
      </w:r>
      <w:r w:rsidRPr="007A4596">
        <w:rPr>
          <w:rFonts w:cs="Arial"/>
          <w:snapToGrid w:val="0"/>
          <w:szCs w:val="20"/>
        </w:rPr>
        <w:t xml:space="preserve">MIRASOL </w:t>
      </w:r>
      <w:r w:rsidR="00CC1B02">
        <w:rPr>
          <w:rFonts w:cs="Arial"/>
          <w:snapToGrid w:val="0"/>
          <w:szCs w:val="20"/>
        </w:rPr>
        <w:t>and</w:t>
      </w:r>
      <w:r w:rsidR="00CC1B02" w:rsidRPr="007A4596">
        <w:rPr>
          <w:rFonts w:cs="Arial"/>
          <w:snapToGrid w:val="0"/>
          <w:szCs w:val="20"/>
        </w:rPr>
        <w:t xml:space="preserve"> </w:t>
      </w:r>
      <w:r w:rsidRPr="007A4596">
        <w:rPr>
          <w:rFonts w:cs="Arial"/>
          <w:snapToGrid w:val="0"/>
          <w:szCs w:val="20"/>
        </w:rPr>
        <w:t xml:space="preserve">AURELIA </w:t>
      </w:r>
      <w:r>
        <w:rPr>
          <w:rFonts w:cs="Arial"/>
          <w:snapToGrid w:val="0"/>
          <w:szCs w:val="20"/>
        </w:rPr>
        <w:t>trials</w:t>
      </w:r>
      <w:r w:rsidRPr="007A4596">
        <w:rPr>
          <w:rFonts w:cs="Arial"/>
          <w:snapToGrid w:val="0"/>
          <w:szCs w:val="20"/>
        </w:rPr>
        <w:t xml:space="preserve"> </w:t>
      </w:r>
      <w:r w:rsidR="00F2651D">
        <w:rPr>
          <w:rFonts w:cs="Arial"/>
          <w:snapToGrid w:val="0"/>
          <w:szCs w:val="20"/>
        </w:rPr>
        <w:t>wa</w:t>
      </w:r>
      <w:r w:rsidRPr="007F0483">
        <w:rPr>
          <w:rFonts w:cs="Arial"/>
          <w:snapToGrid w:val="0"/>
          <w:szCs w:val="20"/>
        </w:rPr>
        <w:t xml:space="preserve">s </w:t>
      </w:r>
      <w:r w:rsidRPr="007A4596">
        <w:rPr>
          <w:rFonts w:cs="Arial"/>
          <w:snapToGrid w:val="0"/>
          <w:szCs w:val="20"/>
        </w:rPr>
        <w:t>also at high risk of bias</w:t>
      </w:r>
      <w:r w:rsidRPr="007F0483">
        <w:rPr>
          <w:rFonts w:cs="Arial"/>
          <w:snapToGrid w:val="0"/>
          <w:szCs w:val="20"/>
        </w:rPr>
        <w:t xml:space="preserve"> due to limitations of the </w:t>
      </w:r>
      <w:r>
        <w:rPr>
          <w:rFonts w:cs="Arial"/>
          <w:snapToGrid w:val="0"/>
          <w:szCs w:val="20"/>
        </w:rPr>
        <w:t xml:space="preserve">MAIC, </w:t>
      </w:r>
      <w:r w:rsidR="008F090E">
        <w:rPr>
          <w:rFonts w:cs="Arial"/>
          <w:snapToGrid w:val="0"/>
          <w:szCs w:val="20"/>
        </w:rPr>
        <w:t>particularly due to the</w:t>
      </w:r>
      <w:r w:rsidR="00785F2C">
        <w:rPr>
          <w:rFonts w:cs="Arial"/>
          <w:snapToGrid w:val="0"/>
          <w:szCs w:val="20"/>
        </w:rPr>
        <w:t xml:space="preserve"> small sample size after matching</w:t>
      </w:r>
      <w:r w:rsidR="00BA392F">
        <w:rPr>
          <w:rFonts w:cs="Arial"/>
          <w:snapToGrid w:val="0"/>
          <w:szCs w:val="20"/>
        </w:rPr>
        <w:t>, resulting from</w:t>
      </w:r>
      <w:r w:rsidR="008F090E">
        <w:rPr>
          <w:rFonts w:cs="Arial"/>
          <w:snapToGrid w:val="0"/>
          <w:szCs w:val="20"/>
        </w:rPr>
        <w:t xml:space="preserve"> </w:t>
      </w:r>
      <w:r w:rsidR="00785F2C">
        <w:rPr>
          <w:rFonts w:cs="Arial"/>
          <w:snapToGrid w:val="0"/>
          <w:szCs w:val="20"/>
        </w:rPr>
        <w:t>the limited e</w:t>
      </w:r>
      <w:r w:rsidR="008B487D">
        <w:rPr>
          <w:rFonts w:cs="Arial"/>
          <w:snapToGrid w:val="0"/>
          <w:szCs w:val="20"/>
        </w:rPr>
        <w:t>xchangeability of the trials</w:t>
      </w:r>
      <w:r w:rsidRPr="007F0483">
        <w:rPr>
          <w:rFonts w:cs="Arial"/>
          <w:snapToGrid w:val="0"/>
          <w:szCs w:val="20"/>
        </w:rPr>
        <w:t xml:space="preserve">. </w:t>
      </w:r>
      <w:r w:rsidR="006373DD" w:rsidRPr="008F2695">
        <w:rPr>
          <w:rFonts w:cs="Arial"/>
          <w:iCs/>
          <w:snapToGrid w:val="0"/>
          <w:szCs w:val="20"/>
        </w:rPr>
        <w:t>The PBAC considered that</w:t>
      </w:r>
      <w:r w:rsidR="005819C6" w:rsidRPr="005819C6">
        <w:rPr>
          <w:rFonts w:cs="Arial"/>
          <w:iCs/>
          <w:snapToGrid w:val="0"/>
          <w:szCs w:val="20"/>
        </w:rPr>
        <w:t xml:space="preserve"> </w:t>
      </w:r>
      <w:r w:rsidR="006373DD" w:rsidRPr="008F2695">
        <w:rPr>
          <w:rFonts w:cs="Arial"/>
          <w:iCs/>
          <w:snapToGrid w:val="0"/>
          <w:szCs w:val="20"/>
        </w:rPr>
        <w:t>the claim</w:t>
      </w:r>
      <w:r w:rsidR="006373DD" w:rsidRPr="008F2695">
        <w:rPr>
          <w:rFonts w:cs="Arial"/>
          <w:snapToGrid w:val="0"/>
          <w:szCs w:val="20"/>
        </w:rPr>
        <w:t xml:space="preserve"> of superior comparative effectiveness</w:t>
      </w:r>
      <w:r w:rsidR="006373DD" w:rsidRPr="008F2695">
        <w:rPr>
          <w:rFonts w:cs="Arial"/>
          <w:iCs/>
          <w:snapToGrid w:val="0"/>
          <w:szCs w:val="20"/>
        </w:rPr>
        <w:t xml:space="preserve"> </w:t>
      </w:r>
      <w:r w:rsidR="005819C6" w:rsidRPr="005819C6">
        <w:rPr>
          <w:rFonts w:cs="Arial"/>
          <w:iCs/>
          <w:snapToGrid w:val="0"/>
          <w:szCs w:val="20"/>
        </w:rPr>
        <w:t>versus chemotherapy with bevacizumab</w:t>
      </w:r>
      <w:r w:rsidR="006373DD" w:rsidRPr="008F2695">
        <w:rPr>
          <w:rFonts w:cs="Arial"/>
          <w:iCs/>
          <w:snapToGrid w:val="0"/>
          <w:szCs w:val="20"/>
        </w:rPr>
        <w:t xml:space="preserve"> was </w:t>
      </w:r>
      <w:r w:rsidR="005819C6" w:rsidRPr="005819C6">
        <w:rPr>
          <w:rFonts w:cs="Arial"/>
          <w:iCs/>
          <w:snapToGrid w:val="0"/>
          <w:szCs w:val="20"/>
        </w:rPr>
        <w:t>no</w:t>
      </w:r>
      <w:r w:rsidR="006373DD" w:rsidRPr="008F2695">
        <w:rPr>
          <w:rFonts w:cs="Arial"/>
          <w:iCs/>
          <w:snapToGrid w:val="0"/>
          <w:szCs w:val="20"/>
        </w:rPr>
        <w:t>t</w:t>
      </w:r>
      <w:r w:rsidR="005819C6" w:rsidRPr="005819C6">
        <w:rPr>
          <w:rFonts w:cs="Arial"/>
          <w:iCs/>
          <w:snapToGrid w:val="0"/>
          <w:szCs w:val="20"/>
        </w:rPr>
        <w:t xml:space="preserve"> supported</w:t>
      </w:r>
      <w:r w:rsidR="008F2695" w:rsidRPr="008F2695">
        <w:rPr>
          <w:rFonts w:cs="Arial"/>
          <w:iCs/>
          <w:snapToGrid w:val="0"/>
          <w:szCs w:val="20"/>
        </w:rPr>
        <w:t xml:space="preserve"> by the evidence, </w:t>
      </w:r>
      <w:r w:rsidR="0089255D" w:rsidRPr="0089255D">
        <w:rPr>
          <w:rFonts w:cs="Arial"/>
          <w:iCs/>
          <w:snapToGrid w:val="0"/>
          <w:szCs w:val="20"/>
        </w:rPr>
        <w:t xml:space="preserve">as the outcome of the MAIC for OS was not statistically significant </w:t>
      </w:r>
      <w:r w:rsidR="004765A0">
        <w:rPr>
          <w:rFonts w:cs="Arial"/>
          <w:iCs/>
          <w:snapToGrid w:val="0"/>
          <w:szCs w:val="20"/>
        </w:rPr>
        <w:t>(</w:t>
      </w:r>
      <w:r w:rsidR="007A4596" w:rsidRPr="007A4596">
        <w:rPr>
          <w:rFonts w:cs="Arial"/>
          <w:iCs/>
          <w:snapToGrid w:val="0"/>
          <w:szCs w:val="20"/>
        </w:rPr>
        <w:t>HR for OS of 0.78 and 0.59 with wi</w:t>
      </w:r>
      <w:r w:rsidR="004765A0">
        <w:rPr>
          <w:rFonts w:cs="Arial"/>
          <w:iCs/>
          <w:snapToGrid w:val="0"/>
          <w:szCs w:val="20"/>
        </w:rPr>
        <w:t>d</w:t>
      </w:r>
      <w:r w:rsidR="007A4596" w:rsidRPr="007A4596">
        <w:rPr>
          <w:rFonts w:cs="Arial"/>
          <w:iCs/>
          <w:snapToGrid w:val="0"/>
          <w:szCs w:val="20"/>
        </w:rPr>
        <w:t>e 95% CI</w:t>
      </w:r>
      <w:r w:rsidR="004765A0">
        <w:rPr>
          <w:rFonts w:cs="Arial"/>
          <w:iCs/>
          <w:snapToGrid w:val="0"/>
          <w:szCs w:val="20"/>
        </w:rPr>
        <w:t>)</w:t>
      </w:r>
      <w:r w:rsidR="00227810">
        <w:rPr>
          <w:rFonts w:cs="Arial"/>
          <w:iCs/>
          <w:snapToGrid w:val="0"/>
          <w:szCs w:val="20"/>
        </w:rPr>
        <w:t xml:space="preserve">, though noting the </w:t>
      </w:r>
      <w:r w:rsidR="0089255D" w:rsidRPr="0089255D">
        <w:rPr>
          <w:rFonts w:cs="Arial"/>
          <w:iCs/>
          <w:snapToGrid w:val="0"/>
          <w:szCs w:val="20"/>
        </w:rPr>
        <w:t>limitations of the MAIC</w:t>
      </w:r>
      <w:r w:rsidR="008B487D">
        <w:rPr>
          <w:rFonts w:cs="Arial"/>
          <w:iCs/>
          <w:snapToGrid w:val="0"/>
          <w:szCs w:val="20"/>
        </w:rPr>
        <w:t>.</w:t>
      </w:r>
    </w:p>
    <w:p w14:paraId="34F1EC22" w14:textId="74D79AC2" w:rsidR="007816AF" w:rsidRPr="009D62BF" w:rsidRDefault="0042578B" w:rsidP="00591C83">
      <w:pPr>
        <w:pStyle w:val="ListParagraph"/>
        <w:rPr>
          <w:iCs/>
        </w:rPr>
      </w:pPr>
      <w:bookmarkStart w:id="97" w:name="_Ref205300547"/>
      <w:r>
        <w:rPr>
          <w:iCs/>
          <w:szCs w:val="20"/>
        </w:rPr>
        <w:t>The PBAC noted that i</w:t>
      </w:r>
      <w:r w:rsidRPr="0042578B">
        <w:rPr>
          <w:iCs/>
          <w:szCs w:val="20"/>
        </w:rPr>
        <w:t>n the MIRASOL trial, the incidence of study drug</w:t>
      </w:r>
      <w:r w:rsidR="00A46D2B">
        <w:rPr>
          <w:iCs/>
          <w:szCs w:val="20"/>
        </w:rPr>
        <w:noBreakHyphen/>
      </w:r>
      <w:r w:rsidRPr="0042578B">
        <w:rPr>
          <w:iCs/>
          <w:szCs w:val="20"/>
        </w:rPr>
        <w:t>related TEAEs was similar across the two treatment arms</w:t>
      </w:r>
      <w:r>
        <w:rPr>
          <w:iCs/>
          <w:szCs w:val="20"/>
        </w:rPr>
        <w:t xml:space="preserve">. </w:t>
      </w:r>
      <w:r w:rsidR="008531A4">
        <w:rPr>
          <w:iCs/>
          <w:szCs w:val="20"/>
        </w:rPr>
        <w:t xml:space="preserve">Although </w:t>
      </w:r>
      <w:r w:rsidR="006541CC">
        <w:rPr>
          <w:iCs/>
          <w:szCs w:val="20"/>
        </w:rPr>
        <w:t>b</w:t>
      </w:r>
      <w:r w:rsidR="008531A4" w:rsidRPr="00EF2E8A">
        <w:rPr>
          <w:color w:val="auto"/>
        </w:rPr>
        <w:t>lood and lymphatic system disorders</w:t>
      </w:r>
      <w:r w:rsidR="006541CC">
        <w:rPr>
          <w:color w:val="auto"/>
        </w:rPr>
        <w:t xml:space="preserve"> </w:t>
      </w:r>
      <w:r w:rsidR="008531A4" w:rsidRPr="00EF2E8A">
        <w:rPr>
          <w:color w:val="auto"/>
        </w:rPr>
        <w:t xml:space="preserve">occurred more frequently in </w:t>
      </w:r>
      <w:r w:rsidR="006541CC">
        <w:rPr>
          <w:color w:val="auto"/>
        </w:rPr>
        <w:t xml:space="preserve">patients treated with chemotherapy, </w:t>
      </w:r>
      <w:r w:rsidR="006541CC">
        <w:rPr>
          <w:iCs/>
          <w:szCs w:val="20"/>
        </w:rPr>
        <w:t>there was a</w:t>
      </w:r>
      <w:r w:rsidRPr="007A4596">
        <w:rPr>
          <w:rFonts w:cs="Arial"/>
          <w:iCs/>
          <w:snapToGrid w:val="0"/>
          <w:szCs w:val="20"/>
        </w:rPr>
        <w:t xml:space="preserve"> higher risk of distressing eye disorders </w:t>
      </w:r>
      <w:r w:rsidRPr="002917BD">
        <w:rPr>
          <w:rFonts w:cs="Arial"/>
          <w:iCs/>
          <w:snapToGrid w:val="0"/>
          <w:szCs w:val="20"/>
        </w:rPr>
        <w:t>associated with MIRV (</w:t>
      </w:r>
      <w:r w:rsidRPr="007A4596">
        <w:rPr>
          <w:rFonts w:cs="Arial"/>
          <w:iCs/>
          <w:snapToGrid w:val="0"/>
          <w:szCs w:val="20"/>
        </w:rPr>
        <w:t xml:space="preserve">52% vs 2% </w:t>
      </w:r>
      <w:r w:rsidRPr="002917BD">
        <w:rPr>
          <w:rFonts w:cs="Arial"/>
          <w:iCs/>
          <w:snapToGrid w:val="0"/>
          <w:szCs w:val="20"/>
        </w:rPr>
        <w:t>of MIRASOL patients)</w:t>
      </w:r>
      <w:r w:rsidR="006541CC">
        <w:rPr>
          <w:rFonts w:cs="Arial"/>
          <w:iCs/>
          <w:snapToGrid w:val="0"/>
          <w:szCs w:val="20"/>
        </w:rPr>
        <w:t xml:space="preserve">. The PBAC </w:t>
      </w:r>
      <w:r w:rsidR="00B5202F">
        <w:rPr>
          <w:rFonts w:cs="Arial"/>
          <w:iCs/>
          <w:snapToGrid w:val="0"/>
          <w:szCs w:val="20"/>
        </w:rPr>
        <w:t xml:space="preserve">noted the </w:t>
      </w:r>
      <w:r w:rsidR="00377817">
        <w:rPr>
          <w:rFonts w:cs="Arial"/>
          <w:iCs/>
          <w:snapToGrid w:val="0"/>
          <w:szCs w:val="20"/>
        </w:rPr>
        <w:t xml:space="preserve">claim in the </w:t>
      </w:r>
      <w:r w:rsidRPr="009D62BF">
        <w:rPr>
          <w:iCs/>
        </w:rPr>
        <w:t>Pre</w:t>
      </w:r>
      <w:r w:rsidR="00A46D2B">
        <w:rPr>
          <w:iCs/>
        </w:rPr>
        <w:noBreakHyphen/>
      </w:r>
      <w:r w:rsidRPr="009D62BF">
        <w:rPr>
          <w:iCs/>
        </w:rPr>
        <w:t xml:space="preserve">PBAC response that corneal keratopathy </w:t>
      </w:r>
      <w:r w:rsidR="00C01011">
        <w:rPr>
          <w:iCs/>
        </w:rPr>
        <w:t xml:space="preserve">typically resolve and result in </w:t>
      </w:r>
      <w:r w:rsidR="00C01011" w:rsidRPr="00CE37C4">
        <w:t>only temporary changes in visual acuity</w:t>
      </w:r>
      <w:r w:rsidR="008B689C">
        <w:t xml:space="preserve"> but</w:t>
      </w:r>
      <w:r w:rsidR="00B65B3F">
        <w:t xml:space="preserve"> </w:t>
      </w:r>
      <w:r w:rsidR="00377817" w:rsidRPr="002917BD">
        <w:rPr>
          <w:iCs/>
        </w:rPr>
        <w:t xml:space="preserve">did not accept </w:t>
      </w:r>
      <w:r w:rsidR="00377817" w:rsidRPr="009D62BF">
        <w:rPr>
          <w:iCs/>
        </w:rPr>
        <w:t xml:space="preserve">the claim </w:t>
      </w:r>
      <w:r w:rsidR="008B689C">
        <w:rPr>
          <w:iCs/>
        </w:rPr>
        <w:t>that these AEs</w:t>
      </w:r>
      <w:r w:rsidR="00377817" w:rsidRPr="009D62BF">
        <w:rPr>
          <w:iCs/>
        </w:rPr>
        <w:t xml:space="preserve"> </w:t>
      </w:r>
      <w:r w:rsidR="00B5202F">
        <w:rPr>
          <w:iCs/>
        </w:rPr>
        <w:t>would not have a</w:t>
      </w:r>
      <w:r w:rsidRPr="009D62BF">
        <w:rPr>
          <w:iCs/>
        </w:rPr>
        <w:t xml:space="preserve"> meaningful impact on quality of life. </w:t>
      </w:r>
      <w:r w:rsidR="002F1D86" w:rsidRPr="002F1D86">
        <w:rPr>
          <w:iCs/>
          <w:szCs w:val="20"/>
        </w:rPr>
        <w:t>The PBAC considered that the claim of non</w:t>
      </w:r>
      <w:r w:rsidR="00A46D2B">
        <w:rPr>
          <w:iCs/>
          <w:szCs w:val="20"/>
        </w:rPr>
        <w:noBreakHyphen/>
      </w:r>
      <w:r w:rsidR="002F1D86" w:rsidRPr="002F1D86">
        <w:rPr>
          <w:iCs/>
          <w:szCs w:val="20"/>
        </w:rPr>
        <w:t>inferior but different comparative safety was reasonable versus chemotherapy</w:t>
      </w:r>
      <w:r w:rsidR="00425DA4" w:rsidRPr="002917BD">
        <w:rPr>
          <w:iCs/>
          <w:szCs w:val="20"/>
        </w:rPr>
        <w:t>,</w:t>
      </w:r>
      <w:r w:rsidR="002968F7" w:rsidRPr="002917BD">
        <w:rPr>
          <w:iCs/>
          <w:szCs w:val="20"/>
        </w:rPr>
        <w:t xml:space="preserve"> supported by </w:t>
      </w:r>
      <w:r w:rsidR="00A570E1">
        <w:rPr>
          <w:iCs/>
          <w:szCs w:val="20"/>
        </w:rPr>
        <w:t xml:space="preserve">the similar </w:t>
      </w:r>
      <w:r w:rsidR="007B3B6A">
        <w:rPr>
          <w:iCs/>
          <w:szCs w:val="20"/>
        </w:rPr>
        <w:t>number of</w:t>
      </w:r>
      <w:r w:rsidR="0030611F" w:rsidRPr="002917BD">
        <w:rPr>
          <w:iCs/>
          <w:szCs w:val="20"/>
        </w:rPr>
        <w:t xml:space="preserve"> adverse events in MIRASOL</w:t>
      </w:r>
      <w:r w:rsidR="008963FD" w:rsidRPr="002917BD">
        <w:rPr>
          <w:iCs/>
          <w:szCs w:val="20"/>
        </w:rPr>
        <w:t xml:space="preserve">. </w:t>
      </w:r>
      <w:r w:rsidR="00C332F1">
        <w:rPr>
          <w:iCs/>
          <w:szCs w:val="20"/>
        </w:rPr>
        <w:t>T</w:t>
      </w:r>
      <w:r w:rsidR="008963FD" w:rsidRPr="002917BD">
        <w:rPr>
          <w:iCs/>
          <w:szCs w:val="20"/>
        </w:rPr>
        <w:t xml:space="preserve">he PBAC considered the claim </w:t>
      </w:r>
      <w:r w:rsidR="003C1538">
        <w:rPr>
          <w:iCs/>
          <w:szCs w:val="20"/>
        </w:rPr>
        <w:t>of non</w:t>
      </w:r>
      <w:r w:rsidR="00A46D2B">
        <w:rPr>
          <w:iCs/>
          <w:szCs w:val="20"/>
        </w:rPr>
        <w:noBreakHyphen/>
      </w:r>
      <w:r w:rsidR="003C1538">
        <w:rPr>
          <w:iCs/>
          <w:szCs w:val="20"/>
        </w:rPr>
        <w:t xml:space="preserve">inferior safety </w:t>
      </w:r>
      <w:r w:rsidR="002F1D86" w:rsidRPr="002F1D86">
        <w:rPr>
          <w:iCs/>
          <w:szCs w:val="20"/>
        </w:rPr>
        <w:t xml:space="preserve">versus chemotherapy </w:t>
      </w:r>
      <w:r w:rsidR="006869E4">
        <w:rPr>
          <w:iCs/>
          <w:szCs w:val="20"/>
        </w:rPr>
        <w:t>+</w:t>
      </w:r>
      <w:r w:rsidR="006869E4" w:rsidRPr="002F1D86">
        <w:rPr>
          <w:iCs/>
          <w:szCs w:val="20"/>
        </w:rPr>
        <w:t xml:space="preserve"> </w:t>
      </w:r>
      <w:r w:rsidR="002F1D86" w:rsidRPr="002F1D86">
        <w:rPr>
          <w:iCs/>
          <w:szCs w:val="20"/>
        </w:rPr>
        <w:t>bevacizumab</w:t>
      </w:r>
      <w:r w:rsidR="00C332F1">
        <w:rPr>
          <w:iCs/>
          <w:szCs w:val="20"/>
        </w:rPr>
        <w:t xml:space="preserve"> </w:t>
      </w:r>
      <w:r w:rsidR="003C1538" w:rsidRPr="002917BD">
        <w:rPr>
          <w:iCs/>
          <w:szCs w:val="20"/>
        </w:rPr>
        <w:t xml:space="preserve">was </w:t>
      </w:r>
      <w:r w:rsidR="003C1538" w:rsidRPr="002F1D86">
        <w:rPr>
          <w:iCs/>
          <w:szCs w:val="20"/>
        </w:rPr>
        <w:t xml:space="preserve">uncertain </w:t>
      </w:r>
      <w:r w:rsidR="00791EE9">
        <w:rPr>
          <w:iCs/>
          <w:szCs w:val="20"/>
        </w:rPr>
        <w:t xml:space="preserve">due to the </w:t>
      </w:r>
      <w:r w:rsidR="00FE7BF6">
        <w:rPr>
          <w:iCs/>
          <w:szCs w:val="20"/>
        </w:rPr>
        <w:t xml:space="preserve">limited exchangeability of </w:t>
      </w:r>
      <w:r w:rsidR="00757C5E">
        <w:rPr>
          <w:iCs/>
          <w:szCs w:val="20"/>
        </w:rPr>
        <w:t>the MIRASOL and AURELIA trials</w:t>
      </w:r>
      <w:r w:rsidR="005B5EA7" w:rsidRPr="002917BD">
        <w:rPr>
          <w:iCs/>
          <w:szCs w:val="20"/>
        </w:rPr>
        <w:t>.</w:t>
      </w:r>
      <w:r w:rsidR="00D03E89" w:rsidRPr="002917BD">
        <w:rPr>
          <w:iCs/>
          <w:szCs w:val="20"/>
        </w:rPr>
        <w:t xml:space="preserve"> </w:t>
      </w:r>
      <w:bookmarkEnd w:id="97"/>
    </w:p>
    <w:p w14:paraId="3FE612E5" w14:textId="0A23B6C7" w:rsidR="00E838D9" w:rsidRPr="009D62BF" w:rsidRDefault="001E3F18" w:rsidP="00591C83">
      <w:pPr>
        <w:pStyle w:val="ListParagraph"/>
        <w:rPr>
          <w:iCs/>
        </w:rPr>
      </w:pPr>
      <w:bookmarkStart w:id="98" w:name="_Ref204781643"/>
      <w:r w:rsidRPr="00EF2E8A">
        <w:t>The submission presented a modelled cost</w:t>
      </w:r>
      <w:r w:rsidR="00A46D2B">
        <w:noBreakHyphen/>
      </w:r>
      <w:r w:rsidRPr="00EF2E8A">
        <w:t xml:space="preserve">utility analysis comparing MIRV to a mixed comparator (weighted 50:50) of ICC (based on direct evidence from MIRASOL) and BEVA + ICC (based on the </w:t>
      </w:r>
      <w:r>
        <w:t>MAIC</w:t>
      </w:r>
      <w:r w:rsidRPr="00EF2E8A">
        <w:t xml:space="preserve"> using evidence from MIRASOL and AURELIA)</w:t>
      </w:r>
      <w:r>
        <w:t>.</w:t>
      </w:r>
      <w:r w:rsidRPr="00EF2E8A">
        <w:t xml:space="preserve"> </w:t>
      </w:r>
      <w:r w:rsidR="0074272E">
        <w:t xml:space="preserve">The PBAC noted that the proportion of patients </w:t>
      </w:r>
      <w:r w:rsidR="004177C7">
        <w:t xml:space="preserve">receiving bevacizumab in combination with chemotherapy was uncertain, but considered the submission’s </w:t>
      </w:r>
      <w:r w:rsidR="001546E2">
        <w:t xml:space="preserve">estimate </w:t>
      </w:r>
      <w:r w:rsidR="004177C7">
        <w:t xml:space="preserve">was </w:t>
      </w:r>
      <w:r w:rsidR="004177C7">
        <w:lastRenderedPageBreak/>
        <w:t xml:space="preserve">reasonable. </w:t>
      </w:r>
      <w:r w:rsidR="00E838D9" w:rsidRPr="009D62BF">
        <w:rPr>
          <w:iCs/>
        </w:rPr>
        <w:t xml:space="preserve">The PBAC agreed with the ESC </w:t>
      </w:r>
      <w:r w:rsidR="00014DF5" w:rsidRPr="009D62BF">
        <w:rPr>
          <w:iCs/>
        </w:rPr>
        <w:t>that</w:t>
      </w:r>
      <w:r w:rsidR="00E838D9" w:rsidRPr="009D62BF">
        <w:rPr>
          <w:iCs/>
        </w:rPr>
        <w:t xml:space="preserve"> the model structure</w:t>
      </w:r>
      <w:r w:rsidR="00014DF5" w:rsidRPr="009D62BF">
        <w:rPr>
          <w:iCs/>
        </w:rPr>
        <w:t xml:space="preserve"> and</w:t>
      </w:r>
      <w:r w:rsidR="00E838D9" w:rsidRPr="009D62BF">
        <w:rPr>
          <w:iCs/>
        </w:rPr>
        <w:t xml:space="preserve"> </w:t>
      </w:r>
      <w:r w:rsidR="00014DF5" w:rsidRPr="009D62BF">
        <w:rPr>
          <w:iCs/>
        </w:rPr>
        <w:t>model inputs were</w:t>
      </w:r>
      <w:r w:rsidR="00E838D9" w:rsidRPr="009D62BF">
        <w:rPr>
          <w:iCs/>
        </w:rPr>
        <w:t xml:space="preserve"> reliable for decision</w:t>
      </w:r>
      <w:r w:rsidR="00A46D2B">
        <w:rPr>
          <w:iCs/>
        </w:rPr>
        <w:noBreakHyphen/>
      </w:r>
      <w:r w:rsidR="00E838D9" w:rsidRPr="009D62BF">
        <w:rPr>
          <w:iCs/>
        </w:rPr>
        <w:t>making</w:t>
      </w:r>
      <w:r w:rsidR="00014DF5" w:rsidRPr="009D62BF">
        <w:rPr>
          <w:iCs/>
        </w:rPr>
        <w:t>,</w:t>
      </w:r>
      <w:r w:rsidR="00CC21D0" w:rsidRPr="009D62BF">
        <w:rPr>
          <w:iCs/>
        </w:rPr>
        <w:t xml:space="preserve"> </w:t>
      </w:r>
      <w:r w:rsidR="00C20092" w:rsidRPr="009D62BF">
        <w:rPr>
          <w:iCs/>
        </w:rPr>
        <w:t>with inputs updated in a</w:t>
      </w:r>
      <w:r w:rsidR="00CC21D0" w:rsidRPr="009D62BF">
        <w:rPr>
          <w:iCs/>
        </w:rPr>
        <w:t xml:space="preserve"> re</w:t>
      </w:r>
      <w:r w:rsidR="00A46D2B">
        <w:rPr>
          <w:iCs/>
        </w:rPr>
        <w:noBreakHyphen/>
      </w:r>
      <w:r w:rsidR="00CC21D0" w:rsidRPr="009D62BF">
        <w:rPr>
          <w:iCs/>
        </w:rPr>
        <w:t>specified base case</w:t>
      </w:r>
      <w:r w:rsidR="00233207" w:rsidRPr="009D62BF">
        <w:rPr>
          <w:iCs/>
        </w:rPr>
        <w:t>:</w:t>
      </w:r>
      <w:bookmarkEnd w:id="98"/>
    </w:p>
    <w:p w14:paraId="42F0EA25" w14:textId="6507E227" w:rsidR="00974CDA" w:rsidRPr="009D62BF" w:rsidRDefault="008A1548" w:rsidP="00591C83">
      <w:pPr>
        <w:pStyle w:val="ListParagraph"/>
        <w:numPr>
          <w:ilvl w:val="0"/>
          <w:numId w:val="18"/>
        </w:numPr>
        <w:spacing w:before="0" w:after="0"/>
        <w:ind w:left="1080"/>
        <w:rPr>
          <w:iCs/>
        </w:rPr>
      </w:pPr>
      <w:r>
        <w:rPr>
          <w:iCs/>
        </w:rPr>
        <w:t xml:space="preserve">A </w:t>
      </w:r>
      <w:r w:rsidR="00F57356" w:rsidRPr="009D62BF">
        <w:rPr>
          <w:iCs/>
        </w:rPr>
        <w:t>5</w:t>
      </w:r>
      <w:r w:rsidR="00A46D2B">
        <w:rPr>
          <w:iCs/>
        </w:rPr>
        <w:noBreakHyphen/>
      </w:r>
      <w:r w:rsidR="00F57356" w:rsidRPr="009D62BF">
        <w:rPr>
          <w:iCs/>
        </w:rPr>
        <w:t>year</w:t>
      </w:r>
      <w:r w:rsidR="00974CDA" w:rsidRPr="009D62BF">
        <w:rPr>
          <w:iCs/>
        </w:rPr>
        <w:t xml:space="preserve"> time horizon</w:t>
      </w:r>
      <w:r w:rsidR="00E82F05">
        <w:rPr>
          <w:iCs/>
        </w:rPr>
        <w:t xml:space="preserve">, given the poor prognosis of the </w:t>
      </w:r>
      <w:r w:rsidR="00C33A9B">
        <w:rPr>
          <w:iCs/>
        </w:rPr>
        <w:t>platinum resistant high grade EOC population.</w:t>
      </w:r>
      <w:r w:rsidR="00974CDA" w:rsidRPr="009D62BF">
        <w:rPr>
          <w:iCs/>
        </w:rPr>
        <w:t xml:space="preserve"> </w:t>
      </w:r>
    </w:p>
    <w:p w14:paraId="3A3A97BD" w14:textId="05271ACA" w:rsidR="00974CDA" w:rsidRPr="009D62BF" w:rsidRDefault="009313DD" w:rsidP="00591C83">
      <w:pPr>
        <w:pStyle w:val="ListParagraph"/>
        <w:numPr>
          <w:ilvl w:val="0"/>
          <w:numId w:val="18"/>
        </w:numPr>
        <w:spacing w:before="0" w:after="0"/>
        <w:ind w:left="1080"/>
        <w:rPr>
          <w:iCs/>
        </w:rPr>
      </w:pPr>
      <w:r>
        <w:rPr>
          <w:iCs/>
        </w:rPr>
        <w:t>G</w:t>
      </w:r>
      <w:r w:rsidR="00974CDA" w:rsidRPr="009D62BF">
        <w:rPr>
          <w:iCs/>
        </w:rPr>
        <w:t xml:space="preserve">amma </w:t>
      </w:r>
      <w:r w:rsidR="001E4813">
        <w:rPr>
          <w:iCs/>
        </w:rPr>
        <w:t>function for extrapolation of OS in the</w:t>
      </w:r>
      <w:r w:rsidR="00974CDA" w:rsidRPr="009D62BF">
        <w:rPr>
          <w:iCs/>
        </w:rPr>
        <w:t xml:space="preserve"> </w:t>
      </w:r>
      <w:r w:rsidR="001E4813">
        <w:rPr>
          <w:iCs/>
        </w:rPr>
        <w:t>MIRV arm</w:t>
      </w:r>
      <w:r w:rsidR="00E10ACB" w:rsidRPr="00E10ACB">
        <w:rPr>
          <w:bCs/>
          <w:iCs/>
        </w:rPr>
        <w:t xml:space="preserve"> </w:t>
      </w:r>
      <w:r w:rsidR="00E10ACB">
        <w:rPr>
          <w:bCs/>
          <w:iCs/>
        </w:rPr>
        <w:t xml:space="preserve">as it was a better fit </w:t>
      </w:r>
      <w:r w:rsidR="007A7BE0">
        <w:rPr>
          <w:bCs/>
          <w:iCs/>
        </w:rPr>
        <w:t xml:space="preserve">based on AIC/BIC, </w:t>
      </w:r>
      <w:r w:rsidR="00E10ACB" w:rsidRPr="00E10ACB">
        <w:rPr>
          <w:bCs/>
          <w:iCs/>
        </w:rPr>
        <w:t xml:space="preserve">provides more clinically plausible estimates of OS for patients with </w:t>
      </w:r>
      <w:r w:rsidR="00EB4B2B">
        <w:rPr>
          <w:iCs/>
        </w:rPr>
        <w:t>platinum resistant high grade EOC</w:t>
      </w:r>
      <w:r w:rsidR="00B65B3F">
        <w:rPr>
          <w:iCs/>
        </w:rPr>
        <w:t xml:space="preserve"> </w:t>
      </w:r>
      <w:r w:rsidR="007A7BE0">
        <w:rPr>
          <w:bCs/>
          <w:iCs/>
        </w:rPr>
        <w:t>and is more consistent with the later data cut from MIRASOL</w:t>
      </w:r>
      <w:r>
        <w:rPr>
          <w:bCs/>
          <w:iCs/>
        </w:rPr>
        <w:t xml:space="preserve"> </w:t>
      </w:r>
      <w:r w:rsidR="007675C4">
        <w:rPr>
          <w:iCs/>
        </w:rPr>
        <w:t xml:space="preserve">(see paragraph </w:t>
      </w:r>
      <w:r w:rsidR="007675C4">
        <w:rPr>
          <w:iCs/>
        </w:rPr>
        <w:fldChar w:fldCharType="begin" w:fldLock="1"/>
      </w:r>
      <w:r w:rsidR="007675C4">
        <w:rPr>
          <w:iCs/>
        </w:rPr>
        <w:instrText xml:space="preserve"> REF _Ref204776377 \r \h </w:instrText>
      </w:r>
      <w:r w:rsidR="007675C4">
        <w:rPr>
          <w:iCs/>
        </w:rPr>
      </w:r>
      <w:r w:rsidR="007675C4">
        <w:rPr>
          <w:iCs/>
        </w:rPr>
        <w:fldChar w:fldCharType="separate"/>
      </w:r>
      <w:r w:rsidR="00CC5CAD">
        <w:rPr>
          <w:iCs/>
        </w:rPr>
        <w:t>6.83</w:t>
      </w:r>
      <w:r w:rsidR="007675C4">
        <w:rPr>
          <w:iCs/>
        </w:rPr>
        <w:fldChar w:fldCharType="end"/>
      </w:r>
      <w:r w:rsidR="007675C4">
        <w:rPr>
          <w:iCs/>
        </w:rPr>
        <w:t>)</w:t>
      </w:r>
      <w:r>
        <w:rPr>
          <w:iCs/>
        </w:rPr>
        <w:t>.</w:t>
      </w:r>
      <w:r w:rsidR="00974CDA" w:rsidRPr="009D62BF">
        <w:rPr>
          <w:iCs/>
        </w:rPr>
        <w:t xml:space="preserve"> </w:t>
      </w:r>
    </w:p>
    <w:p w14:paraId="2A8FBB81" w14:textId="2CBB51DC" w:rsidR="00EC7AE5" w:rsidRPr="009D62BF" w:rsidRDefault="009313DD" w:rsidP="00591C83">
      <w:pPr>
        <w:pStyle w:val="ListParagraph"/>
        <w:numPr>
          <w:ilvl w:val="0"/>
          <w:numId w:val="18"/>
        </w:numPr>
        <w:spacing w:before="0" w:after="0"/>
        <w:ind w:left="1080"/>
        <w:rPr>
          <w:iCs/>
        </w:rPr>
      </w:pPr>
      <w:r>
        <w:rPr>
          <w:iCs/>
        </w:rPr>
        <w:t>P</w:t>
      </w:r>
      <w:r w:rsidR="00974CDA" w:rsidRPr="009D62BF">
        <w:rPr>
          <w:iCs/>
        </w:rPr>
        <w:t>ooled post</w:t>
      </w:r>
      <w:r w:rsidR="00A46D2B">
        <w:rPr>
          <w:iCs/>
        </w:rPr>
        <w:noBreakHyphen/>
      </w:r>
      <w:r w:rsidR="00974CDA" w:rsidRPr="009D62BF">
        <w:rPr>
          <w:iCs/>
        </w:rPr>
        <w:t xml:space="preserve">progression utilities </w:t>
      </w:r>
      <w:r w:rsidR="00375270">
        <w:rPr>
          <w:iCs/>
        </w:rPr>
        <w:t xml:space="preserve">as </w:t>
      </w:r>
      <w:r w:rsidR="00375270">
        <w:rPr>
          <w:color w:val="auto"/>
        </w:rPr>
        <w:t>there was no basis for assuming a difference in post</w:t>
      </w:r>
      <w:r w:rsidR="00A46D2B">
        <w:rPr>
          <w:color w:val="auto"/>
        </w:rPr>
        <w:noBreakHyphen/>
      </w:r>
      <w:r w:rsidR="00375270">
        <w:rPr>
          <w:color w:val="auto"/>
        </w:rPr>
        <w:t>progression utilities, but trial</w:t>
      </w:r>
      <w:r w:rsidR="00A46D2B">
        <w:rPr>
          <w:color w:val="auto"/>
        </w:rPr>
        <w:noBreakHyphen/>
      </w:r>
      <w:r w:rsidR="00375270">
        <w:rPr>
          <w:color w:val="auto"/>
        </w:rPr>
        <w:t>based treatment</w:t>
      </w:r>
      <w:r w:rsidR="00A46D2B">
        <w:rPr>
          <w:color w:val="auto"/>
        </w:rPr>
        <w:noBreakHyphen/>
      </w:r>
      <w:r w:rsidR="00375270">
        <w:rPr>
          <w:color w:val="auto"/>
        </w:rPr>
        <w:t>specific utility values for the pre</w:t>
      </w:r>
      <w:r w:rsidR="00A46D2B">
        <w:rPr>
          <w:color w:val="auto"/>
        </w:rPr>
        <w:noBreakHyphen/>
      </w:r>
      <w:r w:rsidR="00375270">
        <w:rPr>
          <w:color w:val="auto"/>
        </w:rPr>
        <w:t xml:space="preserve">progression health state were reasonable </w:t>
      </w:r>
      <w:proofErr w:type="gramStart"/>
      <w:r w:rsidR="00375270">
        <w:rPr>
          <w:color w:val="auto"/>
        </w:rPr>
        <w:t>in order to</w:t>
      </w:r>
      <w:proofErr w:type="gramEnd"/>
      <w:r w:rsidR="00375270">
        <w:rPr>
          <w:color w:val="auto"/>
        </w:rPr>
        <w:t xml:space="preserve"> capture possible differences in AE profiles and QoL for MIRV and chemotherapies</w:t>
      </w:r>
      <w:r w:rsidR="00F62F90">
        <w:rPr>
          <w:iCs/>
        </w:rPr>
        <w:t xml:space="preserve"> </w:t>
      </w:r>
      <w:r w:rsidR="0093632B">
        <w:rPr>
          <w:iCs/>
        </w:rPr>
        <w:t xml:space="preserve">(see paragraph </w:t>
      </w:r>
      <w:r w:rsidR="00AF3C7B" w:rsidRPr="00036719">
        <w:rPr>
          <w:iCs/>
          <w:w w:val="15"/>
          <w:shd w:val="solid" w:color="000000" w:fill="000000"/>
          <w:fitText w:val="-20" w:id="-629961712"/>
          <w14:textFill>
            <w14:solidFill>
              <w14:schemeClr w14:val="tx1">
                <w14:alpha w14:val="100000"/>
              </w14:schemeClr>
            </w14:solidFill>
          </w14:textFill>
        </w:rPr>
        <w:t>|</w:t>
      </w:r>
      <w:r w:rsidR="00B65B3F" w:rsidRPr="00036719">
        <w:rPr>
          <w:iCs/>
          <w:w w:val="15"/>
          <w:shd w:val="solid" w:color="000000" w:fill="000000"/>
          <w:fitText w:val="-20" w:id="-629961712"/>
          <w14:textFill>
            <w14:solidFill>
              <w14:schemeClr w14:val="tx1">
                <w14:alpha w14:val="100000"/>
              </w14:schemeClr>
            </w14:solidFill>
          </w14:textFill>
        </w:rPr>
        <w:t xml:space="preserve"> </w:t>
      </w:r>
      <w:r w:rsidR="00AF3C7B" w:rsidRPr="00036719">
        <w:rPr>
          <w:iCs/>
          <w:spacing w:val="-61"/>
          <w:w w:val="15"/>
          <w:shd w:val="solid" w:color="000000" w:fill="000000"/>
          <w:fitText w:val="-20" w:id="-629961712"/>
          <w14:textFill>
            <w14:solidFill>
              <w14:schemeClr w14:val="tx1">
                <w14:alpha w14:val="100000"/>
              </w14:schemeClr>
            </w14:solidFill>
          </w14:textFill>
        </w:rPr>
        <w:t>|</w:t>
      </w:r>
      <w:r w:rsidR="0093632B">
        <w:rPr>
          <w:iCs/>
        </w:rPr>
        <w:t>).</w:t>
      </w:r>
    </w:p>
    <w:p w14:paraId="13633C3A" w14:textId="7783CDF0" w:rsidR="00A87CC8" w:rsidRPr="00857A61" w:rsidRDefault="00EC7AE5" w:rsidP="00591C83">
      <w:pPr>
        <w:pStyle w:val="ListParagraph"/>
        <w:numPr>
          <w:ilvl w:val="0"/>
          <w:numId w:val="0"/>
        </w:numPr>
        <w:ind w:left="720"/>
        <w:rPr>
          <w:iCs/>
        </w:rPr>
      </w:pPr>
      <w:r w:rsidRPr="009D62BF">
        <w:rPr>
          <w:iCs/>
        </w:rPr>
        <w:t xml:space="preserve">The PBAC noted that </w:t>
      </w:r>
      <w:r w:rsidR="000C12D7">
        <w:rPr>
          <w:iCs/>
        </w:rPr>
        <w:t>this</w:t>
      </w:r>
      <w:r w:rsidR="00013D95" w:rsidRPr="009D62BF">
        <w:rPr>
          <w:iCs/>
        </w:rPr>
        <w:t xml:space="preserve"> </w:t>
      </w:r>
      <w:r w:rsidR="00974CDA" w:rsidRPr="009D62BF">
        <w:rPr>
          <w:iCs/>
        </w:rPr>
        <w:t>result</w:t>
      </w:r>
      <w:r w:rsidR="000C12D7">
        <w:rPr>
          <w:iCs/>
        </w:rPr>
        <w:t>ed</w:t>
      </w:r>
      <w:r w:rsidR="00974CDA" w:rsidRPr="009D62BF">
        <w:rPr>
          <w:iCs/>
        </w:rPr>
        <w:t xml:space="preserve"> in an </w:t>
      </w:r>
      <w:r w:rsidR="00974CDA" w:rsidRPr="00445F30">
        <w:rPr>
          <w:iCs/>
        </w:rPr>
        <w:t>ICER of</w:t>
      </w:r>
      <w:r w:rsidR="00445F30" w:rsidRPr="00445F30">
        <w:rPr>
          <w:iCs/>
        </w:rPr>
        <w:t xml:space="preserve"> </w:t>
      </w:r>
      <w:r w:rsidR="00C06438" w:rsidRPr="00C06438">
        <w:t>$115,000 to &lt; $135,000</w:t>
      </w:r>
      <w:r w:rsidR="00445F30" w:rsidRPr="002E6644">
        <w:t>per QALY gained</w:t>
      </w:r>
      <w:r w:rsidR="00445F30">
        <w:t xml:space="preserve">, </w:t>
      </w:r>
      <w:r w:rsidR="00974CDA" w:rsidRPr="009D62BF">
        <w:rPr>
          <w:iCs/>
        </w:rPr>
        <w:t xml:space="preserve">using the reduced price </w:t>
      </w:r>
      <w:r w:rsidR="006C1C04">
        <w:rPr>
          <w:iCs/>
        </w:rPr>
        <w:t>proposed</w:t>
      </w:r>
      <w:r w:rsidR="006C1C04" w:rsidRPr="009D62BF">
        <w:rPr>
          <w:iCs/>
        </w:rPr>
        <w:t xml:space="preserve"> </w:t>
      </w:r>
      <w:r w:rsidR="00974CDA" w:rsidRPr="009D62BF">
        <w:rPr>
          <w:iCs/>
        </w:rPr>
        <w:t>in the pre</w:t>
      </w:r>
      <w:r w:rsidR="00A46D2B">
        <w:rPr>
          <w:iCs/>
        </w:rPr>
        <w:noBreakHyphen/>
      </w:r>
      <w:r w:rsidR="00974CDA" w:rsidRPr="009D62BF">
        <w:rPr>
          <w:iCs/>
        </w:rPr>
        <w:t xml:space="preserve">PBAC response. The PBAC considered </w:t>
      </w:r>
      <w:r w:rsidR="00F202E3">
        <w:rPr>
          <w:iCs/>
        </w:rPr>
        <w:t>MIRV would be acceptably cost</w:t>
      </w:r>
      <w:r w:rsidR="00A46D2B">
        <w:rPr>
          <w:iCs/>
        </w:rPr>
        <w:noBreakHyphen/>
      </w:r>
      <w:r w:rsidR="00F202E3">
        <w:rPr>
          <w:iCs/>
        </w:rPr>
        <w:t>effective at an</w:t>
      </w:r>
      <w:r w:rsidR="00974CDA" w:rsidRPr="009D62BF">
        <w:rPr>
          <w:iCs/>
        </w:rPr>
        <w:t xml:space="preserve"> ICER below </w:t>
      </w:r>
      <w:r w:rsidR="00153FD8" w:rsidRPr="00153FD8">
        <w:rPr>
          <w:iCs/>
        </w:rPr>
        <w:t>$35,000 to &lt; $45,000</w:t>
      </w:r>
      <w:r w:rsidR="00445F30">
        <w:rPr>
          <w:iCs/>
        </w:rPr>
        <w:t xml:space="preserve">/QALY </w:t>
      </w:r>
      <w:r w:rsidR="00974CDA" w:rsidRPr="00857A61">
        <w:rPr>
          <w:iCs/>
        </w:rPr>
        <w:t xml:space="preserve">using the respecified base </w:t>
      </w:r>
      <w:r w:rsidR="00F57356" w:rsidRPr="00857A61">
        <w:rPr>
          <w:iCs/>
        </w:rPr>
        <w:t>case</w:t>
      </w:r>
      <w:r w:rsidR="00F57356">
        <w:rPr>
          <w:iCs/>
        </w:rPr>
        <w:t xml:space="preserve"> and</w:t>
      </w:r>
      <w:r w:rsidR="00F202E3">
        <w:rPr>
          <w:iCs/>
        </w:rPr>
        <w:t xml:space="preserve"> noted that a </w:t>
      </w:r>
      <w:r w:rsidR="007071A1">
        <w:rPr>
          <w:iCs/>
        </w:rPr>
        <w:t xml:space="preserve">substantial </w:t>
      </w:r>
      <w:r w:rsidR="00F202E3">
        <w:rPr>
          <w:iCs/>
        </w:rPr>
        <w:t>price reduction would be required to achieve this ICER</w:t>
      </w:r>
      <w:r w:rsidR="00974CDA" w:rsidRPr="00857A61">
        <w:rPr>
          <w:iCs/>
        </w:rPr>
        <w:t>.</w:t>
      </w:r>
    </w:p>
    <w:p w14:paraId="132817D6" w14:textId="08A7A599" w:rsidR="000B6867" w:rsidRPr="00857A61" w:rsidRDefault="009560B0" w:rsidP="00591C83">
      <w:pPr>
        <w:pStyle w:val="ListParagraph"/>
        <w:rPr>
          <w:lang w:val="en-GB"/>
        </w:rPr>
      </w:pPr>
      <w:bookmarkStart w:id="99" w:name="_Ref223517922"/>
      <w:r w:rsidRPr="00857A61">
        <w:rPr>
          <w:lang w:val="en-GB"/>
        </w:rPr>
        <w:t xml:space="preserve">The PBAC </w:t>
      </w:r>
      <w:r w:rsidR="006C5E62">
        <w:rPr>
          <w:lang w:val="en-GB"/>
        </w:rPr>
        <w:t>noted that DUSC provided advice regarding amendments to the financial estimates (inclusion of a prevalent population, reduction of the eligible population</w:t>
      </w:r>
      <w:r w:rsidR="008B0975">
        <w:rPr>
          <w:lang w:val="en-GB"/>
        </w:rPr>
        <w:t xml:space="preserve"> with high grade serous EOC as per the proposed TGA indication, and </w:t>
      </w:r>
      <w:r w:rsidR="004C1F47">
        <w:rPr>
          <w:lang w:val="en-GB"/>
        </w:rPr>
        <w:t>reduction in the length of treatment for prevalent and grandfathered patients</w:t>
      </w:r>
      <w:r w:rsidR="007A0EB7">
        <w:rPr>
          <w:lang w:val="en-GB"/>
        </w:rPr>
        <w:t xml:space="preserve">, see </w:t>
      </w:r>
      <w:r w:rsidR="00D22632">
        <w:rPr>
          <w:lang w:val="en-GB"/>
        </w:rPr>
        <w:fldChar w:fldCharType="begin" w:fldLock="1"/>
      </w:r>
      <w:r w:rsidR="00D22632">
        <w:rPr>
          <w:lang w:val="en-GB"/>
        </w:rPr>
        <w:instrText xml:space="preserve"> REF _Ref206136974 \h </w:instrText>
      </w:r>
      <w:r w:rsidR="00D22632">
        <w:rPr>
          <w:lang w:val="en-GB"/>
        </w:rPr>
      </w:r>
      <w:r w:rsidR="00D22632">
        <w:rPr>
          <w:lang w:val="en-GB"/>
        </w:rPr>
        <w:fldChar w:fldCharType="separate"/>
      </w:r>
      <w:r w:rsidR="00D22632">
        <w:t xml:space="preserve">Table </w:t>
      </w:r>
      <w:r w:rsidR="00D22632">
        <w:rPr>
          <w:noProof/>
        </w:rPr>
        <w:t>26</w:t>
      </w:r>
      <w:r w:rsidR="00D22632">
        <w:rPr>
          <w:lang w:val="en-GB"/>
        </w:rPr>
        <w:fldChar w:fldCharType="end"/>
      </w:r>
      <w:r w:rsidR="004C1F47">
        <w:rPr>
          <w:lang w:val="en-GB"/>
        </w:rPr>
        <w:t xml:space="preserve">). These changes were </w:t>
      </w:r>
      <w:r w:rsidR="006C5E62">
        <w:rPr>
          <w:lang w:val="en-GB"/>
        </w:rPr>
        <w:t>accepted as reasonable in the Pre</w:t>
      </w:r>
      <w:r w:rsidR="00A46D2B">
        <w:rPr>
          <w:lang w:val="en-GB"/>
        </w:rPr>
        <w:noBreakHyphen/>
      </w:r>
      <w:r w:rsidR="006C5E62">
        <w:rPr>
          <w:lang w:val="en-GB"/>
        </w:rPr>
        <w:t xml:space="preserve">PBAC response. </w:t>
      </w:r>
      <w:r w:rsidR="007963F0">
        <w:rPr>
          <w:lang w:val="en-GB"/>
        </w:rPr>
        <w:t>The PBAC considered these cha</w:t>
      </w:r>
      <w:r w:rsidR="00B43379">
        <w:rPr>
          <w:lang w:val="en-GB"/>
        </w:rPr>
        <w:t>n</w:t>
      </w:r>
      <w:r w:rsidR="007963F0">
        <w:rPr>
          <w:lang w:val="en-GB"/>
        </w:rPr>
        <w:t xml:space="preserve">ges to the financial estimates were reasonable and also </w:t>
      </w:r>
      <w:r w:rsidR="00B43379">
        <w:rPr>
          <w:lang w:val="en-GB"/>
        </w:rPr>
        <w:t xml:space="preserve">noted that the total cost of listing MIRV would be further reduced when incorporating the </w:t>
      </w:r>
      <w:r w:rsidR="00A6590E">
        <w:rPr>
          <w:lang w:val="en-GB"/>
        </w:rPr>
        <w:t>MIRV price considered acceptably cost effective (as per</w:t>
      </w:r>
      <w:r w:rsidRPr="00857A61">
        <w:rPr>
          <w:lang w:val="en-GB"/>
        </w:rPr>
        <w:t xml:space="preserve"> paragraph</w:t>
      </w:r>
      <w:r w:rsidR="00A971EC" w:rsidRPr="00857A61">
        <w:rPr>
          <w:lang w:val="en-GB"/>
        </w:rPr>
        <w:t xml:space="preserve"> </w:t>
      </w:r>
      <w:r w:rsidR="00A971EC" w:rsidRPr="00857A61">
        <w:rPr>
          <w:lang w:val="en-GB"/>
        </w:rPr>
        <w:fldChar w:fldCharType="begin" w:fldLock="1"/>
      </w:r>
      <w:r w:rsidR="00A971EC" w:rsidRPr="00857A61">
        <w:rPr>
          <w:lang w:val="en-GB"/>
        </w:rPr>
        <w:instrText xml:space="preserve"> REF _Ref204781643 \r \h  \* MERGEFORMAT </w:instrText>
      </w:r>
      <w:r w:rsidR="00A971EC" w:rsidRPr="00857A61">
        <w:rPr>
          <w:lang w:val="en-GB"/>
        </w:rPr>
      </w:r>
      <w:r w:rsidR="00A971EC" w:rsidRPr="00857A61">
        <w:rPr>
          <w:lang w:val="en-GB"/>
        </w:rPr>
        <w:fldChar w:fldCharType="separate"/>
      </w:r>
      <w:r w:rsidR="00CC5CAD">
        <w:rPr>
          <w:lang w:val="en-GB"/>
        </w:rPr>
        <w:t>7.11</w:t>
      </w:r>
      <w:r w:rsidR="00A971EC" w:rsidRPr="00857A61">
        <w:rPr>
          <w:lang w:val="en-GB"/>
        </w:rPr>
        <w:fldChar w:fldCharType="end"/>
      </w:r>
      <w:r w:rsidR="00A6590E">
        <w:rPr>
          <w:lang w:val="en-GB"/>
        </w:rPr>
        <w:t>)</w:t>
      </w:r>
      <w:r w:rsidRPr="00857A61">
        <w:rPr>
          <w:lang w:val="en-GB"/>
        </w:rPr>
        <w:t>.</w:t>
      </w:r>
      <w:bookmarkEnd w:id="99"/>
    </w:p>
    <w:p w14:paraId="1B83DAF3" w14:textId="5BFD533F" w:rsidR="001C40E6" w:rsidRPr="000F2220" w:rsidRDefault="001C40E6" w:rsidP="00591C83">
      <w:pPr>
        <w:pStyle w:val="ListParagraph"/>
        <w:rPr>
          <w:lang w:val="en-GB"/>
        </w:rPr>
      </w:pPr>
      <w:r w:rsidRPr="00857A61">
        <w:rPr>
          <w:lang w:val="en-GB"/>
        </w:rPr>
        <w:t xml:space="preserve">The PBAC </w:t>
      </w:r>
      <w:r w:rsidR="0039655E">
        <w:rPr>
          <w:lang w:val="en-GB"/>
        </w:rPr>
        <w:t xml:space="preserve">considered </w:t>
      </w:r>
      <w:r w:rsidRPr="00857A61">
        <w:rPr>
          <w:lang w:val="en-GB"/>
        </w:rPr>
        <w:t xml:space="preserve">that a risk sharing agreement would not be required as </w:t>
      </w:r>
      <w:r w:rsidR="000F2220" w:rsidRPr="00857A61">
        <w:rPr>
          <w:lang w:val="en-GB"/>
        </w:rPr>
        <w:t xml:space="preserve">it </w:t>
      </w:r>
      <w:r w:rsidR="0039655E" w:rsidRPr="00857A61">
        <w:rPr>
          <w:lang w:val="en-GB"/>
        </w:rPr>
        <w:t xml:space="preserve">agreed with the DUSC </w:t>
      </w:r>
      <w:r w:rsidR="0039655E">
        <w:rPr>
          <w:lang w:val="en-GB"/>
        </w:rPr>
        <w:t xml:space="preserve">it </w:t>
      </w:r>
      <w:r w:rsidR="000F2220" w:rsidRPr="00857A61">
        <w:rPr>
          <w:lang w:val="en-GB"/>
        </w:rPr>
        <w:t>is</w:t>
      </w:r>
      <w:r w:rsidR="000F2220" w:rsidRPr="000F2220">
        <w:rPr>
          <w:lang w:val="en-GB"/>
        </w:rPr>
        <w:t xml:space="preserve"> unlikely that there would be use beyond the requested restriction.</w:t>
      </w:r>
    </w:p>
    <w:p w14:paraId="29FFC3DE" w14:textId="77777777" w:rsidR="007816AF" w:rsidRPr="00EF2E8A" w:rsidRDefault="007816AF" w:rsidP="00591C83">
      <w:pPr>
        <w:spacing w:before="240" w:after="0"/>
        <w:rPr>
          <w:rFonts w:cs="Arial"/>
          <w:b/>
          <w:bCs/>
          <w:snapToGrid w:val="0"/>
        </w:rPr>
      </w:pPr>
      <w:r w:rsidRPr="00EF2E8A">
        <w:rPr>
          <w:rFonts w:cs="Arial"/>
          <w:b/>
          <w:bCs/>
          <w:snapToGrid w:val="0"/>
        </w:rPr>
        <w:t>Outcome:</w:t>
      </w:r>
    </w:p>
    <w:p w14:paraId="1C46D7A8" w14:textId="77440BFA" w:rsidR="007816AF" w:rsidRPr="005E78E8" w:rsidRDefault="007816AF" w:rsidP="00342CA4">
      <w:pPr>
        <w:spacing w:before="0" w:after="0"/>
        <w:rPr>
          <w:rFonts w:cs="Arial"/>
          <w:bCs/>
          <w:snapToGrid w:val="0"/>
        </w:rPr>
      </w:pPr>
      <w:r w:rsidRPr="00EF2E8A">
        <w:rPr>
          <w:rFonts w:cs="Arial"/>
          <w:bCs/>
          <w:snapToGrid w:val="0"/>
        </w:rPr>
        <w:t>Deferred</w:t>
      </w:r>
    </w:p>
    <w:bookmarkEnd w:id="93"/>
    <w:p w14:paraId="28AAB78E" w14:textId="77777777" w:rsidR="007816AF" w:rsidRPr="00F07DF2" w:rsidRDefault="007816AF" w:rsidP="00591C83">
      <w:pPr>
        <w:pStyle w:val="2-SectionHeading"/>
        <w:numPr>
          <w:ilvl w:val="0"/>
          <w:numId w:val="3"/>
        </w:numPr>
      </w:pPr>
      <w:r w:rsidRPr="00F07DF2">
        <w:lastRenderedPageBreak/>
        <w:t>Recommended listing</w:t>
      </w:r>
    </w:p>
    <w:p w14:paraId="5DCC32C1" w14:textId="26471717" w:rsidR="006D1BAC" w:rsidRPr="00F07DF2" w:rsidRDefault="007816AF" w:rsidP="00591C83">
      <w:pPr>
        <w:keepNext/>
        <w:contextualSpacing/>
        <w:rPr>
          <w:rFonts w:cs="Arial"/>
          <w:bCs/>
          <w:snapToGrid w:val="0"/>
        </w:rPr>
      </w:pPr>
      <w:r w:rsidRPr="00F07DF2">
        <w:rPr>
          <w:rFonts w:cs="Arial"/>
          <w:bCs/>
          <w:snapToGrid w:val="0"/>
        </w:rPr>
        <w:t>Add new item:</w:t>
      </w:r>
    </w:p>
    <w:tbl>
      <w:tblPr>
        <w:tblW w:w="50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558"/>
        <w:gridCol w:w="642"/>
        <w:gridCol w:w="1894"/>
        <w:gridCol w:w="1974"/>
        <w:gridCol w:w="1974"/>
        <w:gridCol w:w="2080"/>
      </w:tblGrid>
      <w:tr w:rsidR="006746E9" w:rsidRPr="00BE1940" w14:paraId="21F6D51A" w14:textId="77777777" w:rsidTr="006B3757">
        <w:trPr>
          <w:cantSplit/>
          <w:trHeight w:val="20"/>
        </w:trPr>
        <w:tc>
          <w:tcPr>
            <w:tcW w:w="1696" w:type="pct"/>
            <w:gridSpan w:val="3"/>
            <w:vAlign w:val="center"/>
          </w:tcPr>
          <w:bookmarkEnd w:id="94"/>
          <w:p w14:paraId="3AAD6B87" w14:textId="77777777" w:rsidR="006746E9" w:rsidRPr="00F07DF2" w:rsidRDefault="006746E9" w:rsidP="00591C83">
            <w:pPr>
              <w:keepNext/>
              <w:spacing w:before="0" w:after="0"/>
              <w:rPr>
                <w:rFonts w:ascii="Arial Narrow" w:hAnsi="Arial Narrow"/>
                <w:b/>
                <w:bCs/>
                <w:sz w:val="20"/>
                <w:szCs w:val="20"/>
              </w:rPr>
            </w:pPr>
            <w:r w:rsidRPr="00F07DF2">
              <w:rPr>
                <w:rFonts w:ascii="Arial Narrow" w:hAnsi="Arial Narrow"/>
                <w:b/>
                <w:bCs/>
                <w:sz w:val="20"/>
                <w:szCs w:val="20"/>
              </w:rPr>
              <w:t>MEDICINAL PRODUCT</w:t>
            </w:r>
          </w:p>
          <w:p w14:paraId="2A02DF5A" w14:textId="77777777" w:rsidR="006746E9" w:rsidRPr="00F07DF2" w:rsidRDefault="006746E9" w:rsidP="00591C83">
            <w:pPr>
              <w:keepNext/>
              <w:spacing w:before="0" w:after="0"/>
              <w:rPr>
                <w:rFonts w:ascii="Arial Narrow" w:hAnsi="Arial Narrow" w:cs="Arial"/>
                <w:b/>
                <w:sz w:val="20"/>
                <w:szCs w:val="20"/>
              </w:rPr>
            </w:pPr>
            <w:r w:rsidRPr="00F07DF2">
              <w:rPr>
                <w:rFonts w:ascii="Arial Narrow" w:hAnsi="Arial Narrow" w:cs="Arial"/>
                <w:b/>
                <w:sz w:val="20"/>
                <w:szCs w:val="20"/>
              </w:rPr>
              <w:t>Form</w:t>
            </w:r>
          </w:p>
        </w:tc>
        <w:tc>
          <w:tcPr>
            <w:tcW w:w="1082" w:type="pct"/>
            <w:vAlign w:val="center"/>
          </w:tcPr>
          <w:p w14:paraId="4B3F5A35" w14:textId="77777777" w:rsidR="006746E9" w:rsidRPr="00F07DF2" w:rsidRDefault="006746E9" w:rsidP="00591C83">
            <w:pPr>
              <w:keepNext/>
              <w:spacing w:before="0" w:after="0"/>
              <w:jc w:val="center"/>
              <w:rPr>
                <w:rFonts w:ascii="Arial Narrow" w:hAnsi="Arial Narrow" w:cs="Arial"/>
                <w:b/>
                <w:sz w:val="20"/>
                <w:szCs w:val="20"/>
              </w:rPr>
            </w:pPr>
            <w:r w:rsidRPr="00F07DF2">
              <w:rPr>
                <w:rFonts w:ascii="Arial Narrow" w:hAnsi="Arial Narrow" w:cs="Arial"/>
                <w:b/>
                <w:sz w:val="20"/>
                <w:szCs w:val="20"/>
              </w:rPr>
              <w:t>PBS item code</w:t>
            </w:r>
          </w:p>
        </w:tc>
        <w:tc>
          <w:tcPr>
            <w:tcW w:w="1082" w:type="pct"/>
            <w:vAlign w:val="center"/>
          </w:tcPr>
          <w:p w14:paraId="58748D47" w14:textId="77777777" w:rsidR="006746E9" w:rsidRPr="00F07DF2" w:rsidRDefault="006746E9" w:rsidP="00591C83">
            <w:pPr>
              <w:keepNext/>
              <w:spacing w:before="0" w:after="0"/>
              <w:jc w:val="center"/>
              <w:rPr>
                <w:rFonts w:ascii="Arial Narrow" w:hAnsi="Arial Narrow" w:cs="Arial"/>
                <w:b/>
                <w:sz w:val="20"/>
                <w:szCs w:val="20"/>
              </w:rPr>
            </w:pPr>
            <w:r w:rsidRPr="00F07DF2">
              <w:rPr>
                <w:rFonts w:ascii="Arial Narrow" w:hAnsi="Arial Narrow" w:cs="Arial"/>
                <w:b/>
                <w:sz w:val="20"/>
                <w:szCs w:val="20"/>
              </w:rPr>
              <w:t>Max. Amount</w:t>
            </w:r>
          </w:p>
        </w:tc>
        <w:tc>
          <w:tcPr>
            <w:tcW w:w="1140" w:type="pct"/>
            <w:vAlign w:val="center"/>
          </w:tcPr>
          <w:p w14:paraId="0A5CB776" w14:textId="77777777" w:rsidR="006746E9" w:rsidRPr="00BE1940" w:rsidRDefault="006746E9" w:rsidP="00591C83">
            <w:pPr>
              <w:keepNext/>
              <w:spacing w:before="0" w:after="0"/>
              <w:jc w:val="center"/>
              <w:rPr>
                <w:rFonts w:ascii="Arial Narrow" w:hAnsi="Arial Narrow" w:cs="Arial"/>
                <w:b/>
                <w:sz w:val="20"/>
                <w:szCs w:val="20"/>
              </w:rPr>
            </w:pPr>
            <w:r w:rsidRPr="00F07DF2">
              <w:rPr>
                <w:rFonts w:ascii="Arial Narrow" w:hAnsi="Arial Narrow" w:cs="Arial"/>
                <w:b/>
                <w:sz w:val="20"/>
                <w:szCs w:val="20"/>
              </w:rPr>
              <w:t>№.of Rpts</w:t>
            </w:r>
          </w:p>
        </w:tc>
      </w:tr>
      <w:tr w:rsidR="006746E9" w:rsidRPr="00BE1940" w14:paraId="4752BFC4" w14:textId="77777777" w:rsidTr="006B3757">
        <w:trPr>
          <w:cantSplit/>
          <w:trHeight w:val="20"/>
        </w:trPr>
        <w:tc>
          <w:tcPr>
            <w:tcW w:w="1696" w:type="pct"/>
            <w:gridSpan w:val="3"/>
            <w:vAlign w:val="center"/>
          </w:tcPr>
          <w:p w14:paraId="155A18DF" w14:textId="77777777" w:rsidR="006746E9" w:rsidRPr="00BE1940" w:rsidRDefault="006746E9" w:rsidP="00591C83">
            <w:pPr>
              <w:keepNext/>
              <w:spacing w:before="0" w:after="0"/>
              <w:rPr>
                <w:rFonts w:ascii="Arial Narrow" w:hAnsi="Arial Narrow" w:cs="Arial"/>
                <w:sz w:val="20"/>
                <w:szCs w:val="20"/>
              </w:rPr>
            </w:pPr>
            <w:r w:rsidRPr="00BE1940">
              <w:rPr>
                <w:rFonts w:ascii="Arial Narrow" w:hAnsi="Arial Narrow" w:cs="Arial"/>
                <w:sz w:val="20"/>
                <w:szCs w:val="20"/>
              </w:rPr>
              <w:t>MIRVETUXIMAB SORAVTANSINE</w:t>
            </w:r>
          </w:p>
        </w:tc>
        <w:tc>
          <w:tcPr>
            <w:tcW w:w="1082" w:type="pct"/>
            <w:vAlign w:val="center"/>
          </w:tcPr>
          <w:p w14:paraId="3C78CEFF" w14:textId="77777777" w:rsidR="006746E9" w:rsidRPr="00BE1940" w:rsidRDefault="006746E9" w:rsidP="00591C83">
            <w:pPr>
              <w:keepNext/>
              <w:spacing w:before="0" w:after="0"/>
              <w:jc w:val="center"/>
              <w:rPr>
                <w:rFonts w:ascii="Arial Narrow" w:hAnsi="Arial Narrow" w:cs="Arial"/>
                <w:sz w:val="20"/>
                <w:szCs w:val="20"/>
              </w:rPr>
            </w:pPr>
            <w:r w:rsidRPr="00BE1940">
              <w:rPr>
                <w:rFonts w:ascii="Arial Narrow" w:hAnsi="Arial Narrow" w:cs="Arial"/>
                <w:sz w:val="20"/>
                <w:szCs w:val="20"/>
              </w:rPr>
              <w:t>NEW (Public)</w:t>
            </w:r>
            <w:r w:rsidRPr="00BE1940">
              <w:rPr>
                <w:rFonts w:ascii="Arial Narrow" w:hAnsi="Arial Narrow" w:cs="Arial"/>
                <w:sz w:val="20"/>
                <w:szCs w:val="20"/>
              </w:rPr>
              <w:br/>
              <w:t>NEW (Private)</w:t>
            </w:r>
          </w:p>
        </w:tc>
        <w:tc>
          <w:tcPr>
            <w:tcW w:w="1082" w:type="pct"/>
            <w:vAlign w:val="center"/>
          </w:tcPr>
          <w:p w14:paraId="01A9D805" w14:textId="77777777" w:rsidR="006746E9" w:rsidRPr="00BE1940" w:rsidRDefault="006746E9" w:rsidP="00591C83">
            <w:pPr>
              <w:keepNext/>
              <w:spacing w:before="0" w:after="0"/>
              <w:jc w:val="center"/>
              <w:rPr>
                <w:rFonts w:ascii="Arial Narrow" w:hAnsi="Arial Narrow" w:cs="Arial"/>
                <w:sz w:val="20"/>
                <w:szCs w:val="20"/>
              </w:rPr>
            </w:pPr>
            <w:r w:rsidRPr="00BE1940">
              <w:rPr>
                <w:rFonts w:ascii="Arial Narrow" w:hAnsi="Arial Narrow" w:cs="Arial"/>
                <w:sz w:val="20"/>
                <w:szCs w:val="20"/>
              </w:rPr>
              <w:t>500mg</w:t>
            </w:r>
          </w:p>
        </w:tc>
        <w:tc>
          <w:tcPr>
            <w:tcW w:w="1140" w:type="pct"/>
            <w:vAlign w:val="center"/>
          </w:tcPr>
          <w:p w14:paraId="6BD0E0F3" w14:textId="6E809C58" w:rsidR="006746E9" w:rsidRPr="0018483C" w:rsidRDefault="006746E9" w:rsidP="00591C83">
            <w:pPr>
              <w:keepNext/>
              <w:spacing w:before="0" w:after="0"/>
              <w:jc w:val="center"/>
              <w:rPr>
                <w:rFonts w:ascii="Arial Narrow" w:hAnsi="Arial Narrow" w:cs="Arial"/>
                <w:i/>
                <w:iCs/>
                <w:sz w:val="20"/>
                <w:szCs w:val="20"/>
              </w:rPr>
            </w:pPr>
            <w:r>
              <w:rPr>
                <w:rFonts w:ascii="Arial Narrow" w:hAnsi="Arial Narrow" w:cs="Arial"/>
                <w:i/>
                <w:iCs/>
                <w:sz w:val="20"/>
                <w:szCs w:val="20"/>
              </w:rPr>
              <w:t>7</w:t>
            </w:r>
          </w:p>
        </w:tc>
      </w:tr>
      <w:tr w:rsidR="006746E9" w:rsidRPr="00BE1940" w14:paraId="567CDC2A" w14:textId="77777777" w:rsidTr="006B3757">
        <w:trPr>
          <w:cantSplit/>
          <w:trHeight w:val="20"/>
        </w:trPr>
        <w:tc>
          <w:tcPr>
            <w:tcW w:w="5000" w:type="pct"/>
            <w:gridSpan w:val="6"/>
            <w:vAlign w:val="center"/>
          </w:tcPr>
          <w:p w14:paraId="4C93A063" w14:textId="77777777" w:rsidR="006746E9" w:rsidRPr="00BE1940" w:rsidRDefault="006746E9" w:rsidP="00591C83">
            <w:pPr>
              <w:keepNext/>
              <w:spacing w:before="0" w:after="0"/>
              <w:rPr>
                <w:rFonts w:ascii="Arial Narrow" w:hAnsi="Arial Narrow"/>
                <w:b/>
                <w:sz w:val="20"/>
                <w:szCs w:val="20"/>
              </w:rPr>
            </w:pPr>
            <w:r w:rsidRPr="00BE1940">
              <w:rPr>
                <w:rFonts w:ascii="Arial Narrow" w:hAnsi="Arial Narrow"/>
                <w:b/>
                <w:sz w:val="20"/>
                <w:szCs w:val="20"/>
              </w:rPr>
              <w:t xml:space="preserve">Available brands </w:t>
            </w:r>
          </w:p>
        </w:tc>
      </w:tr>
      <w:tr w:rsidR="006746E9" w:rsidRPr="00BE1940" w14:paraId="07530B94" w14:textId="77777777" w:rsidTr="006B3757">
        <w:trPr>
          <w:cantSplit/>
          <w:trHeight w:val="20"/>
        </w:trPr>
        <w:tc>
          <w:tcPr>
            <w:tcW w:w="5000" w:type="pct"/>
            <w:gridSpan w:val="6"/>
            <w:vAlign w:val="center"/>
          </w:tcPr>
          <w:p w14:paraId="0F172E2C" w14:textId="77777777" w:rsidR="006746E9" w:rsidRPr="00BE1940" w:rsidRDefault="006746E9" w:rsidP="00591C83">
            <w:pPr>
              <w:keepNext/>
              <w:spacing w:before="0" w:after="0"/>
              <w:rPr>
                <w:rFonts w:ascii="Arial Narrow" w:hAnsi="Arial Narrow" w:cs="Arial"/>
                <w:sz w:val="20"/>
                <w:szCs w:val="20"/>
              </w:rPr>
            </w:pPr>
            <w:r w:rsidRPr="00BE1940">
              <w:rPr>
                <w:rFonts w:ascii="Arial Narrow" w:hAnsi="Arial Narrow" w:cs="Arial"/>
                <w:sz w:val="20"/>
                <w:szCs w:val="20"/>
              </w:rPr>
              <w:t>Elahere</w:t>
            </w:r>
            <w:r w:rsidRPr="00BE1940">
              <w:rPr>
                <w:rFonts w:ascii="Arial Narrow" w:hAnsi="Arial Narrow" w:cs="Arial"/>
                <w:sz w:val="20"/>
                <w:szCs w:val="20"/>
              </w:rPr>
              <w:br/>
              <w:t>(Mirvetuximab soravtansine 100 mg/20 mL injection, 20 mL vial)</w:t>
            </w:r>
          </w:p>
        </w:tc>
      </w:tr>
      <w:tr w:rsidR="006746E9" w:rsidRPr="00BE1940" w14:paraId="6A40A7C2" w14:textId="77777777" w:rsidTr="006B3757">
        <w:trPr>
          <w:cantSplit/>
          <w:trHeight w:val="20"/>
        </w:trPr>
        <w:tc>
          <w:tcPr>
            <w:tcW w:w="5000" w:type="pct"/>
            <w:gridSpan w:val="6"/>
            <w:vAlign w:val="center"/>
          </w:tcPr>
          <w:p w14:paraId="17EFEC15" w14:textId="77777777" w:rsidR="006746E9" w:rsidRPr="00BE1940" w:rsidRDefault="006746E9" w:rsidP="00591C83">
            <w:pPr>
              <w:keepNext/>
              <w:spacing w:before="0" w:after="0"/>
              <w:rPr>
                <w:rFonts w:ascii="Arial Narrow" w:hAnsi="Arial Narrow" w:cs="Arial"/>
                <w:sz w:val="20"/>
                <w:szCs w:val="20"/>
              </w:rPr>
            </w:pPr>
          </w:p>
        </w:tc>
      </w:tr>
      <w:tr w:rsidR="006746E9" w:rsidRPr="00BE1940" w14:paraId="79408CD8" w14:textId="77777777" w:rsidTr="006B3757">
        <w:trPr>
          <w:cantSplit/>
          <w:trHeight w:val="20"/>
        </w:trPr>
        <w:tc>
          <w:tcPr>
            <w:tcW w:w="5000" w:type="pct"/>
            <w:gridSpan w:val="6"/>
            <w:vAlign w:val="center"/>
          </w:tcPr>
          <w:p w14:paraId="4D70BE47" w14:textId="77777777" w:rsidR="006746E9" w:rsidRPr="00BE1940" w:rsidRDefault="006746E9" w:rsidP="00591C83">
            <w:pPr>
              <w:keepNext/>
              <w:spacing w:before="0" w:after="0"/>
              <w:rPr>
                <w:rFonts w:ascii="Arial Narrow" w:hAnsi="Arial Narrow" w:cs="Arial"/>
                <w:sz w:val="20"/>
                <w:szCs w:val="20"/>
              </w:rPr>
            </w:pPr>
            <w:r w:rsidRPr="00BE1940">
              <w:rPr>
                <w:rFonts w:ascii="Arial Narrow" w:hAnsi="Arial Narrow"/>
                <w:b/>
                <w:sz w:val="20"/>
                <w:szCs w:val="20"/>
              </w:rPr>
              <w:t>Restriction Summary [new] / Treatment of Concept: [new]</w:t>
            </w:r>
          </w:p>
        </w:tc>
      </w:tr>
      <w:tr w:rsidR="006746E9" w:rsidRPr="00BE1940" w14:paraId="4779C693"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Merge w:val="restart"/>
          </w:tcPr>
          <w:p w14:paraId="3C683F9E" w14:textId="77777777" w:rsidR="006746E9" w:rsidRPr="00051067" w:rsidRDefault="006746E9" w:rsidP="00591C83">
            <w:pPr>
              <w:keepNext/>
              <w:spacing w:before="0" w:after="0"/>
              <w:jc w:val="center"/>
              <w:rPr>
                <w:rFonts w:ascii="Arial Narrow" w:hAnsi="Arial Narrow" w:cs="Arial"/>
                <w:b/>
                <w:sz w:val="20"/>
                <w:szCs w:val="20"/>
              </w:rPr>
            </w:pPr>
            <w:r w:rsidRPr="00051067">
              <w:rPr>
                <w:rFonts w:ascii="Arial Narrow" w:hAnsi="Arial Narrow" w:cs="Arial"/>
                <w:b/>
                <w:sz w:val="20"/>
                <w:szCs w:val="20"/>
              </w:rPr>
              <w:t xml:space="preserve">Concept ID </w:t>
            </w:r>
            <w:r w:rsidRPr="00051067">
              <w:rPr>
                <w:rFonts w:ascii="Arial Narrow" w:hAnsi="Arial Narrow" w:cs="Arial"/>
                <w:sz w:val="20"/>
                <w:szCs w:val="20"/>
              </w:rPr>
              <w:t>(for internal Dept. use)</w:t>
            </w:r>
          </w:p>
        </w:tc>
        <w:tc>
          <w:tcPr>
            <w:tcW w:w="4342" w:type="pct"/>
            <w:gridSpan w:val="4"/>
          </w:tcPr>
          <w:p w14:paraId="065D61B3" w14:textId="77777777" w:rsidR="006746E9" w:rsidRPr="00051067" w:rsidRDefault="006746E9" w:rsidP="00591C83">
            <w:pPr>
              <w:keepNext/>
              <w:spacing w:before="0" w:after="0"/>
              <w:rPr>
                <w:rFonts w:ascii="Arial Narrow" w:hAnsi="Arial Narrow" w:cs="Arial"/>
                <w:sz w:val="20"/>
                <w:szCs w:val="20"/>
              </w:rPr>
            </w:pPr>
            <w:r w:rsidRPr="00051067">
              <w:rPr>
                <w:rFonts w:ascii="Arial Narrow" w:hAnsi="Arial Narrow" w:cs="Arial"/>
                <w:b/>
                <w:sz w:val="20"/>
                <w:szCs w:val="20"/>
              </w:rPr>
              <w:t xml:space="preserve">Category / Program: </w:t>
            </w:r>
            <w:r w:rsidRPr="00051067">
              <w:rPr>
                <w:rFonts w:ascii="Arial Narrow" w:hAnsi="Arial Narrow" w:cs="Arial"/>
                <w:sz w:val="20"/>
                <w:szCs w:val="20"/>
              </w:rPr>
              <w:t>Section 100 – Efficient Funding of Chemotherapy Public/Private hospitals</w:t>
            </w:r>
          </w:p>
        </w:tc>
      </w:tr>
      <w:tr w:rsidR="006746E9" w:rsidRPr="00BE1940" w14:paraId="12D6AD70"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Merge/>
          </w:tcPr>
          <w:p w14:paraId="25C3D83C" w14:textId="77777777" w:rsidR="006746E9" w:rsidRPr="00051067" w:rsidRDefault="006746E9" w:rsidP="00591C83">
            <w:pPr>
              <w:keepNext/>
              <w:spacing w:before="0" w:after="0"/>
              <w:rPr>
                <w:rFonts w:ascii="Arial Narrow" w:hAnsi="Arial Narrow" w:cs="Arial"/>
                <w:sz w:val="20"/>
                <w:szCs w:val="20"/>
              </w:rPr>
            </w:pPr>
          </w:p>
        </w:tc>
        <w:tc>
          <w:tcPr>
            <w:tcW w:w="4342" w:type="pct"/>
            <w:gridSpan w:val="4"/>
          </w:tcPr>
          <w:p w14:paraId="654B3FAD" w14:textId="77777777" w:rsidR="006746E9" w:rsidRPr="00051067" w:rsidRDefault="006746E9" w:rsidP="00591C83">
            <w:pPr>
              <w:keepNext/>
              <w:spacing w:before="0" w:after="0"/>
              <w:rPr>
                <w:rFonts w:ascii="Arial Narrow" w:hAnsi="Arial Narrow" w:cs="Arial"/>
                <w:b/>
                <w:sz w:val="20"/>
                <w:szCs w:val="20"/>
              </w:rPr>
            </w:pPr>
            <w:r w:rsidRPr="00051067">
              <w:rPr>
                <w:rFonts w:ascii="Arial Narrow" w:hAnsi="Arial Narrow" w:cs="Arial"/>
                <w:b/>
                <w:sz w:val="20"/>
                <w:szCs w:val="20"/>
              </w:rPr>
              <w:t xml:space="preserve">Prescriber type: </w:t>
            </w:r>
            <w:r w:rsidRPr="00051067">
              <w:rPr>
                <w:rFonts w:ascii="Arial Narrow" w:hAnsi="Arial Narrow" w:cs="Arial"/>
                <w:sz w:val="20"/>
                <w:szCs w:val="20"/>
              </w:rPr>
              <w:fldChar w:fldCharType="begin" w:fldLock="1">
                <w:ffData>
                  <w:name w:val=""/>
                  <w:enabled/>
                  <w:calcOnExit w:val="0"/>
                  <w:checkBox>
                    <w:sizeAuto/>
                    <w:default w:val="1"/>
                  </w:checkBox>
                </w:ffData>
              </w:fldChar>
            </w:r>
            <w:r w:rsidRPr="00051067">
              <w:rPr>
                <w:rFonts w:ascii="Arial Narrow" w:hAnsi="Arial Narrow" w:cs="Arial"/>
                <w:sz w:val="20"/>
                <w:szCs w:val="20"/>
              </w:rPr>
              <w:instrText xml:space="preserve"> FORMCHECKBOX </w:instrText>
            </w:r>
            <w:r w:rsidRPr="00051067">
              <w:rPr>
                <w:rFonts w:ascii="Arial Narrow" w:hAnsi="Arial Narrow" w:cs="Arial"/>
                <w:sz w:val="20"/>
                <w:szCs w:val="20"/>
              </w:rPr>
            </w:r>
            <w:r w:rsidRPr="00051067">
              <w:rPr>
                <w:rFonts w:ascii="Arial Narrow" w:hAnsi="Arial Narrow" w:cs="Arial"/>
                <w:sz w:val="20"/>
                <w:szCs w:val="20"/>
              </w:rPr>
              <w:fldChar w:fldCharType="separate"/>
            </w:r>
            <w:r w:rsidRPr="00051067">
              <w:rPr>
                <w:rFonts w:ascii="Arial Narrow" w:hAnsi="Arial Narrow" w:cs="Arial"/>
                <w:sz w:val="20"/>
                <w:szCs w:val="20"/>
              </w:rPr>
              <w:fldChar w:fldCharType="end"/>
            </w:r>
            <w:r w:rsidRPr="00051067">
              <w:rPr>
                <w:rFonts w:ascii="Arial Narrow" w:hAnsi="Arial Narrow" w:cs="Arial"/>
                <w:sz w:val="20"/>
                <w:szCs w:val="20"/>
              </w:rPr>
              <w:t xml:space="preserve">Medical Practitioners </w:t>
            </w:r>
          </w:p>
        </w:tc>
      </w:tr>
      <w:tr w:rsidR="006746E9" w:rsidRPr="00BE1940" w14:paraId="29E7B62D"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Merge/>
          </w:tcPr>
          <w:p w14:paraId="50C85024" w14:textId="77777777" w:rsidR="006746E9" w:rsidRPr="00051067" w:rsidRDefault="006746E9" w:rsidP="00591C83">
            <w:pPr>
              <w:keepNext/>
              <w:spacing w:before="0" w:after="0"/>
              <w:rPr>
                <w:rFonts w:ascii="Arial Narrow" w:hAnsi="Arial Narrow" w:cs="Arial"/>
                <w:sz w:val="20"/>
                <w:szCs w:val="20"/>
              </w:rPr>
            </w:pPr>
          </w:p>
        </w:tc>
        <w:tc>
          <w:tcPr>
            <w:tcW w:w="4342" w:type="pct"/>
            <w:gridSpan w:val="4"/>
          </w:tcPr>
          <w:p w14:paraId="2FB76699" w14:textId="77777777" w:rsidR="006746E9" w:rsidRPr="00051067" w:rsidRDefault="006746E9" w:rsidP="00591C83">
            <w:pPr>
              <w:keepNext/>
              <w:spacing w:before="0" w:after="0"/>
              <w:rPr>
                <w:rFonts w:ascii="Arial Narrow" w:eastAsia="Calibri" w:hAnsi="Arial Narrow" w:cs="Arial"/>
                <w:sz w:val="20"/>
                <w:szCs w:val="20"/>
              </w:rPr>
            </w:pPr>
            <w:r w:rsidRPr="00051067">
              <w:rPr>
                <w:rFonts w:ascii="Arial Narrow" w:hAnsi="Arial Narrow" w:cs="Arial"/>
                <w:b/>
                <w:sz w:val="20"/>
                <w:szCs w:val="20"/>
              </w:rPr>
              <w:t xml:space="preserve">Restriction type: </w:t>
            </w:r>
            <w:r w:rsidRPr="00051067">
              <w:rPr>
                <w:rFonts w:ascii="Arial Narrow" w:eastAsia="Calibri" w:hAnsi="Arial Narrow" w:cs="Arial"/>
                <w:sz w:val="20"/>
                <w:szCs w:val="20"/>
              </w:rPr>
              <w:fldChar w:fldCharType="begin" w:fldLock="1">
                <w:ffData>
                  <w:name w:val="Check3"/>
                  <w:enabled/>
                  <w:calcOnExit w:val="0"/>
                  <w:checkBox>
                    <w:sizeAuto/>
                    <w:default w:val="1"/>
                  </w:checkBox>
                </w:ffData>
              </w:fldChar>
            </w:r>
            <w:r w:rsidRPr="00051067">
              <w:rPr>
                <w:rFonts w:ascii="Arial Narrow" w:eastAsia="Calibri" w:hAnsi="Arial Narrow" w:cs="Arial"/>
                <w:sz w:val="20"/>
                <w:szCs w:val="20"/>
              </w:rPr>
              <w:instrText xml:space="preserve"> FORMCHECKBOX </w:instrText>
            </w:r>
            <w:r w:rsidRPr="00051067">
              <w:rPr>
                <w:rFonts w:ascii="Arial Narrow" w:eastAsia="Calibri" w:hAnsi="Arial Narrow" w:cs="Arial"/>
                <w:sz w:val="20"/>
                <w:szCs w:val="20"/>
              </w:rPr>
            </w:r>
            <w:r w:rsidRPr="00051067">
              <w:rPr>
                <w:rFonts w:ascii="Arial Narrow" w:eastAsia="Calibri" w:hAnsi="Arial Narrow" w:cs="Arial"/>
                <w:sz w:val="20"/>
                <w:szCs w:val="20"/>
              </w:rPr>
              <w:fldChar w:fldCharType="separate"/>
            </w:r>
            <w:r w:rsidRPr="00051067">
              <w:rPr>
                <w:rFonts w:ascii="Arial Narrow" w:eastAsia="Calibri" w:hAnsi="Arial Narrow" w:cs="Arial"/>
                <w:sz w:val="20"/>
                <w:szCs w:val="20"/>
              </w:rPr>
              <w:fldChar w:fldCharType="end"/>
            </w:r>
            <w:r w:rsidRPr="00051067">
              <w:rPr>
                <w:rFonts w:ascii="Arial Narrow" w:eastAsia="Calibri" w:hAnsi="Arial Narrow" w:cs="Arial"/>
                <w:sz w:val="20"/>
                <w:szCs w:val="20"/>
              </w:rPr>
              <w:t xml:space="preserve">Authority Required – immediate assessment (telephone/online PBS Authorities system) </w:t>
            </w:r>
          </w:p>
        </w:tc>
      </w:tr>
      <w:tr w:rsidR="006746E9" w:rsidRPr="00BE1940" w14:paraId="4B3C9F29" w14:textId="77777777" w:rsidTr="00051067">
        <w:tblPrEx>
          <w:tblCellMar>
            <w:top w:w="15" w:type="dxa"/>
            <w:bottom w:w="15" w:type="dxa"/>
          </w:tblCellMar>
          <w:tblLook w:val="04A0" w:firstRow="1" w:lastRow="0" w:firstColumn="1" w:lastColumn="0" w:noHBand="0" w:noVBand="1"/>
        </w:tblPrEx>
        <w:trPr>
          <w:trHeight w:val="20"/>
        </w:trPr>
        <w:tc>
          <w:tcPr>
            <w:tcW w:w="306" w:type="pct"/>
            <w:vMerge w:val="restart"/>
            <w:textDirection w:val="btLr"/>
            <w:vAlign w:val="center"/>
          </w:tcPr>
          <w:p w14:paraId="2AA5982A" w14:textId="31B521E8" w:rsidR="006746E9" w:rsidRPr="00051067" w:rsidRDefault="00051067" w:rsidP="00591C83">
            <w:pPr>
              <w:keepNext/>
              <w:keepLines/>
              <w:spacing w:before="0" w:after="0"/>
              <w:ind w:left="113" w:right="113"/>
              <w:jc w:val="center"/>
              <w:rPr>
                <w:rFonts w:ascii="Arial Narrow" w:eastAsia="Times New Roman" w:hAnsi="Arial Narrow"/>
                <w:sz w:val="20"/>
                <w:szCs w:val="20"/>
                <w:lang w:eastAsia="en-AU"/>
              </w:rPr>
            </w:pPr>
            <w:r w:rsidRPr="00051067">
              <w:rPr>
                <w:rFonts w:ascii="Arial Narrow" w:eastAsia="Times New Roman" w:hAnsi="Arial Narrow"/>
                <w:sz w:val="20"/>
                <w:szCs w:val="20"/>
                <w:lang w:eastAsia="en-AU"/>
              </w:rPr>
              <w:t>Prescribing rule level</w:t>
            </w:r>
          </w:p>
        </w:tc>
        <w:tc>
          <w:tcPr>
            <w:tcW w:w="352" w:type="pct"/>
            <w:vAlign w:val="center"/>
          </w:tcPr>
          <w:p w14:paraId="2DCB5CA6" w14:textId="7936AA60" w:rsidR="006746E9" w:rsidRPr="00051067" w:rsidRDefault="006746E9" w:rsidP="00B65B3F">
            <w:pPr>
              <w:keepNext/>
              <w:keepLines/>
              <w:spacing w:before="0" w:after="0"/>
              <w:ind w:hanging="35"/>
              <w:rPr>
                <w:rFonts w:ascii="Arial Narrow" w:eastAsia="Times New Roman" w:hAnsi="Arial Narrow"/>
                <w:sz w:val="20"/>
                <w:szCs w:val="20"/>
                <w:lang w:eastAsia="en-AU"/>
              </w:rPr>
            </w:pPr>
          </w:p>
        </w:tc>
        <w:tc>
          <w:tcPr>
            <w:tcW w:w="4342" w:type="pct"/>
            <w:gridSpan w:val="4"/>
            <w:vAlign w:val="center"/>
          </w:tcPr>
          <w:p w14:paraId="6DAE1A87" w14:textId="1E788A40" w:rsidR="006746E9" w:rsidRPr="00051067" w:rsidRDefault="006746E9" w:rsidP="00591C83">
            <w:pPr>
              <w:keepNext/>
              <w:keepLines/>
              <w:spacing w:before="0" w:after="0"/>
              <w:rPr>
                <w:rFonts w:ascii="Arial Narrow" w:eastAsia="Times New Roman" w:hAnsi="Arial Narrow"/>
                <w:b/>
                <w:bCs/>
                <w:sz w:val="20"/>
                <w:szCs w:val="20"/>
                <w:lang w:eastAsia="en-AU"/>
              </w:rPr>
            </w:pPr>
            <w:r w:rsidRPr="00051067">
              <w:rPr>
                <w:rFonts w:ascii="Arial Narrow" w:eastAsia="Times New Roman" w:hAnsi="Arial Narrow"/>
                <w:b/>
                <w:bCs/>
                <w:sz w:val="20"/>
                <w:szCs w:val="20"/>
                <w:lang w:eastAsia="en-AU"/>
              </w:rPr>
              <w:t xml:space="preserve">Administrative Advice: </w:t>
            </w:r>
            <w:r w:rsidRPr="00051067">
              <w:rPr>
                <w:rFonts w:ascii="Arial Narrow" w:eastAsia="Times New Roman" w:hAnsi="Arial Narrow"/>
                <w:sz w:val="20"/>
                <w:szCs w:val="20"/>
                <w:lang w:eastAsia="en-AU"/>
              </w:rPr>
              <w:t>High FRα tumour cell expression is defined as having 75% or more tumour cells with FRα staining at moderate or high staining intensity (2+ staining) as determined by a validated test.</w:t>
            </w:r>
            <w:r w:rsidR="00B65B3F">
              <w:rPr>
                <w:rFonts w:ascii="Arial Narrow" w:eastAsia="Times New Roman" w:hAnsi="Arial Narrow"/>
                <w:sz w:val="20"/>
                <w:szCs w:val="20"/>
                <w:lang w:eastAsia="en-AU"/>
              </w:rPr>
              <w:t xml:space="preserve"> </w:t>
            </w:r>
          </w:p>
        </w:tc>
      </w:tr>
      <w:tr w:rsidR="006746E9" w:rsidRPr="00BE1940" w14:paraId="4B25FEB4" w14:textId="77777777" w:rsidTr="006B3757">
        <w:tblPrEx>
          <w:tblCellMar>
            <w:top w:w="15" w:type="dxa"/>
            <w:bottom w:w="15" w:type="dxa"/>
          </w:tblCellMar>
          <w:tblLook w:val="04A0" w:firstRow="1" w:lastRow="0" w:firstColumn="1" w:lastColumn="0" w:noHBand="0" w:noVBand="1"/>
        </w:tblPrEx>
        <w:trPr>
          <w:trHeight w:val="20"/>
        </w:trPr>
        <w:tc>
          <w:tcPr>
            <w:tcW w:w="306" w:type="pct"/>
            <w:vMerge/>
            <w:vAlign w:val="center"/>
          </w:tcPr>
          <w:p w14:paraId="6FB2B3F2" w14:textId="77777777" w:rsidR="006746E9" w:rsidRPr="00051067" w:rsidRDefault="006746E9" w:rsidP="00591C83">
            <w:pPr>
              <w:keepNext/>
              <w:keepLines/>
              <w:spacing w:before="0" w:after="0"/>
              <w:jc w:val="center"/>
              <w:rPr>
                <w:rFonts w:ascii="Arial Narrow" w:eastAsia="Times New Roman" w:hAnsi="Arial Narrow"/>
                <w:sz w:val="20"/>
                <w:szCs w:val="20"/>
                <w:lang w:eastAsia="en-AU"/>
              </w:rPr>
            </w:pPr>
          </w:p>
        </w:tc>
        <w:tc>
          <w:tcPr>
            <w:tcW w:w="352" w:type="pct"/>
            <w:vAlign w:val="center"/>
          </w:tcPr>
          <w:p w14:paraId="35AE32C4" w14:textId="20510931" w:rsidR="006746E9" w:rsidRPr="00051067" w:rsidRDefault="006746E9" w:rsidP="00591C83">
            <w:pPr>
              <w:keepNext/>
              <w:keepLines/>
              <w:spacing w:before="0" w:after="0"/>
              <w:ind w:hanging="35"/>
              <w:jc w:val="center"/>
              <w:rPr>
                <w:rFonts w:ascii="Arial Narrow" w:eastAsia="Times New Roman" w:hAnsi="Arial Narrow"/>
                <w:sz w:val="20"/>
                <w:szCs w:val="20"/>
                <w:lang w:eastAsia="en-AU"/>
              </w:rPr>
            </w:pPr>
          </w:p>
        </w:tc>
        <w:tc>
          <w:tcPr>
            <w:tcW w:w="4342" w:type="pct"/>
            <w:gridSpan w:val="4"/>
            <w:vAlign w:val="center"/>
          </w:tcPr>
          <w:p w14:paraId="76DE59BF" w14:textId="77777777" w:rsidR="006746E9" w:rsidRPr="00051067" w:rsidRDefault="006746E9" w:rsidP="00591C83">
            <w:pPr>
              <w:keepNext/>
              <w:keepLines/>
              <w:spacing w:before="0" w:after="0"/>
              <w:rPr>
                <w:rFonts w:ascii="Arial Narrow" w:eastAsia="Times New Roman" w:hAnsi="Arial Narrow"/>
                <w:b/>
                <w:bCs/>
                <w:sz w:val="20"/>
                <w:szCs w:val="20"/>
                <w:lang w:eastAsia="en-AU"/>
              </w:rPr>
            </w:pPr>
            <w:r w:rsidRPr="00051067">
              <w:rPr>
                <w:rFonts w:ascii="Arial Narrow" w:hAnsi="Arial Narrow"/>
                <w:b/>
                <w:bCs/>
                <w:sz w:val="20"/>
                <w:szCs w:val="20"/>
              </w:rPr>
              <w:t xml:space="preserve">Administrative Advice: </w:t>
            </w:r>
            <w:r w:rsidRPr="00051067">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6746E9" w:rsidRPr="00BE1940" w14:paraId="4B83F245" w14:textId="77777777" w:rsidTr="006B3757">
        <w:tblPrEx>
          <w:tblCellMar>
            <w:top w:w="15" w:type="dxa"/>
            <w:bottom w:w="15" w:type="dxa"/>
          </w:tblCellMar>
          <w:tblLook w:val="04A0" w:firstRow="1" w:lastRow="0" w:firstColumn="1" w:lastColumn="0" w:noHBand="0" w:noVBand="1"/>
        </w:tblPrEx>
        <w:trPr>
          <w:trHeight w:val="20"/>
        </w:trPr>
        <w:tc>
          <w:tcPr>
            <w:tcW w:w="306" w:type="pct"/>
            <w:vMerge/>
            <w:vAlign w:val="center"/>
          </w:tcPr>
          <w:p w14:paraId="0BA92539" w14:textId="77777777" w:rsidR="006746E9" w:rsidRPr="00051067" w:rsidRDefault="006746E9" w:rsidP="00591C83">
            <w:pPr>
              <w:keepNext/>
              <w:keepLines/>
              <w:spacing w:before="0" w:after="0"/>
              <w:jc w:val="center"/>
              <w:rPr>
                <w:rFonts w:ascii="Arial Narrow" w:eastAsia="Times New Roman" w:hAnsi="Arial Narrow"/>
                <w:sz w:val="20"/>
                <w:szCs w:val="20"/>
                <w:lang w:eastAsia="en-AU"/>
              </w:rPr>
            </w:pPr>
          </w:p>
        </w:tc>
        <w:tc>
          <w:tcPr>
            <w:tcW w:w="352" w:type="pct"/>
            <w:vAlign w:val="center"/>
          </w:tcPr>
          <w:p w14:paraId="7305A969" w14:textId="5FDA68ED" w:rsidR="006746E9" w:rsidRPr="00051067" w:rsidRDefault="006746E9" w:rsidP="00591C83">
            <w:pPr>
              <w:keepNext/>
              <w:keepLines/>
              <w:spacing w:before="0" w:after="0"/>
              <w:ind w:hanging="35"/>
              <w:jc w:val="center"/>
              <w:rPr>
                <w:rFonts w:ascii="Arial Narrow" w:eastAsia="Times New Roman" w:hAnsi="Arial Narrow"/>
                <w:sz w:val="20"/>
                <w:szCs w:val="20"/>
                <w:lang w:eastAsia="en-AU"/>
              </w:rPr>
            </w:pPr>
          </w:p>
        </w:tc>
        <w:tc>
          <w:tcPr>
            <w:tcW w:w="4342" w:type="pct"/>
            <w:gridSpan w:val="4"/>
            <w:vAlign w:val="center"/>
          </w:tcPr>
          <w:p w14:paraId="3B4119B4" w14:textId="77777777" w:rsidR="006746E9" w:rsidRPr="00051067" w:rsidRDefault="006746E9" w:rsidP="00591C83">
            <w:pPr>
              <w:keepNext/>
              <w:keepLines/>
              <w:spacing w:before="0" w:after="0"/>
              <w:rPr>
                <w:rFonts w:ascii="Arial Narrow" w:eastAsia="Times New Roman" w:hAnsi="Arial Narrow"/>
                <w:b/>
                <w:bCs/>
                <w:sz w:val="20"/>
                <w:szCs w:val="20"/>
                <w:lang w:eastAsia="en-AU"/>
              </w:rPr>
            </w:pPr>
            <w:r w:rsidRPr="00051067">
              <w:rPr>
                <w:rFonts w:ascii="Arial Narrow" w:hAnsi="Arial Narrow"/>
                <w:b/>
                <w:bCs/>
                <w:sz w:val="20"/>
                <w:szCs w:val="20"/>
              </w:rPr>
              <w:t xml:space="preserve">Administrative Advice: </w:t>
            </w:r>
            <w:r w:rsidRPr="00051067">
              <w:rPr>
                <w:rFonts w:ascii="Arial Narrow" w:hAnsi="Arial Narrow"/>
                <w:bCs/>
                <w:sz w:val="20"/>
                <w:szCs w:val="20"/>
              </w:rPr>
              <w:t>No increase in the maximum number of repeats may be authorised.</w:t>
            </w:r>
          </w:p>
        </w:tc>
      </w:tr>
      <w:tr w:rsidR="006746E9" w:rsidRPr="00BE1940" w14:paraId="7E855F4F" w14:textId="77777777" w:rsidTr="006B3757">
        <w:tblPrEx>
          <w:tblCellMar>
            <w:top w:w="15" w:type="dxa"/>
            <w:bottom w:w="15" w:type="dxa"/>
          </w:tblCellMar>
          <w:tblLook w:val="04A0" w:firstRow="1" w:lastRow="0" w:firstColumn="1" w:lastColumn="0" w:noHBand="0" w:noVBand="1"/>
        </w:tblPrEx>
        <w:trPr>
          <w:trHeight w:val="20"/>
        </w:trPr>
        <w:tc>
          <w:tcPr>
            <w:tcW w:w="306" w:type="pct"/>
            <w:vAlign w:val="center"/>
          </w:tcPr>
          <w:p w14:paraId="1FF21FC7" w14:textId="77777777" w:rsidR="006746E9" w:rsidRPr="00051067" w:rsidRDefault="006746E9" w:rsidP="00591C83">
            <w:pPr>
              <w:keepNext/>
              <w:keepLines/>
              <w:spacing w:before="0" w:after="0"/>
              <w:jc w:val="center"/>
              <w:rPr>
                <w:rFonts w:ascii="Arial Narrow" w:eastAsia="Times New Roman" w:hAnsi="Arial Narrow"/>
                <w:sz w:val="20"/>
                <w:szCs w:val="20"/>
                <w:lang w:eastAsia="en-AU"/>
              </w:rPr>
            </w:pPr>
          </w:p>
        </w:tc>
        <w:tc>
          <w:tcPr>
            <w:tcW w:w="352" w:type="pct"/>
            <w:vAlign w:val="center"/>
          </w:tcPr>
          <w:p w14:paraId="26B9DF8C" w14:textId="58F83AEA" w:rsidR="006746E9" w:rsidRPr="00051067" w:rsidRDefault="006746E9" w:rsidP="00591C83">
            <w:pPr>
              <w:keepNext/>
              <w:keepLines/>
              <w:spacing w:before="0" w:after="0"/>
              <w:ind w:hanging="35"/>
              <w:jc w:val="center"/>
              <w:rPr>
                <w:rFonts w:ascii="Arial Narrow" w:eastAsia="Times New Roman" w:hAnsi="Arial Narrow"/>
                <w:sz w:val="20"/>
                <w:szCs w:val="20"/>
                <w:lang w:eastAsia="en-AU"/>
              </w:rPr>
            </w:pPr>
          </w:p>
        </w:tc>
        <w:tc>
          <w:tcPr>
            <w:tcW w:w="4342" w:type="pct"/>
            <w:gridSpan w:val="4"/>
            <w:vAlign w:val="center"/>
          </w:tcPr>
          <w:p w14:paraId="43C1D7EC" w14:textId="77777777" w:rsidR="006746E9" w:rsidRPr="00051067" w:rsidRDefault="006746E9" w:rsidP="00591C83">
            <w:pPr>
              <w:keepNext/>
              <w:keepLines/>
              <w:spacing w:before="0" w:after="0"/>
              <w:rPr>
                <w:rFonts w:ascii="Arial Narrow" w:eastAsia="Times New Roman" w:hAnsi="Arial Narrow"/>
                <w:b/>
                <w:bCs/>
                <w:sz w:val="20"/>
                <w:szCs w:val="20"/>
                <w:lang w:eastAsia="en-AU"/>
              </w:rPr>
            </w:pPr>
            <w:r w:rsidRPr="00051067">
              <w:rPr>
                <w:rFonts w:ascii="Arial Narrow" w:hAnsi="Arial Narrow"/>
                <w:b/>
                <w:bCs/>
                <w:sz w:val="20"/>
                <w:szCs w:val="20"/>
              </w:rPr>
              <w:t xml:space="preserve">Administrative Advice: </w:t>
            </w:r>
            <w:r w:rsidRPr="00051067">
              <w:rPr>
                <w:rFonts w:ascii="Arial Narrow" w:hAnsi="Arial Narrow"/>
                <w:bCs/>
                <w:sz w:val="20"/>
                <w:szCs w:val="20"/>
              </w:rPr>
              <w:t>Special Pricing Arrangements apply.</w:t>
            </w:r>
          </w:p>
        </w:tc>
      </w:tr>
      <w:tr w:rsidR="006746E9" w:rsidRPr="00BE1940" w14:paraId="1B20F2F2"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Merge w:val="restart"/>
            <w:vAlign w:val="center"/>
          </w:tcPr>
          <w:p w14:paraId="5DA64D16" w14:textId="77777777" w:rsidR="006746E9" w:rsidRPr="00051067" w:rsidRDefault="006746E9" w:rsidP="00591C83">
            <w:pPr>
              <w:keepNext/>
              <w:keepLines/>
              <w:spacing w:before="0" w:after="0"/>
              <w:jc w:val="center"/>
              <w:rPr>
                <w:rFonts w:ascii="Arial Narrow" w:eastAsia="Times New Roman" w:hAnsi="Arial Narrow"/>
                <w:sz w:val="20"/>
                <w:szCs w:val="20"/>
                <w:lang w:eastAsia="en-AU"/>
              </w:rPr>
            </w:pPr>
          </w:p>
        </w:tc>
        <w:tc>
          <w:tcPr>
            <w:tcW w:w="4342" w:type="pct"/>
            <w:gridSpan w:val="4"/>
            <w:vAlign w:val="center"/>
          </w:tcPr>
          <w:p w14:paraId="4FE83AB4" w14:textId="77777777" w:rsidR="006746E9" w:rsidRPr="00051067" w:rsidRDefault="006746E9" w:rsidP="00591C83">
            <w:pPr>
              <w:keepNext/>
              <w:keepLines/>
              <w:spacing w:before="0" w:after="0"/>
              <w:rPr>
                <w:rFonts w:ascii="Arial Narrow" w:eastAsia="Times New Roman" w:hAnsi="Arial Narrow"/>
                <w:bCs/>
                <w:sz w:val="20"/>
                <w:szCs w:val="20"/>
                <w:lang w:eastAsia="en-AU"/>
              </w:rPr>
            </w:pPr>
            <w:r w:rsidRPr="00051067">
              <w:rPr>
                <w:rFonts w:ascii="Arial Narrow" w:eastAsia="Times New Roman" w:hAnsi="Arial Narrow"/>
                <w:b/>
                <w:bCs/>
                <w:sz w:val="20"/>
                <w:szCs w:val="20"/>
                <w:lang w:eastAsia="en-AU"/>
              </w:rPr>
              <w:t xml:space="preserve">Episodicity: </w:t>
            </w:r>
            <w:r w:rsidRPr="00051067">
              <w:rPr>
                <w:rFonts w:ascii="Arial Narrow" w:eastAsia="Times New Roman" w:hAnsi="Arial Narrow"/>
                <w:sz w:val="20"/>
                <w:szCs w:val="20"/>
                <w:lang w:eastAsia="en-AU"/>
              </w:rPr>
              <w:t>[blank]</w:t>
            </w:r>
          </w:p>
        </w:tc>
      </w:tr>
      <w:tr w:rsidR="006746E9" w:rsidRPr="00BE1940" w14:paraId="201622DC"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Merge/>
            <w:vAlign w:val="center"/>
          </w:tcPr>
          <w:p w14:paraId="5A14E270" w14:textId="77777777" w:rsidR="006746E9" w:rsidRPr="00051067" w:rsidRDefault="006746E9" w:rsidP="00591C83">
            <w:pPr>
              <w:keepNext/>
              <w:keepLines/>
              <w:spacing w:before="0" w:after="0"/>
              <w:jc w:val="center"/>
              <w:rPr>
                <w:rFonts w:ascii="Arial Narrow" w:eastAsia="Times New Roman" w:hAnsi="Arial Narrow"/>
                <w:sz w:val="20"/>
                <w:szCs w:val="20"/>
                <w:lang w:eastAsia="en-AU"/>
              </w:rPr>
            </w:pPr>
          </w:p>
        </w:tc>
        <w:tc>
          <w:tcPr>
            <w:tcW w:w="4342" w:type="pct"/>
            <w:gridSpan w:val="4"/>
            <w:vAlign w:val="center"/>
          </w:tcPr>
          <w:p w14:paraId="6E3FC930" w14:textId="484E95F2" w:rsidR="006746E9" w:rsidRPr="00051067" w:rsidRDefault="006746E9" w:rsidP="00591C83">
            <w:pPr>
              <w:keepNext/>
              <w:keepLines/>
              <w:spacing w:before="0" w:after="0"/>
              <w:rPr>
                <w:rFonts w:ascii="Arial Narrow" w:eastAsia="Times New Roman" w:hAnsi="Arial Narrow"/>
                <w:bCs/>
                <w:sz w:val="20"/>
                <w:szCs w:val="20"/>
                <w:lang w:eastAsia="en-AU"/>
              </w:rPr>
            </w:pPr>
            <w:r w:rsidRPr="00051067">
              <w:rPr>
                <w:rFonts w:ascii="Arial Narrow" w:eastAsia="Times New Roman" w:hAnsi="Arial Narrow"/>
                <w:b/>
                <w:bCs/>
                <w:sz w:val="20"/>
                <w:szCs w:val="20"/>
                <w:lang w:eastAsia="en-AU"/>
              </w:rPr>
              <w:t xml:space="preserve">Severity: </w:t>
            </w:r>
            <w:r w:rsidRPr="00051067">
              <w:rPr>
                <w:rFonts w:ascii="Arial Narrow" w:eastAsia="Times New Roman" w:hAnsi="Arial Narrow"/>
                <w:bCs/>
                <w:sz w:val="20"/>
                <w:szCs w:val="20"/>
                <w:lang w:eastAsia="en-AU"/>
              </w:rPr>
              <w:t xml:space="preserve">High grade </w:t>
            </w:r>
          </w:p>
        </w:tc>
      </w:tr>
      <w:tr w:rsidR="006746E9" w:rsidRPr="00BE1940" w14:paraId="120C212B"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Merge/>
            <w:vAlign w:val="center"/>
          </w:tcPr>
          <w:p w14:paraId="0C442578" w14:textId="77777777" w:rsidR="006746E9" w:rsidRPr="00051067" w:rsidRDefault="006746E9" w:rsidP="00591C83">
            <w:pPr>
              <w:keepNext/>
              <w:keepLines/>
              <w:spacing w:before="0" w:after="0"/>
              <w:jc w:val="center"/>
              <w:rPr>
                <w:rFonts w:ascii="Arial Narrow" w:eastAsia="Times New Roman" w:hAnsi="Arial Narrow"/>
                <w:sz w:val="20"/>
                <w:szCs w:val="20"/>
                <w:lang w:eastAsia="en-AU"/>
              </w:rPr>
            </w:pPr>
          </w:p>
        </w:tc>
        <w:tc>
          <w:tcPr>
            <w:tcW w:w="4342" w:type="pct"/>
            <w:gridSpan w:val="4"/>
            <w:vAlign w:val="center"/>
          </w:tcPr>
          <w:p w14:paraId="2D5E3460" w14:textId="77777777" w:rsidR="006746E9" w:rsidRPr="00051067" w:rsidRDefault="006746E9" w:rsidP="00591C83">
            <w:pPr>
              <w:keepNext/>
              <w:keepLines/>
              <w:spacing w:before="0" w:after="0"/>
              <w:rPr>
                <w:rFonts w:ascii="Arial Narrow" w:eastAsia="Times New Roman" w:hAnsi="Arial Narrow"/>
                <w:b/>
                <w:bCs/>
                <w:sz w:val="20"/>
                <w:szCs w:val="20"/>
                <w:lang w:eastAsia="en-AU"/>
              </w:rPr>
            </w:pPr>
            <w:r w:rsidRPr="00051067">
              <w:rPr>
                <w:rFonts w:ascii="Arial Narrow" w:eastAsia="Times New Roman" w:hAnsi="Arial Narrow"/>
                <w:b/>
                <w:bCs/>
                <w:sz w:val="20"/>
                <w:szCs w:val="20"/>
                <w:lang w:eastAsia="en-AU"/>
              </w:rPr>
              <w:t xml:space="preserve">Condition: </w:t>
            </w:r>
            <w:r w:rsidRPr="00051067">
              <w:rPr>
                <w:rFonts w:ascii="Arial Narrow" w:eastAsia="Times New Roman" w:hAnsi="Arial Narrow"/>
                <w:sz w:val="20"/>
                <w:szCs w:val="20"/>
                <w:lang w:eastAsia="en-AU"/>
              </w:rPr>
              <w:t>Ovarian, Fallopian Tube, or primary peritoneal cancer</w:t>
            </w:r>
          </w:p>
        </w:tc>
      </w:tr>
      <w:tr w:rsidR="006746E9" w:rsidRPr="00BE1940" w14:paraId="4897B877"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Align w:val="center"/>
            <w:hideMark/>
          </w:tcPr>
          <w:p w14:paraId="76611D60" w14:textId="48E9A334" w:rsidR="006746E9" w:rsidRPr="00051067" w:rsidRDefault="006746E9" w:rsidP="00591C83">
            <w:pPr>
              <w:keepNext/>
              <w:spacing w:before="0" w:after="0"/>
              <w:jc w:val="center"/>
              <w:rPr>
                <w:rFonts w:ascii="Arial Narrow" w:eastAsia="Times New Roman" w:hAnsi="Arial Narrow"/>
                <w:sz w:val="20"/>
                <w:szCs w:val="20"/>
                <w:lang w:eastAsia="en-AU"/>
              </w:rPr>
            </w:pPr>
          </w:p>
        </w:tc>
        <w:tc>
          <w:tcPr>
            <w:tcW w:w="4342" w:type="pct"/>
            <w:gridSpan w:val="4"/>
            <w:vAlign w:val="center"/>
            <w:hideMark/>
          </w:tcPr>
          <w:p w14:paraId="06B0D2E8" w14:textId="4626EE9D" w:rsidR="006746E9" w:rsidRPr="00051067" w:rsidRDefault="006746E9" w:rsidP="00591C83">
            <w:pPr>
              <w:keepNext/>
              <w:keepLines/>
              <w:spacing w:before="0" w:after="0"/>
              <w:rPr>
                <w:rFonts w:ascii="Arial Narrow" w:eastAsia="Times New Roman" w:hAnsi="Arial Narrow"/>
                <w:sz w:val="20"/>
                <w:szCs w:val="20"/>
                <w:lang w:eastAsia="en-AU"/>
              </w:rPr>
            </w:pPr>
            <w:r w:rsidRPr="00051067">
              <w:rPr>
                <w:rFonts w:ascii="Arial Narrow" w:eastAsia="Times New Roman" w:hAnsi="Arial Narrow"/>
                <w:b/>
                <w:bCs/>
                <w:sz w:val="20"/>
                <w:szCs w:val="20"/>
                <w:lang w:eastAsia="en-AU"/>
              </w:rPr>
              <w:t>Indication:</w:t>
            </w:r>
            <w:r w:rsidRPr="00051067">
              <w:rPr>
                <w:rFonts w:ascii="Arial Narrow" w:eastAsia="Times New Roman" w:hAnsi="Arial Narrow"/>
                <w:sz w:val="20"/>
                <w:szCs w:val="20"/>
                <w:lang w:eastAsia="en-AU"/>
              </w:rPr>
              <w:t xml:space="preserve"> High grade ovarian, fallopian tube or primary peritoneal cancer</w:t>
            </w:r>
          </w:p>
        </w:tc>
      </w:tr>
      <w:tr w:rsidR="006746E9" w:rsidRPr="00BE1940" w14:paraId="44A92182" w14:textId="77777777" w:rsidTr="00B56B1D">
        <w:tblPrEx>
          <w:tblCellMar>
            <w:top w:w="15" w:type="dxa"/>
            <w:bottom w:w="15" w:type="dxa"/>
          </w:tblCellMar>
          <w:tblLook w:val="04A0" w:firstRow="1" w:lastRow="0" w:firstColumn="1" w:lastColumn="0" w:noHBand="0" w:noVBand="1"/>
        </w:tblPrEx>
        <w:trPr>
          <w:cantSplit/>
          <w:trHeight w:val="143"/>
        </w:trPr>
        <w:tc>
          <w:tcPr>
            <w:tcW w:w="658" w:type="pct"/>
            <w:gridSpan w:val="2"/>
            <w:vAlign w:val="center"/>
          </w:tcPr>
          <w:p w14:paraId="06891A33" w14:textId="45F915A6" w:rsidR="006746E9" w:rsidRPr="00051067" w:rsidRDefault="006746E9" w:rsidP="00591C83">
            <w:pPr>
              <w:keepNext/>
              <w:spacing w:before="0" w:after="0"/>
              <w:jc w:val="center"/>
              <w:rPr>
                <w:rFonts w:ascii="Arial Narrow" w:eastAsia="Times New Roman" w:hAnsi="Arial Narrow"/>
                <w:sz w:val="20"/>
                <w:szCs w:val="20"/>
                <w:lang w:eastAsia="en-AU"/>
              </w:rPr>
            </w:pPr>
          </w:p>
        </w:tc>
        <w:tc>
          <w:tcPr>
            <w:tcW w:w="4342" w:type="pct"/>
            <w:gridSpan w:val="4"/>
            <w:vAlign w:val="center"/>
            <w:hideMark/>
          </w:tcPr>
          <w:p w14:paraId="371BE83C" w14:textId="6C8FD274" w:rsidR="006746E9" w:rsidRPr="00051067" w:rsidRDefault="006746E9" w:rsidP="00591C83">
            <w:pPr>
              <w:keepNext/>
              <w:spacing w:before="0" w:after="0"/>
              <w:rPr>
                <w:rFonts w:ascii="Arial Narrow" w:eastAsia="Times New Roman" w:hAnsi="Arial Narrow"/>
                <w:sz w:val="20"/>
                <w:szCs w:val="20"/>
                <w:lang w:eastAsia="en-AU"/>
              </w:rPr>
            </w:pPr>
            <w:r w:rsidRPr="00051067">
              <w:rPr>
                <w:rFonts w:ascii="Arial Narrow" w:eastAsia="Times New Roman" w:hAnsi="Arial Narrow"/>
                <w:b/>
                <w:bCs/>
                <w:sz w:val="20"/>
                <w:szCs w:val="20"/>
                <w:lang w:eastAsia="en-AU"/>
              </w:rPr>
              <w:t>Clinical criteria:</w:t>
            </w:r>
          </w:p>
        </w:tc>
      </w:tr>
      <w:tr w:rsidR="006746E9" w:rsidRPr="00BE1940" w14:paraId="57FF06DA" w14:textId="77777777" w:rsidTr="00B56B1D">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27775EA8" w14:textId="7FC057B2" w:rsidR="006746E9" w:rsidRPr="00BE1940" w:rsidRDefault="006746E9" w:rsidP="00591C83">
            <w:pPr>
              <w:keepNext/>
              <w:spacing w:before="0" w:after="0"/>
              <w:jc w:val="center"/>
              <w:rPr>
                <w:rFonts w:ascii="Arial Narrow" w:eastAsia="Times New Roman" w:hAnsi="Arial Narrow"/>
                <w:i/>
                <w:iCs/>
                <w:sz w:val="20"/>
                <w:szCs w:val="20"/>
                <w:lang w:eastAsia="en-AU"/>
              </w:rPr>
            </w:pPr>
          </w:p>
        </w:tc>
        <w:tc>
          <w:tcPr>
            <w:tcW w:w="4342" w:type="pct"/>
            <w:gridSpan w:val="4"/>
            <w:vAlign w:val="center"/>
            <w:hideMark/>
          </w:tcPr>
          <w:p w14:paraId="2977121F" w14:textId="1123F807" w:rsidR="006746E9" w:rsidRPr="00BE1940" w:rsidRDefault="006746E9" w:rsidP="00591C83">
            <w:pPr>
              <w:keepNext/>
              <w:spacing w:before="0" w:after="0"/>
              <w:rPr>
                <w:rFonts w:ascii="Arial Narrow" w:eastAsia="Times New Roman" w:hAnsi="Arial Narrow"/>
                <w:bCs/>
                <w:sz w:val="20"/>
                <w:szCs w:val="20"/>
                <w:lang w:eastAsia="en-AU"/>
              </w:rPr>
            </w:pPr>
            <w:r w:rsidRPr="00BE1940">
              <w:rPr>
                <w:rFonts w:ascii="Arial Narrow" w:eastAsia="Times New Roman" w:hAnsi="Arial Narrow"/>
                <w:bCs/>
                <w:sz w:val="20"/>
                <w:szCs w:val="20"/>
                <w:lang w:eastAsia="en-AU"/>
              </w:rPr>
              <w:t xml:space="preserve">The condition must </w:t>
            </w:r>
            <w:r w:rsidRPr="009E372C">
              <w:rPr>
                <w:rFonts w:ascii="Arial Narrow" w:eastAsia="Times New Roman" w:hAnsi="Arial Narrow"/>
                <w:bCs/>
                <w:sz w:val="20"/>
                <w:szCs w:val="20"/>
                <w:lang w:eastAsia="en-AU"/>
              </w:rPr>
              <w:t xml:space="preserve">have relapsed after at least one prior therapy, </w:t>
            </w:r>
          </w:p>
        </w:tc>
      </w:tr>
      <w:tr w:rsidR="006746E9" w:rsidRPr="00BE1940" w14:paraId="22C1531A" w14:textId="77777777" w:rsidTr="00B56B1D">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6DB6BFFF" w14:textId="77777777" w:rsidR="006746E9" w:rsidRPr="00BE1940" w:rsidRDefault="006746E9" w:rsidP="00591C83">
            <w:pPr>
              <w:keepNext/>
              <w:spacing w:before="0" w:after="0"/>
              <w:jc w:val="center"/>
              <w:rPr>
                <w:rFonts w:ascii="Arial Narrow" w:eastAsia="Times New Roman" w:hAnsi="Arial Narrow"/>
                <w:sz w:val="20"/>
                <w:szCs w:val="20"/>
                <w:lang w:eastAsia="en-AU"/>
              </w:rPr>
            </w:pPr>
          </w:p>
        </w:tc>
        <w:tc>
          <w:tcPr>
            <w:tcW w:w="4342" w:type="pct"/>
            <w:gridSpan w:val="4"/>
            <w:vAlign w:val="center"/>
            <w:hideMark/>
          </w:tcPr>
          <w:p w14:paraId="16F07B92" w14:textId="77777777" w:rsidR="006746E9" w:rsidRPr="00BE1940" w:rsidRDefault="006746E9" w:rsidP="00591C83">
            <w:pPr>
              <w:keepNext/>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AND</w:t>
            </w:r>
          </w:p>
        </w:tc>
      </w:tr>
      <w:tr w:rsidR="002C58AA" w:rsidRPr="00BE1940" w14:paraId="1B87FB1F"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3DD72217" w14:textId="77777777" w:rsidR="002C58AA" w:rsidRPr="00BE1940" w:rsidRDefault="002C58AA" w:rsidP="00591C83">
            <w:pPr>
              <w:keepNext/>
              <w:spacing w:before="0" w:after="0"/>
              <w:jc w:val="center"/>
              <w:rPr>
                <w:rFonts w:ascii="Arial Narrow" w:eastAsia="Times New Roman" w:hAnsi="Arial Narrow"/>
                <w:sz w:val="20"/>
                <w:szCs w:val="20"/>
                <w:lang w:eastAsia="en-AU"/>
              </w:rPr>
            </w:pPr>
          </w:p>
        </w:tc>
        <w:tc>
          <w:tcPr>
            <w:tcW w:w="4342" w:type="pct"/>
            <w:gridSpan w:val="4"/>
            <w:vAlign w:val="center"/>
          </w:tcPr>
          <w:p w14:paraId="0143A7C6" w14:textId="49FDEF27" w:rsidR="002C58AA" w:rsidRPr="00BE1940" w:rsidRDefault="002C58AA" w:rsidP="00591C83">
            <w:pPr>
              <w:keepNext/>
              <w:spacing w:before="0" w:after="0"/>
              <w:rPr>
                <w:rFonts w:ascii="Arial Narrow" w:eastAsia="Times New Roman" w:hAnsi="Arial Narrow"/>
                <w:b/>
                <w:bCs/>
                <w:sz w:val="20"/>
                <w:szCs w:val="20"/>
                <w:lang w:eastAsia="en-AU"/>
              </w:rPr>
            </w:pPr>
            <w:r>
              <w:rPr>
                <w:rFonts w:ascii="Arial Narrow" w:eastAsia="Times New Roman" w:hAnsi="Arial Narrow"/>
                <w:bCs/>
                <w:sz w:val="20"/>
                <w:szCs w:val="20"/>
                <w:lang w:eastAsia="en-AU"/>
              </w:rPr>
              <w:t xml:space="preserve">The condition must </w:t>
            </w:r>
            <w:r w:rsidRPr="009E372C">
              <w:rPr>
                <w:rFonts w:ascii="Arial Narrow" w:eastAsia="Times New Roman" w:hAnsi="Arial Narrow"/>
                <w:bCs/>
                <w:sz w:val="20"/>
                <w:szCs w:val="20"/>
                <w:lang w:eastAsia="en-AU"/>
              </w:rPr>
              <w:t>be considered platinum</w:t>
            </w:r>
            <w:r w:rsidR="00A46D2B">
              <w:rPr>
                <w:rFonts w:ascii="Arial Narrow" w:eastAsia="Times New Roman" w:hAnsi="Arial Narrow"/>
                <w:bCs/>
                <w:sz w:val="20"/>
                <w:szCs w:val="20"/>
                <w:lang w:eastAsia="en-AU"/>
              </w:rPr>
              <w:noBreakHyphen/>
            </w:r>
            <w:r w:rsidRPr="009E372C">
              <w:rPr>
                <w:rFonts w:ascii="Arial Narrow" w:eastAsia="Times New Roman" w:hAnsi="Arial Narrow"/>
                <w:bCs/>
                <w:sz w:val="20"/>
                <w:szCs w:val="20"/>
                <w:lang w:eastAsia="en-AU"/>
              </w:rPr>
              <w:t>resistant.</w:t>
            </w:r>
          </w:p>
        </w:tc>
      </w:tr>
      <w:tr w:rsidR="002C58AA" w:rsidRPr="00BE1940" w14:paraId="3F6CA828"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065A5C5D" w14:textId="16582B4C" w:rsidR="002C58AA" w:rsidRPr="00BE1940" w:rsidRDefault="002C58AA" w:rsidP="00591C83">
            <w:pPr>
              <w:keepNext/>
              <w:spacing w:before="0" w:after="0"/>
              <w:jc w:val="center"/>
              <w:rPr>
                <w:rFonts w:ascii="Arial Narrow" w:eastAsia="Times New Roman" w:hAnsi="Arial Narrow"/>
                <w:sz w:val="20"/>
                <w:szCs w:val="20"/>
                <w:lang w:eastAsia="en-AU"/>
              </w:rPr>
            </w:pPr>
          </w:p>
        </w:tc>
        <w:tc>
          <w:tcPr>
            <w:tcW w:w="4342" w:type="pct"/>
            <w:gridSpan w:val="4"/>
            <w:vAlign w:val="center"/>
          </w:tcPr>
          <w:p w14:paraId="5396133B" w14:textId="4F81B0FD" w:rsidR="002C58AA" w:rsidRPr="00E42D76" w:rsidRDefault="002C58AA" w:rsidP="00591C83">
            <w:pPr>
              <w:keepNext/>
              <w:spacing w:before="0" w:after="0"/>
              <w:rPr>
                <w:rFonts w:ascii="Arial Narrow" w:eastAsia="Times New Roman" w:hAnsi="Arial Narrow"/>
                <w:b/>
                <w:bCs/>
                <w:sz w:val="20"/>
                <w:szCs w:val="20"/>
                <w:lang w:eastAsia="en-AU"/>
              </w:rPr>
            </w:pPr>
            <w:r w:rsidRPr="00E42D76">
              <w:rPr>
                <w:rFonts w:ascii="Arial Narrow" w:eastAsia="Times New Roman" w:hAnsi="Arial Narrow"/>
                <w:b/>
                <w:bCs/>
                <w:sz w:val="20"/>
                <w:szCs w:val="20"/>
                <w:lang w:eastAsia="en-AU"/>
              </w:rPr>
              <w:t>AND</w:t>
            </w:r>
          </w:p>
        </w:tc>
      </w:tr>
      <w:tr w:rsidR="006746E9" w:rsidRPr="00BE1940" w14:paraId="047FD76F"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6D9DD5B9" w14:textId="10F13211" w:rsidR="006746E9" w:rsidRPr="00BE1940" w:rsidRDefault="006746E9" w:rsidP="00591C83">
            <w:pPr>
              <w:keepNext/>
              <w:spacing w:before="0" w:after="0"/>
              <w:jc w:val="center"/>
              <w:rPr>
                <w:rFonts w:ascii="Arial Narrow" w:eastAsia="Times New Roman" w:hAnsi="Arial Narrow"/>
                <w:i/>
                <w:iCs/>
                <w:sz w:val="20"/>
                <w:szCs w:val="20"/>
                <w:lang w:eastAsia="en-AU"/>
              </w:rPr>
            </w:pPr>
          </w:p>
        </w:tc>
        <w:tc>
          <w:tcPr>
            <w:tcW w:w="4342" w:type="pct"/>
            <w:gridSpan w:val="4"/>
            <w:vAlign w:val="center"/>
            <w:hideMark/>
          </w:tcPr>
          <w:p w14:paraId="5B1D0CC5" w14:textId="77777777" w:rsidR="006746E9" w:rsidRPr="00BE1940" w:rsidRDefault="006746E9" w:rsidP="00591C83">
            <w:pPr>
              <w:keepNext/>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Clinical criteria:</w:t>
            </w:r>
          </w:p>
        </w:tc>
      </w:tr>
      <w:tr w:rsidR="006746E9" w:rsidRPr="00BE1940" w14:paraId="5F4A5077"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37786616" w14:textId="101A66F5" w:rsidR="006746E9" w:rsidRPr="00BE1940" w:rsidRDefault="006746E9" w:rsidP="00591C83">
            <w:pPr>
              <w:keepNext/>
              <w:spacing w:before="0" w:after="0"/>
              <w:jc w:val="center"/>
              <w:rPr>
                <w:rFonts w:ascii="Arial Narrow" w:eastAsia="Times New Roman" w:hAnsi="Arial Narrow"/>
                <w:i/>
                <w:iCs/>
                <w:sz w:val="20"/>
                <w:szCs w:val="20"/>
                <w:lang w:eastAsia="en-AU"/>
              </w:rPr>
            </w:pPr>
          </w:p>
        </w:tc>
        <w:tc>
          <w:tcPr>
            <w:tcW w:w="4342" w:type="pct"/>
            <w:gridSpan w:val="4"/>
            <w:vAlign w:val="center"/>
            <w:hideMark/>
          </w:tcPr>
          <w:p w14:paraId="20F12CA4" w14:textId="23DD750F" w:rsidR="006746E9" w:rsidRPr="00BE1940" w:rsidRDefault="006746E9" w:rsidP="00591C83">
            <w:pPr>
              <w:keepNext/>
              <w:spacing w:before="0" w:after="0"/>
              <w:rPr>
                <w:rFonts w:ascii="Arial Narrow" w:eastAsia="Times New Roman" w:hAnsi="Arial Narrow"/>
                <w:sz w:val="20"/>
                <w:szCs w:val="20"/>
                <w:lang w:eastAsia="en-AU"/>
              </w:rPr>
            </w:pPr>
            <w:r w:rsidRPr="72559442">
              <w:rPr>
                <w:rFonts w:ascii="Arial Narrow" w:eastAsia="Times New Roman" w:hAnsi="Arial Narrow"/>
                <w:sz w:val="20"/>
                <w:szCs w:val="20"/>
                <w:lang w:eastAsia="en-AU"/>
              </w:rPr>
              <w:t>Patient must have high FRα tumour cell expression as determined by a validated test.</w:t>
            </w:r>
            <w:r w:rsidR="00B65B3F">
              <w:rPr>
                <w:rFonts w:ascii="Arial Narrow" w:eastAsia="Times New Roman" w:hAnsi="Arial Narrow"/>
                <w:sz w:val="20"/>
                <w:szCs w:val="20"/>
                <w:lang w:eastAsia="en-AU"/>
              </w:rPr>
              <w:t xml:space="preserve"> </w:t>
            </w:r>
            <w:r w:rsidRPr="72559442">
              <w:rPr>
                <w:rFonts w:ascii="Arial Narrow" w:eastAsia="Times New Roman" w:hAnsi="Arial Narrow"/>
                <w:sz w:val="20"/>
                <w:szCs w:val="20"/>
                <w:lang w:eastAsia="en-AU"/>
              </w:rPr>
              <w:t xml:space="preserve"> </w:t>
            </w:r>
          </w:p>
        </w:tc>
      </w:tr>
      <w:tr w:rsidR="006746E9" w:rsidRPr="00BE1940" w14:paraId="71E98F2B"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40FDCA9C" w14:textId="77777777" w:rsidR="006746E9" w:rsidRPr="00BE1940" w:rsidRDefault="006746E9" w:rsidP="00591C83">
            <w:pPr>
              <w:keepNext/>
              <w:spacing w:before="0" w:after="0"/>
              <w:jc w:val="center"/>
              <w:rPr>
                <w:rFonts w:ascii="Arial Narrow" w:eastAsia="Times New Roman" w:hAnsi="Arial Narrow"/>
                <w:sz w:val="20"/>
                <w:szCs w:val="20"/>
                <w:lang w:eastAsia="en-AU"/>
              </w:rPr>
            </w:pPr>
          </w:p>
        </w:tc>
        <w:tc>
          <w:tcPr>
            <w:tcW w:w="4342" w:type="pct"/>
            <w:gridSpan w:val="4"/>
            <w:vAlign w:val="center"/>
            <w:hideMark/>
          </w:tcPr>
          <w:p w14:paraId="6352934B" w14:textId="77777777" w:rsidR="006746E9" w:rsidRPr="00BE1940" w:rsidRDefault="006746E9" w:rsidP="00591C83">
            <w:pPr>
              <w:keepNext/>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AND</w:t>
            </w:r>
          </w:p>
        </w:tc>
      </w:tr>
      <w:tr w:rsidR="006746E9" w:rsidRPr="00DE26B1" w14:paraId="4246B9A5"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tcPr>
          <w:p w14:paraId="6A68F251" w14:textId="5FEC81FE" w:rsidR="006746E9" w:rsidRPr="00E23A74" w:rsidRDefault="006746E9" w:rsidP="00591C83">
            <w:pPr>
              <w:keepNext/>
              <w:spacing w:before="0" w:after="0"/>
              <w:jc w:val="center"/>
              <w:rPr>
                <w:rFonts w:ascii="Arial Narrow" w:eastAsia="Times New Roman" w:hAnsi="Arial Narrow"/>
                <w:sz w:val="20"/>
                <w:szCs w:val="20"/>
                <w:lang w:eastAsia="en-AU"/>
              </w:rPr>
            </w:pPr>
          </w:p>
        </w:tc>
        <w:tc>
          <w:tcPr>
            <w:tcW w:w="4342" w:type="pct"/>
            <w:gridSpan w:val="4"/>
          </w:tcPr>
          <w:p w14:paraId="5725053C" w14:textId="77777777" w:rsidR="006746E9" w:rsidRPr="00E42D76" w:rsidRDefault="006746E9" w:rsidP="00591C83">
            <w:pPr>
              <w:keepNext/>
              <w:spacing w:before="0" w:after="0"/>
              <w:rPr>
                <w:rFonts w:ascii="Arial Narrow" w:eastAsia="Times New Roman" w:hAnsi="Arial Narrow"/>
                <w:sz w:val="20"/>
                <w:szCs w:val="20"/>
                <w:lang w:eastAsia="en-AU"/>
              </w:rPr>
            </w:pPr>
            <w:r w:rsidRPr="00E42D76">
              <w:rPr>
                <w:rFonts w:ascii="Arial Narrow" w:eastAsia="Times New Roman" w:hAnsi="Arial Narrow" w:cs="Arial"/>
                <w:b/>
                <w:bCs/>
                <w:sz w:val="20"/>
                <w:szCs w:val="20"/>
                <w:lang w:eastAsia="en-AU"/>
              </w:rPr>
              <w:t>Clinical</w:t>
            </w:r>
            <w:r w:rsidRPr="00E42D76">
              <w:rPr>
                <w:rFonts w:ascii="Arial Narrow" w:eastAsia="Times New Roman" w:hAnsi="Arial Narrow" w:cs="Arial"/>
                <w:sz w:val="20"/>
                <w:szCs w:val="20"/>
                <w:lang w:eastAsia="en-AU"/>
              </w:rPr>
              <w:t xml:space="preserve"> </w:t>
            </w:r>
            <w:r w:rsidRPr="00E42D76">
              <w:rPr>
                <w:rFonts w:ascii="Arial Narrow" w:eastAsia="Times New Roman" w:hAnsi="Arial Narrow" w:cs="Arial"/>
                <w:b/>
                <w:bCs/>
                <w:sz w:val="20"/>
                <w:szCs w:val="20"/>
                <w:lang w:eastAsia="en-AU"/>
              </w:rPr>
              <w:t>criteria:</w:t>
            </w:r>
            <w:r w:rsidRPr="00E42D76">
              <w:rPr>
                <w:rFonts w:ascii="Arial Narrow" w:eastAsia="Times New Roman" w:hAnsi="Arial Narrow"/>
                <w:sz w:val="20"/>
                <w:szCs w:val="20"/>
                <w:lang w:eastAsia="en-AU"/>
              </w:rPr>
              <w:t xml:space="preserve"> Patient must not have developed disease progression while being treated with this drug for this condition</w:t>
            </w:r>
          </w:p>
        </w:tc>
      </w:tr>
      <w:tr w:rsidR="006746E9" w:rsidRPr="00BE1940" w14:paraId="4EE6C42F"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tcPr>
          <w:p w14:paraId="132CA553" w14:textId="0F43E7EF" w:rsidR="006746E9" w:rsidRPr="0001784E" w:rsidRDefault="006746E9" w:rsidP="00591C83">
            <w:pPr>
              <w:keepNext/>
              <w:spacing w:before="0" w:after="0"/>
              <w:jc w:val="center"/>
              <w:rPr>
                <w:rFonts w:ascii="Arial Narrow" w:eastAsia="Times New Roman" w:hAnsi="Arial Narrow"/>
                <w:sz w:val="20"/>
                <w:szCs w:val="20"/>
                <w:lang w:eastAsia="en-AU"/>
              </w:rPr>
            </w:pPr>
          </w:p>
        </w:tc>
        <w:tc>
          <w:tcPr>
            <w:tcW w:w="4342" w:type="pct"/>
            <w:gridSpan w:val="4"/>
            <w:vAlign w:val="center"/>
          </w:tcPr>
          <w:p w14:paraId="32CF1F0B" w14:textId="77777777" w:rsidR="006746E9" w:rsidRPr="0001784E" w:rsidRDefault="006746E9" w:rsidP="00591C83">
            <w:pPr>
              <w:keepNext/>
              <w:spacing w:before="0" w:after="0"/>
              <w:rPr>
                <w:rFonts w:ascii="Arial Narrow" w:eastAsia="Times New Roman" w:hAnsi="Arial Narrow"/>
                <w:b/>
                <w:bCs/>
                <w:sz w:val="20"/>
                <w:szCs w:val="20"/>
                <w:lang w:eastAsia="en-AU"/>
              </w:rPr>
            </w:pPr>
            <w:r w:rsidRPr="0001784E">
              <w:rPr>
                <w:rFonts w:ascii="Arial Narrow" w:eastAsia="Times New Roman" w:hAnsi="Arial Narrow"/>
                <w:b/>
                <w:bCs/>
                <w:sz w:val="20"/>
                <w:szCs w:val="20"/>
                <w:lang w:eastAsia="en-AU"/>
              </w:rPr>
              <w:t xml:space="preserve">Prescribing Instructions: </w:t>
            </w:r>
            <w:r w:rsidRPr="0001784E">
              <w:rPr>
                <w:rFonts w:ascii="Arial Narrow" w:eastAsia="Times New Roman" w:hAnsi="Arial Narrow"/>
                <w:sz w:val="20"/>
                <w:szCs w:val="20"/>
                <w:lang w:eastAsia="en-AU"/>
              </w:rPr>
              <w:t xml:space="preserve">Following 1 or more lines of platinum therapy, platinum resistance is defined as disease progression while receiving the therapy or within 6 months of the last dose. </w:t>
            </w:r>
          </w:p>
        </w:tc>
      </w:tr>
      <w:tr w:rsidR="006746E9" w:rsidRPr="00BE1940" w14:paraId="02A5DD6F"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tcPr>
          <w:p w14:paraId="06011B17" w14:textId="3B257C90" w:rsidR="006746E9" w:rsidRPr="0001784E" w:rsidRDefault="006746E9" w:rsidP="00591C83">
            <w:pPr>
              <w:keepNext/>
              <w:spacing w:before="0" w:after="0"/>
              <w:jc w:val="center"/>
              <w:rPr>
                <w:rFonts w:ascii="Arial Narrow" w:eastAsia="Times New Roman" w:hAnsi="Arial Narrow"/>
                <w:sz w:val="20"/>
                <w:szCs w:val="20"/>
                <w:lang w:eastAsia="en-AU"/>
              </w:rPr>
            </w:pPr>
          </w:p>
        </w:tc>
        <w:tc>
          <w:tcPr>
            <w:tcW w:w="4342" w:type="pct"/>
            <w:gridSpan w:val="4"/>
            <w:vAlign w:val="center"/>
          </w:tcPr>
          <w:p w14:paraId="7378F6ED" w14:textId="77777777" w:rsidR="006746E9" w:rsidRPr="0001784E" w:rsidRDefault="006746E9" w:rsidP="00591C83">
            <w:pPr>
              <w:keepNext/>
              <w:spacing w:before="0" w:after="0"/>
              <w:rPr>
                <w:rFonts w:ascii="Arial Narrow" w:eastAsia="Times New Roman" w:hAnsi="Arial Narrow"/>
                <w:b/>
                <w:bCs/>
                <w:sz w:val="20"/>
                <w:szCs w:val="20"/>
                <w:lang w:eastAsia="en-AU"/>
              </w:rPr>
            </w:pPr>
            <w:r w:rsidRPr="0001784E">
              <w:rPr>
                <w:rFonts w:ascii="Arial Narrow" w:eastAsia="Times New Roman" w:hAnsi="Arial Narrow"/>
                <w:b/>
                <w:bCs/>
                <w:sz w:val="20"/>
                <w:szCs w:val="20"/>
                <w:lang w:eastAsia="en-AU"/>
              </w:rPr>
              <w:t xml:space="preserve">Prescribing Instructions: </w:t>
            </w:r>
            <w:r w:rsidRPr="0001784E">
              <w:rPr>
                <w:rFonts w:ascii="Arial Narrow" w:eastAsia="Times New Roman" w:hAnsi="Arial Narrow"/>
                <w:sz w:val="20"/>
                <w:szCs w:val="20"/>
                <w:lang w:eastAsia="en-AU"/>
              </w:rPr>
              <w:t>Evidence of FRα tumour expression must be derived through immunohistochemistry (IHC) testing and stored in the patients’ medical records</w:t>
            </w:r>
          </w:p>
        </w:tc>
      </w:tr>
      <w:tr w:rsidR="006746E9" w:rsidRPr="00BE1940" w14:paraId="6A30B08A" w14:textId="77777777" w:rsidTr="006B3757">
        <w:tblPrEx>
          <w:tblCellMar>
            <w:top w:w="15" w:type="dxa"/>
            <w:bottom w:w="15" w:type="dxa"/>
          </w:tblCellMar>
          <w:tblLook w:val="04A0" w:firstRow="1" w:lastRow="0" w:firstColumn="1" w:lastColumn="0" w:noHBand="0" w:noVBand="1"/>
        </w:tblPrEx>
        <w:trPr>
          <w:cantSplit/>
          <w:trHeight w:val="20"/>
        </w:trPr>
        <w:tc>
          <w:tcPr>
            <w:tcW w:w="658" w:type="pct"/>
            <w:gridSpan w:val="2"/>
          </w:tcPr>
          <w:p w14:paraId="302C9E34" w14:textId="282877C1" w:rsidR="006746E9" w:rsidRPr="0001784E" w:rsidRDefault="006746E9" w:rsidP="00591C83">
            <w:pPr>
              <w:pStyle w:val="Tabletext0"/>
              <w:keepNext/>
              <w:jc w:val="center"/>
              <w:rPr>
                <w:color w:val="FF0000"/>
                <w:szCs w:val="20"/>
              </w:rPr>
            </w:pPr>
          </w:p>
        </w:tc>
        <w:tc>
          <w:tcPr>
            <w:tcW w:w="4342" w:type="pct"/>
            <w:gridSpan w:val="4"/>
          </w:tcPr>
          <w:p w14:paraId="3ABDF12F" w14:textId="77777777" w:rsidR="006746E9" w:rsidRPr="0001784E" w:rsidRDefault="006746E9" w:rsidP="00591C83">
            <w:pPr>
              <w:pStyle w:val="Tabletext0"/>
              <w:keepNext/>
              <w:rPr>
                <w:rFonts w:eastAsia="Aptos"/>
                <w:b/>
                <w:bCs/>
                <w:snapToGrid/>
                <w:color w:val="333333"/>
                <w:szCs w:val="22"/>
              </w:rPr>
            </w:pPr>
            <w:r w:rsidRPr="0001784E">
              <w:rPr>
                <w:rFonts w:eastAsia="Aptos"/>
                <w:b/>
                <w:bCs/>
                <w:snapToGrid/>
                <w:color w:val="333333"/>
                <w:szCs w:val="22"/>
              </w:rPr>
              <w:t>Prescribing Instructions:</w:t>
            </w:r>
          </w:p>
          <w:p w14:paraId="23DA5CB6" w14:textId="77777777" w:rsidR="006746E9" w:rsidRPr="0001784E" w:rsidRDefault="006746E9" w:rsidP="00591C83">
            <w:pPr>
              <w:pStyle w:val="Tabletext0"/>
              <w:keepNext/>
              <w:rPr>
                <w:rFonts w:eastAsia="Aptos"/>
                <w:snapToGrid/>
                <w:color w:val="000000"/>
                <w:shd w:val="clear" w:color="auto" w:fill="FFFFFF"/>
              </w:rPr>
            </w:pPr>
            <w:r w:rsidRPr="0001784E">
              <w:rPr>
                <w:rFonts w:eastAsia="Aptos"/>
                <w:snapToGrid/>
                <w:color w:val="000000"/>
                <w:shd w:val="clear" w:color="auto" w:fill="FFFFFF"/>
              </w:rPr>
              <w:t>Confirm that the following information is documented/retained in the patient's medical records once only with the first PBS prescription (evidence obtained in relation to past PBS treatment is acceptable):</w:t>
            </w:r>
          </w:p>
          <w:p w14:paraId="0B237448" w14:textId="77777777" w:rsidR="006746E9" w:rsidRPr="0001784E" w:rsidRDefault="006746E9" w:rsidP="00591C83">
            <w:pPr>
              <w:pStyle w:val="Tabletext0"/>
              <w:keepNext/>
              <w:rPr>
                <w:rFonts w:eastAsia="Aptos"/>
                <w:snapToGrid/>
                <w:color w:val="000000"/>
                <w:shd w:val="clear" w:color="auto" w:fill="FFFFFF"/>
              </w:rPr>
            </w:pPr>
            <w:r w:rsidRPr="0001784E">
              <w:rPr>
                <w:rFonts w:eastAsia="Aptos"/>
                <w:snapToGrid/>
                <w:color w:val="000000"/>
                <w:shd w:val="clear" w:color="auto" w:fill="FFFFFF"/>
              </w:rPr>
              <w:t xml:space="preserve">1) Evidence of </w:t>
            </w:r>
            <w:r w:rsidRPr="0001784E">
              <w:rPr>
                <w:szCs w:val="20"/>
              </w:rPr>
              <w:t>high FRα tumour cell expression</w:t>
            </w:r>
          </w:p>
        </w:tc>
      </w:tr>
    </w:tbl>
    <w:p w14:paraId="6E1A5311" w14:textId="6D83DA40" w:rsidR="00494F62" w:rsidRPr="00494F62" w:rsidRDefault="00494F62" w:rsidP="00494F62">
      <w:pPr>
        <w:spacing w:after="0"/>
        <w:rPr>
          <w:rFonts w:ascii="Calibri" w:eastAsia="Times New Roman" w:hAnsi="Calibri" w:cs="Arial"/>
          <w:b/>
          <w:i/>
          <w:iCs/>
          <w:snapToGrid w:val="0"/>
          <w:szCs w:val="24"/>
          <w:lang w:eastAsia="en-AU"/>
        </w:rPr>
      </w:pPr>
      <w:r w:rsidRPr="00494F62">
        <w:rPr>
          <w:rFonts w:ascii="Calibri" w:eastAsia="Times New Roman" w:hAnsi="Calibri" w:cs="Arial"/>
          <w:b/>
          <w:i/>
          <w:iCs/>
          <w:snapToGrid w:val="0"/>
          <w:szCs w:val="24"/>
          <w:lang w:eastAsia="en-AU"/>
        </w:rPr>
        <w:t>These restrictions may be subject to further review. Should there be any changes made to the restriction the sponsor will be informed.</w:t>
      </w:r>
    </w:p>
    <w:p w14:paraId="02F1ADB0" w14:textId="77777777" w:rsidR="00494F62" w:rsidRPr="00494F62" w:rsidRDefault="00494F62" w:rsidP="00494F62">
      <w:pPr>
        <w:keepNext/>
        <w:numPr>
          <w:ilvl w:val="0"/>
          <w:numId w:val="3"/>
        </w:numPr>
        <w:spacing w:before="240" w:after="120"/>
        <w:jc w:val="left"/>
        <w:outlineLvl w:val="0"/>
        <w:rPr>
          <w:rFonts w:ascii="Calibri" w:eastAsia="Times New Roman" w:hAnsi="Calibri" w:cs="Arial"/>
          <w:b/>
          <w:snapToGrid w:val="0"/>
          <w:sz w:val="32"/>
          <w:szCs w:val="32"/>
          <w:lang w:eastAsia="en-AU"/>
        </w:rPr>
      </w:pPr>
      <w:r w:rsidRPr="00494F62">
        <w:rPr>
          <w:rFonts w:ascii="Calibri" w:eastAsia="Times New Roman" w:hAnsi="Calibri" w:cs="Arial"/>
          <w:b/>
          <w:snapToGrid w:val="0"/>
          <w:sz w:val="32"/>
          <w:szCs w:val="32"/>
          <w:lang w:eastAsia="en-AU"/>
        </w:rPr>
        <w:t>Context for Decision</w:t>
      </w:r>
    </w:p>
    <w:p w14:paraId="0CA0EBD1" w14:textId="77777777" w:rsidR="00494F62" w:rsidRPr="00494F62" w:rsidRDefault="00494F62" w:rsidP="00494F62">
      <w:pPr>
        <w:spacing w:before="0" w:after="120"/>
        <w:ind w:left="720"/>
        <w:rPr>
          <w:rFonts w:ascii="Calibri" w:eastAsia="Times New Roman" w:hAnsi="Calibri" w:cs="Arial"/>
          <w:bCs/>
          <w:szCs w:val="24"/>
          <w:lang w:val="en-GB" w:eastAsia="en-AU"/>
        </w:rPr>
      </w:pPr>
      <w:r w:rsidRPr="00494F62">
        <w:rPr>
          <w:rFonts w:ascii="Calibri" w:eastAsia="Times New Roman" w:hAnsi="Calibri" w:cs="Arial"/>
          <w:bCs/>
          <w:szCs w:val="24"/>
          <w:lang w:val="en-GB" w:eastAsia="en-AU"/>
        </w:rPr>
        <w:t xml:space="preserve">The PBAC helps decide whether and, if so, how medicines should be subsidised through the Pharmaceutical Benefits Scheme (PBS) in Australia. It considers applications regarding the listing of medicines on the PBS and provides advice about </w:t>
      </w:r>
      <w:r w:rsidRPr="00494F62">
        <w:rPr>
          <w:rFonts w:ascii="Calibri" w:eastAsia="Times New Roman" w:hAnsi="Calibri" w:cs="Arial"/>
          <w:bCs/>
          <w:szCs w:val="24"/>
          <w:lang w:val="en-GB" w:eastAsia="en-AU"/>
        </w:rPr>
        <w:lastRenderedPageBreak/>
        <w:t>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4837138" w14:textId="77777777" w:rsidR="00494F62" w:rsidRPr="00494F62" w:rsidRDefault="00494F62" w:rsidP="00494F62">
      <w:pPr>
        <w:keepNext/>
        <w:numPr>
          <w:ilvl w:val="0"/>
          <w:numId w:val="3"/>
        </w:numPr>
        <w:spacing w:before="240" w:after="120"/>
        <w:jc w:val="left"/>
        <w:outlineLvl w:val="0"/>
        <w:rPr>
          <w:rFonts w:ascii="Calibri" w:eastAsia="Times New Roman" w:hAnsi="Calibri" w:cs="Arial"/>
          <w:b/>
          <w:snapToGrid w:val="0"/>
          <w:sz w:val="32"/>
          <w:szCs w:val="32"/>
          <w:lang w:eastAsia="en-AU"/>
        </w:rPr>
      </w:pPr>
      <w:r w:rsidRPr="00494F62">
        <w:rPr>
          <w:rFonts w:ascii="Calibri" w:eastAsia="Times New Roman" w:hAnsi="Calibri" w:cs="Arial"/>
          <w:b/>
          <w:snapToGrid w:val="0"/>
          <w:sz w:val="32"/>
          <w:szCs w:val="32"/>
          <w:lang w:eastAsia="en-AU"/>
        </w:rPr>
        <w:t>Sponsor’s Comment</w:t>
      </w:r>
    </w:p>
    <w:p w14:paraId="174CC981" w14:textId="53C4C718" w:rsidR="0095403C" w:rsidRDefault="00382613" w:rsidP="00B705A8">
      <w:pPr>
        <w:spacing w:before="0" w:after="120" w:line="276" w:lineRule="auto"/>
        <w:ind w:left="720"/>
        <w:rPr>
          <w:rFonts w:ascii="Calibri" w:eastAsia="Calibri" w:hAnsi="Calibri" w:cs="Arial"/>
          <w:bCs/>
        </w:rPr>
      </w:pPr>
      <w:r w:rsidRPr="00382613">
        <w:rPr>
          <w:rFonts w:ascii="Calibri" w:eastAsia="Calibri" w:hAnsi="Calibri" w:cs="Arial"/>
          <w:bCs/>
        </w:rPr>
        <w:t xml:space="preserve">AbbVie thanks the PBAC for its clear acknowledgement of the unmet need for patients in Australia living with platinum-resistant ovarian cancer. As highlighted in the PBAC’s feedback, there is strong support for this submission from the community, given the significant lack of progress in outcomes and new treatment options over the past decades. As a priority, AbbVie is considering the implications of this minded recommendation, alongside </w:t>
      </w:r>
      <w:r>
        <w:rPr>
          <w:rFonts w:ascii="Calibri" w:eastAsia="Calibri" w:hAnsi="Calibri" w:cs="Arial"/>
          <w:bCs/>
        </w:rPr>
        <w:t>feedback</w:t>
      </w:r>
      <w:r w:rsidRPr="00382613">
        <w:rPr>
          <w:rFonts w:ascii="Calibri" w:eastAsia="Calibri" w:hAnsi="Calibri" w:cs="Arial"/>
          <w:bCs/>
        </w:rPr>
        <w:t xml:space="preserve"> provided by the PBAC. Our intention is to work with the PBAC towards a mutually acceptable path to listing mirvetuximab soravtansine, enabling equitable access for Australian patients. AbbVie will continue to collaborate with the PBAC and Department regarding next steps, recognising the considerable advocacy and support from the wider community for women living with ovarian cancer to access additional treatment options.</w:t>
      </w:r>
      <w:bookmarkEnd w:id="0"/>
    </w:p>
    <w:p w14:paraId="3F16D130" w14:textId="77777777" w:rsidR="0095403C" w:rsidRDefault="0095403C">
      <w:pPr>
        <w:spacing w:before="0" w:line="259" w:lineRule="auto"/>
        <w:jc w:val="left"/>
        <w:rPr>
          <w:rFonts w:ascii="Calibri" w:eastAsia="Calibri" w:hAnsi="Calibri" w:cs="Arial"/>
          <w:bCs/>
        </w:rPr>
      </w:pPr>
      <w:r>
        <w:rPr>
          <w:rFonts w:ascii="Calibri" w:eastAsia="Calibri" w:hAnsi="Calibri" w:cs="Arial"/>
          <w:bCs/>
        </w:rPr>
        <w:br w:type="page"/>
      </w:r>
    </w:p>
    <w:p w14:paraId="7B96659A" w14:textId="77777777" w:rsidR="00494F62" w:rsidRDefault="00494F62" w:rsidP="00B705A8">
      <w:pPr>
        <w:spacing w:before="0" w:after="120" w:line="276" w:lineRule="auto"/>
        <w:ind w:left="720"/>
        <w:rPr>
          <w:rFonts w:ascii="Calibri" w:eastAsia="Calibri" w:hAnsi="Calibri" w:cs="Arial"/>
          <w:bCs/>
        </w:rPr>
      </w:pPr>
    </w:p>
    <w:p w14:paraId="3227A440" w14:textId="13C75E5A" w:rsidR="001226CC" w:rsidRPr="001226CC" w:rsidRDefault="001226CC" w:rsidP="0095403C">
      <w:pPr>
        <w:pStyle w:val="2-SectionHeading"/>
        <w:rPr>
          <w:color w:val="FF0000"/>
        </w:rPr>
      </w:pPr>
      <w:r w:rsidRPr="001226CC">
        <w:rPr>
          <w:color w:val="FF0000"/>
        </w:rPr>
        <w:t>Addendum to the July 2025 PBAC Public Summary Document:</w:t>
      </w:r>
    </w:p>
    <w:p w14:paraId="32CF1CED" w14:textId="6B68E50A" w:rsidR="002F2410" w:rsidRDefault="002F2410" w:rsidP="00B114BF">
      <w:pPr>
        <w:pStyle w:val="PBACESHeading1"/>
      </w:pPr>
      <w:r>
        <w:t>Background</w:t>
      </w:r>
    </w:p>
    <w:p w14:paraId="4E958A16" w14:textId="77777777" w:rsidR="002F2410" w:rsidRPr="00F53E45" w:rsidRDefault="002F2410" w:rsidP="002F2410">
      <w:pPr>
        <w:pStyle w:val="ListParagraph"/>
      </w:pPr>
      <w:r>
        <w:t>At its July 2025 meeting t</w:t>
      </w:r>
      <w:r w:rsidRPr="00F53E45">
        <w:t>he PBAC deferred its consideration of MIRV for the treatment of patients with platinum</w:t>
      </w:r>
      <w:r w:rsidRPr="00F53E45">
        <w:noBreakHyphen/>
        <w:t>resistant high</w:t>
      </w:r>
      <w:r w:rsidRPr="00F53E45">
        <w:noBreakHyphen/>
        <w:t xml:space="preserve">grade epithelial ovarian, fallopian tube, or primary peritoneal cancer, (EOC) who have received at least one prior systemic treatment regimen and have high FRα tumour cell expression. The PBAC was of a mind to recommend MIRV, but noted that as an integrated codependent submission, MBS listing of FRα expression testing would be considered at the August 2025 MSAC meeting, and that the TGA delegate’s overview is expected by September 2025. </w:t>
      </w:r>
    </w:p>
    <w:p w14:paraId="59DF4D99" w14:textId="77777777" w:rsidR="002F2410" w:rsidRPr="000F23B8" w:rsidRDefault="002F2410" w:rsidP="002F2410">
      <w:pPr>
        <w:rPr>
          <w:u w:val="single"/>
        </w:rPr>
      </w:pPr>
      <w:r w:rsidRPr="000F23B8">
        <w:rPr>
          <w:u w:val="single"/>
        </w:rPr>
        <w:t>MSAC consideration – July 2025</w:t>
      </w:r>
    </w:p>
    <w:p w14:paraId="66B0DE17" w14:textId="77777777" w:rsidR="002F2410" w:rsidRPr="00F53E45" w:rsidRDefault="002F2410" w:rsidP="002F2410">
      <w:pPr>
        <w:pStyle w:val="ListParagraph"/>
      </w:pPr>
      <w:r w:rsidRPr="00F53E45">
        <w:t>At its July 2025 meeting MSAC deferred its advice on the public funding of immunohistochemistry (IHC) testing of solid tumour tissue to determine folate receptor alpha (FRα) expression status in adults with platinum-resistant ovarian cancer, to determine eligibility for PBS-subsidised mirvetuximab soravtansine. MSAC noted that the PBAC at its July 2025 meeting deferred its consideration of MIRV noting the TGA delegate’s overview is expected by September 2025. Additionally, MSAC noted that the PBAC was of a mind to recommend MIRV pending updates. </w:t>
      </w:r>
    </w:p>
    <w:p w14:paraId="2A450DB2" w14:textId="77777777" w:rsidR="002F2410" w:rsidRPr="00F53E45" w:rsidRDefault="002F2410" w:rsidP="002F2410">
      <w:pPr>
        <w:pStyle w:val="ListParagraph"/>
      </w:pPr>
      <w:r w:rsidRPr="00F53E45">
        <w:t xml:space="preserve">MSAC acknowledged there was a high clinical need for treatments for this condition. MSAC considered FRα testing would identify patients expected to benefit from MIRV and testing would have no additional safety concerns. MSAC was inclined to support the test if the PBAC recommended MIRV and the TGA approves </w:t>
      </w:r>
      <w:r>
        <w:t xml:space="preserve">MIRV and </w:t>
      </w:r>
      <w:r w:rsidRPr="00F53E45">
        <w:t>the companion diagnostic test for FRα testing. MSAC considered the financial impact of testing to the MBS would be relatively low.</w:t>
      </w:r>
    </w:p>
    <w:p w14:paraId="362B2A60" w14:textId="77777777" w:rsidR="002F2410" w:rsidRDefault="002F2410" w:rsidP="002F2410">
      <w:pPr>
        <w:keepNext/>
        <w:tabs>
          <w:tab w:val="left" w:pos="1418"/>
        </w:tabs>
        <w:spacing w:before="240" w:after="0" w:line="259" w:lineRule="auto"/>
        <w:contextualSpacing/>
        <w:jc w:val="left"/>
        <w:rPr>
          <w:rFonts w:ascii="Arial Narrow" w:eastAsia="Aptos" w:hAnsi="Arial Narrow" w:cs="Times New Roman"/>
          <w:b/>
          <w:bCs/>
          <w:iCs/>
          <w:color w:val="000000"/>
          <w:sz w:val="20"/>
          <w:szCs w:val="18"/>
        </w:rPr>
      </w:pPr>
      <w:bookmarkStart w:id="100" w:name="_Ref205822219"/>
      <w:bookmarkStart w:id="101" w:name="_Ref205560448"/>
    </w:p>
    <w:p w14:paraId="31056E02" w14:textId="2782BFE5" w:rsidR="002F2410" w:rsidRPr="00F53E45" w:rsidRDefault="002F2410" w:rsidP="002F2410">
      <w:pPr>
        <w:keepNext/>
        <w:tabs>
          <w:tab w:val="left" w:pos="1418"/>
        </w:tabs>
        <w:spacing w:before="240" w:after="0" w:line="259" w:lineRule="auto"/>
        <w:contextualSpacing/>
        <w:jc w:val="left"/>
        <w:rPr>
          <w:rFonts w:ascii="Arial Narrow" w:eastAsia="Aptos" w:hAnsi="Arial Narrow" w:cs="Times New Roman"/>
          <w:b/>
          <w:bCs/>
          <w:iCs/>
          <w:sz w:val="20"/>
          <w:szCs w:val="20"/>
        </w:rPr>
      </w:pPr>
      <w:r w:rsidRPr="00F53E45">
        <w:rPr>
          <w:rFonts w:ascii="Arial Narrow" w:eastAsia="Aptos" w:hAnsi="Arial Narrow" w:cs="Times New Roman"/>
          <w:b/>
          <w:bCs/>
          <w:iCs/>
          <w:color w:val="000000"/>
          <w:sz w:val="20"/>
          <w:szCs w:val="18"/>
        </w:rPr>
        <w:t xml:space="preserve">Table </w:t>
      </w:r>
      <w:r w:rsidRPr="00F53E45">
        <w:rPr>
          <w:rFonts w:ascii="Arial Narrow" w:eastAsia="Aptos" w:hAnsi="Arial Narrow" w:cs="Times New Roman"/>
          <w:b/>
          <w:bCs/>
          <w:iCs/>
          <w:color w:val="000000"/>
          <w:sz w:val="20"/>
          <w:szCs w:val="18"/>
        </w:rPr>
        <w:fldChar w:fldCharType="begin"/>
      </w:r>
      <w:r w:rsidRPr="00F53E45">
        <w:rPr>
          <w:rFonts w:ascii="Arial Narrow" w:eastAsia="Aptos" w:hAnsi="Arial Narrow" w:cs="Times New Roman"/>
          <w:b/>
          <w:bCs/>
          <w:iCs/>
          <w:color w:val="000000"/>
          <w:sz w:val="20"/>
          <w:szCs w:val="18"/>
        </w:rPr>
        <w:instrText xml:space="preserve"> SEQ Table \* ARABIC </w:instrText>
      </w:r>
      <w:r w:rsidRPr="00F53E45">
        <w:rPr>
          <w:rFonts w:ascii="Arial Narrow" w:eastAsia="Aptos" w:hAnsi="Arial Narrow" w:cs="Times New Roman"/>
          <w:b/>
          <w:bCs/>
          <w:iCs/>
          <w:color w:val="000000"/>
          <w:sz w:val="20"/>
          <w:szCs w:val="18"/>
        </w:rPr>
        <w:fldChar w:fldCharType="separate"/>
      </w:r>
      <w:r w:rsidR="00036719">
        <w:rPr>
          <w:rFonts w:ascii="Arial Narrow" w:eastAsia="Aptos" w:hAnsi="Arial Narrow" w:cs="Times New Roman"/>
          <w:b/>
          <w:bCs/>
          <w:iCs/>
          <w:noProof/>
          <w:color w:val="000000"/>
          <w:sz w:val="20"/>
          <w:szCs w:val="18"/>
        </w:rPr>
        <w:t>27</w:t>
      </w:r>
      <w:r w:rsidRPr="00F53E45">
        <w:rPr>
          <w:rFonts w:ascii="Arial Narrow" w:eastAsia="Aptos" w:hAnsi="Arial Narrow" w:cs="Times New Roman"/>
          <w:b/>
          <w:bCs/>
          <w:iCs/>
          <w:noProof/>
          <w:color w:val="000000"/>
          <w:sz w:val="20"/>
          <w:szCs w:val="18"/>
        </w:rPr>
        <w:fldChar w:fldCharType="end"/>
      </w:r>
      <w:bookmarkEnd w:id="100"/>
      <w:r w:rsidR="00B65B3F">
        <w:rPr>
          <w:rFonts w:ascii="Arial Narrow" w:eastAsia="Aptos" w:hAnsi="Arial Narrow" w:cs="Times New Roman"/>
          <w:b/>
          <w:bCs/>
          <w:iCs/>
          <w:color w:val="000000"/>
          <w:sz w:val="20"/>
          <w:szCs w:val="18"/>
        </w:rPr>
        <w:t xml:space="preserve"> </w:t>
      </w:r>
      <w:bookmarkEnd w:id="101"/>
      <w:r w:rsidRPr="00F53E45">
        <w:rPr>
          <w:rFonts w:ascii="Arial Narrow" w:eastAsia="Aptos" w:hAnsi="Arial Narrow" w:cs="Times New Roman"/>
          <w:b/>
          <w:bCs/>
          <w:iCs/>
          <w:color w:val="000000"/>
          <w:sz w:val="20"/>
          <w:szCs w:val="18"/>
        </w:rPr>
        <w:t>MBS item descriptor</w:t>
      </w:r>
      <w:r>
        <w:rPr>
          <w:rFonts w:ascii="Arial Narrow" w:eastAsia="Aptos" w:hAnsi="Arial Narrow" w:cs="Times New Roman"/>
          <w:b/>
          <w:bCs/>
          <w:iCs/>
          <w:color w:val="000000"/>
          <w:sz w:val="20"/>
          <w:szCs w:val="18"/>
        </w:rPr>
        <w:t xml:space="preserve"> (MSAC inclined to support)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Caption w:val="Table 1 MBS item descriptor (MSAC inclined to support)"/>
      </w:tblPr>
      <w:tblGrid>
        <w:gridCol w:w="9016"/>
      </w:tblGrid>
      <w:tr w:rsidR="002F2410" w:rsidRPr="00F53E45" w14:paraId="6FE4E7F0" w14:textId="77777777" w:rsidTr="00DE3B01">
        <w:tc>
          <w:tcPr>
            <w:tcW w:w="5000" w:type="pct"/>
            <w:tcBorders>
              <w:top w:val="single" w:sz="4" w:space="0" w:color="auto"/>
              <w:left w:val="single" w:sz="4" w:space="0" w:color="auto"/>
              <w:bottom w:val="single" w:sz="4" w:space="0" w:color="auto"/>
              <w:right w:val="single" w:sz="4" w:space="0" w:color="auto"/>
            </w:tcBorders>
            <w:hideMark/>
          </w:tcPr>
          <w:p w14:paraId="385A00FE" w14:textId="77777777" w:rsidR="002F2410" w:rsidRPr="00F53E45" w:rsidRDefault="002F2410" w:rsidP="00DE3B01">
            <w:pPr>
              <w:spacing w:before="0" w:after="0"/>
              <w:rPr>
                <w:rFonts w:ascii="Arial Narrow" w:eastAsia="Aptos" w:hAnsi="Arial Narrow" w:cs="Times New Roman"/>
                <w:sz w:val="20"/>
                <w:szCs w:val="20"/>
              </w:rPr>
            </w:pPr>
            <w:r w:rsidRPr="00F53E45">
              <w:rPr>
                <w:rFonts w:ascii="Arial Narrow" w:eastAsia="Aptos" w:hAnsi="Arial Narrow" w:cs="Times New Roman"/>
                <w:sz w:val="20"/>
                <w:szCs w:val="20"/>
              </w:rPr>
              <w:t>Category 6 – Pathology Services</w:t>
            </w:r>
          </w:p>
        </w:tc>
      </w:tr>
      <w:tr w:rsidR="002F2410" w:rsidRPr="00F53E45" w14:paraId="69BD87F7" w14:textId="77777777" w:rsidTr="00DE3B01">
        <w:tc>
          <w:tcPr>
            <w:tcW w:w="5000" w:type="pct"/>
            <w:tcBorders>
              <w:top w:val="single" w:sz="4" w:space="0" w:color="auto"/>
              <w:left w:val="single" w:sz="4" w:space="0" w:color="auto"/>
              <w:bottom w:val="single" w:sz="4" w:space="0" w:color="auto"/>
              <w:right w:val="single" w:sz="4" w:space="0" w:color="auto"/>
            </w:tcBorders>
            <w:hideMark/>
          </w:tcPr>
          <w:p w14:paraId="3BA2CFF5" w14:textId="77777777" w:rsidR="002F2410" w:rsidRPr="00F53E45" w:rsidRDefault="002F2410" w:rsidP="00DE3B01">
            <w:pPr>
              <w:spacing w:before="0" w:after="0"/>
              <w:jc w:val="left"/>
              <w:rPr>
                <w:rFonts w:ascii="Arial Narrow" w:eastAsia="Aptos" w:hAnsi="Arial Narrow" w:cs="Times New Roman"/>
                <w:sz w:val="20"/>
                <w:szCs w:val="20"/>
                <w:lang w:val="en-US"/>
              </w:rPr>
            </w:pPr>
            <w:r w:rsidRPr="00F53E45">
              <w:rPr>
                <w:rFonts w:ascii="Arial Narrow" w:eastAsia="Aptos" w:hAnsi="Arial Narrow" w:cs="Times New Roman"/>
                <w:sz w:val="20"/>
                <w:szCs w:val="20"/>
              </w:rPr>
              <w:t>MBS item XXXX</w:t>
            </w:r>
          </w:p>
          <w:p w14:paraId="7010C7E3" w14:textId="77777777" w:rsidR="002F2410" w:rsidRPr="00F53E45" w:rsidRDefault="002F2410" w:rsidP="00DE3B01">
            <w:pPr>
              <w:spacing w:before="0" w:after="120"/>
              <w:jc w:val="left"/>
              <w:rPr>
                <w:rFonts w:ascii="Arial Narrow" w:eastAsia="Aptos" w:hAnsi="Arial Narrow" w:cs="Times New Roman"/>
                <w:sz w:val="20"/>
                <w:szCs w:val="20"/>
                <w:lang w:val="en-US"/>
              </w:rPr>
            </w:pPr>
            <w:r w:rsidRPr="00F53E45">
              <w:rPr>
                <w:rFonts w:ascii="Arial Narrow" w:eastAsia="Aptos" w:hAnsi="Arial Narrow" w:cs="Times New Roman"/>
                <w:sz w:val="20"/>
                <w:szCs w:val="20"/>
                <w:lang w:val="en-US"/>
              </w:rPr>
              <w:t>A test of </w:t>
            </w:r>
            <w:proofErr w:type="spellStart"/>
            <w:r w:rsidRPr="00F53E45">
              <w:rPr>
                <w:rFonts w:ascii="Arial Narrow" w:eastAsia="Aptos" w:hAnsi="Arial Narrow" w:cs="Times New Roman"/>
                <w:sz w:val="20"/>
                <w:szCs w:val="20"/>
                <w:lang w:val="en-US"/>
              </w:rPr>
              <w:t>tumour</w:t>
            </w:r>
            <w:proofErr w:type="spellEnd"/>
            <w:r w:rsidRPr="00F53E45">
              <w:rPr>
                <w:rFonts w:ascii="Arial Narrow" w:eastAsia="Aptos" w:hAnsi="Arial Narrow" w:cs="Times New Roman"/>
                <w:sz w:val="20"/>
                <w:szCs w:val="20"/>
                <w:lang w:val="en-US"/>
              </w:rPr>
              <w:t> tissue using immunohistochemistry for the detection of membrane folate receptor alpha (FRα) </w:t>
            </w:r>
            <w:proofErr w:type="spellStart"/>
            <w:r w:rsidRPr="00F53E45">
              <w:rPr>
                <w:rFonts w:ascii="Arial Narrow" w:eastAsia="Aptos" w:hAnsi="Arial Narrow" w:cs="Times New Roman"/>
                <w:sz w:val="20"/>
                <w:szCs w:val="20"/>
                <w:lang w:val="en-US"/>
              </w:rPr>
              <w:t>tumour</w:t>
            </w:r>
            <w:proofErr w:type="spellEnd"/>
            <w:r w:rsidRPr="00F53E45">
              <w:rPr>
                <w:rFonts w:ascii="Arial Narrow" w:eastAsia="Aptos" w:hAnsi="Arial Narrow" w:cs="Times New Roman"/>
                <w:sz w:val="20"/>
                <w:szCs w:val="20"/>
                <w:lang w:val="en-US"/>
              </w:rPr>
              <w:t> expression status, requested by a specialist or consultant physician, if the test is:</w:t>
            </w:r>
          </w:p>
          <w:p w14:paraId="4ED14028" w14:textId="77777777" w:rsidR="002F2410" w:rsidRPr="00F53E45" w:rsidRDefault="002F2410" w:rsidP="00DE3B01">
            <w:pPr>
              <w:numPr>
                <w:ilvl w:val="0"/>
                <w:numId w:val="31"/>
              </w:numPr>
              <w:spacing w:before="0" w:after="120"/>
              <w:ind w:left="0"/>
              <w:jc w:val="left"/>
              <w:rPr>
                <w:rFonts w:ascii="Arial Narrow" w:eastAsia="Aptos" w:hAnsi="Arial Narrow" w:cs="Times New Roman"/>
                <w:sz w:val="20"/>
                <w:szCs w:val="20"/>
                <w:lang w:val="en-US"/>
              </w:rPr>
            </w:pPr>
            <w:r w:rsidRPr="00F53E45">
              <w:rPr>
                <w:rFonts w:ascii="Arial Narrow" w:eastAsia="Aptos" w:hAnsi="Arial Narrow" w:cs="Times New Roman"/>
                <w:sz w:val="20"/>
                <w:szCs w:val="20"/>
                <w:lang w:val="en-US"/>
              </w:rPr>
              <w:t>in a patient with high-grade serous epithelial ovarian, fallopian tube or primary peritoneal, high-grade endometrioid, or undifferentiated epithelial ovarian cancer; and</w:t>
            </w:r>
            <w:r w:rsidRPr="00F53E45">
              <w:rPr>
                <w:rFonts w:ascii="Arial Narrow" w:eastAsia="Aptos" w:hAnsi="Arial Narrow" w:cs="Times New Roman"/>
                <w:sz w:val="20"/>
                <w:szCs w:val="20"/>
              </w:rPr>
              <w:t> </w:t>
            </w:r>
            <w:r w:rsidRPr="00F53E45">
              <w:rPr>
                <w:rFonts w:ascii="Arial" w:eastAsia="Aptos" w:hAnsi="Arial" w:cs="Arial"/>
                <w:sz w:val="20"/>
                <w:szCs w:val="20"/>
                <w:lang w:val="en-US"/>
              </w:rPr>
              <w:t>​</w:t>
            </w:r>
          </w:p>
          <w:p w14:paraId="4C971F90" w14:textId="77777777" w:rsidR="002F2410" w:rsidRPr="00F53E45" w:rsidRDefault="002F2410" w:rsidP="00DE3B01">
            <w:pPr>
              <w:numPr>
                <w:ilvl w:val="0"/>
                <w:numId w:val="31"/>
              </w:numPr>
              <w:spacing w:before="0" w:after="120"/>
              <w:ind w:left="0"/>
              <w:jc w:val="left"/>
              <w:rPr>
                <w:rFonts w:ascii="Arial Narrow" w:eastAsia="Aptos" w:hAnsi="Arial Narrow" w:cs="Times New Roman"/>
                <w:sz w:val="20"/>
                <w:szCs w:val="20"/>
                <w:lang w:val="en-US"/>
              </w:rPr>
            </w:pPr>
            <w:r w:rsidRPr="00F53E45">
              <w:rPr>
                <w:rFonts w:ascii="Arial Narrow" w:eastAsia="Aptos" w:hAnsi="Arial Narrow" w:cs="Times New Roman"/>
                <w:sz w:val="20"/>
                <w:szCs w:val="20"/>
                <w:lang w:val="en-US"/>
              </w:rPr>
              <w:t>to determine eligibility for a relevant treatment under the Pharmaceutical Benefits Scheme.</w:t>
            </w:r>
          </w:p>
          <w:p w14:paraId="5CA2B9C4" w14:textId="77777777" w:rsidR="002F2410" w:rsidRPr="00F53E45" w:rsidRDefault="002F2410" w:rsidP="00DE3B01">
            <w:pPr>
              <w:spacing w:before="0" w:after="0"/>
              <w:jc w:val="left"/>
              <w:rPr>
                <w:rFonts w:ascii="Arial Narrow" w:eastAsia="Aptos" w:hAnsi="Arial Narrow" w:cs="Times New Roman"/>
                <w:sz w:val="20"/>
                <w:szCs w:val="20"/>
                <w:lang w:val="en-US"/>
              </w:rPr>
            </w:pPr>
            <w:r w:rsidRPr="00F53E45">
              <w:rPr>
                <w:rFonts w:ascii="Arial Narrow" w:eastAsia="Aptos" w:hAnsi="Arial Narrow" w:cs="Times New Roman"/>
                <w:sz w:val="20"/>
                <w:szCs w:val="20"/>
                <w:lang w:val="en-US"/>
              </w:rPr>
              <w:t>(See PN.1.2 of explanatory notes to this Category)</w:t>
            </w:r>
          </w:p>
        </w:tc>
      </w:tr>
      <w:tr w:rsidR="002F2410" w:rsidRPr="00F53E45" w14:paraId="122E30AF" w14:textId="77777777" w:rsidTr="00DE3B01">
        <w:tc>
          <w:tcPr>
            <w:tcW w:w="5000" w:type="pct"/>
            <w:tcBorders>
              <w:top w:val="single" w:sz="4" w:space="0" w:color="auto"/>
              <w:left w:val="single" w:sz="4" w:space="0" w:color="auto"/>
              <w:bottom w:val="single" w:sz="4" w:space="0" w:color="auto"/>
              <w:right w:val="single" w:sz="4" w:space="0" w:color="auto"/>
            </w:tcBorders>
            <w:hideMark/>
          </w:tcPr>
          <w:p w14:paraId="271600EC" w14:textId="77777777" w:rsidR="002F2410" w:rsidRPr="00F53E45" w:rsidRDefault="002F2410" w:rsidP="00DE3B01">
            <w:pPr>
              <w:spacing w:before="40" w:after="40"/>
              <w:rPr>
                <w:rFonts w:ascii="Arial Narrow" w:eastAsia="Aptos" w:hAnsi="Arial Narrow" w:cs="Times New Roman"/>
                <w:sz w:val="20"/>
                <w:szCs w:val="20"/>
              </w:rPr>
            </w:pPr>
            <w:r w:rsidRPr="00F53E45">
              <w:rPr>
                <w:rFonts w:ascii="Arial Narrow" w:eastAsia="Aptos" w:hAnsi="Arial Narrow" w:cs="Times New Roman"/>
                <w:sz w:val="20"/>
                <w:szCs w:val="20"/>
              </w:rPr>
              <w:t>Fee: $112.00 Benefit: 75% = $84.00; 85% = $95.20</w:t>
            </w:r>
          </w:p>
        </w:tc>
      </w:tr>
    </w:tbl>
    <w:p w14:paraId="110E5FFA" w14:textId="77777777" w:rsidR="002F2410" w:rsidRPr="00F53E45" w:rsidRDefault="002F2410" w:rsidP="002F2410">
      <w:pPr>
        <w:spacing w:before="360"/>
        <w:rPr>
          <w:rFonts w:ascii="Calibri" w:eastAsia="Aptos" w:hAnsi="Calibri" w:cs="Calibri"/>
          <w:u w:val="single"/>
        </w:rPr>
      </w:pPr>
      <w:r w:rsidRPr="00F53E45">
        <w:rPr>
          <w:rFonts w:ascii="Calibri" w:eastAsia="Aptos" w:hAnsi="Calibri" w:cs="Calibri"/>
          <w:u w:val="single"/>
        </w:rPr>
        <w:t>TGA Delegate’s Overview</w:t>
      </w:r>
    </w:p>
    <w:p w14:paraId="6F84A859" w14:textId="77777777" w:rsidR="002F2410" w:rsidRPr="00F53E45" w:rsidRDefault="002F2410" w:rsidP="002F2410">
      <w:pPr>
        <w:pStyle w:val="ListParagraph"/>
      </w:pPr>
      <w:r w:rsidRPr="00F53E45">
        <w:t>The TGA Delegate’s Overview was received on 9 October 2025. The Delegate was supportive of the application to register the product on the ARTG, for the following indication:</w:t>
      </w:r>
    </w:p>
    <w:p w14:paraId="4F3B56D1" w14:textId="05F6CBB9" w:rsidR="002F2410" w:rsidRPr="00F53E45" w:rsidRDefault="002F2410" w:rsidP="002F2410">
      <w:pPr>
        <w:keepNext/>
        <w:keepLines/>
        <w:widowControl w:val="0"/>
        <w:spacing w:before="240" w:after="0"/>
        <w:ind w:left="480"/>
        <w:contextualSpacing/>
        <w:jc w:val="left"/>
        <w:rPr>
          <w:rFonts w:ascii="Calibri" w:eastAsia="Aptos" w:hAnsi="Calibri" w:cs="Calibri"/>
        </w:rPr>
      </w:pPr>
      <w:r w:rsidRPr="00F53E45">
        <w:rPr>
          <w:rFonts w:ascii="Calibri" w:eastAsia="Aptos" w:hAnsi="Calibri" w:cs="Calibri"/>
        </w:rPr>
        <w:lastRenderedPageBreak/>
        <w:t>“ELAHERE as monotherapy is indicated for the treatment of</w:t>
      </w:r>
      <w:r w:rsidR="00B65B3F">
        <w:rPr>
          <w:rFonts w:ascii="Calibri" w:eastAsia="Aptos" w:hAnsi="Calibri" w:cs="Calibri"/>
        </w:rPr>
        <w:t xml:space="preserve"> </w:t>
      </w:r>
      <w:r w:rsidRPr="00F53E45">
        <w:rPr>
          <w:rFonts w:ascii="Calibri" w:eastAsia="Aptos" w:hAnsi="Calibri" w:cs="Calibri"/>
        </w:rPr>
        <w:t>adult patients with folate receptor-alpha (FRα) positive,</w:t>
      </w:r>
      <w:r w:rsidR="00B65B3F">
        <w:rPr>
          <w:rFonts w:ascii="Calibri" w:eastAsia="Aptos" w:hAnsi="Calibri" w:cs="Calibri"/>
        </w:rPr>
        <w:t xml:space="preserve"> </w:t>
      </w:r>
      <w:r w:rsidRPr="00F53E45">
        <w:rPr>
          <w:rFonts w:ascii="Calibri" w:eastAsia="Aptos" w:hAnsi="Calibri" w:cs="Calibri"/>
        </w:rPr>
        <w:t xml:space="preserve">platinum-resistant high grade serous epithelial ovarian, </w:t>
      </w:r>
    </w:p>
    <w:p w14:paraId="327E6CC3" w14:textId="4EBC7EAE" w:rsidR="002F2410" w:rsidRPr="00F53E45" w:rsidRDefault="002F2410" w:rsidP="002F2410">
      <w:pPr>
        <w:keepNext/>
        <w:keepLines/>
        <w:widowControl w:val="0"/>
        <w:spacing w:before="240" w:after="0"/>
        <w:ind w:left="480"/>
        <w:contextualSpacing/>
        <w:jc w:val="left"/>
        <w:rPr>
          <w:rFonts w:ascii="Calibri" w:eastAsia="Aptos" w:hAnsi="Calibri" w:cs="Calibri"/>
        </w:rPr>
      </w:pPr>
      <w:r w:rsidRPr="00F53E45">
        <w:rPr>
          <w:rFonts w:ascii="Calibri" w:eastAsia="Aptos" w:hAnsi="Calibri" w:cs="Calibri"/>
        </w:rPr>
        <w:t>fallopian tube, or primary peritoneal cancer who have</w:t>
      </w:r>
      <w:r w:rsidR="00B65B3F">
        <w:rPr>
          <w:rFonts w:ascii="Calibri" w:eastAsia="Aptos" w:hAnsi="Calibri" w:cs="Calibri"/>
        </w:rPr>
        <w:t xml:space="preserve"> </w:t>
      </w:r>
      <w:r w:rsidRPr="00F53E45">
        <w:rPr>
          <w:rFonts w:ascii="Calibri" w:eastAsia="Aptos" w:hAnsi="Calibri" w:cs="Calibri"/>
        </w:rPr>
        <w:t>received one to three prior systemic treatment regimens”</w:t>
      </w:r>
      <w:r w:rsidRPr="00F53E45">
        <w:rPr>
          <w:rFonts w:ascii="Calibri" w:eastAsia="Aptos" w:hAnsi="Calibri" w:cs="Calibri"/>
        </w:rPr>
        <w:cr/>
      </w:r>
    </w:p>
    <w:p w14:paraId="371F50B4" w14:textId="77777777" w:rsidR="002F2410" w:rsidRPr="00F53E45" w:rsidRDefault="002F2410" w:rsidP="002F2410">
      <w:pPr>
        <w:keepNext/>
        <w:keepLines/>
        <w:widowControl w:val="0"/>
        <w:spacing w:before="240" w:after="0"/>
        <w:contextualSpacing/>
        <w:jc w:val="left"/>
        <w:rPr>
          <w:rFonts w:ascii="Calibri" w:eastAsia="Aptos" w:hAnsi="Calibri" w:cs="Calibri"/>
          <w:u w:val="single"/>
        </w:rPr>
      </w:pPr>
      <w:r w:rsidRPr="00F53E45">
        <w:rPr>
          <w:rFonts w:ascii="Calibri" w:eastAsia="Aptos" w:hAnsi="Calibri" w:cs="Calibri"/>
          <w:u w:val="single"/>
        </w:rPr>
        <w:t>Outstanding issues</w:t>
      </w:r>
    </w:p>
    <w:p w14:paraId="4767D764" w14:textId="1C437CAC" w:rsidR="002F2410" w:rsidRDefault="002F2410" w:rsidP="002F2410">
      <w:pPr>
        <w:pStyle w:val="ListParagraph"/>
      </w:pPr>
      <w:r>
        <w:t>In July 2025 t</w:t>
      </w:r>
      <w:r w:rsidRPr="00F53E45">
        <w:t>he PBAC agreed with the ESCs that the very small group of patients with non</w:t>
      </w:r>
      <w:r w:rsidRPr="00F53E45">
        <w:noBreakHyphen/>
        <w:t>serous ovarian cancer and high FRα expression is likely to benefit from treatment with MIRV and it is reasonable for the restrictions to be silent regarding tumour histology (paragraph 7.3</w:t>
      </w:r>
      <w:r w:rsidRPr="00F53E45">
        <w:fldChar w:fldCharType="begin"/>
      </w:r>
      <w:r w:rsidRPr="00F53E45">
        <w:instrText xml:space="preserve"> REF _Ref204777443 \r \h  \* MERGEFORMAT </w:instrText>
      </w:r>
      <w:r w:rsidRPr="00F53E45">
        <w:fldChar w:fldCharType="separate"/>
      </w:r>
      <w:r w:rsidR="00036719">
        <w:t>3.4</w:t>
      </w:r>
      <w:r w:rsidRPr="00F53E45">
        <w:fldChar w:fldCharType="end"/>
      </w:r>
      <w:r w:rsidRPr="00F53E45">
        <w:t xml:space="preserve">). However the proposed MBS item descriptor includes “serous”. </w:t>
      </w:r>
    </w:p>
    <w:p w14:paraId="75BEF489" w14:textId="77777777" w:rsidR="002F2410" w:rsidRDefault="002F2410" w:rsidP="00B114BF">
      <w:pPr>
        <w:pStyle w:val="PBACESHeading1"/>
      </w:pPr>
      <w:r>
        <w:t>PBAC Outcome</w:t>
      </w:r>
    </w:p>
    <w:p w14:paraId="39B82A79" w14:textId="77777777" w:rsidR="002F2410" w:rsidRDefault="002F2410" w:rsidP="002F2410">
      <w:pPr>
        <w:pStyle w:val="ListParagraph"/>
        <w:rPr>
          <w:lang w:eastAsia="en-AU"/>
        </w:rPr>
      </w:pPr>
      <w:r w:rsidRPr="00192BFF">
        <w:rPr>
          <w:lang w:eastAsia="en-AU"/>
        </w:rPr>
        <w:t>The PBAC recommended</w:t>
      </w:r>
      <w:r w:rsidRPr="00192BFF">
        <w:rPr>
          <w:b/>
          <w:bCs/>
          <w:lang w:eastAsia="en-AU"/>
        </w:rPr>
        <w:t xml:space="preserve"> </w:t>
      </w:r>
      <w:r w:rsidRPr="00192BFF">
        <w:rPr>
          <w:lang w:eastAsia="en-AU"/>
        </w:rPr>
        <w:t>listing of mirvetuximab soravtansine (</w:t>
      </w:r>
      <w:r>
        <w:rPr>
          <w:lang w:eastAsia="en-AU"/>
        </w:rPr>
        <w:t>MIRV</w:t>
      </w:r>
      <w:r w:rsidRPr="00192BFF">
        <w:rPr>
          <w:lang w:eastAsia="en-AU"/>
        </w:rPr>
        <w:t xml:space="preserve">) for the treatment of patients with platinum-resistant high-grade serous epithelial ovarian, fallopian tube, or primary peritoneal cancer, who have received at least one prior systemic treatment regimen, who have high FRα tumour cell expression. The PBAC recalled that at its July 2025 meeting it was of a mind to recommend </w:t>
      </w:r>
      <w:r>
        <w:rPr>
          <w:lang w:eastAsia="en-AU"/>
        </w:rPr>
        <w:t>MIRV</w:t>
      </w:r>
      <w:r w:rsidRPr="00192BFF">
        <w:rPr>
          <w:lang w:eastAsia="en-AU"/>
        </w:rPr>
        <w:t>, but noted that as an integrated codependent submission, MBS listing of folate receptor alpha (FRα) expression testing by immunohistochemistry would be considered at the August</w:t>
      </w:r>
      <w:r>
        <w:rPr>
          <w:lang w:eastAsia="en-AU"/>
        </w:rPr>
        <w:t> </w:t>
      </w:r>
      <w:r w:rsidRPr="00192BFF">
        <w:rPr>
          <w:lang w:eastAsia="en-AU"/>
        </w:rPr>
        <w:t xml:space="preserve">2025 MSAC meeting, and that the TGA </w:t>
      </w:r>
      <w:r>
        <w:rPr>
          <w:lang w:eastAsia="en-AU"/>
        </w:rPr>
        <w:t>D</w:t>
      </w:r>
      <w:r w:rsidRPr="00192BFF">
        <w:rPr>
          <w:lang w:eastAsia="en-AU"/>
        </w:rPr>
        <w:t xml:space="preserve">elegate’s </w:t>
      </w:r>
      <w:r>
        <w:rPr>
          <w:lang w:eastAsia="en-AU"/>
        </w:rPr>
        <w:t>O</w:t>
      </w:r>
      <w:r w:rsidRPr="00192BFF">
        <w:rPr>
          <w:lang w:eastAsia="en-AU"/>
        </w:rPr>
        <w:t>verview was expected by September 2025. The PBAC noted that MSAC had now indicated it was of a mind</w:t>
      </w:r>
      <w:r>
        <w:rPr>
          <w:lang w:eastAsia="en-AU"/>
        </w:rPr>
        <w:t xml:space="preserve"> to</w:t>
      </w:r>
      <w:r w:rsidRPr="00192BFF">
        <w:rPr>
          <w:lang w:eastAsia="en-AU"/>
        </w:rPr>
        <w:t xml:space="preserve"> recommend FRα expression testing and that a positive TGA </w:t>
      </w:r>
      <w:r>
        <w:rPr>
          <w:lang w:eastAsia="en-AU"/>
        </w:rPr>
        <w:t>D</w:t>
      </w:r>
      <w:r w:rsidRPr="00192BFF">
        <w:rPr>
          <w:lang w:eastAsia="en-AU"/>
        </w:rPr>
        <w:t xml:space="preserve">elegate's </w:t>
      </w:r>
      <w:r>
        <w:rPr>
          <w:lang w:eastAsia="en-AU"/>
        </w:rPr>
        <w:t>O</w:t>
      </w:r>
      <w:r w:rsidRPr="00192BFF">
        <w:rPr>
          <w:lang w:eastAsia="en-AU"/>
        </w:rPr>
        <w:t xml:space="preserve">verview was available for </w:t>
      </w:r>
      <w:r>
        <w:rPr>
          <w:lang w:eastAsia="en-AU"/>
        </w:rPr>
        <w:t>MIRV</w:t>
      </w:r>
      <w:r w:rsidRPr="00192BFF">
        <w:rPr>
          <w:lang w:eastAsia="en-AU"/>
        </w:rPr>
        <w:t xml:space="preserve">. </w:t>
      </w:r>
    </w:p>
    <w:p w14:paraId="694243CA" w14:textId="77777777" w:rsidR="002F2410" w:rsidRDefault="002F2410" w:rsidP="002F2410">
      <w:pPr>
        <w:pStyle w:val="ListParagraph"/>
        <w:rPr>
          <w:lang w:eastAsia="en-AU"/>
        </w:rPr>
      </w:pPr>
      <w:r w:rsidRPr="00192BFF">
        <w:rPr>
          <w:lang w:eastAsia="en-AU"/>
        </w:rPr>
        <w:t xml:space="preserve">The PBAC recalled that it had previously considered that </w:t>
      </w:r>
      <w:r>
        <w:rPr>
          <w:lang w:eastAsia="en-AU"/>
        </w:rPr>
        <w:t>MIRV</w:t>
      </w:r>
      <w:r w:rsidRPr="00192BFF">
        <w:rPr>
          <w:lang w:eastAsia="en-AU"/>
        </w:rPr>
        <w:t xml:space="preserve"> provides a moderate clinical benefit in the small group of patients with high FRα tumour cell expression, noting the potential for inferior outcomes for those patients without high FRα tumour cell expression. </w:t>
      </w:r>
    </w:p>
    <w:p w14:paraId="2E2F8270" w14:textId="38B4FCFE" w:rsidR="002F2410" w:rsidRDefault="002F2410" w:rsidP="002F2410">
      <w:pPr>
        <w:pStyle w:val="ListParagraph"/>
        <w:rPr>
          <w:lang w:eastAsia="en-AU"/>
        </w:rPr>
      </w:pPr>
      <w:r>
        <w:rPr>
          <w:lang w:eastAsia="en-AU"/>
        </w:rPr>
        <w:t xml:space="preserve">The PBAC noted that it had previously considered that </w:t>
      </w:r>
      <w:r w:rsidRPr="0084504F">
        <w:rPr>
          <w:rFonts w:cs="Arial"/>
          <w:snapToGrid w:val="0"/>
        </w:rPr>
        <w:t xml:space="preserve">it </w:t>
      </w:r>
      <w:r>
        <w:rPr>
          <w:rFonts w:cs="Arial"/>
          <w:snapToGrid w:val="0"/>
        </w:rPr>
        <w:t>would be</w:t>
      </w:r>
      <w:r w:rsidRPr="0084504F">
        <w:rPr>
          <w:rFonts w:cs="Arial"/>
          <w:snapToGrid w:val="0"/>
        </w:rPr>
        <w:t xml:space="preserve"> reasonable </w:t>
      </w:r>
      <w:r>
        <w:rPr>
          <w:rFonts w:cs="Arial"/>
          <w:snapToGrid w:val="0"/>
        </w:rPr>
        <w:t>for the restrictions to be silent regarding tumour histology (paragraph</w:t>
      </w:r>
      <w:r w:rsidR="00084C2C">
        <w:rPr>
          <w:rFonts w:cs="Arial"/>
          <w:snapToGrid w:val="0"/>
        </w:rPr>
        <w:t xml:space="preserve"> </w:t>
      </w:r>
      <w:r w:rsidR="00983BD2">
        <w:rPr>
          <w:rFonts w:cs="Arial"/>
          <w:snapToGrid w:val="0"/>
        </w:rPr>
        <w:fldChar w:fldCharType="begin"/>
      </w:r>
      <w:r w:rsidR="00983BD2">
        <w:rPr>
          <w:rFonts w:cs="Arial"/>
          <w:snapToGrid w:val="0"/>
        </w:rPr>
        <w:instrText xml:space="preserve"> REF _Ref223517883 \r \h </w:instrText>
      </w:r>
      <w:r w:rsidR="00983BD2">
        <w:rPr>
          <w:rFonts w:cs="Arial"/>
          <w:snapToGrid w:val="0"/>
        </w:rPr>
      </w:r>
      <w:r w:rsidR="00983BD2">
        <w:rPr>
          <w:rFonts w:cs="Arial"/>
          <w:snapToGrid w:val="0"/>
        </w:rPr>
        <w:fldChar w:fldCharType="separate"/>
      </w:r>
      <w:r w:rsidR="00036719">
        <w:rPr>
          <w:rFonts w:cs="Arial"/>
          <w:snapToGrid w:val="0"/>
        </w:rPr>
        <w:t>7.3</w:t>
      </w:r>
      <w:r w:rsidR="00983BD2">
        <w:rPr>
          <w:rFonts w:cs="Arial"/>
          <w:snapToGrid w:val="0"/>
        </w:rPr>
        <w:fldChar w:fldCharType="end"/>
      </w:r>
      <w:r>
        <w:rPr>
          <w:rFonts w:cs="Arial"/>
          <w:snapToGrid w:val="0"/>
        </w:rPr>
        <w:t>). However, the PBAC noted that the MBS item descriptor proposed to MSAC and TGA indication included “serous” histology. The PBAC considered it would be reasonable for the restriction to include “serous” histology consistent with the proposed MBS item descriptor for testing and with the TGA indication, noting that it would be expected to impact few, if any, patients.</w:t>
      </w:r>
      <w:r>
        <w:rPr>
          <w:lang w:eastAsia="en-AU"/>
        </w:rPr>
        <w:t xml:space="preserve"> </w:t>
      </w:r>
    </w:p>
    <w:p w14:paraId="6FABC54C" w14:textId="44577564" w:rsidR="002F2410" w:rsidRDefault="002F2410" w:rsidP="002F2410">
      <w:pPr>
        <w:pStyle w:val="ListParagraph"/>
        <w:rPr>
          <w:lang w:eastAsia="en-AU"/>
        </w:rPr>
      </w:pPr>
      <w:r w:rsidRPr="00192BFF">
        <w:rPr>
          <w:lang w:eastAsia="en-AU"/>
        </w:rPr>
        <w:t xml:space="preserve">The PBAC maintained that </w:t>
      </w:r>
      <w:r>
        <w:rPr>
          <w:lang w:eastAsia="en-AU"/>
        </w:rPr>
        <w:t>MIRV</w:t>
      </w:r>
      <w:r w:rsidRPr="00192BFF">
        <w:rPr>
          <w:lang w:eastAsia="en-AU"/>
        </w:rPr>
        <w:t xml:space="preserve"> would be cost-effective with a substantial reduction in the price, to reflect the moderate benefit, and uncertainties in the economic model. </w:t>
      </w:r>
      <w:r>
        <w:rPr>
          <w:lang w:eastAsia="en-AU"/>
        </w:rPr>
        <w:t xml:space="preserve">The PBAC noted that the parameters for MIRV to be considered cost-effective remained as outlined in paragraph </w:t>
      </w:r>
      <w:r>
        <w:rPr>
          <w:lang w:eastAsia="en-AU"/>
        </w:rPr>
        <w:fldChar w:fldCharType="begin"/>
      </w:r>
      <w:r>
        <w:rPr>
          <w:lang w:eastAsia="en-AU"/>
        </w:rPr>
        <w:instrText xml:space="preserve"> REF _Ref204781643 \r \h </w:instrText>
      </w:r>
      <w:r>
        <w:rPr>
          <w:lang w:eastAsia="en-AU"/>
        </w:rPr>
      </w:r>
      <w:r>
        <w:rPr>
          <w:lang w:eastAsia="en-AU"/>
        </w:rPr>
        <w:fldChar w:fldCharType="separate"/>
      </w:r>
      <w:r w:rsidR="00036719">
        <w:rPr>
          <w:lang w:eastAsia="en-AU"/>
        </w:rPr>
        <w:t>7.11</w:t>
      </w:r>
      <w:r>
        <w:rPr>
          <w:lang w:eastAsia="en-AU"/>
        </w:rPr>
        <w:fldChar w:fldCharType="end"/>
      </w:r>
      <w:r>
        <w:rPr>
          <w:lang w:eastAsia="en-AU"/>
        </w:rPr>
        <w:t xml:space="preserve"> above and appropriate amendments to the financial estimates remained as per </w:t>
      </w:r>
      <w:r w:rsidR="00B023FA">
        <w:rPr>
          <w:lang w:eastAsia="en-AU"/>
        </w:rPr>
        <w:fldChar w:fldCharType="begin"/>
      </w:r>
      <w:r w:rsidR="00B023FA">
        <w:rPr>
          <w:lang w:eastAsia="en-AU"/>
        </w:rPr>
        <w:instrText xml:space="preserve"> REF _Ref223517922 \r \h </w:instrText>
      </w:r>
      <w:r w:rsidR="00B023FA">
        <w:rPr>
          <w:lang w:eastAsia="en-AU"/>
        </w:rPr>
      </w:r>
      <w:r w:rsidR="00B023FA">
        <w:rPr>
          <w:lang w:eastAsia="en-AU"/>
        </w:rPr>
        <w:fldChar w:fldCharType="separate"/>
      </w:r>
      <w:r w:rsidR="00036719">
        <w:rPr>
          <w:lang w:eastAsia="en-AU"/>
        </w:rPr>
        <w:t>7.12</w:t>
      </w:r>
      <w:r w:rsidR="00B023FA">
        <w:rPr>
          <w:lang w:eastAsia="en-AU"/>
        </w:rPr>
        <w:fldChar w:fldCharType="end"/>
      </w:r>
      <w:r w:rsidR="00B023FA">
        <w:rPr>
          <w:lang w:eastAsia="en-AU"/>
        </w:rPr>
        <w:t xml:space="preserve"> </w:t>
      </w:r>
      <w:r>
        <w:rPr>
          <w:lang w:eastAsia="en-AU"/>
        </w:rPr>
        <w:t>above.</w:t>
      </w:r>
    </w:p>
    <w:p w14:paraId="2BBCE0CF" w14:textId="77777777" w:rsidR="002F2410" w:rsidRPr="00525B39" w:rsidRDefault="002F2410" w:rsidP="002F2410">
      <w:pPr>
        <w:pStyle w:val="ListParagraph"/>
        <w:rPr>
          <w:snapToGrid w:val="0"/>
          <w:lang w:val="en-GB"/>
        </w:rPr>
      </w:pPr>
      <w:r w:rsidRPr="00525B39">
        <w:rPr>
          <w:snapToGrid w:val="0"/>
          <w:lang w:val="en-GB"/>
        </w:rPr>
        <w:t xml:space="preserve">The PBAC recommended that </w:t>
      </w:r>
      <w:r>
        <w:rPr>
          <w:snapToGrid w:val="0"/>
          <w:lang w:val="en-GB"/>
        </w:rPr>
        <w:t xml:space="preserve">MIRV </w:t>
      </w:r>
      <w:r w:rsidRPr="00525B39">
        <w:rPr>
          <w:snapToGrid w:val="0"/>
          <w:lang w:val="en-GB"/>
        </w:rPr>
        <w:t xml:space="preserve">should </w:t>
      </w:r>
      <w:r>
        <w:rPr>
          <w:snapToGrid w:val="0"/>
          <w:lang w:val="en-GB"/>
        </w:rPr>
        <w:t xml:space="preserve">not </w:t>
      </w:r>
      <w:r w:rsidRPr="00525B39">
        <w:rPr>
          <w:snapToGrid w:val="0"/>
          <w:lang w:val="en-GB"/>
        </w:rPr>
        <w:t>be treated as interchangeable on an individual patient basis with any other drugs</w:t>
      </w:r>
      <w:r>
        <w:rPr>
          <w:snapToGrid w:val="0"/>
          <w:lang w:val="en-GB"/>
        </w:rPr>
        <w:t>.</w:t>
      </w:r>
    </w:p>
    <w:p w14:paraId="080923C5" w14:textId="77777777" w:rsidR="002F2410" w:rsidRPr="00525B39" w:rsidRDefault="002F2410" w:rsidP="002F2410">
      <w:pPr>
        <w:pStyle w:val="ListParagraph"/>
        <w:rPr>
          <w:snapToGrid w:val="0"/>
          <w:lang w:val="en-GB"/>
        </w:rPr>
      </w:pPr>
      <w:r w:rsidRPr="00525B39">
        <w:rPr>
          <w:snapToGrid w:val="0"/>
          <w:lang w:val="en-GB"/>
        </w:rPr>
        <w:t xml:space="preserve">The PBAC advised that </w:t>
      </w:r>
      <w:r>
        <w:rPr>
          <w:snapToGrid w:val="0"/>
          <w:lang w:val="en-GB"/>
        </w:rPr>
        <w:t>MIRV</w:t>
      </w:r>
      <w:r w:rsidRPr="00525B39">
        <w:rPr>
          <w:snapToGrid w:val="0"/>
          <w:lang w:val="en-GB"/>
        </w:rPr>
        <w:t xml:space="preserve"> is not suitable for presc</w:t>
      </w:r>
      <w:r>
        <w:rPr>
          <w:snapToGrid w:val="0"/>
          <w:lang w:val="en-GB"/>
        </w:rPr>
        <w:t xml:space="preserve">ribing by nurse practitioners. </w:t>
      </w:r>
    </w:p>
    <w:p w14:paraId="61ADE361" w14:textId="77777777" w:rsidR="002F2410" w:rsidRPr="008F1D22" w:rsidRDefault="002F2410" w:rsidP="002F2410">
      <w:pPr>
        <w:pStyle w:val="ListParagraph"/>
        <w:rPr>
          <w:rFonts w:cs="Arial"/>
          <w:bCs/>
          <w:snapToGrid w:val="0"/>
          <w:lang w:val="en-GB"/>
        </w:rPr>
      </w:pPr>
      <w:r w:rsidRPr="00D8553E">
        <w:rPr>
          <w:snapToGrid w:val="0"/>
          <w:lang w:val="en-GB"/>
        </w:rPr>
        <w:lastRenderedPageBreak/>
        <w:t xml:space="preserve">The PBAC advised that </w:t>
      </w:r>
      <w:r>
        <w:rPr>
          <w:snapToGrid w:val="0"/>
          <w:lang w:val="en-GB"/>
        </w:rPr>
        <w:t>MIRV</w:t>
      </w:r>
      <w:r w:rsidRPr="00D8553E">
        <w:rPr>
          <w:snapToGrid w:val="0"/>
          <w:lang w:val="en-GB"/>
        </w:rPr>
        <w:t xml:space="preserve"> is suitable</w:t>
      </w:r>
      <w:r>
        <w:rPr>
          <w:snapToGrid w:val="0"/>
          <w:lang w:val="en-GB"/>
        </w:rPr>
        <w:t xml:space="preserve"> for prescribing by medical practitioners only. </w:t>
      </w:r>
    </w:p>
    <w:p w14:paraId="66F8DD86" w14:textId="77777777" w:rsidR="002F2410" w:rsidRPr="00D121C5" w:rsidRDefault="002F2410" w:rsidP="002F2410">
      <w:pPr>
        <w:pStyle w:val="ListParagraph"/>
        <w:rPr>
          <w:b/>
          <w:lang w:val="en-GB"/>
        </w:rPr>
      </w:pPr>
      <w:r w:rsidRPr="00D121C5">
        <w:rPr>
          <w:lang w:val="en-GB"/>
        </w:rPr>
        <w:t xml:space="preserve">The PBAC found that the criteria prescribed by the </w:t>
      </w:r>
      <w:r w:rsidRPr="00D121C5">
        <w:rPr>
          <w:i/>
          <w:lang w:val="en-GB"/>
        </w:rPr>
        <w:t>National Health (Pharmaceuticals and Vaccines – Cost Recovery) Regulations 20</w:t>
      </w:r>
      <w:r>
        <w:rPr>
          <w:i/>
          <w:lang w:val="en-GB"/>
        </w:rPr>
        <w:t>22</w:t>
      </w:r>
      <w:r w:rsidRPr="00D121C5">
        <w:rPr>
          <w:lang w:val="en-GB"/>
        </w:rPr>
        <w:t xml:space="preserve"> for Pricing Pathway A were not met. Specifically the PBAC found that in the circumstances of its recommendation for </w:t>
      </w:r>
      <w:r>
        <w:rPr>
          <w:lang w:val="en-GB"/>
        </w:rPr>
        <w:t>MIRV</w:t>
      </w:r>
      <w:r w:rsidRPr="00D121C5">
        <w:rPr>
          <w:lang w:val="en-GB"/>
        </w:rPr>
        <w:t>:</w:t>
      </w:r>
    </w:p>
    <w:p w14:paraId="74573CFC" w14:textId="77777777" w:rsidR="002F2410" w:rsidRPr="00763DFB" w:rsidRDefault="002F2410" w:rsidP="002F2410">
      <w:pPr>
        <w:widowControl w:val="0"/>
        <w:numPr>
          <w:ilvl w:val="1"/>
          <w:numId w:val="32"/>
        </w:numPr>
        <w:spacing w:before="0" w:after="120"/>
        <w:rPr>
          <w:rFonts w:cstheme="minorHAnsi"/>
          <w:lang w:val="en-GB"/>
        </w:rPr>
      </w:pPr>
      <w:r w:rsidRPr="00763DFB">
        <w:rPr>
          <w:rFonts w:cstheme="minorHAnsi"/>
          <w:lang w:val="en-GB"/>
        </w:rPr>
        <w:t xml:space="preserve">The treatment is not expected to provide a substantial and clinically relevant improvement in efficacy, or reduction of toxicity over alternative therapies, </w:t>
      </w:r>
      <w:r w:rsidRPr="00A00129">
        <w:t>a</w:t>
      </w:r>
      <w:r>
        <w:t>s it provides only a</w:t>
      </w:r>
      <w:r w:rsidRPr="00A00129">
        <w:t xml:space="preserve"> moderate clinical benefit in the small group of patients with high FRα tumour cell expression</w:t>
      </w:r>
      <w:r w:rsidRPr="00763DFB">
        <w:rPr>
          <w:rFonts w:cstheme="minorHAnsi"/>
          <w:lang w:val="en-GB"/>
        </w:rPr>
        <w:t xml:space="preserve">; </w:t>
      </w:r>
    </w:p>
    <w:p w14:paraId="51CB918C" w14:textId="77777777" w:rsidR="002F2410" w:rsidRPr="00763DFB" w:rsidRDefault="002F2410" w:rsidP="002F2410">
      <w:pPr>
        <w:widowControl w:val="0"/>
        <w:numPr>
          <w:ilvl w:val="1"/>
          <w:numId w:val="32"/>
        </w:numPr>
        <w:spacing w:before="0" w:after="120"/>
        <w:rPr>
          <w:rFonts w:cstheme="minorHAnsi"/>
          <w:lang w:val="en-GB"/>
        </w:rPr>
      </w:pPr>
      <w:r w:rsidRPr="00763DFB">
        <w:rPr>
          <w:rFonts w:cstheme="minorHAnsi"/>
          <w:lang w:val="en-GB"/>
        </w:rPr>
        <w:t xml:space="preserve">The treatment is not expected to address a high and urgent unmet clinical need </w:t>
      </w:r>
      <w:r>
        <w:rPr>
          <w:rFonts w:cstheme="minorHAnsi"/>
          <w:lang w:val="en-GB"/>
        </w:rPr>
        <w:t>as other treatments for ovarian cancer are available</w:t>
      </w:r>
      <w:r w:rsidRPr="00763DFB">
        <w:rPr>
          <w:rFonts w:cstheme="minorHAnsi"/>
          <w:lang w:val="en-GB"/>
        </w:rPr>
        <w:t>;</w:t>
      </w:r>
    </w:p>
    <w:p w14:paraId="099B8766" w14:textId="77777777" w:rsidR="002F2410" w:rsidRPr="002F0144" w:rsidRDefault="002F2410" w:rsidP="002F2410">
      <w:pPr>
        <w:widowControl w:val="0"/>
        <w:numPr>
          <w:ilvl w:val="1"/>
          <w:numId w:val="32"/>
        </w:numPr>
        <w:spacing w:before="0" w:after="120"/>
        <w:rPr>
          <w:snapToGrid w:val="0"/>
          <w:lang w:val="en-GB"/>
        </w:rPr>
      </w:pPr>
      <w:r w:rsidRPr="00763DFB">
        <w:rPr>
          <w:rFonts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Pr>
          <w:rFonts w:cstheme="minorHAnsi"/>
          <w:lang w:val="en-GB"/>
        </w:rPr>
        <w:t>.</w:t>
      </w:r>
    </w:p>
    <w:p w14:paraId="2EA5F7DF" w14:textId="77777777" w:rsidR="002F2410" w:rsidRPr="00525B39" w:rsidRDefault="002F2410" w:rsidP="002F2410">
      <w:pPr>
        <w:pStyle w:val="ListParagraph"/>
        <w:rPr>
          <w:snapToGrid w:val="0"/>
          <w:lang w:val="en-GB"/>
        </w:rPr>
      </w:pPr>
      <w:r w:rsidRPr="00525B39">
        <w:rPr>
          <w:snapToGrid w:val="0"/>
          <w:lang w:val="en-GB"/>
        </w:rPr>
        <w:t>The PBAC noted that this submission is not eligible for an Independent Review</w:t>
      </w:r>
      <w:r>
        <w:rPr>
          <w:snapToGrid w:val="0"/>
          <w:lang w:val="en-GB"/>
        </w:rPr>
        <w:t xml:space="preserve"> as it is a positive recommendation</w:t>
      </w:r>
      <w:r w:rsidRPr="00525B39">
        <w:rPr>
          <w:snapToGrid w:val="0"/>
          <w:lang w:val="en-GB"/>
        </w:rPr>
        <w:t xml:space="preserve">. </w:t>
      </w:r>
    </w:p>
    <w:p w14:paraId="3022F91C" w14:textId="77777777" w:rsidR="002F2410" w:rsidRPr="007D4707" w:rsidRDefault="002F2410" w:rsidP="002F2410">
      <w:pPr>
        <w:widowControl w:val="0"/>
        <w:spacing w:after="0"/>
        <w:contextualSpacing/>
        <w:rPr>
          <w:rFonts w:cs="Arial"/>
          <w:bCs/>
          <w:snapToGrid w:val="0"/>
          <w:lang w:val="en-GB"/>
        </w:rPr>
      </w:pPr>
    </w:p>
    <w:p w14:paraId="48BB6B82" w14:textId="0D576FC3" w:rsidR="002F2410" w:rsidRPr="00525B39" w:rsidRDefault="002F2410" w:rsidP="002F2410">
      <w:pPr>
        <w:spacing w:before="240" w:after="0"/>
        <w:rPr>
          <w:rFonts w:cs="Arial"/>
          <w:b/>
          <w:bCs/>
          <w:snapToGrid w:val="0"/>
          <w:lang w:val="en-GB"/>
        </w:rPr>
      </w:pPr>
      <w:r w:rsidRPr="00525B39">
        <w:rPr>
          <w:rFonts w:cs="Arial"/>
          <w:b/>
          <w:bCs/>
          <w:snapToGrid w:val="0"/>
          <w:lang w:val="en-GB"/>
        </w:rPr>
        <w:t>Outcome</w:t>
      </w:r>
      <w:r w:rsidR="00B114BF">
        <w:rPr>
          <w:rFonts w:cs="Arial"/>
          <w:b/>
          <w:bCs/>
          <w:snapToGrid w:val="0"/>
          <w:lang w:val="en-GB"/>
        </w:rPr>
        <w:t>:</w:t>
      </w:r>
    </w:p>
    <w:p w14:paraId="591826E1" w14:textId="77777777" w:rsidR="002F2410" w:rsidRPr="00525B39" w:rsidRDefault="002F2410" w:rsidP="00B114BF">
      <w:pPr>
        <w:spacing w:before="0"/>
        <w:rPr>
          <w:rFonts w:cs="Arial"/>
          <w:bCs/>
          <w:snapToGrid w:val="0"/>
          <w:lang w:val="en-GB"/>
        </w:rPr>
      </w:pPr>
      <w:r w:rsidRPr="00525B39">
        <w:rPr>
          <w:rFonts w:cs="Arial"/>
          <w:bCs/>
          <w:snapToGrid w:val="0"/>
          <w:lang w:val="en-GB"/>
        </w:rPr>
        <w:t>Recommended</w:t>
      </w:r>
    </w:p>
    <w:p w14:paraId="0E98589D" w14:textId="77777777" w:rsidR="002F2410" w:rsidRPr="00525B39" w:rsidRDefault="002F2410" w:rsidP="002F2410">
      <w:pPr>
        <w:widowControl w:val="0"/>
        <w:rPr>
          <w:rFonts w:cs="Arial"/>
          <w:b/>
          <w:bCs/>
          <w:snapToGrid w:val="0"/>
        </w:rPr>
      </w:pPr>
    </w:p>
    <w:p w14:paraId="35FD393A" w14:textId="77777777" w:rsidR="002F2410" w:rsidRPr="00F07DF2" w:rsidRDefault="002F2410" w:rsidP="002F2410">
      <w:pPr>
        <w:pStyle w:val="2-SectionHeading"/>
        <w:numPr>
          <w:ilvl w:val="0"/>
          <w:numId w:val="3"/>
        </w:numPr>
      </w:pPr>
      <w:r w:rsidRPr="00F07DF2">
        <w:lastRenderedPageBreak/>
        <w:t>Recommended listing</w:t>
      </w:r>
    </w:p>
    <w:p w14:paraId="4E892EE6" w14:textId="77777777" w:rsidR="002F2410" w:rsidRPr="00F07DF2" w:rsidRDefault="002F2410" w:rsidP="002F2410">
      <w:pPr>
        <w:keepNext/>
        <w:contextualSpacing/>
        <w:rPr>
          <w:rFonts w:cs="Arial"/>
          <w:bCs/>
          <w:snapToGrid w:val="0"/>
        </w:rPr>
      </w:pPr>
      <w:r w:rsidRPr="00F07DF2">
        <w:rPr>
          <w:rFonts w:cs="Arial"/>
          <w:bCs/>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Pr>
      <w:tblGrid>
        <w:gridCol w:w="551"/>
        <w:gridCol w:w="635"/>
        <w:gridCol w:w="1872"/>
        <w:gridCol w:w="1951"/>
        <w:gridCol w:w="1951"/>
        <w:gridCol w:w="2056"/>
      </w:tblGrid>
      <w:tr w:rsidR="002F2410" w:rsidRPr="00BE1940" w14:paraId="1E66D358" w14:textId="77777777" w:rsidTr="00DE3B01">
        <w:trPr>
          <w:cantSplit/>
          <w:trHeight w:val="20"/>
        </w:trPr>
        <w:tc>
          <w:tcPr>
            <w:tcW w:w="1696" w:type="pct"/>
            <w:gridSpan w:val="3"/>
            <w:vAlign w:val="center"/>
          </w:tcPr>
          <w:p w14:paraId="7FD91CAB" w14:textId="77777777" w:rsidR="002F2410" w:rsidRPr="00F07DF2" w:rsidRDefault="002F2410" w:rsidP="00DE3B01">
            <w:pPr>
              <w:keepNext/>
              <w:spacing w:before="0" w:after="0"/>
              <w:rPr>
                <w:rFonts w:ascii="Arial Narrow" w:hAnsi="Arial Narrow"/>
                <w:b/>
                <w:bCs/>
                <w:sz w:val="20"/>
                <w:szCs w:val="20"/>
              </w:rPr>
            </w:pPr>
            <w:r w:rsidRPr="00F07DF2">
              <w:rPr>
                <w:rFonts w:ascii="Arial Narrow" w:hAnsi="Arial Narrow"/>
                <w:b/>
                <w:bCs/>
                <w:sz w:val="20"/>
                <w:szCs w:val="20"/>
              </w:rPr>
              <w:t>MEDICINAL PRODUCT</w:t>
            </w:r>
          </w:p>
          <w:p w14:paraId="472DDAA2" w14:textId="77777777" w:rsidR="002F2410" w:rsidRPr="00F07DF2" w:rsidRDefault="002F2410" w:rsidP="00DE3B01">
            <w:pPr>
              <w:keepNext/>
              <w:spacing w:before="0" w:after="0"/>
              <w:rPr>
                <w:rFonts w:ascii="Arial Narrow" w:hAnsi="Arial Narrow" w:cs="Arial"/>
                <w:b/>
                <w:sz w:val="20"/>
                <w:szCs w:val="20"/>
              </w:rPr>
            </w:pPr>
            <w:r w:rsidRPr="00F07DF2">
              <w:rPr>
                <w:rFonts w:ascii="Arial Narrow" w:hAnsi="Arial Narrow" w:cs="Arial"/>
                <w:b/>
                <w:sz w:val="20"/>
                <w:szCs w:val="20"/>
              </w:rPr>
              <w:t>Form</w:t>
            </w:r>
          </w:p>
        </w:tc>
        <w:tc>
          <w:tcPr>
            <w:tcW w:w="1082" w:type="pct"/>
            <w:vAlign w:val="center"/>
          </w:tcPr>
          <w:p w14:paraId="45296546" w14:textId="77777777" w:rsidR="002F2410" w:rsidRPr="00F07DF2" w:rsidRDefault="002F2410" w:rsidP="00DE3B01">
            <w:pPr>
              <w:keepNext/>
              <w:spacing w:before="0" w:after="0"/>
              <w:jc w:val="center"/>
              <w:rPr>
                <w:rFonts w:ascii="Arial Narrow" w:hAnsi="Arial Narrow" w:cs="Arial"/>
                <w:b/>
                <w:sz w:val="20"/>
                <w:szCs w:val="20"/>
              </w:rPr>
            </w:pPr>
            <w:r w:rsidRPr="00F07DF2">
              <w:rPr>
                <w:rFonts w:ascii="Arial Narrow" w:hAnsi="Arial Narrow" w:cs="Arial"/>
                <w:b/>
                <w:sz w:val="20"/>
                <w:szCs w:val="20"/>
              </w:rPr>
              <w:t>PBS item code</w:t>
            </w:r>
          </w:p>
        </w:tc>
        <w:tc>
          <w:tcPr>
            <w:tcW w:w="1082" w:type="pct"/>
            <w:vAlign w:val="center"/>
          </w:tcPr>
          <w:p w14:paraId="601F01E6" w14:textId="77777777" w:rsidR="002F2410" w:rsidRPr="00F07DF2" w:rsidRDefault="002F2410" w:rsidP="00DE3B01">
            <w:pPr>
              <w:keepNext/>
              <w:spacing w:before="0" w:after="0"/>
              <w:jc w:val="center"/>
              <w:rPr>
                <w:rFonts w:ascii="Arial Narrow" w:hAnsi="Arial Narrow" w:cs="Arial"/>
                <w:b/>
                <w:sz w:val="20"/>
                <w:szCs w:val="20"/>
              </w:rPr>
            </w:pPr>
            <w:r w:rsidRPr="00F07DF2">
              <w:rPr>
                <w:rFonts w:ascii="Arial Narrow" w:hAnsi="Arial Narrow" w:cs="Arial"/>
                <w:b/>
                <w:sz w:val="20"/>
                <w:szCs w:val="20"/>
              </w:rPr>
              <w:t>Max. Amount</w:t>
            </w:r>
          </w:p>
        </w:tc>
        <w:tc>
          <w:tcPr>
            <w:tcW w:w="1140" w:type="pct"/>
            <w:vAlign w:val="center"/>
          </w:tcPr>
          <w:p w14:paraId="2098BBBC" w14:textId="77777777" w:rsidR="002F2410" w:rsidRPr="00BE1940" w:rsidRDefault="002F2410" w:rsidP="00DE3B01">
            <w:pPr>
              <w:keepNext/>
              <w:spacing w:before="0" w:after="0"/>
              <w:jc w:val="center"/>
              <w:rPr>
                <w:rFonts w:ascii="Arial Narrow" w:hAnsi="Arial Narrow" w:cs="Arial"/>
                <w:b/>
                <w:sz w:val="20"/>
                <w:szCs w:val="20"/>
              </w:rPr>
            </w:pPr>
            <w:r w:rsidRPr="00F07DF2">
              <w:rPr>
                <w:rFonts w:ascii="Arial Narrow" w:hAnsi="Arial Narrow" w:cs="Arial"/>
                <w:b/>
                <w:sz w:val="20"/>
                <w:szCs w:val="20"/>
              </w:rPr>
              <w:t>№.of Rpts</w:t>
            </w:r>
          </w:p>
        </w:tc>
      </w:tr>
      <w:tr w:rsidR="002F2410" w:rsidRPr="00BE1940" w14:paraId="34ADE301" w14:textId="77777777" w:rsidTr="00DE3B01">
        <w:trPr>
          <w:cantSplit/>
          <w:trHeight w:val="20"/>
        </w:trPr>
        <w:tc>
          <w:tcPr>
            <w:tcW w:w="1696" w:type="pct"/>
            <w:gridSpan w:val="3"/>
            <w:vAlign w:val="center"/>
          </w:tcPr>
          <w:p w14:paraId="69C6ABB6" w14:textId="77777777" w:rsidR="002F2410" w:rsidRDefault="002F2410" w:rsidP="00DE3B01">
            <w:pPr>
              <w:keepNext/>
              <w:spacing w:before="0" w:after="0"/>
              <w:rPr>
                <w:rFonts w:ascii="Arial Narrow" w:hAnsi="Arial Narrow" w:cs="Arial"/>
                <w:sz w:val="20"/>
                <w:szCs w:val="20"/>
              </w:rPr>
            </w:pPr>
            <w:r w:rsidRPr="00BE1940">
              <w:rPr>
                <w:rFonts w:ascii="Arial Narrow" w:hAnsi="Arial Narrow" w:cs="Arial"/>
                <w:sz w:val="20"/>
                <w:szCs w:val="20"/>
              </w:rPr>
              <w:t>MIRVETUXIMAB SORAVTANSINE</w:t>
            </w:r>
          </w:p>
          <w:p w14:paraId="05B64FAB" w14:textId="77777777" w:rsidR="002F2410" w:rsidRPr="00BE1940" w:rsidRDefault="002F2410" w:rsidP="00DE3B01">
            <w:pPr>
              <w:keepNext/>
              <w:spacing w:before="0" w:after="0"/>
              <w:rPr>
                <w:rFonts w:ascii="Arial Narrow" w:hAnsi="Arial Narrow" w:cs="Arial"/>
                <w:sz w:val="20"/>
                <w:szCs w:val="20"/>
              </w:rPr>
            </w:pPr>
            <w:r>
              <w:rPr>
                <w:rFonts w:ascii="Arial Narrow" w:hAnsi="Arial Narrow" w:cs="Arial"/>
                <w:sz w:val="20"/>
                <w:szCs w:val="20"/>
              </w:rPr>
              <w:t>Injection</w:t>
            </w:r>
          </w:p>
        </w:tc>
        <w:tc>
          <w:tcPr>
            <w:tcW w:w="1082" w:type="pct"/>
            <w:vAlign w:val="center"/>
          </w:tcPr>
          <w:p w14:paraId="3E1B11D6" w14:textId="77777777" w:rsidR="002F2410" w:rsidRPr="00BE1940" w:rsidRDefault="002F2410" w:rsidP="00DE3B01">
            <w:pPr>
              <w:keepNext/>
              <w:spacing w:before="0" w:after="0"/>
              <w:jc w:val="center"/>
              <w:rPr>
                <w:rFonts w:ascii="Arial Narrow" w:hAnsi="Arial Narrow" w:cs="Arial"/>
                <w:sz w:val="20"/>
                <w:szCs w:val="20"/>
              </w:rPr>
            </w:pPr>
            <w:r w:rsidRPr="00BE1940">
              <w:rPr>
                <w:rFonts w:ascii="Arial Narrow" w:hAnsi="Arial Narrow" w:cs="Arial"/>
                <w:sz w:val="20"/>
                <w:szCs w:val="20"/>
              </w:rPr>
              <w:t>NEW (Public)</w:t>
            </w:r>
            <w:r w:rsidRPr="00BE1940">
              <w:rPr>
                <w:rFonts w:ascii="Arial Narrow" w:hAnsi="Arial Narrow" w:cs="Arial"/>
                <w:sz w:val="20"/>
                <w:szCs w:val="20"/>
              </w:rPr>
              <w:br/>
              <w:t>NEW (Private)</w:t>
            </w:r>
          </w:p>
        </w:tc>
        <w:tc>
          <w:tcPr>
            <w:tcW w:w="1082" w:type="pct"/>
            <w:vAlign w:val="center"/>
          </w:tcPr>
          <w:p w14:paraId="2F8819DB" w14:textId="77777777" w:rsidR="002F2410" w:rsidRPr="00BE1940" w:rsidRDefault="002F2410" w:rsidP="00DE3B01">
            <w:pPr>
              <w:keepNext/>
              <w:spacing w:before="0" w:after="0"/>
              <w:jc w:val="center"/>
              <w:rPr>
                <w:rFonts w:ascii="Arial Narrow" w:hAnsi="Arial Narrow" w:cs="Arial"/>
                <w:sz w:val="20"/>
                <w:szCs w:val="20"/>
              </w:rPr>
            </w:pPr>
            <w:r w:rsidRPr="00BE1940">
              <w:rPr>
                <w:rFonts w:ascii="Arial Narrow" w:hAnsi="Arial Narrow" w:cs="Arial"/>
                <w:sz w:val="20"/>
                <w:szCs w:val="20"/>
              </w:rPr>
              <w:t>500mg</w:t>
            </w:r>
          </w:p>
        </w:tc>
        <w:tc>
          <w:tcPr>
            <w:tcW w:w="1140" w:type="pct"/>
            <w:vAlign w:val="center"/>
          </w:tcPr>
          <w:p w14:paraId="1354BB9B" w14:textId="77777777" w:rsidR="002F2410" w:rsidRPr="0018483C" w:rsidRDefault="002F2410" w:rsidP="00DE3B01">
            <w:pPr>
              <w:keepNext/>
              <w:spacing w:before="0" w:after="0"/>
              <w:jc w:val="center"/>
              <w:rPr>
                <w:rFonts w:ascii="Arial Narrow" w:hAnsi="Arial Narrow" w:cs="Arial"/>
                <w:i/>
                <w:iCs/>
                <w:sz w:val="20"/>
                <w:szCs w:val="20"/>
              </w:rPr>
            </w:pPr>
            <w:r>
              <w:rPr>
                <w:rFonts w:ascii="Arial Narrow" w:hAnsi="Arial Narrow" w:cs="Arial"/>
                <w:i/>
                <w:iCs/>
                <w:sz w:val="20"/>
                <w:szCs w:val="20"/>
              </w:rPr>
              <w:t>7</w:t>
            </w:r>
          </w:p>
        </w:tc>
      </w:tr>
      <w:tr w:rsidR="002F2410" w:rsidRPr="00BE1940" w14:paraId="7622A09D" w14:textId="77777777" w:rsidTr="00DE3B01">
        <w:trPr>
          <w:cantSplit/>
          <w:trHeight w:val="20"/>
        </w:trPr>
        <w:tc>
          <w:tcPr>
            <w:tcW w:w="5000" w:type="pct"/>
            <w:gridSpan w:val="6"/>
            <w:vAlign w:val="center"/>
          </w:tcPr>
          <w:p w14:paraId="0DEA71F6" w14:textId="77777777" w:rsidR="002F2410" w:rsidRPr="00BE1940" w:rsidRDefault="002F2410" w:rsidP="00DE3B01">
            <w:pPr>
              <w:keepNext/>
              <w:spacing w:before="0" w:after="0"/>
              <w:rPr>
                <w:rFonts w:ascii="Arial Narrow" w:hAnsi="Arial Narrow"/>
                <w:b/>
                <w:sz w:val="20"/>
                <w:szCs w:val="20"/>
              </w:rPr>
            </w:pPr>
            <w:r w:rsidRPr="00BE1940">
              <w:rPr>
                <w:rFonts w:ascii="Arial Narrow" w:hAnsi="Arial Narrow"/>
                <w:b/>
                <w:sz w:val="20"/>
                <w:szCs w:val="20"/>
              </w:rPr>
              <w:t xml:space="preserve">Available brands </w:t>
            </w:r>
          </w:p>
        </w:tc>
      </w:tr>
      <w:tr w:rsidR="002F2410" w:rsidRPr="00BE1940" w14:paraId="11E04180" w14:textId="77777777" w:rsidTr="00DE3B01">
        <w:trPr>
          <w:cantSplit/>
          <w:trHeight w:val="20"/>
        </w:trPr>
        <w:tc>
          <w:tcPr>
            <w:tcW w:w="5000" w:type="pct"/>
            <w:gridSpan w:val="6"/>
            <w:vAlign w:val="center"/>
          </w:tcPr>
          <w:p w14:paraId="2978945B" w14:textId="77777777" w:rsidR="002F2410" w:rsidRPr="00BE1940" w:rsidRDefault="002F2410" w:rsidP="00DE3B01">
            <w:pPr>
              <w:keepNext/>
              <w:spacing w:before="0" w:after="0"/>
              <w:rPr>
                <w:rFonts w:ascii="Arial Narrow" w:hAnsi="Arial Narrow" w:cs="Arial"/>
                <w:sz w:val="20"/>
                <w:szCs w:val="20"/>
              </w:rPr>
            </w:pPr>
            <w:r w:rsidRPr="00BE1940">
              <w:rPr>
                <w:rFonts w:ascii="Arial Narrow" w:hAnsi="Arial Narrow" w:cs="Arial"/>
                <w:sz w:val="20"/>
                <w:szCs w:val="20"/>
              </w:rPr>
              <w:t>Elahere</w:t>
            </w:r>
            <w:r>
              <w:rPr>
                <w:rFonts w:ascii="Arial Narrow" w:hAnsi="Arial Narrow" w:cs="Arial"/>
                <w:sz w:val="20"/>
                <w:szCs w:val="20"/>
              </w:rPr>
              <w:t xml:space="preserve"> </w:t>
            </w:r>
            <w:r w:rsidRPr="00BE1940">
              <w:rPr>
                <w:rFonts w:ascii="Arial Narrow" w:hAnsi="Arial Narrow" w:cs="Arial"/>
                <w:sz w:val="20"/>
                <w:szCs w:val="20"/>
              </w:rPr>
              <w:t>(Mirvetuximab soravtansine 100 mg/20 mL injection, 20 mL vial)</w:t>
            </w:r>
          </w:p>
        </w:tc>
      </w:tr>
      <w:tr w:rsidR="002F2410" w:rsidRPr="00BE1940" w14:paraId="4A9E9E96" w14:textId="77777777" w:rsidTr="00DE3B01">
        <w:trPr>
          <w:cantSplit/>
          <w:trHeight w:val="20"/>
        </w:trPr>
        <w:tc>
          <w:tcPr>
            <w:tcW w:w="5000" w:type="pct"/>
            <w:gridSpan w:val="6"/>
            <w:vAlign w:val="center"/>
          </w:tcPr>
          <w:p w14:paraId="633D8831" w14:textId="77777777" w:rsidR="002F2410" w:rsidRPr="00BE1940" w:rsidRDefault="002F2410" w:rsidP="00DE3B01">
            <w:pPr>
              <w:keepNext/>
              <w:spacing w:before="0" w:after="0"/>
              <w:rPr>
                <w:rFonts w:ascii="Arial Narrow" w:hAnsi="Arial Narrow" w:cs="Arial"/>
                <w:sz w:val="20"/>
                <w:szCs w:val="20"/>
              </w:rPr>
            </w:pPr>
          </w:p>
        </w:tc>
      </w:tr>
      <w:tr w:rsidR="002F2410" w:rsidRPr="00BE1940" w14:paraId="474C8F6C" w14:textId="77777777" w:rsidTr="00DE3B01">
        <w:trPr>
          <w:cantSplit/>
          <w:trHeight w:val="20"/>
        </w:trPr>
        <w:tc>
          <w:tcPr>
            <w:tcW w:w="5000" w:type="pct"/>
            <w:gridSpan w:val="6"/>
            <w:vAlign w:val="center"/>
          </w:tcPr>
          <w:p w14:paraId="4236B1B7" w14:textId="77777777" w:rsidR="002F2410" w:rsidRPr="00BE1940" w:rsidRDefault="002F2410" w:rsidP="00DE3B01">
            <w:pPr>
              <w:keepNext/>
              <w:spacing w:before="0" w:after="0"/>
              <w:rPr>
                <w:rFonts w:ascii="Arial Narrow" w:hAnsi="Arial Narrow" w:cs="Arial"/>
                <w:sz w:val="20"/>
                <w:szCs w:val="20"/>
              </w:rPr>
            </w:pPr>
            <w:r w:rsidRPr="00BE1940">
              <w:rPr>
                <w:rFonts w:ascii="Arial Narrow" w:hAnsi="Arial Narrow"/>
                <w:b/>
                <w:sz w:val="20"/>
                <w:szCs w:val="20"/>
              </w:rPr>
              <w:t>Restriction Summary [new] / Treatment of Concept: [new]</w:t>
            </w:r>
          </w:p>
        </w:tc>
      </w:tr>
      <w:tr w:rsidR="002F2410" w:rsidRPr="00BE1940" w14:paraId="26D9E1A9"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vMerge w:val="restart"/>
          </w:tcPr>
          <w:p w14:paraId="5F27092F" w14:textId="77777777" w:rsidR="002F2410" w:rsidRPr="00051067" w:rsidRDefault="002F2410" w:rsidP="00DE3B01">
            <w:pPr>
              <w:keepNext/>
              <w:spacing w:before="0" w:after="0"/>
              <w:jc w:val="center"/>
              <w:rPr>
                <w:rFonts w:ascii="Arial Narrow" w:hAnsi="Arial Narrow" w:cs="Arial"/>
                <w:b/>
                <w:sz w:val="20"/>
                <w:szCs w:val="20"/>
              </w:rPr>
            </w:pPr>
            <w:r w:rsidRPr="00051067">
              <w:rPr>
                <w:rFonts w:ascii="Arial Narrow" w:hAnsi="Arial Narrow" w:cs="Arial"/>
                <w:b/>
                <w:sz w:val="20"/>
                <w:szCs w:val="20"/>
              </w:rPr>
              <w:t xml:space="preserve">Concept ID </w:t>
            </w:r>
            <w:r w:rsidRPr="00051067">
              <w:rPr>
                <w:rFonts w:ascii="Arial Narrow" w:hAnsi="Arial Narrow" w:cs="Arial"/>
                <w:sz w:val="20"/>
                <w:szCs w:val="20"/>
              </w:rPr>
              <w:t>(for internal Dept. use)</w:t>
            </w:r>
          </w:p>
        </w:tc>
        <w:tc>
          <w:tcPr>
            <w:tcW w:w="4342" w:type="pct"/>
            <w:gridSpan w:val="4"/>
          </w:tcPr>
          <w:p w14:paraId="77983FF0" w14:textId="77777777" w:rsidR="002F2410" w:rsidRPr="00051067" w:rsidRDefault="002F2410" w:rsidP="00DE3B01">
            <w:pPr>
              <w:keepNext/>
              <w:spacing w:before="0" w:after="0"/>
              <w:rPr>
                <w:rFonts w:ascii="Arial Narrow" w:hAnsi="Arial Narrow" w:cs="Arial"/>
                <w:sz w:val="20"/>
                <w:szCs w:val="20"/>
              </w:rPr>
            </w:pPr>
            <w:r w:rsidRPr="00051067">
              <w:rPr>
                <w:rFonts w:ascii="Arial Narrow" w:hAnsi="Arial Narrow" w:cs="Arial"/>
                <w:b/>
                <w:sz w:val="20"/>
                <w:szCs w:val="20"/>
              </w:rPr>
              <w:t xml:space="preserve">Category / Program: </w:t>
            </w:r>
            <w:r w:rsidRPr="00051067">
              <w:rPr>
                <w:rFonts w:ascii="Arial Narrow" w:hAnsi="Arial Narrow" w:cs="Arial"/>
                <w:sz w:val="20"/>
                <w:szCs w:val="20"/>
              </w:rPr>
              <w:t>Section 100 – Efficient Funding of Chemotherapy Public/Private hospitals</w:t>
            </w:r>
          </w:p>
        </w:tc>
      </w:tr>
      <w:tr w:rsidR="002F2410" w:rsidRPr="00BE1940" w14:paraId="3B630339"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vMerge/>
          </w:tcPr>
          <w:p w14:paraId="0FB2D375" w14:textId="77777777" w:rsidR="002F2410" w:rsidRPr="00051067" w:rsidRDefault="002F2410" w:rsidP="00DE3B01">
            <w:pPr>
              <w:keepNext/>
              <w:spacing w:before="0" w:after="0"/>
              <w:rPr>
                <w:rFonts w:ascii="Arial Narrow" w:hAnsi="Arial Narrow" w:cs="Arial"/>
                <w:sz w:val="20"/>
                <w:szCs w:val="20"/>
              </w:rPr>
            </w:pPr>
          </w:p>
        </w:tc>
        <w:tc>
          <w:tcPr>
            <w:tcW w:w="4342" w:type="pct"/>
            <w:gridSpan w:val="4"/>
          </w:tcPr>
          <w:p w14:paraId="5A66F8C8" w14:textId="77777777" w:rsidR="002F2410" w:rsidRPr="00051067" w:rsidRDefault="002F2410" w:rsidP="00DE3B01">
            <w:pPr>
              <w:keepNext/>
              <w:spacing w:before="0" w:after="0"/>
              <w:rPr>
                <w:rFonts w:ascii="Arial Narrow" w:hAnsi="Arial Narrow" w:cs="Arial"/>
                <w:b/>
                <w:sz w:val="20"/>
                <w:szCs w:val="20"/>
              </w:rPr>
            </w:pPr>
            <w:r w:rsidRPr="00051067">
              <w:rPr>
                <w:rFonts w:ascii="Arial Narrow" w:hAnsi="Arial Narrow" w:cs="Arial"/>
                <w:b/>
                <w:sz w:val="20"/>
                <w:szCs w:val="20"/>
              </w:rPr>
              <w:t xml:space="preserve">Prescriber type: </w:t>
            </w:r>
            <w:r w:rsidRPr="00051067">
              <w:rPr>
                <w:rFonts w:ascii="Arial Narrow" w:hAnsi="Arial Narrow" w:cs="Arial"/>
                <w:sz w:val="20"/>
                <w:szCs w:val="20"/>
              </w:rPr>
              <w:fldChar w:fldCharType="begin">
                <w:ffData>
                  <w:name w:val=""/>
                  <w:enabled/>
                  <w:calcOnExit w:val="0"/>
                  <w:checkBox>
                    <w:sizeAuto/>
                    <w:default w:val="1"/>
                  </w:checkBox>
                </w:ffData>
              </w:fldChar>
            </w:r>
            <w:r w:rsidRPr="00051067">
              <w:rPr>
                <w:rFonts w:ascii="Arial Narrow" w:hAnsi="Arial Narrow" w:cs="Arial"/>
                <w:sz w:val="20"/>
                <w:szCs w:val="20"/>
              </w:rPr>
              <w:instrText xml:space="preserve"> FORMCHECKBOX </w:instrText>
            </w:r>
            <w:r w:rsidRPr="00051067">
              <w:rPr>
                <w:rFonts w:ascii="Arial Narrow" w:hAnsi="Arial Narrow" w:cs="Arial"/>
                <w:sz w:val="20"/>
                <w:szCs w:val="20"/>
              </w:rPr>
            </w:r>
            <w:r w:rsidRPr="00051067">
              <w:rPr>
                <w:rFonts w:ascii="Arial Narrow" w:hAnsi="Arial Narrow" w:cs="Arial"/>
                <w:sz w:val="20"/>
                <w:szCs w:val="20"/>
              </w:rPr>
              <w:fldChar w:fldCharType="separate"/>
            </w:r>
            <w:r w:rsidRPr="00051067">
              <w:rPr>
                <w:rFonts w:ascii="Arial Narrow" w:hAnsi="Arial Narrow" w:cs="Arial"/>
                <w:sz w:val="20"/>
                <w:szCs w:val="20"/>
              </w:rPr>
              <w:fldChar w:fldCharType="end"/>
            </w:r>
            <w:r w:rsidRPr="00051067">
              <w:rPr>
                <w:rFonts w:ascii="Arial Narrow" w:hAnsi="Arial Narrow" w:cs="Arial"/>
                <w:sz w:val="20"/>
                <w:szCs w:val="20"/>
              </w:rPr>
              <w:t xml:space="preserve">Medical Practitioners </w:t>
            </w:r>
          </w:p>
        </w:tc>
      </w:tr>
      <w:tr w:rsidR="002F2410" w:rsidRPr="00BE1940" w14:paraId="415B6AFE"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vMerge/>
          </w:tcPr>
          <w:p w14:paraId="607F7121" w14:textId="77777777" w:rsidR="002F2410" w:rsidRPr="00051067" w:rsidRDefault="002F2410" w:rsidP="00DE3B01">
            <w:pPr>
              <w:keepNext/>
              <w:spacing w:before="0" w:after="0"/>
              <w:rPr>
                <w:rFonts w:ascii="Arial Narrow" w:hAnsi="Arial Narrow" w:cs="Arial"/>
                <w:sz w:val="20"/>
                <w:szCs w:val="20"/>
              </w:rPr>
            </w:pPr>
          </w:p>
        </w:tc>
        <w:tc>
          <w:tcPr>
            <w:tcW w:w="4342" w:type="pct"/>
            <w:gridSpan w:val="4"/>
          </w:tcPr>
          <w:p w14:paraId="1423ED83" w14:textId="77777777" w:rsidR="002F2410" w:rsidRPr="00051067" w:rsidRDefault="002F2410" w:rsidP="00DE3B01">
            <w:pPr>
              <w:keepNext/>
              <w:spacing w:before="0" w:after="0"/>
              <w:rPr>
                <w:rFonts w:ascii="Arial Narrow" w:eastAsia="Calibri" w:hAnsi="Arial Narrow" w:cs="Arial"/>
                <w:sz w:val="20"/>
                <w:szCs w:val="20"/>
              </w:rPr>
            </w:pPr>
            <w:r w:rsidRPr="00051067">
              <w:rPr>
                <w:rFonts w:ascii="Arial Narrow" w:hAnsi="Arial Narrow" w:cs="Arial"/>
                <w:b/>
                <w:sz w:val="20"/>
                <w:szCs w:val="20"/>
              </w:rPr>
              <w:t xml:space="preserve">Restriction type: </w:t>
            </w:r>
            <w:r w:rsidRPr="00051067">
              <w:rPr>
                <w:rFonts w:ascii="Arial Narrow" w:eastAsia="Calibri" w:hAnsi="Arial Narrow" w:cs="Arial"/>
                <w:sz w:val="20"/>
                <w:szCs w:val="20"/>
              </w:rPr>
              <w:fldChar w:fldCharType="begin">
                <w:ffData>
                  <w:name w:val="Check3"/>
                  <w:enabled/>
                  <w:calcOnExit w:val="0"/>
                  <w:checkBox>
                    <w:sizeAuto/>
                    <w:default w:val="1"/>
                  </w:checkBox>
                </w:ffData>
              </w:fldChar>
            </w:r>
            <w:r w:rsidRPr="00051067">
              <w:rPr>
                <w:rFonts w:ascii="Arial Narrow" w:eastAsia="Calibri" w:hAnsi="Arial Narrow" w:cs="Arial"/>
                <w:sz w:val="20"/>
                <w:szCs w:val="20"/>
              </w:rPr>
              <w:instrText xml:space="preserve"> FORMCHECKBOX </w:instrText>
            </w:r>
            <w:r w:rsidRPr="00051067">
              <w:rPr>
                <w:rFonts w:ascii="Arial Narrow" w:eastAsia="Calibri" w:hAnsi="Arial Narrow" w:cs="Arial"/>
                <w:sz w:val="20"/>
                <w:szCs w:val="20"/>
              </w:rPr>
            </w:r>
            <w:r w:rsidRPr="00051067">
              <w:rPr>
                <w:rFonts w:ascii="Arial Narrow" w:eastAsia="Calibri" w:hAnsi="Arial Narrow" w:cs="Arial"/>
                <w:sz w:val="20"/>
                <w:szCs w:val="20"/>
              </w:rPr>
              <w:fldChar w:fldCharType="separate"/>
            </w:r>
            <w:r w:rsidRPr="00051067">
              <w:rPr>
                <w:rFonts w:ascii="Arial Narrow" w:eastAsia="Calibri" w:hAnsi="Arial Narrow" w:cs="Arial"/>
                <w:sz w:val="20"/>
                <w:szCs w:val="20"/>
              </w:rPr>
              <w:fldChar w:fldCharType="end"/>
            </w:r>
            <w:r w:rsidRPr="00051067">
              <w:rPr>
                <w:rFonts w:ascii="Arial Narrow" w:eastAsia="Calibri" w:hAnsi="Arial Narrow" w:cs="Arial"/>
                <w:sz w:val="20"/>
                <w:szCs w:val="20"/>
              </w:rPr>
              <w:t xml:space="preserve">Authority Required – immediate assessment (telephone/online PBS Authorities system) </w:t>
            </w:r>
          </w:p>
        </w:tc>
      </w:tr>
      <w:tr w:rsidR="002F2410" w:rsidRPr="00BE1940" w14:paraId="181F8387" w14:textId="77777777" w:rsidTr="00DE3B01">
        <w:tblPrEx>
          <w:tblCellMar>
            <w:top w:w="15" w:type="dxa"/>
            <w:bottom w:w="15" w:type="dxa"/>
          </w:tblCellMar>
          <w:tblLook w:val="04A0" w:firstRow="1" w:lastRow="0" w:firstColumn="1" w:lastColumn="0" w:noHBand="0" w:noVBand="1"/>
        </w:tblPrEx>
        <w:trPr>
          <w:trHeight w:val="20"/>
        </w:trPr>
        <w:tc>
          <w:tcPr>
            <w:tcW w:w="306" w:type="pct"/>
            <w:vMerge w:val="restart"/>
            <w:textDirection w:val="btLr"/>
            <w:vAlign w:val="center"/>
          </w:tcPr>
          <w:p w14:paraId="6B247926" w14:textId="77777777" w:rsidR="002F2410" w:rsidRPr="00051067" w:rsidRDefault="002F2410" w:rsidP="00DE3B01">
            <w:pPr>
              <w:keepNext/>
              <w:keepLines/>
              <w:spacing w:before="0" w:after="0"/>
              <w:ind w:left="113" w:right="113"/>
              <w:jc w:val="center"/>
              <w:rPr>
                <w:rFonts w:ascii="Arial Narrow" w:eastAsia="Times New Roman" w:hAnsi="Arial Narrow"/>
                <w:sz w:val="20"/>
                <w:szCs w:val="20"/>
                <w:lang w:eastAsia="en-AU"/>
              </w:rPr>
            </w:pPr>
            <w:r w:rsidRPr="00051067">
              <w:rPr>
                <w:rFonts w:ascii="Arial Narrow" w:eastAsia="Times New Roman" w:hAnsi="Arial Narrow"/>
                <w:sz w:val="20"/>
                <w:szCs w:val="20"/>
                <w:lang w:eastAsia="en-AU"/>
              </w:rPr>
              <w:t>Prescribing rule level</w:t>
            </w:r>
          </w:p>
        </w:tc>
        <w:tc>
          <w:tcPr>
            <w:tcW w:w="352" w:type="pct"/>
            <w:vAlign w:val="center"/>
          </w:tcPr>
          <w:p w14:paraId="71488FB4" w14:textId="3DE6CD2D" w:rsidR="002F2410" w:rsidRPr="00051067" w:rsidRDefault="002F2410" w:rsidP="00DE3B01">
            <w:pPr>
              <w:keepNext/>
              <w:keepLines/>
              <w:spacing w:before="0" w:after="0"/>
              <w:ind w:hanging="35"/>
              <w:jc w:val="center"/>
              <w:rPr>
                <w:rFonts w:ascii="Arial Narrow" w:eastAsia="Times New Roman" w:hAnsi="Arial Narrow"/>
                <w:sz w:val="20"/>
                <w:szCs w:val="20"/>
                <w:lang w:eastAsia="en-AU"/>
              </w:rPr>
            </w:pPr>
          </w:p>
        </w:tc>
        <w:tc>
          <w:tcPr>
            <w:tcW w:w="4342" w:type="pct"/>
            <w:gridSpan w:val="4"/>
            <w:vAlign w:val="center"/>
          </w:tcPr>
          <w:p w14:paraId="07BDD19F" w14:textId="3C2C4DFB" w:rsidR="002F2410" w:rsidRPr="00051067" w:rsidRDefault="002F2410" w:rsidP="00DE3B01">
            <w:pPr>
              <w:keepNext/>
              <w:keepLines/>
              <w:spacing w:before="0" w:after="0"/>
              <w:rPr>
                <w:rFonts w:ascii="Arial Narrow" w:eastAsia="Times New Roman" w:hAnsi="Arial Narrow"/>
                <w:b/>
                <w:bCs/>
                <w:sz w:val="20"/>
                <w:szCs w:val="20"/>
                <w:lang w:eastAsia="en-AU"/>
              </w:rPr>
            </w:pPr>
            <w:r w:rsidRPr="00051067">
              <w:rPr>
                <w:rFonts w:ascii="Arial Narrow" w:eastAsia="Times New Roman" w:hAnsi="Arial Narrow"/>
                <w:b/>
                <w:bCs/>
                <w:sz w:val="20"/>
                <w:szCs w:val="20"/>
                <w:lang w:eastAsia="en-AU"/>
              </w:rPr>
              <w:t xml:space="preserve">Administrative Advice: </w:t>
            </w:r>
            <w:r w:rsidRPr="00051067">
              <w:rPr>
                <w:rFonts w:ascii="Arial Narrow" w:eastAsia="Times New Roman" w:hAnsi="Arial Narrow"/>
                <w:sz w:val="20"/>
                <w:szCs w:val="20"/>
                <w:lang w:eastAsia="en-AU"/>
              </w:rPr>
              <w:t>High FRα tumour cell expression is defined as having 75% or more tumour cells with FRα staining at moderate or high staining intensity (2+ staining) as determined by a validated test.</w:t>
            </w:r>
            <w:r w:rsidR="00B65B3F">
              <w:rPr>
                <w:rFonts w:ascii="Arial Narrow" w:eastAsia="Times New Roman" w:hAnsi="Arial Narrow"/>
                <w:sz w:val="20"/>
                <w:szCs w:val="20"/>
                <w:lang w:eastAsia="en-AU"/>
              </w:rPr>
              <w:t xml:space="preserve"> </w:t>
            </w:r>
          </w:p>
        </w:tc>
      </w:tr>
      <w:tr w:rsidR="002F2410" w:rsidRPr="00BE1940" w14:paraId="20125EC7" w14:textId="77777777" w:rsidTr="00DE3B01">
        <w:tblPrEx>
          <w:tblCellMar>
            <w:top w:w="15" w:type="dxa"/>
            <w:bottom w:w="15" w:type="dxa"/>
          </w:tblCellMar>
          <w:tblLook w:val="04A0" w:firstRow="1" w:lastRow="0" w:firstColumn="1" w:lastColumn="0" w:noHBand="0" w:noVBand="1"/>
        </w:tblPrEx>
        <w:trPr>
          <w:trHeight w:val="20"/>
        </w:trPr>
        <w:tc>
          <w:tcPr>
            <w:tcW w:w="306" w:type="pct"/>
            <w:vMerge/>
            <w:vAlign w:val="center"/>
          </w:tcPr>
          <w:p w14:paraId="0C057F74" w14:textId="77777777" w:rsidR="002F2410" w:rsidRPr="00051067" w:rsidRDefault="002F2410" w:rsidP="00DE3B01">
            <w:pPr>
              <w:keepNext/>
              <w:keepLines/>
              <w:spacing w:before="0" w:after="0"/>
              <w:jc w:val="center"/>
              <w:rPr>
                <w:rFonts w:ascii="Arial Narrow" w:eastAsia="Times New Roman" w:hAnsi="Arial Narrow"/>
                <w:sz w:val="20"/>
                <w:szCs w:val="20"/>
                <w:lang w:eastAsia="en-AU"/>
              </w:rPr>
            </w:pPr>
          </w:p>
        </w:tc>
        <w:tc>
          <w:tcPr>
            <w:tcW w:w="352" w:type="pct"/>
            <w:vAlign w:val="center"/>
          </w:tcPr>
          <w:p w14:paraId="49F73B77" w14:textId="185E3538" w:rsidR="002F2410" w:rsidRPr="00051067" w:rsidRDefault="002F2410" w:rsidP="00DE3B01">
            <w:pPr>
              <w:keepNext/>
              <w:keepLines/>
              <w:spacing w:before="0" w:after="0"/>
              <w:ind w:hanging="35"/>
              <w:jc w:val="center"/>
              <w:rPr>
                <w:rFonts w:ascii="Arial Narrow" w:eastAsia="Times New Roman" w:hAnsi="Arial Narrow"/>
                <w:sz w:val="20"/>
                <w:szCs w:val="20"/>
                <w:lang w:eastAsia="en-AU"/>
              </w:rPr>
            </w:pPr>
          </w:p>
        </w:tc>
        <w:tc>
          <w:tcPr>
            <w:tcW w:w="4342" w:type="pct"/>
            <w:gridSpan w:val="4"/>
            <w:vAlign w:val="center"/>
          </w:tcPr>
          <w:p w14:paraId="2CB11228" w14:textId="77777777" w:rsidR="002F2410" w:rsidRPr="00051067" w:rsidRDefault="002F2410" w:rsidP="00DE3B01">
            <w:pPr>
              <w:keepNext/>
              <w:keepLines/>
              <w:spacing w:before="0" w:after="0"/>
              <w:rPr>
                <w:rFonts w:ascii="Arial Narrow" w:eastAsia="Times New Roman" w:hAnsi="Arial Narrow"/>
                <w:b/>
                <w:bCs/>
                <w:sz w:val="20"/>
                <w:szCs w:val="20"/>
                <w:lang w:eastAsia="en-AU"/>
              </w:rPr>
            </w:pPr>
            <w:r w:rsidRPr="00051067">
              <w:rPr>
                <w:rFonts w:ascii="Arial Narrow" w:hAnsi="Arial Narrow"/>
                <w:b/>
                <w:bCs/>
                <w:sz w:val="20"/>
                <w:szCs w:val="20"/>
              </w:rPr>
              <w:t xml:space="preserve">Administrative Advice: </w:t>
            </w:r>
            <w:r w:rsidRPr="00051067">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2F2410" w:rsidRPr="00BE1940" w14:paraId="5A25556A" w14:textId="77777777" w:rsidTr="00DE3B01">
        <w:tblPrEx>
          <w:tblCellMar>
            <w:top w:w="15" w:type="dxa"/>
            <w:bottom w:w="15" w:type="dxa"/>
          </w:tblCellMar>
          <w:tblLook w:val="04A0" w:firstRow="1" w:lastRow="0" w:firstColumn="1" w:lastColumn="0" w:noHBand="0" w:noVBand="1"/>
        </w:tblPrEx>
        <w:trPr>
          <w:trHeight w:val="20"/>
        </w:trPr>
        <w:tc>
          <w:tcPr>
            <w:tcW w:w="306" w:type="pct"/>
            <w:vMerge/>
            <w:vAlign w:val="center"/>
          </w:tcPr>
          <w:p w14:paraId="7BCAAE63" w14:textId="77777777" w:rsidR="002F2410" w:rsidRPr="00051067" w:rsidRDefault="002F2410" w:rsidP="00DE3B01">
            <w:pPr>
              <w:keepNext/>
              <w:keepLines/>
              <w:spacing w:before="0" w:after="0"/>
              <w:jc w:val="center"/>
              <w:rPr>
                <w:rFonts w:ascii="Arial Narrow" w:eastAsia="Times New Roman" w:hAnsi="Arial Narrow"/>
                <w:sz w:val="20"/>
                <w:szCs w:val="20"/>
                <w:lang w:eastAsia="en-AU"/>
              </w:rPr>
            </w:pPr>
          </w:p>
        </w:tc>
        <w:tc>
          <w:tcPr>
            <w:tcW w:w="352" w:type="pct"/>
            <w:vAlign w:val="center"/>
          </w:tcPr>
          <w:p w14:paraId="299111B7" w14:textId="330C15D3" w:rsidR="002F2410" w:rsidRPr="00051067" w:rsidRDefault="002F2410" w:rsidP="00DE3B01">
            <w:pPr>
              <w:keepNext/>
              <w:keepLines/>
              <w:spacing w:before="0" w:after="0"/>
              <w:ind w:hanging="35"/>
              <w:jc w:val="center"/>
              <w:rPr>
                <w:rFonts w:ascii="Arial Narrow" w:eastAsia="Times New Roman" w:hAnsi="Arial Narrow"/>
                <w:sz w:val="20"/>
                <w:szCs w:val="20"/>
                <w:lang w:eastAsia="en-AU"/>
              </w:rPr>
            </w:pPr>
          </w:p>
        </w:tc>
        <w:tc>
          <w:tcPr>
            <w:tcW w:w="4342" w:type="pct"/>
            <w:gridSpan w:val="4"/>
            <w:vAlign w:val="center"/>
          </w:tcPr>
          <w:p w14:paraId="3D6155CC" w14:textId="77777777" w:rsidR="002F2410" w:rsidRPr="00051067" w:rsidRDefault="002F2410" w:rsidP="00DE3B01">
            <w:pPr>
              <w:keepNext/>
              <w:keepLines/>
              <w:spacing w:before="0" w:after="0"/>
              <w:rPr>
                <w:rFonts w:ascii="Arial Narrow" w:eastAsia="Times New Roman" w:hAnsi="Arial Narrow"/>
                <w:b/>
                <w:bCs/>
                <w:sz w:val="20"/>
                <w:szCs w:val="20"/>
                <w:lang w:eastAsia="en-AU"/>
              </w:rPr>
            </w:pPr>
            <w:r w:rsidRPr="00051067">
              <w:rPr>
                <w:rFonts w:ascii="Arial Narrow" w:hAnsi="Arial Narrow"/>
                <w:b/>
                <w:bCs/>
                <w:sz w:val="20"/>
                <w:szCs w:val="20"/>
              </w:rPr>
              <w:t xml:space="preserve">Administrative Advice: </w:t>
            </w:r>
            <w:r w:rsidRPr="00051067">
              <w:rPr>
                <w:rFonts w:ascii="Arial Narrow" w:hAnsi="Arial Narrow"/>
                <w:bCs/>
                <w:sz w:val="20"/>
                <w:szCs w:val="20"/>
              </w:rPr>
              <w:t>No increase in the maximum number of repeats may be authorised.</w:t>
            </w:r>
          </w:p>
        </w:tc>
      </w:tr>
      <w:tr w:rsidR="002F2410" w:rsidRPr="00BE1940" w14:paraId="079CF6DC" w14:textId="77777777" w:rsidTr="00DE3B01">
        <w:tblPrEx>
          <w:tblCellMar>
            <w:top w:w="15" w:type="dxa"/>
            <w:bottom w:w="15" w:type="dxa"/>
          </w:tblCellMar>
          <w:tblLook w:val="04A0" w:firstRow="1" w:lastRow="0" w:firstColumn="1" w:lastColumn="0" w:noHBand="0" w:noVBand="1"/>
        </w:tblPrEx>
        <w:trPr>
          <w:trHeight w:val="20"/>
        </w:trPr>
        <w:tc>
          <w:tcPr>
            <w:tcW w:w="306" w:type="pct"/>
            <w:vAlign w:val="center"/>
          </w:tcPr>
          <w:p w14:paraId="654AA955" w14:textId="77777777" w:rsidR="002F2410" w:rsidRPr="00051067" w:rsidRDefault="002F2410" w:rsidP="00DE3B01">
            <w:pPr>
              <w:keepNext/>
              <w:keepLines/>
              <w:spacing w:before="0" w:after="0"/>
              <w:jc w:val="center"/>
              <w:rPr>
                <w:rFonts w:ascii="Arial Narrow" w:eastAsia="Times New Roman" w:hAnsi="Arial Narrow"/>
                <w:sz w:val="20"/>
                <w:szCs w:val="20"/>
                <w:lang w:eastAsia="en-AU"/>
              </w:rPr>
            </w:pPr>
          </w:p>
        </w:tc>
        <w:tc>
          <w:tcPr>
            <w:tcW w:w="352" w:type="pct"/>
            <w:vAlign w:val="center"/>
          </w:tcPr>
          <w:p w14:paraId="7C4F1C4F" w14:textId="2934A6AD" w:rsidR="002F2410" w:rsidRPr="00051067" w:rsidRDefault="002F2410" w:rsidP="00DE3B01">
            <w:pPr>
              <w:keepNext/>
              <w:keepLines/>
              <w:spacing w:before="0" w:after="0"/>
              <w:ind w:hanging="35"/>
              <w:jc w:val="center"/>
              <w:rPr>
                <w:rFonts w:ascii="Arial Narrow" w:eastAsia="Times New Roman" w:hAnsi="Arial Narrow"/>
                <w:sz w:val="20"/>
                <w:szCs w:val="20"/>
                <w:lang w:eastAsia="en-AU"/>
              </w:rPr>
            </w:pPr>
          </w:p>
        </w:tc>
        <w:tc>
          <w:tcPr>
            <w:tcW w:w="4342" w:type="pct"/>
            <w:gridSpan w:val="4"/>
            <w:vAlign w:val="center"/>
          </w:tcPr>
          <w:p w14:paraId="01FDFB43" w14:textId="77777777" w:rsidR="002F2410" w:rsidRPr="00051067" w:rsidRDefault="002F2410" w:rsidP="00DE3B01">
            <w:pPr>
              <w:keepNext/>
              <w:keepLines/>
              <w:spacing w:before="0" w:after="0"/>
              <w:rPr>
                <w:rFonts w:ascii="Arial Narrow" w:eastAsia="Times New Roman" w:hAnsi="Arial Narrow"/>
                <w:b/>
                <w:bCs/>
                <w:sz w:val="20"/>
                <w:szCs w:val="20"/>
                <w:lang w:eastAsia="en-AU"/>
              </w:rPr>
            </w:pPr>
            <w:r w:rsidRPr="00051067">
              <w:rPr>
                <w:rFonts w:ascii="Arial Narrow" w:hAnsi="Arial Narrow"/>
                <w:b/>
                <w:bCs/>
                <w:sz w:val="20"/>
                <w:szCs w:val="20"/>
              </w:rPr>
              <w:t xml:space="preserve">Administrative Advice: </w:t>
            </w:r>
            <w:r w:rsidRPr="00051067">
              <w:rPr>
                <w:rFonts w:ascii="Arial Narrow" w:hAnsi="Arial Narrow"/>
                <w:bCs/>
                <w:sz w:val="20"/>
                <w:szCs w:val="20"/>
              </w:rPr>
              <w:t>Special Pricing Arrangements apply.</w:t>
            </w:r>
          </w:p>
        </w:tc>
      </w:tr>
      <w:tr w:rsidR="002F2410" w:rsidRPr="00BE1940" w14:paraId="4EE83B2D"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vMerge w:val="restart"/>
            <w:vAlign w:val="center"/>
          </w:tcPr>
          <w:p w14:paraId="2BB70E46" w14:textId="77777777" w:rsidR="002F2410" w:rsidRPr="00051067" w:rsidRDefault="002F2410" w:rsidP="00DE3B01">
            <w:pPr>
              <w:keepNext/>
              <w:keepLines/>
              <w:spacing w:before="0" w:after="0"/>
              <w:jc w:val="center"/>
              <w:rPr>
                <w:rFonts w:ascii="Arial Narrow" w:eastAsia="Times New Roman" w:hAnsi="Arial Narrow"/>
                <w:sz w:val="20"/>
                <w:szCs w:val="20"/>
                <w:lang w:eastAsia="en-AU"/>
              </w:rPr>
            </w:pPr>
          </w:p>
        </w:tc>
        <w:tc>
          <w:tcPr>
            <w:tcW w:w="4342" w:type="pct"/>
            <w:gridSpan w:val="4"/>
            <w:vAlign w:val="center"/>
          </w:tcPr>
          <w:p w14:paraId="28AB4E51" w14:textId="77777777" w:rsidR="002F2410" w:rsidRPr="00051067" w:rsidRDefault="002F2410" w:rsidP="00DE3B01">
            <w:pPr>
              <w:keepNext/>
              <w:keepLines/>
              <w:spacing w:before="0" w:after="0"/>
              <w:rPr>
                <w:rFonts w:ascii="Arial Narrow" w:eastAsia="Times New Roman" w:hAnsi="Arial Narrow"/>
                <w:bCs/>
                <w:sz w:val="20"/>
                <w:szCs w:val="20"/>
                <w:lang w:eastAsia="en-AU"/>
              </w:rPr>
            </w:pPr>
            <w:r w:rsidRPr="00051067">
              <w:rPr>
                <w:rFonts w:ascii="Arial Narrow" w:eastAsia="Times New Roman" w:hAnsi="Arial Narrow"/>
                <w:b/>
                <w:bCs/>
                <w:sz w:val="20"/>
                <w:szCs w:val="20"/>
                <w:lang w:eastAsia="en-AU"/>
              </w:rPr>
              <w:t xml:space="preserve">Episodicity: </w:t>
            </w:r>
            <w:r w:rsidRPr="00051067">
              <w:rPr>
                <w:rFonts w:ascii="Arial Narrow" w:eastAsia="Times New Roman" w:hAnsi="Arial Narrow"/>
                <w:sz w:val="20"/>
                <w:szCs w:val="20"/>
                <w:lang w:eastAsia="en-AU"/>
              </w:rPr>
              <w:t>[blank]</w:t>
            </w:r>
          </w:p>
        </w:tc>
      </w:tr>
      <w:tr w:rsidR="002F2410" w:rsidRPr="00BE1940" w14:paraId="4E7AB2AC"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vMerge/>
            <w:vAlign w:val="center"/>
          </w:tcPr>
          <w:p w14:paraId="3E3302F4" w14:textId="77777777" w:rsidR="002F2410" w:rsidRPr="00051067" w:rsidRDefault="002F2410" w:rsidP="00DE3B01">
            <w:pPr>
              <w:keepNext/>
              <w:keepLines/>
              <w:spacing w:before="0" w:after="0"/>
              <w:jc w:val="center"/>
              <w:rPr>
                <w:rFonts w:ascii="Arial Narrow" w:eastAsia="Times New Roman" w:hAnsi="Arial Narrow"/>
                <w:sz w:val="20"/>
                <w:szCs w:val="20"/>
                <w:lang w:eastAsia="en-AU"/>
              </w:rPr>
            </w:pPr>
          </w:p>
        </w:tc>
        <w:tc>
          <w:tcPr>
            <w:tcW w:w="4342" w:type="pct"/>
            <w:gridSpan w:val="4"/>
            <w:vAlign w:val="center"/>
          </w:tcPr>
          <w:p w14:paraId="46052574" w14:textId="77777777" w:rsidR="002F2410" w:rsidRPr="00051067" w:rsidRDefault="002F2410" w:rsidP="00DE3B01">
            <w:pPr>
              <w:keepNext/>
              <w:keepLines/>
              <w:spacing w:before="0" w:after="0"/>
              <w:rPr>
                <w:rFonts w:ascii="Arial Narrow" w:eastAsia="Times New Roman" w:hAnsi="Arial Narrow"/>
                <w:bCs/>
                <w:sz w:val="20"/>
                <w:szCs w:val="20"/>
                <w:lang w:eastAsia="en-AU"/>
              </w:rPr>
            </w:pPr>
            <w:r w:rsidRPr="00051067">
              <w:rPr>
                <w:rFonts w:ascii="Arial Narrow" w:eastAsia="Times New Roman" w:hAnsi="Arial Narrow"/>
                <w:b/>
                <w:bCs/>
                <w:sz w:val="20"/>
                <w:szCs w:val="20"/>
                <w:lang w:eastAsia="en-AU"/>
              </w:rPr>
              <w:t xml:space="preserve">Severity: </w:t>
            </w:r>
            <w:r w:rsidRPr="00051067">
              <w:rPr>
                <w:rFonts w:ascii="Arial Narrow" w:eastAsia="Times New Roman" w:hAnsi="Arial Narrow"/>
                <w:bCs/>
                <w:sz w:val="20"/>
                <w:szCs w:val="20"/>
                <w:lang w:eastAsia="en-AU"/>
              </w:rPr>
              <w:t xml:space="preserve">High grade </w:t>
            </w:r>
          </w:p>
        </w:tc>
      </w:tr>
      <w:tr w:rsidR="002F2410" w:rsidRPr="00BE1940" w14:paraId="073F83EB"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vMerge/>
            <w:vAlign w:val="center"/>
          </w:tcPr>
          <w:p w14:paraId="54256107" w14:textId="77777777" w:rsidR="002F2410" w:rsidRPr="00051067" w:rsidRDefault="002F2410" w:rsidP="00DE3B01">
            <w:pPr>
              <w:keepNext/>
              <w:keepLines/>
              <w:spacing w:before="0" w:after="0"/>
              <w:jc w:val="center"/>
              <w:rPr>
                <w:rFonts w:ascii="Arial Narrow" w:eastAsia="Times New Roman" w:hAnsi="Arial Narrow"/>
                <w:sz w:val="20"/>
                <w:szCs w:val="20"/>
                <w:lang w:eastAsia="en-AU"/>
              </w:rPr>
            </w:pPr>
          </w:p>
        </w:tc>
        <w:tc>
          <w:tcPr>
            <w:tcW w:w="4342" w:type="pct"/>
            <w:gridSpan w:val="4"/>
            <w:vAlign w:val="center"/>
          </w:tcPr>
          <w:p w14:paraId="39081CA4" w14:textId="77777777" w:rsidR="002F2410" w:rsidRPr="00051067" w:rsidRDefault="002F2410" w:rsidP="00DE3B01">
            <w:pPr>
              <w:keepNext/>
              <w:keepLines/>
              <w:spacing w:before="0" w:after="0"/>
              <w:rPr>
                <w:rFonts w:ascii="Arial Narrow" w:eastAsia="Times New Roman" w:hAnsi="Arial Narrow"/>
                <w:b/>
                <w:bCs/>
                <w:sz w:val="20"/>
                <w:szCs w:val="20"/>
                <w:lang w:eastAsia="en-AU"/>
              </w:rPr>
            </w:pPr>
            <w:r w:rsidRPr="00051067">
              <w:rPr>
                <w:rFonts w:ascii="Arial Narrow" w:eastAsia="Times New Roman" w:hAnsi="Arial Narrow"/>
                <w:b/>
                <w:bCs/>
                <w:sz w:val="20"/>
                <w:szCs w:val="20"/>
                <w:lang w:eastAsia="en-AU"/>
              </w:rPr>
              <w:t xml:space="preserve">Condition: </w:t>
            </w:r>
            <w:r>
              <w:rPr>
                <w:rFonts w:ascii="Arial Narrow" w:eastAsia="Times New Roman" w:hAnsi="Arial Narrow"/>
                <w:sz w:val="20"/>
                <w:szCs w:val="20"/>
                <w:lang w:eastAsia="en-AU"/>
              </w:rPr>
              <w:t>S</w:t>
            </w:r>
            <w:r w:rsidRPr="00E50A39">
              <w:rPr>
                <w:rFonts w:ascii="Arial Narrow" w:eastAsia="Times New Roman" w:hAnsi="Arial Narrow"/>
                <w:sz w:val="20"/>
                <w:szCs w:val="20"/>
                <w:lang w:eastAsia="en-AU"/>
              </w:rPr>
              <w:t>erous</w:t>
            </w:r>
            <w:r>
              <w:rPr>
                <w:rFonts w:ascii="Arial Narrow" w:eastAsia="Times New Roman" w:hAnsi="Arial Narrow"/>
                <w:sz w:val="20"/>
                <w:szCs w:val="20"/>
                <w:lang w:eastAsia="en-AU"/>
              </w:rPr>
              <w:t xml:space="preserve"> epithelial</w:t>
            </w:r>
            <w:r>
              <w:rPr>
                <w:rFonts w:ascii="Arial Narrow" w:eastAsia="Times New Roman" w:hAnsi="Arial Narrow"/>
                <w:b/>
                <w:bCs/>
                <w:sz w:val="20"/>
                <w:szCs w:val="20"/>
                <w:lang w:eastAsia="en-AU"/>
              </w:rPr>
              <w:t xml:space="preserve"> </w:t>
            </w:r>
            <w:r w:rsidRPr="00E50A39">
              <w:rPr>
                <w:rFonts w:ascii="Arial Narrow" w:eastAsia="Times New Roman" w:hAnsi="Arial Narrow"/>
                <w:sz w:val="20"/>
                <w:szCs w:val="20"/>
                <w:lang w:eastAsia="en-AU"/>
              </w:rPr>
              <w:t>ovarian</w:t>
            </w:r>
            <w:r w:rsidRPr="00051067">
              <w:rPr>
                <w:rFonts w:ascii="Arial Narrow" w:eastAsia="Times New Roman" w:hAnsi="Arial Narrow"/>
                <w:sz w:val="20"/>
                <w:szCs w:val="20"/>
                <w:lang w:eastAsia="en-AU"/>
              </w:rPr>
              <w:t>, Fallopian Tube, or primary peritoneal cancer</w:t>
            </w:r>
          </w:p>
        </w:tc>
      </w:tr>
      <w:tr w:rsidR="002F2410" w:rsidRPr="00BE1940" w14:paraId="6EE9E87E"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vAlign w:val="center"/>
            <w:hideMark/>
          </w:tcPr>
          <w:p w14:paraId="2AB474A9" w14:textId="77777777" w:rsidR="002F2410" w:rsidRPr="00051067" w:rsidRDefault="002F2410" w:rsidP="00DE3B01">
            <w:pPr>
              <w:keepNext/>
              <w:spacing w:before="0" w:after="0"/>
              <w:jc w:val="center"/>
              <w:rPr>
                <w:rFonts w:ascii="Arial Narrow" w:eastAsia="Times New Roman" w:hAnsi="Arial Narrow"/>
                <w:sz w:val="20"/>
                <w:szCs w:val="20"/>
                <w:lang w:eastAsia="en-AU"/>
              </w:rPr>
            </w:pPr>
          </w:p>
        </w:tc>
        <w:tc>
          <w:tcPr>
            <w:tcW w:w="4342" w:type="pct"/>
            <w:gridSpan w:val="4"/>
            <w:vAlign w:val="center"/>
            <w:hideMark/>
          </w:tcPr>
          <w:p w14:paraId="67EC4A43" w14:textId="77777777" w:rsidR="002F2410" w:rsidRPr="00051067" w:rsidRDefault="002F2410" w:rsidP="00DE3B01">
            <w:pPr>
              <w:keepNext/>
              <w:keepLines/>
              <w:spacing w:before="0" w:after="0"/>
              <w:rPr>
                <w:rFonts w:ascii="Arial Narrow" w:eastAsia="Times New Roman" w:hAnsi="Arial Narrow"/>
                <w:sz w:val="20"/>
                <w:szCs w:val="20"/>
                <w:lang w:eastAsia="en-AU"/>
              </w:rPr>
            </w:pPr>
            <w:r w:rsidRPr="00051067">
              <w:rPr>
                <w:rFonts w:ascii="Arial Narrow" w:eastAsia="Times New Roman" w:hAnsi="Arial Narrow"/>
                <w:b/>
                <w:bCs/>
                <w:sz w:val="20"/>
                <w:szCs w:val="20"/>
                <w:lang w:eastAsia="en-AU"/>
              </w:rPr>
              <w:t>Indication:</w:t>
            </w:r>
            <w:r w:rsidRPr="00051067">
              <w:rPr>
                <w:rFonts w:ascii="Arial Narrow" w:eastAsia="Times New Roman" w:hAnsi="Arial Narrow"/>
                <w:sz w:val="20"/>
                <w:szCs w:val="20"/>
                <w:lang w:eastAsia="en-AU"/>
              </w:rPr>
              <w:t xml:space="preserve"> High grade </w:t>
            </w:r>
            <w:r>
              <w:rPr>
                <w:rFonts w:ascii="Arial Narrow" w:eastAsia="Times New Roman" w:hAnsi="Arial Narrow"/>
                <w:sz w:val="20"/>
                <w:szCs w:val="20"/>
                <w:lang w:eastAsia="en-AU"/>
              </w:rPr>
              <w:t xml:space="preserve">serous epithelial </w:t>
            </w:r>
            <w:r w:rsidRPr="00051067">
              <w:rPr>
                <w:rFonts w:ascii="Arial Narrow" w:eastAsia="Times New Roman" w:hAnsi="Arial Narrow"/>
                <w:sz w:val="20"/>
                <w:szCs w:val="20"/>
                <w:lang w:eastAsia="en-AU"/>
              </w:rPr>
              <w:t>ovarian, fallopian tube or primary peritoneal cancer</w:t>
            </w:r>
          </w:p>
        </w:tc>
      </w:tr>
      <w:tr w:rsidR="002F2410" w:rsidRPr="00BE1940" w14:paraId="0A03875F" w14:textId="77777777" w:rsidTr="00DE3B01">
        <w:tblPrEx>
          <w:tblCellMar>
            <w:top w:w="15" w:type="dxa"/>
            <w:bottom w:w="15" w:type="dxa"/>
          </w:tblCellMar>
          <w:tblLook w:val="04A0" w:firstRow="1" w:lastRow="0" w:firstColumn="1" w:lastColumn="0" w:noHBand="0" w:noVBand="1"/>
        </w:tblPrEx>
        <w:trPr>
          <w:cantSplit/>
          <w:trHeight w:val="143"/>
        </w:trPr>
        <w:tc>
          <w:tcPr>
            <w:tcW w:w="658" w:type="pct"/>
            <w:gridSpan w:val="2"/>
            <w:vAlign w:val="center"/>
            <w:hideMark/>
          </w:tcPr>
          <w:p w14:paraId="1E892927" w14:textId="63056064" w:rsidR="002F2410" w:rsidRPr="00051067" w:rsidRDefault="002F2410" w:rsidP="00DE3B01">
            <w:pPr>
              <w:keepNext/>
              <w:spacing w:before="0" w:after="0"/>
              <w:jc w:val="center"/>
              <w:rPr>
                <w:rFonts w:ascii="Arial Narrow" w:eastAsia="Times New Roman" w:hAnsi="Arial Narrow"/>
                <w:sz w:val="20"/>
                <w:szCs w:val="20"/>
                <w:lang w:eastAsia="en-AU"/>
              </w:rPr>
            </w:pPr>
          </w:p>
        </w:tc>
        <w:tc>
          <w:tcPr>
            <w:tcW w:w="4342" w:type="pct"/>
            <w:gridSpan w:val="4"/>
            <w:vAlign w:val="center"/>
            <w:hideMark/>
          </w:tcPr>
          <w:p w14:paraId="0EFC8EEB" w14:textId="77777777" w:rsidR="002F2410" w:rsidRPr="00051067" w:rsidRDefault="002F2410" w:rsidP="00DE3B01">
            <w:pPr>
              <w:keepNext/>
              <w:spacing w:before="0" w:after="0"/>
              <w:rPr>
                <w:rFonts w:ascii="Arial Narrow" w:eastAsia="Times New Roman" w:hAnsi="Arial Narrow"/>
                <w:sz w:val="20"/>
                <w:szCs w:val="20"/>
                <w:lang w:eastAsia="en-AU"/>
              </w:rPr>
            </w:pPr>
            <w:r w:rsidRPr="00051067">
              <w:rPr>
                <w:rFonts w:ascii="Arial Narrow" w:eastAsia="Times New Roman" w:hAnsi="Arial Narrow"/>
                <w:b/>
                <w:bCs/>
                <w:sz w:val="20"/>
                <w:szCs w:val="20"/>
                <w:lang w:eastAsia="en-AU"/>
              </w:rPr>
              <w:t>Clinical criteria:</w:t>
            </w:r>
          </w:p>
        </w:tc>
      </w:tr>
      <w:tr w:rsidR="002F2410" w:rsidRPr="00BE1940" w14:paraId="42B2897B"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vAlign w:val="center"/>
            <w:hideMark/>
          </w:tcPr>
          <w:p w14:paraId="446CEB41" w14:textId="59D0914E" w:rsidR="002F2410" w:rsidRPr="00373E9F" w:rsidRDefault="002F2410" w:rsidP="00DE3B01">
            <w:pPr>
              <w:keepNext/>
              <w:spacing w:before="0" w:after="0"/>
              <w:jc w:val="center"/>
              <w:rPr>
                <w:rFonts w:ascii="Arial Narrow" w:eastAsia="Times New Roman" w:hAnsi="Arial Narrow"/>
                <w:sz w:val="20"/>
                <w:szCs w:val="20"/>
                <w:lang w:eastAsia="en-AU"/>
              </w:rPr>
            </w:pPr>
          </w:p>
        </w:tc>
        <w:tc>
          <w:tcPr>
            <w:tcW w:w="4342" w:type="pct"/>
            <w:gridSpan w:val="4"/>
            <w:vAlign w:val="center"/>
            <w:hideMark/>
          </w:tcPr>
          <w:p w14:paraId="2189E8BE" w14:textId="77777777" w:rsidR="002F2410" w:rsidRPr="00BE1940" w:rsidRDefault="002F2410" w:rsidP="00DE3B01">
            <w:pPr>
              <w:keepNext/>
              <w:spacing w:before="0" w:after="0"/>
              <w:rPr>
                <w:rFonts w:ascii="Arial Narrow" w:eastAsia="Times New Roman" w:hAnsi="Arial Narrow"/>
                <w:bCs/>
                <w:sz w:val="20"/>
                <w:szCs w:val="20"/>
                <w:lang w:eastAsia="en-AU"/>
              </w:rPr>
            </w:pPr>
            <w:r w:rsidRPr="00BE1940">
              <w:rPr>
                <w:rFonts w:ascii="Arial Narrow" w:eastAsia="Times New Roman" w:hAnsi="Arial Narrow"/>
                <w:bCs/>
                <w:sz w:val="20"/>
                <w:szCs w:val="20"/>
                <w:lang w:eastAsia="en-AU"/>
              </w:rPr>
              <w:t xml:space="preserve">The condition must </w:t>
            </w:r>
            <w:r w:rsidRPr="009E372C">
              <w:rPr>
                <w:rFonts w:ascii="Arial Narrow" w:eastAsia="Times New Roman" w:hAnsi="Arial Narrow"/>
                <w:bCs/>
                <w:sz w:val="20"/>
                <w:szCs w:val="20"/>
                <w:lang w:eastAsia="en-AU"/>
              </w:rPr>
              <w:t xml:space="preserve">have relapsed after at least one prior therapy, </w:t>
            </w:r>
          </w:p>
        </w:tc>
      </w:tr>
      <w:tr w:rsidR="002F2410" w:rsidRPr="00BE1940" w14:paraId="2FA53AE0"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vAlign w:val="center"/>
            <w:hideMark/>
          </w:tcPr>
          <w:p w14:paraId="5650FFF6" w14:textId="77777777" w:rsidR="002F2410" w:rsidRPr="00BE1940" w:rsidRDefault="002F2410" w:rsidP="00DE3B01">
            <w:pPr>
              <w:keepNext/>
              <w:spacing w:before="0" w:after="0"/>
              <w:jc w:val="center"/>
              <w:rPr>
                <w:rFonts w:ascii="Arial Narrow" w:eastAsia="Times New Roman" w:hAnsi="Arial Narrow"/>
                <w:sz w:val="20"/>
                <w:szCs w:val="20"/>
                <w:lang w:eastAsia="en-AU"/>
              </w:rPr>
            </w:pPr>
          </w:p>
        </w:tc>
        <w:tc>
          <w:tcPr>
            <w:tcW w:w="4342" w:type="pct"/>
            <w:gridSpan w:val="4"/>
            <w:vAlign w:val="center"/>
            <w:hideMark/>
          </w:tcPr>
          <w:p w14:paraId="7C7856C2" w14:textId="77777777" w:rsidR="002F2410" w:rsidRPr="00BE1940" w:rsidRDefault="002F2410" w:rsidP="00DE3B01">
            <w:pPr>
              <w:keepNext/>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AND</w:t>
            </w:r>
          </w:p>
        </w:tc>
      </w:tr>
      <w:tr w:rsidR="002F2410" w:rsidRPr="00F23B8C" w14:paraId="531A9424"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70D07A84" w14:textId="265BF789" w:rsidR="002F2410" w:rsidRPr="00F23B8C" w:rsidRDefault="002F2410" w:rsidP="00DE3B01">
            <w:pPr>
              <w:keepNext/>
              <w:spacing w:before="0" w:after="0"/>
              <w:jc w:val="center"/>
              <w:rPr>
                <w:rFonts w:ascii="Arial Narrow" w:eastAsia="Times New Roman" w:hAnsi="Arial Narrow"/>
                <w:sz w:val="20"/>
                <w:szCs w:val="20"/>
                <w:lang w:eastAsia="en-AU"/>
              </w:rPr>
            </w:pPr>
          </w:p>
        </w:tc>
        <w:tc>
          <w:tcPr>
            <w:tcW w:w="4342" w:type="pct"/>
            <w:gridSpan w:val="4"/>
            <w:vAlign w:val="center"/>
          </w:tcPr>
          <w:p w14:paraId="08F8FD50" w14:textId="77777777" w:rsidR="002F2410" w:rsidRPr="00F23B8C" w:rsidRDefault="002F2410" w:rsidP="00DE3B01">
            <w:pPr>
              <w:keepNext/>
              <w:spacing w:before="0" w:after="0"/>
              <w:rPr>
                <w:rFonts w:ascii="Arial Narrow" w:eastAsia="Times New Roman" w:hAnsi="Arial Narrow"/>
                <w:b/>
                <w:bCs/>
                <w:sz w:val="20"/>
                <w:szCs w:val="20"/>
                <w:lang w:eastAsia="en-AU"/>
              </w:rPr>
            </w:pPr>
            <w:r w:rsidRPr="00F23B8C">
              <w:rPr>
                <w:rFonts w:ascii="Arial Narrow" w:eastAsia="Times New Roman" w:hAnsi="Arial Narrow"/>
                <w:b/>
                <w:bCs/>
                <w:sz w:val="20"/>
                <w:szCs w:val="20"/>
                <w:lang w:eastAsia="en-AU"/>
              </w:rPr>
              <w:t xml:space="preserve">Clinical criteria: </w:t>
            </w:r>
          </w:p>
        </w:tc>
      </w:tr>
      <w:tr w:rsidR="002F2410" w:rsidRPr="00F23B8C" w14:paraId="54ED7CB2"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3DB21E1E" w14:textId="14EA4EDD" w:rsidR="002F2410" w:rsidRPr="00F23B8C" w:rsidRDefault="002F2410" w:rsidP="00DE3B01">
            <w:pPr>
              <w:keepNext/>
              <w:spacing w:before="0" w:after="0"/>
              <w:jc w:val="center"/>
              <w:rPr>
                <w:rFonts w:ascii="Arial Narrow" w:eastAsia="Times New Roman" w:hAnsi="Arial Narrow"/>
                <w:sz w:val="20"/>
                <w:szCs w:val="20"/>
                <w:lang w:eastAsia="en-AU"/>
              </w:rPr>
            </w:pPr>
          </w:p>
        </w:tc>
        <w:tc>
          <w:tcPr>
            <w:tcW w:w="4342" w:type="pct"/>
            <w:gridSpan w:val="4"/>
            <w:vAlign w:val="center"/>
          </w:tcPr>
          <w:p w14:paraId="753A3418" w14:textId="77777777" w:rsidR="002F2410" w:rsidRPr="00F23B8C" w:rsidRDefault="002F2410" w:rsidP="00DE3B01">
            <w:pPr>
              <w:keepNext/>
              <w:spacing w:before="0" w:after="0"/>
              <w:rPr>
                <w:rFonts w:ascii="Arial Narrow" w:eastAsia="Times New Roman" w:hAnsi="Arial Narrow"/>
                <w:b/>
                <w:bCs/>
                <w:sz w:val="20"/>
                <w:szCs w:val="20"/>
                <w:lang w:eastAsia="en-AU"/>
              </w:rPr>
            </w:pPr>
            <w:r w:rsidRPr="00F23B8C">
              <w:rPr>
                <w:rFonts w:ascii="Arial Narrow" w:eastAsia="Times New Roman" w:hAnsi="Arial Narrow"/>
                <w:bCs/>
                <w:sz w:val="20"/>
                <w:szCs w:val="20"/>
                <w:lang w:eastAsia="en-AU"/>
              </w:rPr>
              <w:t>The condition must be considered platinum</w:t>
            </w:r>
            <w:r w:rsidRPr="00F23B8C">
              <w:rPr>
                <w:rFonts w:ascii="Arial Narrow" w:eastAsia="Times New Roman" w:hAnsi="Arial Narrow"/>
                <w:bCs/>
                <w:sz w:val="20"/>
                <w:szCs w:val="20"/>
                <w:lang w:eastAsia="en-AU"/>
              </w:rPr>
              <w:noBreakHyphen/>
              <w:t>resistant.</w:t>
            </w:r>
          </w:p>
        </w:tc>
      </w:tr>
      <w:tr w:rsidR="002F2410" w:rsidRPr="00BE1940" w14:paraId="05081B9B"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35D59BCC" w14:textId="77777777" w:rsidR="002F2410" w:rsidRPr="00BE1940" w:rsidRDefault="002F2410" w:rsidP="00DE3B01">
            <w:pPr>
              <w:keepNext/>
              <w:spacing w:before="0" w:after="0"/>
              <w:jc w:val="center"/>
              <w:rPr>
                <w:rFonts w:ascii="Arial Narrow" w:eastAsia="Times New Roman" w:hAnsi="Arial Narrow"/>
                <w:sz w:val="20"/>
                <w:szCs w:val="20"/>
                <w:lang w:eastAsia="en-AU"/>
              </w:rPr>
            </w:pPr>
          </w:p>
        </w:tc>
        <w:tc>
          <w:tcPr>
            <w:tcW w:w="4342" w:type="pct"/>
            <w:gridSpan w:val="4"/>
            <w:vAlign w:val="center"/>
          </w:tcPr>
          <w:p w14:paraId="5EC6A07F" w14:textId="77777777" w:rsidR="002F2410" w:rsidRPr="00E42D76" w:rsidRDefault="002F2410" w:rsidP="00DE3B01">
            <w:pPr>
              <w:keepNext/>
              <w:spacing w:before="0" w:after="0"/>
              <w:rPr>
                <w:rFonts w:ascii="Arial Narrow" w:eastAsia="Times New Roman" w:hAnsi="Arial Narrow"/>
                <w:b/>
                <w:bCs/>
                <w:sz w:val="20"/>
                <w:szCs w:val="20"/>
                <w:lang w:eastAsia="en-AU"/>
              </w:rPr>
            </w:pPr>
            <w:r w:rsidRPr="00E42D76">
              <w:rPr>
                <w:rFonts w:ascii="Arial Narrow" w:eastAsia="Times New Roman" w:hAnsi="Arial Narrow"/>
                <w:b/>
                <w:bCs/>
                <w:sz w:val="20"/>
                <w:szCs w:val="20"/>
                <w:lang w:eastAsia="en-AU"/>
              </w:rPr>
              <w:t>AND</w:t>
            </w:r>
          </w:p>
        </w:tc>
      </w:tr>
      <w:tr w:rsidR="002F2410" w:rsidRPr="00BE1940" w14:paraId="71E1BAD4"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2317B944" w14:textId="3CA15C85" w:rsidR="002F2410" w:rsidRPr="00373E9F" w:rsidRDefault="002F2410" w:rsidP="00DE3B01">
            <w:pPr>
              <w:keepNext/>
              <w:spacing w:before="0" w:after="0"/>
              <w:jc w:val="center"/>
              <w:rPr>
                <w:rFonts w:ascii="Arial Narrow" w:eastAsia="Times New Roman" w:hAnsi="Arial Narrow"/>
                <w:sz w:val="20"/>
                <w:szCs w:val="20"/>
                <w:lang w:eastAsia="en-AU"/>
              </w:rPr>
            </w:pPr>
          </w:p>
        </w:tc>
        <w:tc>
          <w:tcPr>
            <w:tcW w:w="4342" w:type="pct"/>
            <w:gridSpan w:val="4"/>
            <w:vAlign w:val="center"/>
            <w:hideMark/>
          </w:tcPr>
          <w:p w14:paraId="602B22C5" w14:textId="77777777" w:rsidR="002F2410" w:rsidRPr="00BE1940" w:rsidRDefault="002F2410" w:rsidP="00DE3B01">
            <w:pPr>
              <w:keepNext/>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Clinical criteria:</w:t>
            </w:r>
          </w:p>
        </w:tc>
      </w:tr>
      <w:tr w:rsidR="002F2410" w:rsidRPr="00BE1940" w14:paraId="57D3EE6E"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7BC939FE" w14:textId="09B87DE2" w:rsidR="002F2410" w:rsidRPr="00373E9F" w:rsidRDefault="002F2410" w:rsidP="00DE3B01">
            <w:pPr>
              <w:keepNext/>
              <w:spacing w:before="0" w:after="0"/>
              <w:jc w:val="center"/>
              <w:rPr>
                <w:rFonts w:ascii="Arial Narrow" w:eastAsia="Times New Roman" w:hAnsi="Arial Narrow"/>
                <w:sz w:val="20"/>
                <w:szCs w:val="20"/>
                <w:lang w:eastAsia="en-AU"/>
              </w:rPr>
            </w:pPr>
          </w:p>
        </w:tc>
        <w:tc>
          <w:tcPr>
            <w:tcW w:w="4342" w:type="pct"/>
            <w:gridSpan w:val="4"/>
            <w:vAlign w:val="center"/>
            <w:hideMark/>
          </w:tcPr>
          <w:p w14:paraId="71C2C386" w14:textId="61779ECC" w:rsidR="002F2410" w:rsidRPr="00BE1940" w:rsidRDefault="002F2410" w:rsidP="00DE3B01">
            <w:pPr>
              <w:keepNext/>
              <w:spacing w:before="0" w:after="0"/>
              <w:rPr>
                <w:rFonts w:ascii="Arial Narrow" w:eastAsia="Times New Roman" w:hAnsi="Arial Narrow"/>
                <w:sz w:val="20"/>
                <w:szCs w:val="20"/>
                <w:lang w:eastAsia="en-AU"/>
              </w:rPr>
            </w:pPr>
            <w:r w:rsidRPr="72559442">
              <w:rPr>
                <w:rFonts w:ascii="Arial Narrow" w:eastAsia="Times New Roman" w:hAnsi="Arial Narrow"/>
                <w:sz w:val="20"/>
                <w:szCs w:val="20"/>
                <w:lang w:eastAsia="en-AU"/>
              </w:rPr>
              <w:t>Patient must have high FRα tumour cell expression as determined by a validated test.</w:t>
            </w:r>
            <w:r w:rsidR="00B65B3F">
              <w:rPr>
                <w:rFonts w:ascii="Arial Narrow" w:eastAsia="Times New Roman" w:hAnsi="Arial Narrow"/>
                <w:sz w:val="20"/>
                <w:szCs w:val="20"/>
                <w:lang w:eastAsia="en-AU"/>
              </w:rPr>
              <w:t xml:space="preserve"> </w:t>
            </w:r>
            <w:r w:rsidRPr="72559442">
              <w:rPr>
                <w:rFonts w:ascii="Arial Narrow" w:eastAsia="Times New Roman" w:hAnsi="Arial Narrow"/>
                <w:sz w:val="20"/>
                <w:szCs w:val="20"/>
                <w:lang w:eastAsia="en-AU"/>
              </w:rPr>
              <w:t xml:space="preserve"> </w:t>
            </w:r>
          </w:p>
        </w:tc>
      </w:tr>
      <w:tr w:rsidR="002F2410" w:rsidRPr="00BE1940" w14:paraId="7F4877CC"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vAlign w:val="center"/>
          </w:tcPr>
          <w:p w14:paraId="786ECA73" w14:textId="77777777" w:rsidR="002F2410" w:rsidRPr="00BE1940" w:rsidRDefault="002F2410" w:rsidP="00DE3B01">
            <w:pPr>
              <w:keepNext/>
              <w:spacing w:before="0" w:after="0"/>
              <w:jc w:val="center"/>
              <w:rPr>
                <w:rFonts w:ascii="Arial Narrow" w:eastAsia="Times New Roman" w:hAnsi="Arial Narrow"/>
                <w:sz w:val="20"/>
                <w:szCs w:val="20"/>
                <w:lang w:eastAsia="en-AU"/>
              </w:rPr>
            </w:pPr>
          </w:p>
        </w:tc>
        <w:tc>
          <w:tcPr>
            <w:tcW w:w="4342" w:type="pct"/>
            <w:gridSpan w:val="4"/>
            <w:vAlign w:val="center"/>
            <w:hideMark/>
          </w:tcPr>
          <w:p w14:paraId="4D598B79" w14:textId="77777777" w:rsidR="002F2410" w:rsidRPr="00BE1940" w:rsidRDefault="002F2410" w:rsidP="00DE3B01">
            <w:pPr>
              <w:keepNext/>
              <w:spacing w:before="0" w:after="0"/>
              <w:rPr>
                <w:rFonts w:ascii="Arial Narrow" w:eastAsia="Times New Roman" w:hAnsi="Arial Narrow"/>
                <w:sz w:val="20"/>
                <w:szCs w:val="20"/>
                <w:lang w:eastAsia="en-AU"/>
              </w:rPr>
            </w:pPr>
            <w:r w:rsidRPr="00BE1940">
              <w:rPr>
                <w:rFonts w:ascii="Arial Narrow" w:eastAsia="Times New Roman" w:hAnsi="Arial Narrow"/>
                <w:b/>
                <w:bCs/>
                <w:sz w:val="20"/>
                <w:szCs w:val="20"/>
                <w:lang w:eastAsia="en-AU"/>
              </w:rPr>
              <w:t>AND</w:t>
            </w:r>
          </w:p>
        </w:tc>
      </w:tr>
      <w:tr w:rsidR="002F2410" w:rsidRPr="00DE26B1" w14:paraId="34C43937"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tcPr>
          <w:p w14:paraId="1A28BAF5" w14:textId="33D075C8" w:rsidR="002F2410" w:rsidRPr="00E23A74" w:rsidRDefault="002F2410" w:rsidP="00DE3B01">
            <w:pPr>
              <w:keepNext/>
              <w:spacing w:before="0" w:after="0"/>
              <w:jc w:val="center"/>
              <w:rPr>
                <w:rFonts w:ascii="Arial Narrow" w:eastAsia="Times New Roman" w:hAnsi="Arial Narrow"/>
                <w:sz w:val="20"/>
                <w:szCs w:val="20"/>
                <w:lang w:eastAsia="en-AU"/>
              </w:rPr>
            </w:pPr>
          </w:p>
        </w:tc>
        <w:tc>
          <w:tcPr>
            <w:tcW w:w="4342" w:type="pct"/>
            <w:gridSpan w:val="4"/>
          </w:tcPr>
          <w:p w14:paraId="27990792" w14:textId="77777777" w:rsidR="002F2410" w:rsidRPr="00E42D76" w:rsidRDefault="002F2410" w:rsidP="00DE3B01">
            <w:pPr>
              <w:keepNext/>
              <w:spacing w:before="0" w:after="0"/>
              <w:rPr>
                <w:rFonts w:ascii="Arial Narrow" w:eastAsia="Times New Roman" w:hAnsi="Arial Narrow"/>
                <w:sz w:val="20"/>
                <w:szCs w:val="20"/>
                <w:lang w:eastAsia="en-AU"/>
              </w:rPr>
            </w:pPr>
            <w:r w:rsidRPr="00E42D76">
              <w:rPr>
                <w:rFonts w:ascii="Arial Narrow" w:eastAsia="Times New Roman" w:hAnsi="Arial Narrow" w:cs="Arial"/>
                <w:b/>
                <w:bCs/>
                <w:sz w:val="20"/>
                <w:szCs w:val="20"/>
                <w:lang w:eastAsia="en-AU"/>
              </w:rPr>
              <w:t>Clinical</w:t>
            </w:r>
            <w:r w:rsidRPr="00E42D76">
              <w:rPr>
                <w:rFonts w:ascii="Arial Narrow" w:eastAsia="Times New Roman" w:hAnsi="Arial Narrow" w:cs="Arial"/>
                <w:sz w:val="20"/>
                <w:szCs w:val="20"/>
                <w:lang w:eastAsia="en-AU"/>
              </w:rPr>
              <w:t xml:space="preserve"> </w:t>
            </w:r>
            <w:r w:rsidRPr="00E42D76">
              <w:rPr>
                <w:rFonts w:ascii="Arial Narrow" w:eastAsia="Times New Roman" w:hAnsi="Arial Narrow" w:cs="Arial"/>
                <w:b/>
                <w:bCs/>
                <w:sz w:val="20"/>
                <w:szCs w:val="20"/>
                <w:lang w:eastAsia="en-AU"/>
              </w:rPr>
              <w:t>criteria:</w:t>
            </w:r>
            <w:r w:rsidRPr="00E42D76">
              <w:rPr>
                <w:rFonts w:ascii="Arial Narrow" w:eastAsia="Times New Roman" w:hAnsi="Arial Narrow"/>
                <w:sz w:val="20"/>
                <w:szCs w:val="20"/>
                <w:lang w:eastAsia="en-AU"/>
              </w:rPr>
              <w:t xml:space="preserve"> Patient must not have developed disease progression while being treated with this drug for this condition</w:t>
            </w:r>
          </w:p>
        </w:tc>
      </w:tr>
      <w:tr w:rsidR="002F2410" w:rsidRPr="00BE1940" w14:paraId="2BAC6EBB"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tcPr>
          <w:p w14:paraId="66D3D044" w14:textId="6FE303D6" w:rsidR="002F2410" w:rsidRPr="0001784E" w:rsidRDefault="002F2410" w:rsidP="00DE3B01">
            <w:pPr>
              <w:keepNext/>
              <w:spacing w:before="0" w:after="0"/>
              <w:jc w:val="center"/>
              <w:rPr>
                <w:rFonts w:ascii="Arial Narrow" w:eastAsia="Times New Roman" w:hAnsi="Arial Narrow"/>
                <w:sz w:val="20"/>
                <w:szCs w:val="20"/>
                <w:lang w:eastAsia="en-AU"/>
              </w:rPr>
            </w:pPr>
          </w:p>
        </w:tc>
        <w:tc>
          <w:tcPr>
            <w:tcW w:w="4342" w:type="pct"/>
            <w:gridSpan w:val="4"/>
            <w:vAlign w:val="center"/>
          </w:tcPr>
          <w:p w14:paraId="66E9A003" w14:textId="77777777" w:rsidR="002F2410" w:rsidRPr="0001784E" w:rsidRDefault="002F2410" w:rsidP="00DE3B01">
            <w:pPr>
              <w:keepNext/>
              <w:spacing w:before="0" w:after="0"/>
              <w:rPr>
                <w:rFonts w:ascii="Arial Narrow" w:eastAsia="Times New Roman" w:hAnsi="Arial Narrow"/>
                <w:b/>
                <w:bCs/>
                <w:sz w:val="20"/>
                <w:szCs w:val="20"/>
                <w:lang w:eastAsia="en-AU"/>
              </w:rPr>
            </w:pPr>
            <w:r w:rsidRPr="0001784E">
              <w:rPr>
                <w:rFonts w:ascii="Arial Narrow" w:eastAsia="Times New Roman" w:hAnsi="Arial Narrow"/>
                <w:b/>
                <w:bCs/>
                <w:sz w:val="20"/>
                <w:szCs w:val="20"/>
                <w:lang w:eastAsia="en-AU"/>
              </w:rPr>
              <w:t xml:space="preserve">Prescribing Instructions: </w:t>
            </w:r>
            <w:r w:rsidRPr="0001784E">
              <w:rPr>
                <w:rFonts w:ascii="Arial Narrow" w:eastAsia="Times New Roman" w:hAnsi="Arial Narrow"/>
                <w:sz w:val="20"/>
                <w:szCs w:val="20"/>
                <w:lang w:eastAsia="en-AU"/>
              </w:rPr>
              <w:t xml:space="preserve">Following 1 or more lines of platinum therapy, platinum resistance is defined as disease progression while receiving the therapy or within 6 months of the last dose. </w:t>
            </w:r>
          </w:p>
        </w:tc>
      </w:tr>
      <w:tr w:rsidR="002F2410" w:rsidRPr="00BE1940" w14:paraId="24F6D11E"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tcPr>
          <w:p w14:paraId="1120B508" w14:textId="6C26FA24" w:rsidR="002F2410" w:rsidRPr="0001784E" w:rsidRDefault="002F2410" w:rsidP="00DE3B01">
            <w:pPr>
              <w:keepNext/>
              <w:spacing w:before="0" w:after="0"/>
              <w:jc w:val="center"/>
              <w:rPr>
                <w:rFonts w:ascii="Arial Narrow" w:eastAsia="Times New Roman" w:hAnsi="Arial Narrow"/>
                <w:sz w:val="20"/>
                <w:szCs w:val="20"/>
                <w:lang w:eastAsia="en-AU"/>
              </w:rPr>
            </w:pPr>
          </w:p>
        </w:tc>
        <w:tc>
          <w:tcPr>
            <w:tcW w:w="4342" w:type="pct"/>
            <w:gridSpan w:val="4"/>
            <w:vAlign w:val="center"/>
          </w:tcPr>
          <w:p w14:paraId="2ECDB71E" w14:textId="77777777" w:rsidR="002F2410" w:rsidRPr="0001784E" w:rsidRDefault="002F2410" w:rsidP="00DE3B01">
            <w:pPr>
              <w:keepNext/>
              <w:spacing w:before="0" w:after="0"/>
              <w:rPr>
                <w:rFonts w:ascii="Arial Narrow" w:eastAsia="Times New Roman" w:hAnsi="Arial Narrow"/>
                <w:b/>
                <w:bCs/>
                <w:sz w:val="20"/>
                <w:szCs w:val="20"/>
                <w:lang w:eastAsia="en-AU"/>
              </w:rPr>
            </w:pPr>
            <w:r w:rsidRPr="0001784E">
              <w:rPr>
                <w:rFonts w:ascii="Arial Narrow" w:eastAsia="Times New Roman" w:hAnsi="Arial Narrow"/>
                <w:b/>
                <w:bCs/>
                <w:sz w:val="20"/>
                <w:szCs w:val="20"/>
                <w:lang w:eastAsia="en-AU"/>
              </w:rPr>
              <w:t xml:space="preserve">Prescribing Instructions: </w:t>
            </w:r>
            <w:r w:rsidRPr="0001784E">
              <w:rPr>
                <w:rFonts w:ascii="Arial Narrow" w:eastAsia="Times New Roman" w:hAnsi="Arial Narrow"/>
                <w:sz w:val="20"/>
                <w:szCs w:val="20"/>
                <w:lang w:eastAsia="en-AU"/>
              </w:rPr>
              <w:t>Evidence of FRα tumour expression must be derived through immunohistochemistry (IHC) testing and stored in the patients’ medical records</w:t>
            </w:r>
          </w:p>
        </w:tc>
      </w:tr>
      <w:tr w:rsidR="002F2410" w:rsidRPr="00BE1940" w14:paraId="5AD7A140" w14:textId="77777777" w:rsidTr="00DE3B01">
        <w:tblPrEx>
          <w:tblCellMar>
            <w:top w:w="15" w:type="dxa"/>
            <w:bottom w:w="15" w:type="dxa"/>
          </w:tblCellMar>
          <w:tblLook w:val="04A0" w:firstRow="1" w:lastRow="0" w:firstColumn="1" w:lastColumn="0" w:noHBand="0" w:noVBand="1"/>
        </w:tblPrEx>
        <w:trPr>
          <w:cantSplit/>
          <w:trHeight w:val="20"/>
        </w:trPr>
        <w:tc>
          <w:tcPr>
            <w:tcW w:w="658" w:type="pct"/>
            <w:gridSpan w:val="2"/>
          </w:tcPr>
          <w:p w14:paraId="2BC12FDC" w14:textId="7FE368F1" w:rsidR="002F2410" w:rsidRPr="0001784E" w:rsidRDefault="002F2410" w:rsidP="00DE3B01">
            <w:pPr>
              <w:pStyle w:val="Tabletext0"/>
              <w:keepNext/>
              <w:jc w:val="center"/>
              <w:rPr>
                <w:color w:val="FF0000"/>
                <w:szCs w:val="20"/>
              </w:rPr>
            </w:pPr>
          </w:p>
        </w:tc>
        <w:tc>
          <w:tcPr>
            <w:tcW w:w="4342" w:type="pct"/>
            <w:gridSpan w:val="4"/>
          </w:tcPr>
          <w:p w14:paraId="2D55DB19" w14:textId="77777777" w:rsidR="002F2410" w:rsidRPr="0001784E" w:rsidRDefault="002F2410" w:rsidP="00DE3B01">
            <w:pPr>
              <w:pStyle w:val="Tabletext0"/>
              <w:keepNext/>
              <w:rPr>
                <w:rFonts w:eastAsia="Aptos"/>
                <w:b/>
                <w:bCs/>
                <w:snapToGrid/>
                <w:color w:val="333333"/>
                <w:szCs w:val="22"/>
              </w:rPr>
            </w:pPr>
            <w:r w:rsidRPr="0001784E">
              <w:rPr>
                <w:rFonts w:eastAsia="Aptos"/>
                <w:b/>
                <w:bCs/>
                <w:snapToGrid/>
                <w:color w:val="333333"/>
                <w:szCs w:val="22"/>
              </w:rPr>
              <w:t>Prescribing Instructions:</w:t>
            </w:r>
          </w:p>
          <w:p w14:paraId="51C30F32" w14:textId="77777777" w:rsidR="002F2410" w:rsidRPr="0001784E" w:rsidRDefault="002F2410" w:rsidP="00DE3B01">
            <w:pPr>
              <w:pStyle w:val="Tabletext0"/>
              <w:keepNext/>
              <w:rPr>
                <w:rFonts w:eastAsia="Aptos"/>
                <w:snapToGrid/>
                <w:color w:val="000000"/>
                <w:shd w:val="clear" w:color="auto" w:fill="FFFFFF"/>
              </w:rPr>
            </w:pPr>
            <w:r w:rsidRPr="0001784E">
              <w:rPr>
                <w:rFonts w:eastAsia="Aptos"/>
                <w:snapToGrid/>
                <w:color w:val="000000"/>
                <w:shd w:val="clear" w:color="auto" w:fill="FFFFFF"/>
              </w:rPr>
              <w:t>Confirm that the following information is documented/retained in the patient's medical records once only with the first PBS prescription (evidence obtained in relation to past PBS treatment is acceptable):</w:t>
            </w:r>
          </w:p>
          <w:p w14:paraId="432AC515" w14:textId="77777777" w:rsidR="002F2410" w:rsidRPr="0001784E" w:rsidRDefault="002F2410" w:rsidP="00DE3B01">
            <w:pPr>
              <w:pStyle w:val="Tabletext0"/>
              <w:keepNext/>
              <w:rPr>
                <w:rFonts w:eastAsia="Aptos"/>
                <w:snapToGrid/>
                <w:color w:val="000000"/>
                <w:shd w:val="clear" w:color="auto" w:fill="FFFFFF"/>
              </w:rPr>
            </w:pPr>
            <w:r w:rsidRPr="0001784E">
              <w:rPr>
                <w:rFonts w:eastAsia="Aptos"/>
                <w:snapToGrid/>
                <w:color w:val="000000"/>
                <w:shd w:val="clear" w:color="auto" w:fill="FFFFFF"/>
              </w:rPr>
              <w:t xml:space="preserve">1) Evidence of </w:t>
            </w:r>
            <w:r w:rsidRPr="0001784E">
              <w:rPr>
                <w:szCs w:val="20"/>
              </w:rPr>
              <w:t>high FRα tumour cell expression</w:t>
            </w:r>
          </w:p>
        </w:tc>
      </w:tr>
    </w:tbl>
    <w:p w14:paraId="1D52004D" w14:textId="77777777" w:rsidR="002F2410" w:rsidRDefault="002F2410" w:rsidP="002F2410">
      <w:pPr>
        <w:spacing w:before="0" w:line="259" w:lineRule="auto"/>
        <w:contextualSpacing/>
        <w:jc w:val="left"/>
        <w:rPr>
          <w:highlight w:val="yellow"/>
        </w:rPr>
      </w:pPr>
    </w:p>
    <w:p w14:paraId="6DE23A99" w14:textId="77777777" w:rsidR="002F2410" w:rsidRDefault="002F2410" w:rsidP="002F2410">
      <w:pPr>
        <w:spacing w:before="0" w:line="259" w:lineRule="auto"/>
        <w:contextualSpacing/>
        <w:jc w:val="left"/>
        <w:rPr>
          <w:b/>
          <w:i/>
          <w:iCs/>
          <w:lang w:val="en-GB"/>
        </w:rPr>
      </w:pPr>
      <w:r w:rsidRPr="009468BE">
        <w:rPr>
          <w:b/>
          <w:i/>
          <w:iCs/>
          <w:lang w:val="en-GB"/>
        </w:rPr>
        <w:t>These restrictions may be subject to further review. Should there be any changes made to the restriction the sponsor will be informed.</w:t>
      </w:r>
    </w:p>
    <w:p w14:paraId="5BB962C5" w14:textId="77777777" w:rsidR="0087508F" w:rsidRDefault="0087508F" w:rsidP="002F2410">
      <w:pPr>
        <w:spacing w:before="0" w:line="259" w:lineRule="auto"/>
        <w:contextualSpacing/>
        <w:jc w:val="left"/>
        <w:rPr>
          <w:bCs/>
          <w:lang w:val="en-GB"/>
        </w:rPr>
      </w:pPr>
    </w:p>
    <w:p w14:paraId="11FED2A1" w14:textId="77777777" w:rsidR="0087508F" w:rsidRPr="00494F62" w:rsidRDefault="0087508F" w:rsidP="0087508F">
      <w:pPr>
        <w:pStyle w:val="PBACESHeading1"/>
        <w:rPr>
          <w:lang w:eastAsia="en-AU"/>
        </w:rPr>
      </w:pPr>
      <w:r w:rsidRPr="00494F62">
        <w:rPr>
          <w:lang w:eastAsia="en-AU"/>
        </w:rPr>
        <w:lastRenderedPageBreak/>
        <w:t>Context for Decision</w:t>
      </w:r>
    </w:p>
    <w:p w14:paraId="77E32647" w14:textId="77777777" w:rsidR="0087508F" w:rsidRPr="00494F62" w:rsidRDefault="0087508F" w:rsidP="0087508F">
      <w:pPr>
        <w:spacing w:before="0" w:after="120"/>
        <w:ind w:left="720"/>
        <w:rPr>
          <w:rFonts w:ascii="Calibri" w:eastAsia="Times New Roman" w:hAnsi="Calibri" w:cs="Arial"/>
          <w:bCs/>
          <w:szCs w:val="24"/>
          <w:lang w:val="en-GB" w:eastAsia="en-AU"/>
        </w:rPr>
      </w:pPr>
      <w:r w:rsidRPr="00494F62">
        <w:rPr>
          <w:rFonts w:ascii="Calibri" w:eastAsia="Times New Roman" w:hAnsi="Calibri" w:cs="Arial"/>
          <w:bCs/>
          <w:szCs w:val="24"/>
          <w:lang w:val="en-GB" w:eastAsia="en-AU"/>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040700C" w14:textId="77777777" w:rsidR="0087508F" w:rsidRPr="00494F62" w:rsidRDefault="0087508F" w:rsidP="0087508F">
      <w:pPr>
        <w:keepNext/>
        <w:numPr>
          <w:ilvl w:val="0"/>
          <w:numId w:val="3"/>
        </w:numPr>
        <w:spacing w:before="240" w:after="120"/>
        <w:jc w:val="left"/>
        <w:outlineLvl w:val="0"/>
        <w:rPr>
          <w:rFonts w:ascii="Calibri" w:eastAsia="Times New Roman" w:hAnsi="Calibri" w:cs="Arial"/>
          <w:b/>
          <w:snapToGrid w:val="0"/>
          <w:sz w:val="32"/>
          <w:szCs w:val="32"/>
          <w:lang w:eastAsia="en-AU"/>
        </w:rPr>
      </w:pPr>
      <w:r w:rsidRPr="00494F62">
        <w:rPr>
          <w:rFonts w:ascii="Calibri" w:eastAsia="Times New Roman" w:hAnsi="Calibri" w:cs="Arial"/>
          <w:b/>
          <w:snapToGrid w:val="0"/>
          <w:sz w:val="32"/>
          <w:szCs w:val="32"/>
          <w:lang w:eastAsia="en-AU"/>
        </w:rPr>
        <w:t>Sponsor’s Comment</w:t>
      </w:r>
    </w:p>
    <w:p w14:paraId="231758C0" w14:textId="1768FEB4" w:rsidR="0087508F" w:rsidRDefault="00D1718E" w:rsidP="0087508F">
      <w:pPr>
        <w:spacing w:before="0" w:after="120" w:line="276" w:lineRule="auto"/>
        <w:ind w:left="720"/>
        <w:rPr>
          <w:rFonts w:ascii="Calibri" w:eastAsia="Calibri" w:hAnsi="Calibri" w:cs="Arial"/>
          <w:bCs/>
        </w:rPr>
      </w:pPr>
      <w:r>
        <w:rPr>
          <w:rFonts w:ascii="Calibri" w:eastAsia="Calibri" w:hAnsi="Calibri" w:cs="Arial"/>
          <w:bCs/>
        </w:rPr>
        <w:t>The sponsor had no comment.</w:t>
      </w:r>
    </w:p>
    <w:p w14:paraId="450CAABC" w14:textId="77777777" w:rsidR="0087508F" w:rsidRPr="0087508F" w:rsidRDefault="0087508F" w:rsidP="002F2410">
      <w:pPr>
        <w:spacing w:before="0" w:line="259" w:lineRule="auto"/>
        <w:contextualSpacing/>
        <w:jc w:val="left"/>
        <w:rPr>
          <w:bCs/>
        </w:rPr>
      </w:pPr>
    </w:p>
    <w:p w14:paraId="0CD94FEA" w14:textId="77777777" w:rsidR="002F2410" w:rsidRPr="00B705A8" w:rsidRDefault="002F2410" w:rsidP="00B705A8">
      <w:pPr>
        <w:spacing w:before="0" w:after="120" w:line="276" w:lineRule="auto"/>
        <w:ind w:left="720"/>
        <w:rPr>
          <w:rFonts w:ascii="Calibri" w:eastAsia="Calibri" w:hAnsi="Calibri" w:cs="Arial"/>
          <w:bCs/>
        </w:rPr>
      </w:pPr>
    </w:p>
    <w:sectPr w:rsidR="002F2410" w:rsidRPr="00B705A8" w:rsidSect="005B02C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75416" w14:textId="77777777" w:rsidR="00103A16" w:rsidRPr="00EF2E8A" w:rsidRDefault="00103A16" w:rsidP="00BA3306">
      <w:pPr>
        <w:spacing w:before="0" w:after="0"/>
      </w:pPr>
      <w:r w:rsidRPr="00EF2E8A">
        <w:separator/>
      </w:r>
    </w:p>
    <w:p w14:paraId="42617B13" w14:textId="77777777" w:rsidR="00103A16" w:rsidRPr="00EF2E8A" w:rsidRDefault="00103A16"/>
  </w:endnote>
  <w:endnote w:type="continuationSeparator" w:id="0">
    <w:p w14:paraId="222E0A57" w14:textId="77777777" w:rsidR="00103A16" w:rsidRPr="00EF2E8A" w:rsidRDefault="00103A16" w:rsidP="00BA3306">
      <w:pPr>
        <w:spacing w:before="0" w:after="0"/>
      </w:pPr>
      <w:r w:rsidRPr="00EF2E8A">
        <w:continuationSeparator/>
      </w:r>
    </w:p>
    <w:p w14:paraId="5B4F763C" w14:textId="77777777" w:rsidR="00103A16" w:rsidRPr="00EF2E8A" w:rsidRDefault="00103A16"/>
  </w:endnote>
  <w:endnote w:type="continuationNotice" w:id="1">
    <w:p w14:paraId="15018594" w14:textId="77777777" w:rsidR="00103A16" w:rsidRPr="00EF2E8A" w:rsidRDefault="00103A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BA1A" w14:textId="4FCBFC65" w:rsidR="00AF3C7B" w:rsidRDefault="001338E4">
    <w:pPr>
      <w:pStyle w:val="Footer"/>
    </w:pPr>
    <w:r>
      <w:rPr>
        <w:noProof/>
      </w:rPr>
      <mc:AlternateContent>
        <mc:Choice Requires="wps">
          <w:drawing>
            <wp:anchor distT="0" distB="0" distL="0" distR="0" simplePos="0" relativeHeight="251662336" behindDoc="0" locked="0" layoutInCell="1" allowOverlap="1" wp14:anchorId="5F9E90EC" wp14:editId="6947E149">
              <wp:simplePos x="635" y="635"/>
              <wp:positionH relativeFrom="page">
                <wp:align>center</wp:align>
              </wp:positionH>
              <wp:positionV relativeFrom="page">
                <wp:align>bottom</wp:align>
              </wp:positionV>
              <wp:extent cx="551815" cy="452755"/>
              <wp:effectExtent l="0" t="0" r="635" b="0"/>
              <wp:wrapNone/>
              <wp:docPr id="5825810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86B3CF7" w14:textId="750EB70E"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9E90EC"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686B3CF7" w14:textId="750EB70E"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D4C2" w14:textId="19EAA52D" w:rsidR="00BD4A72" w:rsidRPr="00BD4A72" w:rsidRDefault="001338E4">
    <w:pPr>
      <w:pStyle w:val="Footer"/>
      <w:jc w:val="center"/>
      <w:rPr>
        <w:b/>
        <w:bCs/>
      </w:rPr>
    </w:pPr>
    <w:r>
      <w:rPr>
        <w:noProof/>
      </w:rPr>
      <mc:AlternateContent>
        <mc:Choice Requires="wps">
          <w:drawing>
            <wp:anchor distT="0" distB="0" distL="0" distR="0" simplePos="0" relativeHeight="251663360" behindDoc="0" locked="0" layoutInCell="1" allowOverlap="1" wp14:anchorId="59CF6538" wp14:editId="76343C93">
              <wp:simplePos x="635" y="635"/>
              <wp:positionH relativeFrom="page">
                <wp:align>center</wp:align>
              </wp:positionH>
              <wp:positionV relativeFrom="page">
                <wp:align>bottom</wp:align>
              </wp:positionV>
              <wp:extent cx="551815" cy="452755"/>
              <wp:effectExtent l="0" t="0" r="635" b="0"/>
              <wp:wrapNone/>
              <wp:docPr id="179307250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DE20835" w14:textId="4361CDC4"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CF6538"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DE20835" w14:textId="4361CDC4"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v:textbox>
              <w10:wrap anchorx="page" anchory="page"/>
            </v:shape>
          </w:pict>
        </mc:Fallback>
      </mc:AlternateContent>
    </w:r>
    <w:r w:rsidR="00BD4A72">
      <w:br/>
    </w:r>
    <w:sdt>
      <w:sdtPr>
        <w:rPr>
          <w:b/>
          <w:bCs/>
        </w:rPr>
        <w:id w:val="1186635795"/>
        <w:docPartObj>
          <w:docPartGallery w:val="Page Numbers (Bottom of Page)"/>
          <w:docPartUnique/>
        </w:docPartObj>
      </w:sdtPr>
      <w:sdtEndPr>
        <w:rPr>
          <w:noProof/>
        </w:rPr>
      </w:sdtEndPr>
      <w:sdtContent>
        <w:r w:rsidR="00BD4A72" w:rsidRPr="00BD4A72">
          <w:rPr>
            <w:b/>
            <w:bCs/>
          </w:rPr>
          <w:fldChar w:fldCharType="begin"/>
        </w:r>
        <w:r w:rsidR="00BD4A72" w:rsidRPr="00BD4A72">
          <w:rPr>
            <w:b/>
            <w:bCs/>
          </w:rPr>
          <w:instrText xml:space="preserve"> PAGE   \* MERGEFORMAT </w:instrText>
        </w:r>
        <w:r w:rsidR="00BD4A72" w:rsidRPr="00BD4A72">
          <w:rPr>
            <w:b/>
            <w:bCs/>
          </w:rPr>
          <w:fldChar w:fldCharType="separate"/>
        </w:r>
        <w:r w:rsidR="00BD4A72" w:rsidRPr="00BD4A72">
          <w:rPr>
            <w:b/>
            <w:bCs/>
            <w:noProof/>
          </w:rPr>
          <w:t>2</w:t>
        </w:r>
        <w:r w:rsidR="00BD4A72" w:rsidRPr="00BD4A72">
          <w:rPr>
            <w:b/>
            <w:bCs/>
            <w:noProof/>
          </w:rPr>
          <w:fldChar w:fldCharType="end"/>
        </w:r>
      </w:sdtContent>
    </w:sdt>
  </w:p>
  <w:p w14:paraId="62B28299" w14:textId="3EC5A328" w:rsidR="00335644" w:rsidRPr="00EF2E8A" w:rsidRDefault="00335644" w:rsidP="00C317F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1ED7" w14:textId="39675882" w:rsidR="00AF3C7B" w:rsidRDefault="001338E4">
    <w:pPr>
      <w:pStyle w:val="Footer"/>
    </w:pPr>
    <w:r>
      <w:rPr>
        <w:noProof/>
      </w:rPr>
      <mc:AlternateContent>
        <mc:Choice Requires="wps">
          <w:drawing>
            <wp:anchor distT="0" distB="0" distL="0" distR="0" simplePos="0" relativeHeight="251661312" behindDoc="0" locked="0" layoutInCell="1" allowOverlap="1" wp14:anchorId="4CBB352A" wp14:editId="3651C142">
              <wp:simplePos x="635" y="635"/>
              <wp:positionH relativeFrom="page">
                <wp:align>center</wp:align>
              </wp:positionH>
              <wp:positionV relativeFrom="page">
                <wp:align>bottom</wp:align>
              </wp:positionV>
              <wp:extent cx="551815" cy="452755"/>
              <wp:effectExtent l="0" t="0" r="635" b="0"/>
              <wp:wrapNone/>
              <wp:docPr id="28945648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EF61440" w14:textId="2173B1DF"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B352A"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5EF61440" w14:textId="2173B1DF"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9D78C" w14:textId="77777777" w:rsidR="00103A16" w:rsidRPr="00EF2E8A" w:rsidRDefault="00103A16" w:rsidP="00BA3306">
      <w:pPr>
        <w:spacing w:before="0" w:after="0"/>
      </w:pPr>
      <w:r w:rsidRPr="00EF2E8A">
        <w:separator/>
      </w:r>
    </w:p>
    <w:p w14:paraId="51BED852" w14:textId="77777777" w:rsidR="00103A16" w:rsidRPr="00EF2E8A" w:rsidRDefault="00103A16"/>
  </w:footnote>
  <w:footnote w:type="continuationSeparator" w:id="0">
    <w:p w14:paraId="6B71D987" w14:textId="77777777" w:rsidR="00103A16" w:rsidRPr="00EF2E8A" w:rsidRDefault="00103A16" w:rsidP="00BA3306">
      <w:pPr>
        <w:spacing w:before="0" w:after="0"/>
      </w:pPr>
      <w:r w:rsidRPr="00EF2E8A">
        <w:continuationSeparator/>
      </w:r>
    </w:p>
    <w:p w14:paraId="09B302D6" w14:textId="77777777" w:rsidR="00103A16" w:rsidRPr="00EF2E8A" w:rsidRDefault="00103A16"/>
  </w:footnote>
  <w:footnote w:type="continuationNotice" w:id="1">
    <w:p w14:paraId="652FC6E8" w14:textId="77777777" w:rsidR="00103A16" w:rsidRPr="00EF2E8A" w:rsidRDefault="00103A16">
      <w:pPr>
        <w:spacing w:before="0" w:after="0"/>
      </w:pPr>
    </w:p>
  </w:footnote>
  <w:footnote w:id="2">
    <w:p w14:paraId="346BED10" w14:textId="33E89E53" w:rsidR="00D019DB" w:rsidRPr="00D019DB" w:rsidRDefault="00D019DB">
      <w:pPr>
        <w:pStyle w:val="FootnoteText"/>
      </w:pPr>
      <w:r w:rsidRPr="00D019DB">
        <w:rPr>
          <w:rStyle w:val="FootnoteReference"/>
        </w:rPr>
        <w:footnoteRef/>
      </w:r>
      <w:r w:rsidRPr="00D019DB">
        <w:t xml:space="preserve"> </w:t>
      </w:r>
      <w:r w:rsidRPr="00D019DB">
        <w:rPr>
          <w:rFonts w:cs="Arial"/>
          <w:bCs/>
          <w:snapToGrid w:val="0"/>
          <w:sz w:val="16"/>
        </w:rPr>
        <w:t>Cherny NI, Dafni U, Bogaerts J, et al: ESMO-Magnitude of Clinical Benefit Scale version 1.1. Annals of Oncology 28:2340-2366, 2017]</w:t>
      </w:r>
    </w:p>
  </w:footnote>
  <w:footnote w:id="3">
    <w:p w14:paraId="3A9E44CB" w14:textId="39C1B1E2" w:rsidR="0015243A" w:rsidRPr="00EF2E8A" w:rsidRDefault="0015243A">
      <w:pPr>
        <w:pStyle w:val="FootnoteText"/>
      </w:pPr>
      <w:r w:rsidRPr="00EF2E8A">
        <w:rPr>
          <w:rStyle w:val="FootnoteReference"/>
        </w:rPr>
        <w:footnoteRef/>
      </w:r>
      <w:r w:rsidRPr="00EF2E8A">
        <w:t xml:space="preserve"> </w:t>
      </w:r>
      <w:r w:rsidR="005236DF" w:rsidRPr="00EF2E8A">
        <w:t xml:space="preserve">MIRASOL patient disposition: </w:t>
      </w:r>
      <w:r w:rsidRPr="00EF2E8A">
        <w:t>MIRV</w:t>
      </w:r>
      <w:r w:rsidR="00365043" w:rsidRPr="00EF2E8A">
        <w:t>, n=</w:t>
      </w:r>
      <w:r w:rsidR="008E5564" w:rsidRPr="00EF2E8A">
        <w:t>227</w:t>
      </w:r>
      <w:r w:rsidR="00997BCB" w:rsidRPr="00EF2E8A">
        <w:t xml:space="preserve"> (50</w:t>
      </w:r>
      <w:r w:rsidR="006C514D" w:rsidRPr="00EF2E8A">
        <w:t>.1</w:t>
      </w:r>
      <w:r w:rsidR="00997BCB" w:rsidRPr="00EF2E8A">
        <w:t>%)</w:t>
      </w:r>
      <w:r w:rsidR="00365043" w:rsidRPr="00EF2E8A">
        <w:t>; ICC, n=</w:t>
      </w:r>
      <w:r w:rsidR="008E5564" w:rsidRPr="00EF2E8A">
        <w:t>226</w:t>
      </w:r>
      <w:r w:rsidR="006C514D" w:rsidRPr="00EF2E8A">
        <w:t xml:space="preserve"> (49.9%)</w:t>
      </w:r>
      <w:r w:rsidR="00365043" w:rsidRPr="00EF2E8A">
        <w:t xml:space="preserve"> (Paclitaxel</w:t>
      </w:r>
      <w:r w:rsidR="006A6B3B" w:rsidRPr="00EF2E8A">
        <w:t>, n=92</w:t>
      </w:r>
      <w:r w:rsidR="005236DF" w:rsidRPr="00EF2E8A">
        <w:t>/226 [40.7%]</w:t>
      </w:r>
      <w:r w:rsidR="006A6B3B" w:rsidRPr="00EF2E8A">
        <w:t>; PLD, n=81</w:t>
      </w:r>
      <w:r w:rsidR="005236DF" w:rsidRPr="00EF2E8A">
        <w:t>/226 [35.8%]</w:t>
      </w:r>
      <w:r w:rsidR="006A6B3B" w:rsidRPr="00EF2E8A">
        <w:t>; topotecan, n=53</w:t>
      </w:r>
      <w:r w:rsidR="005236DF" w:rsidRPr="00EF2E8A">
        <w:t>/226 [23.5%]</w:t>
      </w:r>
      <w:r w:rsidR="006A6B3B" w:rsidRPr="00EF2E8A">
        <w:t>)</w:t>
      </w:r>
      <w:r w:rsidR="00C77994" w:rsidRPr="00EF2E8A">
        <w:t>.</w:t>
      </w:r>
    </w:p>
  </w:footnote>
  <w:footnote w:id="4">
    <w:p w14:paraId="629BC071" w14:textId="514D2168" w:rsidR="005236DF" w:rsidRPr="00EF2E8A" w:rsidRDefault="005236DF">
      <w:pPr>
        <w:pStyle w:val="FootnoteText"/>
      </w:pPr>
      <w:r w:rsidRPr="00EF2E8A">
        <w:rPr>
          <w:rStyle w:val="FootnoteReference"/>
        </w:rPr>
        <w:footnoteRef/>
      </w:r>
      <w:r w:rsidRPr="00EF2E8A">
        <w:t xml:space="preserve"> FORWARD-I patient disposition: </w:t>
      </w:r>
      <w:r w:rsidR="00C77994" w:rsidRPr="00EF2E8A">
        <w:t>MIRV, n=248 (</w:t>
      </w:r>
      <w:r w:rsidR="00365C0B" w:rsidRPr="00EF2E8A">
        <w:t>67.8</w:t>
      </w:r>
      <w:r w:rsidR="00C77994" w:rsidRPr="00EF2E8A">
        <w:t>%); ICC, n=118 (</w:t>
      </w:r>
      <w:r w:rsidR="00365C0B" w:rsidRPr="00EF2E8A">
        <w:t>32.2</w:t>
      </w:r>
      <w:r w:rsidR="00C77994" w:rsidRPr="00EF2E8A">
        <w:t>%) (Paclitaxel, n=37/118 [</w:t>
      </w:r>
      <w:r w:rsidR="008B1DFD" w:rsidRPr="00EF2E8A">
        <w:t>31.4</w:t>
      </w:r>
      <w:r w:rsidR="00C77994" w:rsidRPr="00EF2E8A">
        <w:t>%]; PLD, n=</w:t>
      </w:r>
      <w:r w:rsidR="003C50DE" w:rsidRPr="00EF2E8A">
        <w:t>54</w:t>
      </w:r>
      <w:r w:rsidR="00C77994" w:rsidRPr="00EF2E8A">
        <w:t>/118 [</w:t>
      </w:r>
      <w:r w:rsidR="008B1DFD" w:rsidRPr="00EF2E8A">
        <w:t>45.8</w:t>
      </w:r>
      <w:r w:rsidR="00C77994" w:rsidRPr="00EF2E8A">
        <w:t>%]; topotecan, n=</w:t>
      </w:r>
      <w:r w:rsidR="003C50DE" w:rsidRPr="00EF2E8A">
        <w:t>27</w:t>
      </w:r>
      <w:r w:rsidR="00C77994" w:rsidRPr="00EF2E8A">
        <w:t>/118 [</w:t>
      </w:r>
      <w:r w:rsidR="008B1DFD" w:rsidRPr="00EF2E8A">
        <w:t>22.9</w:t>
      </w:r>
      <w:r w:rsidR="00C77994" w:rsidRPr="00EF2E8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CBA0" w14:textId="5820993F" w:rsidR="00AF3C7B" w:rsidRDefault="001338E4">
    <w:pPr>
      <w:pStyle w:val="Header"/>
    </w:pPr>
    <w:r>
      <w:rPr>
        <w:noProof/>
      </w:rPr>
      <mc:AlternateContent>
        <mc:Choice Requires="wps">
          <w:drawing>
            <wp:anchor distT="0" distB="0" distL="0" distR="0" simplePos="0" relativeHeight="251659264" behindDoc="0" locked="0" layoutInCell="1" allowOverlap="1" wp14:anchorId="75A3F2E8" wp14:editId="5ABA694B">
              <wp:simplePos x="635" y="635"/>
              <wp:positionH relativeFrom="page">
                <wp:align>center</wp:align>
              </wp:positionH>
              <wp:positionV relativeFrom="page">
                <wp:align>top</wp:align>
              </wp:positionV>
              <wp:extent cx="551815" cy="452755"/>
              <wp:effectExtent l="0" t="0" r="635" b="4445"/>
              <wp:wrapNone/>
              <wp:docPr id="932217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3CDDDE3" w14:textId="5BC5FDCB"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A3F2E8"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13CDDDE3" w14:textId="5BC5FDCB"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50AE" w14:textId="6A3ABD06" w:rsidR="006D1BAC" w:rsidRPr="00EF2E8A" w:rsidRDefault="001338E4" w:rsidP="006D1BAC">
    <w:pPr>
      <w:pStyle w:val="Header"/>
      <w:keepNext/>
      <w:ind w:left="360"/>
      <w:jc w:val="center"/>
      <w:rPr>
        <w:rFonts w:cs="Arial"/>
        <w:i/>
        <w:color w:val="808080"/>
      </w:rPr>
    </w:pPr>
    <w:r>
      <w:rPr>
        <w:rFonts w:cs="Arial"/>
        <w:i/>
        <w:noProof/>
        <w:color w:val="808080"/>
      </w:rPr>
      <mc:AlternateContent>
        <mc:Choice Requires="wps">
          <w:drawing>
            <wp:anchor distT="0" distB="0" distL="0" distR="0" simplePos="0" relativeHeight="251660288" behindDoc="0" locked="0" layoutInCell="1" allowOverlap="1" wp14:anchorId="14675663" wp14:editId="60C8F7D3">
              <wp:simplePos x="635" y="635"/>
              <wp:positionH relativeFrom="page">
                <wp:align>center</wp:align>
              </wp:positionH>
              <wp:positionV relativeFrom="page">
                <wp:align>top</wp:align>
              </wp:positionV>
              <wp:extent cx="551815" cy="452755"/>
              <wp:effectExtent l="0" t="0" r="635" b="4445"/>
              <wp:wrapNone/>
              <wp:docPr id="15825724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D724BBA" w14:textId="04D0115D"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75663"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5D724BBA" w14:textId="04D0115D"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v:textbox>
              <w10:wrap anchorx="page" anchory="page"/>
            </v:shape>
          </w:pict>
        </mc:Fallback>
      </mc:AlternateContent>
    </w:r>
    <w:r w:rsidR="00617423" w:rsidRPr="00617423">
      <w:rPr>
        <w:rFonts w:cs="Arial"/>
        <w:i/>
        <w:color w:val="808080"/>
      </w:rPr>
      <w:t>Public Summary Document</w:t>
    </w:r>
    <w:r w:rsidR="006D1BAC" w:rsidRPr="00EF2E8A">
      <w:rPr>
        <w:rFonts w:cs="Arial"/>
        <w:i/>
        <w:color w:val="808080"/>
      </w:rPr>
      <w:t>–</w:t>
    </w:r>
    <w:r w:rsidR="00BD4A72">
      <w:rPr>
        <w:rFonts w:cs="Arial"/>
        <w:i/>
        <w:color w:val="808080"/>
      </w:rPr>
      <w:t xml:space="preserve"> July</w:t>
    </w:r>
    <w:r w:rsidR="006D1BAC" w:rsidRPr="00EF2E8A">
      <w:rPr>
        <w:rFonts w:cs="Arial"/>
        <w:i/>
        <w:color w:val="808080"/>
      </w:rPr>
      <w:t xml:space="preserve"> 2025 PBAC Meeting</w:t>
    </w:r>
    <w:r w:rsidR="00EA4751">
      <w:rPr>
        <w:rFonts w:cs="Arial"/>
        <w:i/>
        <w:color w:val="808080"/>
      </w:rPr>
      <w:t xml:space="preserve"> with November 2025 Addendum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EABD" w14:textId="56DC5442" w:rsidR="00AF3C7B" w:rsidRDefault="001338E4">
    <w:pPr>
      <w:pStyle w:val="Header"/>
    </w:pPr>
    <w:r>
      <w:rPr>
        <w:noProof/>
      </w:rPr>
      <mc:AlternateContent>
        <mc:Choice Requires="wps">
          <w:drawing>
            <wp:anchor distT="0" distB="0" distL="0" distR="0" simplePos="0" relativeHeight="251658240" behindDoc="0" locked="0" layoutInCell="1" allowOverlap="1" wp14:anchorId="5D993E38" wp14:editId="5B6FFC43">
              <wp:simplePos x="635" y="635"/>
              <wp:positionH relativeFrom="page">
                <wp:align>center</wp:align>
              </wp:positionH>
              <wp:positionV relativeFrom="page">
                <wp:align>top</wp:align>
              </wp:positionV>
              <wp:extent cx="551815" cy="452755"/>
              <wp:effectExtent l="0" t="0" r="635" b="4445"/>
              <wp:wrapNone/>
              <wp:docPr id="3219443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28AC2F3" w14:textId="3065BF9E"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993E38"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528AC2F3" w14:textId="3065BF9E" w:rsidR="001338E4" w:rsidRPr="001338E4" w:rsidRDefault="001338E4" w:rsidP="001338E4">
                    <w:pPr>
                      <w:spacing w:after="0"/>
                      <w:rPr>
                        <w:rFonts w:ascii="Calibri" w:eastAsia="Calibri" w:hAnsi="Calibri" w:cs="Calibri"/>
                        <w:noProof/>
                        <w:color w:val="FF0000"/>
                        <w:szCs w:val="24"/>
                      </w:rPr>
                    </w:pPr>
                    <w:r w:rsidRPr="001338E4">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73C"/>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50B17D9"/>
    <w:multiLevelType w:val="multilevel"/>
    <w:tmpl w:val="1F6C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804AF"/>
    <w:multiLevelType w:val="multilevel"/>
    <w:tmpl w:val="F5185EF6"/>
    <w:lvl w:ilvl="0">
      <w:start w:val="1"/>
      <w:numFmt w:val="bullet"/>
      <w:lvlText w:val=""/>
      <w:lvlJc w:val="left"/>
      <w:pPr>
        <w:ind w:left="956" w:hanging="432"/>
      </w:pPr>
      <w:rPr>
        <w:rFonts w:ascii="Symbol" w:hAnsi="Symbol" w:hint="default"/>
        <w:b/>
      </w:rPr>
    </w:lvl>
    <w:lvl w:ilvl="1">
      <w:start w:val="1"/>
      <w:numFmt w:val="upperLetter"/>
      <w:lvlText w:val="%1%2"/>
      <w:lvlJc w:val="left"/>
      <w:pPr>
        <w:ind w:left="1100" w:hanging="576"/>
      </w:pPr>
      <w:rPr>
        <w:rFonts w:hint="default"/>
      </w:rPr>
    </w:lvl>
    <w:lvl w:ilvl="2">
      <w:start w:val="1"/>
      <w:numFmt w:val="decimal"/>
      <w:lvlText w:val="%1%2.%3"/>
      <w:lvlJc w:val="left"/>
      <w:pPr>
        <w:ind w:left="524" w:firstLine="0"/>
      </w:pPr>
      <w:rPr>
        <w:rFonts w:hint="default"/>
      </w:rPr>
    </w:lvl>
    <w:lvl w:ilvl="3">
      <w:start w:val="1"/>
      <w:numFmt w:val="decimal"/>
      <w:lvlRestart w:val="1"/>
      <w:lvlText w:val="%1.%4"/>
      <w:lvlJc w:val="left"/>
      <w:pPr>
        <w:ind w:left="1388" w:hanging="864"/>
      </w:pPr>
      <w:rPr>
        <w:rFonts w:hint="default"/>
      </w:rPr>
    </w:lvl>
    <w:lvl w:ilvl="4">
      <w:start w:val="1"/>
      <w:numFmt w:val="decimal"/>
      <w:lvlRestart w:val="3"/>
      <w:lvlText w:val="%1%2.%5"/>
      <w:lvlJc w:val="left"/>
      <w:pPr>
        <w:ind w:left="524" w:firstLine="0"/>
      </w:pPr>
      <w:rPr>
        <w:rFonts w:hint="default"/>
      </w:rPr>
    </w:lvl>
    <w:lvl w:ilvl="5">
      <w:start w:val="1"/>
      <w:numFmt w:val="none"/>
      <w:suff w:val="nothing"/>
      <w:lvlText w:val=""/>
      <w:lvlJc w:val="left"/>
      <w:pPr>
        <w:ind w:left="524" w:firstLine="0"/>
      </w:pPr>
      <w:rPr>
        <w:rFonts w:hint="default"/>
      </w:rPr>
    </w:lvl>
    <w:lvl w:ilvl="6">
      <w:start w:val="1"/>
      <w:numFmt w:val="none"/>
      <w:suff w:val="nothing"/>
      <w:lvlText w:val=""/>
      <w:lvlJc w:val="left"/>
      <w:pPr>
        <w:ind w:left="1820" w:hanging="1296"/>
      </w:pPr>
      <w:rPr>
        <w:rFonts w:hint="default"/>
      </w:rPr>
    </w:lvl>
    <w:lvl w:ilvl="7">
      <w:start w:val="1"/>
      <w:numFmt w:val="decimal"/>
      <w:lvlText w:val="%1.%2.%3.%4.%5.%6.%7.%8"/>
      <w:lvlJc w:val="left"/>
      <w:pPr>
        <w:ind w:left="1964" w:hanging="1440"/>
      </w:pPr>
      <w:rPr>
        <w:rFonts w:hint="default"/>
      </w:rPr>
    </w:lvl>
    <w:lvl w:ilvl="8">
      <w:start w:val="1"/>
      <w:numFmt w:val="decimal"/>
      <w:lvlText w:val="%1.%2.%3.%4.%5.%6.%7.%8.%9"/>
      <w:lvlJc w:val="left"/>
      <w:pPr>
        <w:ind w:left="2108" w:hanging="1584"/>
      </w:pPr>
      <w:rPr>
        <w:rFonts w:hint="default"/>
      </w:rPr>
    </w:lvl>
  </w:abstractNum>
  <w:abstractNum w:abstractNumId="3"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3F640C"/>
    <w:multiLevelType w:val="hybridMultilevel"/>
    <w:tmpl w:val="BE684844"/>
    <w:lvl w:ilvl="0" w:tplc="ADD8CFF4">
      <w:start w:val="1"/>
      <w:numFmt w:val="bullet"/>
      <w:lvlText w:val=""/>
      <w:lvlJc w:val="left"/>
      <w:pPr>
        <w:ind w:left="720" w:hanging="360"/>
      </w:pPr>
      <w:rPr>
        <w:rFonts w:ascii="Symbol" w:hAnsi="Symbol"/>
      </w:rPr>
    </w:lvl>
    <w:lvl w:ilvl="1" w:tplc="6E5E7484">
      <w:start w:val="1"/>
      <w:numFmt w:val="bullet"/>
      <w:lvlText w:val=""/>
      <w:lvlJc w:val="left"/>
      <w:pPr>
        <w:ind w:left="720" w:hanging="360"/>
      </w:pPr>
      <w:rPr>
        <w:rFonts w:ascii="Symbol" w:hAnsi="Symbol"/>
      </w:rPr>
    </w:lvl>
    <w:lvl w:ilvl="2" w:tplc="74729C0C">
      <w:start w:val="1"/>
      <w:numFmt w:val="bullet"/>
      <w:lvlText w:val=""/>
      <w:lvlJc w:val="left"/>
      <w:pPr>
        <w:ind w:left="720" w:hanging="360"/>
      </w:pPr>
      <w:rPr>
        <w:rFonts w:ascii="Symbol" w:hAnsi="Symbol"/>
      </w:rPr>
    </w:lvl>
    <w:lvl w:ilvl="3" w:tplc="0F769BAA">
      <w:start w:val="1"/>
      <w:numFmt w:val="bullet"/>
      <w:lvlText w:val=""/>
      <w:lvlJc w:val="left"/>
      <w:pPr>
        <w:ind w:left="720" w:hanging="360"/>
      </w:pPr>
      <w:rPr>
        <w:rFonts w:ascii="Symbol" w:hAnsi="Symbol"/>
      </w:rPr>
    </w:lvl>
    <w:lvl w:ilvl="4" w:tplc="4288C870">
      <w:start w:val="1"/>
      <w:numFmt w:val="bullet"/>
      <w:lvlText w:val=""/>
      <w:lvlJc w:val="left"/>
      <w:pPr>
        <w:ind w:left="720" w:hanging="360"/>
      </w:pPr>
      <w:rPr>
        <w:rFonts w:ascii="Symbol" w:hAnsi="Symbol"/>
      </w:rPr>
    </w:lvl>
    <w:lvl w:ilvl="5" w:tplc="0AF4B656">
      <w:start w:val="1"/>
      <w:numFmt w:val="bullet"/>
      <w:lvlText w:val=""/>
      <w:lvlJc w:val="left"/>
      <w:pPr>
        <w:ind w:left="720" w:hanging="360"/>
      </w:pPr>
      <w:rPr>
        <w:rFonts w:ascii="Symbol" w:hAnsi="Symbol"/>
      </w:rPr>
    </w:lvl>
    <w:lvl w:ilvl="6" w:tplc="8E222D54">
      <w:start w:val="1"/>
      <w:numFmt w:val="bullet"/>
      <w:lvlText w:val=""/>
      <w:lvlJc w:val="left"/>
      <w:pPr>
        <w:ind w:left="720" w:hanging="360"/>
      </w:pPr>
      <w:rPr>
        <w:rFonts w:ascii="Symbol" w:hAnsi="Symbol"/>
      </w:rPr>
    </w:lvl>
    <w:lvl w:ilvl="7" w:tplc="6A023402">
      <w:start w:val="1"/>
      <w:numFmt w:val="bullet"/>
      <w:lvlText w:val=""/>
      <w:lvlJc w:val="left"/>
      <w:pPr>
        <w:ind w:left="720" w:hanging="360"/>
      </w:pPr>
      <w:rPr>
        <w:rFonts w:ascii="Symbol" w:hAnsi="Symbol"/>
      </w:rPr>
    </w:lvl>
    <w:lvl w:ilvl="8" w:tplc="AED23770">
      <w:start w:val="1"/>
      <w:numFmt w:val="bullet"/>
      <w:lvlText w:val=""/>
      <w:lvlJc w:val="left"/>
      <w:pPr>
        <w:ind w:left="720" w:hanging="360"/>
      </w:pPr>
      <w:rPr>
        <w:rFonts w:ascii="Symbol" w:hAnsi="Symbol"/>
      </w:rPr>
    </w:lvl>
  </w:abstractNum>
  <w:abstractNum w:abstractNumId="5" w15:restartNumberingAfterBreak="0">
    <w:nsid w:val="14634013"/>
    <w:multiLevelType w:val="multilevel"/>
    <w:tmpl w:val="E5BAAC60"/>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A3D55C9"/>
    <w:multiLevelType w:val="multilevel"/>
    <w:tmpl w:val="7C9858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754E83"/>
    <w:multiLevelType w:val="multilevel"/>
    <w:tmpl w:val="5D8C4E44"/>
    <w:styleLink w:val="Style5"/>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C55E45"/>
    <w:multiLevelType w:val="hybridMultilevel"/>
    <w:tmpl w:val="8D9ADA1A"/>
    <w:lvl w:ilvl="0" w:tplc="A67EA6C8">
      <w:start w:val="1"/>
      <w:numFmt w:val="bullet"/>
      <w:lvlText w:val=""/>
      <w:lvlJc w:val="left"/>
      <w:pPr>
        <w:ind w:left="720" w:hanging="360"/>
      </w:pPr>
      <w:rPr>
        <w:rFonts w:ascii="Symbol" w:hAnsi="Symbol"/>
      </w:rPr>
    </w:lvl>
    <w:lvl w:ilvl="1" w:tplc="E2241614">
      <w:start w:val="1"/>
      <w:numFmt w:val="bullet"/>
      <w:lvlText w:val=""/>
      <w:lvlJc w:val="left"/>
      <w:pPr>
        <w:ind w:left="720" w:hanging="360"/>
      </w:pPr>
      <w:rPr>
        <w:rFonts w:ascii="Symbol" w:hAnsi="Symbol"/>
      </w:rPr>
    </w:lvl>
    <w:lvl w:ilvl="2" w:tplc="4BAC78AE">
      <w:start w:val="1"/>
      <w:numFmt w:val="bullet"/>
      <w:lvlText w:val=""/>
      <w:lvlJc w:val="left"/>
      <w:pPr>
        <w:ind w:left="720" w:hanging="360"/>
      </w:pPr>
      <w:rPr>
        <w:rFonts w:ascii="Symbol" w:hAnsi="Symbol"/>
      </w:rPr>
    </w:lvl>
    <w:lvl w:ilvl="3" w:tplc="4E048624">
      <w:start w:val="1"/>
      <w:numFmt w:val="bullet"/>
      <w:lvlText w:val=""/>
      <w:lvlJc w:val="left"/>
      <w:pPr>
        <w:ind w:left="720" w:hanging="360"/>
      </w:pPr>
      <w:rPr>
        <w:rFonts w:ascii="Symbol" w:hAnsi="Symbol"/>
      </w:rPr>
    </w:lvl>
    <w:lvl w:ilvl="4" w:tplc="B7BE653C">
      <w:start w:val="1"/>
      <w:numFmt w:val="bullet"/>
      <w:lvlText w:val=""/>
      <w:lvlJc w:val="left"/>
      <w:pPr>
        <w:ind w:left="720" w:hanging="360"/>
      </w:pPr>
      <w:rPr>
        <w:rFonts w:ascii="Symbol" w:hAnsi="Symbol"/>
      </w:rPr>
    </w:lvl>
    <w:lvl w:ilvl="5" w:tplc="4498D430">
      <w:start w:val="1"/>
      <w:numFmt w:val="bullet"/>
      <w:lvlText w:val=""/>
      <w:lvlJc w:val="left"/>
      <w:pPr>
        <w:ind w:left="720" w:hanging="360"/>
      </w:pPr>
      <w:rPr>
        <w:rFonts w:ascii="Symbol" w:hAnsi="Symbol"/>
      </w:rPr>
    </w:lvl>
    <w:lvl w:ilvl="6" w:tplc="C0D41756">
      <w:start w:val="1"/>
      <w:numFmt w:val="bullet"/>
      <w:lvlText w:val=""/>
      <w:lvlJc w:val="left"/>
      <w:pPr>
        <w:ind w:left="720" w:hanging="360"/>
      </w:pPr>
      <w:rPr>
        <w:rFonts w:ascii="Symbol" w:hAnsi="Symbol"/>
      </w:rPr>
    </w:lvl>
    <w:lvl w:ilvl="7" w:tplc="A22C0C72">
      <w:start w:val="1"/>
      <w:numFmt w:val="bullet"/>
      <w:lvlText w:val=""/>
      <w:lvlJc w:val="left"/>
      <w:pPr>
        <w:ind w:left="720" w:hanging="360"/>
      </w:pPr>
      <w:rPr>
        <w:rFonts w:ascii="Symbol" w:hAnsi="Symbol"/>
      </w:rPr>
    </w:lvl>
    <w:lvl w:ilvl="8" w:tplc="B44C628C">
      <w:start w:val="1"/>
      <w:numFmt w:val="bullet"/>
      <w:lvlText w:val=""/>
      <w:lvlJc w:val="left"/>
      <w:pPr>
        <w:ind w:left="720" w:hanging="360"/>
      </w:pPr>
      <w:rPr>
        <w:rFonts w:ascii="Symbol" w:hAnsi="Symbol"/>
      </w:rPr>
    </w:lvl>
  </w:abstractNum>
  <w:abstractNum w:abstractNumId="10" w15:restartNumberingAfterBreak="0">
    <w:nsid w:val="2ABE0434"/>
    <w:multiLevelType w:val="hybridMultilevel"/>
    <w:tmpl w:val="C8F05A6C"/>
    <w:lvl w:ilvl="0" w:tplc="68B2E21A">
      <w:start w:val="1"/>
      <w:numFmt w:val="bullet"/>
      <w:lvlText w:val=""/>
      <w:lvlJc w:val="left"/>
      <w:pPr>
        <w:ind w:left="720" w:hanging="360"/>
      </w:pPr>
      <w:rPr>
        <w:rFonts w:ascii="Symbol" w:hAnsi="Symbol"/>
      </w:rPr>
    </w:lvl>
    <w:lvl w:ilvl="1" w:tplc="B080A118">
      <w:start w:val="1"/>
      <w:numFmt w:val="bullet"/>
      <w:lvlText w:val=""/>
      <w:lvlJc w:val="left"/>
      <w:pPr>
        <w:ind w:left="720" w:hanging="360"/>
      </w:pPr>
      <w:rPr>
        <w:rFonts w:ascii="Symbol" w:hAnsi="Symbol"/>
      </w:rPr>
    </w:lvl>
    <w:lvl w:ilvl="2" w:tplc="7FD6C8A0">
      <w:start w:val="1"/>
      <w:numFmt w:val="bullet"/>
      <w:lvlText w:val=""/>
      <w:lvlJc w:val="left"/>
      <w:pPr>
        <w:ind w:left="720" w:hanging="360"/>
      </w:pPr>
      <w:rPr>
        <w:rFonts w:ascii="Symbol" w:hAnsi="Symbol"/>
      </w:rPr>
    </w:lvl>
    <w:lvl w:ilvl="3" w:tplc="4790E2EE">
      <w:start w:val="1"/>
      <w:numFmt w:val="bullet"/>
      <w:lvlText w:val=""/>
      <w:lvlJc w:val="left"/>
      <w:pPr>
        <w:ind w:left="720" w:hanging="360"/>
      </w:pPr>
      <w:rPr>
        <w:rFonts w:ascii="Symbol" w:hAnsi="Symbol"/>
      </w:rPr>
    </w:lvl>
    <w:lvl w:ilvl="4" w:tplc="4DC86DF8">
      <w:start w:val="1"/>
      <w:numFmt w:val="bullet"/>
      <w:lvlText w:val=""/>
      <w:lvlJc w:val="left"/>
      <w:pPr>
        <w:ind w:left="720" w:hanging="360"/>
      </w:pPr>
      <w:rPr>
        <w:rFonts w:ascii="Symbol" w:hAnsi="Symbol"/>
      </w:rPr>
    </w:lvl>
    <w:lvl w:ilvl="5" w:tplc="3AEE21AE">
      <w:start w:val="1"/>
      <w:numFmt w:val="bullet"/>
      <w:lvlText w:val=""/>
      <w:lvlJc w:val="left"/>
      <w:pPr>
        <w:ind w:left="720" w:hanging="360"/>
      </w:pPr>
      <w:rPr>
        <w:rFonts w:ascii="Symbol" w:hAnsi="Symbol"/>
      </w:rPr>
    </w:lvl>
    <w:lvl w:ilvl="6" w:tplc="786E842E">
      <w:start w:val="1"/>
      <w:numFmt w:val="bullet"/>
      <w:lvlText w:val=""/>
      <w:lvlJc w:val="left"/>
      <w:pPr>
        <w:ind w:left="720" w:hanging="360"/>
      </w:pPr>
      <w:rPr>
        <w:rFonts w:ascii="Symbol" w:hAnsi="Symbol"/>
      </w:rPr>
    </w:lvl>
    <w:lvl w:ilvl="7" w:tplc="7BC8291E">
      <w:start w:val="1"/>
      <w:numFmt w:val="bullet"/>
      <w:lvlText w:val=""/>
      <w:lvlJc w:val="left"/>
      <w:pPr>
        <w:ind w:left="720" w:hanging="360"/>
      </w:pPr>
      <w:rPr>
        <w:rFonts w:ascii="Symbol" w:hAnsi="Symbol"/>
      </w:rPr>
    </w:lvl>
    <w:lvl w:ilvl="8" w:tplc="DBF61008">
      <w:start w:val="1"/>
      <w:numFmt w:val="bullet"/>
      <w:lvlText w:val=""/>
      <w:lvlJc w:val="left"/>
      <w:pPr>
        <w:ind w:left="720" w:hanging="360"/>
      </w:pPr>
      <w:rPr>
        <w:rFonts w:ascii="Symbol" w:hAnsi="Symbol"/>
      </w:rPr>
    </w:lvl>
  </w:abstractNum>
  <w:abstractNum w:abstractNumId="11" w15:restartNumberingAfterBreak="0">
    <w:nsid w:val="2BAB76BF"/>
    <w:multiLevelType w:val="hybridMultilevel"/>
    <w:tmpl w:val="A852C2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7B4FBD"/>
    <w:multiLevelType w:val="hybridMultilevel"/>
    <w:tmpl w:val="A4909318"/>
    <w:lvl w:ilvl="0" w:tplc="9954CA2A">
      <w:start w:val="1"/>
      <w:numFmt w:val="bullet"/>
      <w:lvlText w:val=""/>
      <w:lvlJc w:val="left"/>
      <w:pPr>
        <w:ind w:left="720" w:hanging="360"/>
      </w:pPr>
      <w:rPr>
        <w:rFonts w:ascii="Symbol" w:hAnsi="Symbol"/>
      </w:rPr>
    </w:lvl>
    <w:lvl w:ilvl="1" w:tplc="6A4656CA">
      <w:start w:val="1"/>
      <w:numFmt w:val="bullet"/>
      <w:lvlText w:val=""/>
      <w:lvlJc w:val="left"/>
      <w:pPr>
        <w:ind w:left="720" w:hanging="360"/>
      </w:pPr>
      <w:rPr>
        <w:rFonts w:ascii="Symbol" w:hAnsi="Symbol"/>
      </w:rPr>
    </w:lvl>
    <w:lvl w:ilvl="2" w:tplc="FEA478C8">
      <w:start w:val="1"/>
      <w:numFmt w:val="bullet"/>
      <w:lvlText w:val=""/>
      <w:lvlJc w:val="left"/>
      <w:pPr>
        <w:ind w:left="720" w:hanging="360"/>
      </w:pPr>
      <w:rPr>
        <w:rFonts w:ascii="Symbol" w:hAnsi="Symbol"/>
      </w:rPr>
    </w:lvl>
    <w:lvl w:ilvl="3" w:tplc="FF5E4778">
      <w:start w:val="1"/>
      <w:numFmt w:val="bullet"/>
      <w:lvlText w:val=""/>
      <w:lvlJc w:val="left"/>
      <w:pPr>
        <w:ind w:left="720" w:hanging="360"/>
      </w:pPr>
      <w:rPr>
        <w:rFonts w:ascii="Symbol" w:hAnsi="Symbol"/>
      </w:rPr>
    </w:lvl>
    <w:lvl w:ilvl="4" w:tplc="28221586">
      <w:start w:val="1"/>
      <w:numFmt w:val="bullet"/>
      <w:lvlText w:val=""/>
      <w:lvlJc w:val="left"/>
      <w:pPr>
        <w:ind w:left="720" w:hanging="360"/>
      </w:pPr>
      <w:rPr>
        <w:rFonts w:ascii="Symbol" w:hAnsi="Symbol"/>
      </w:rPr>
    </w:lvl>
    <w:lvl w:ilvl="5" w:tplc="1E6C55F4">
      <w:start w:val="1"/>
      <w:numFmt w:val="bullet"/>
      <w:lvlText w:val=""/>
      <w:lvlJc w:val="left"/>
      <w:pPr>
        <w:ind w:left="720" w:hanging="360"/>
      </w:pPr>
      <w:rPr>
        <w:rFonts w:ascii="Symbol" w:hAnsi="Symbol"/>
      </w:rPr>
    </w:lvl>
    <w:lvl w:ilvl="6" w:tplc="0584E248">
      <w:start w:val="1"/>
      <w:numFmt w:val="bullet"/>
      <w:lvlText w:val=""/>
      <w:lvlJc w:val="left"/>
      <w:pPr>
        <w:ind w:left="720" w:hanging="360"/>
      </w:pPr>
      <w:rPr>
        <w:rFonts w:ascii="Symbol" w:hAnsi="Symbol"/>
      </w:rPr>
    </w:lvl>
    <w:lvl w:ilvl="7" w:tplc="91D07810">
      <w:start w:val="1"/>
      <w:numFmt w:val="bullet"/>
      <w:lvlText w:val=""/>
      <w:lvlJc w:val="left"/>
      <w:pPr>
        <w:ind w:left="720" w:hanging="360"/>
      </w:pPr>
      <w:rPr>
        <w:rFonts w:ascii="Symbol" w:hAnsi="Symbol"/>
      </w:rPr>
    </w:lvl>
    <w:lvl w:ilvl="8" w:tplc="67BAAA70">
      <w:start w:val="1"/>
      <w:numFmt w:val="bullet"/>
      <w:lvlText w:val=""/>
      <w:lvlJc w:val="left"/>
      <w:pPr>
        <w:ind w:left="720" w:hanging="360"/>
      </w:pPr>
      <w:rPr>
        <w:rFonts w:ascii="Symbol" w:hAnsi="Symbol"/>
      </w:rPr>
    </w:lvl>
  </w:abstractNum>
  <w:abstractNum w:abstractNumId="14" w15:restartNumberingAfterBreak="0">
    <w:nsid w:val="3AB97DAE"/>
    <w:multiLevelType w:val="hybridMultilevel"/>
    <w:tmpl w:val="8A6E323A"/>
    <w:lvl w:ilvl="0" w:tplc="252C519A">
      <w:start w:val="1"/>
      <w:numFmt w:val="bullet"/>
      <w:lvlText w:val=""/>
      <w:lvlJc w:val="left"/>
      <w:pPr>
        <w:ind w:left="720" w:hanging="360"/>
      </w:pPr>
      <w:rPr>
        <w:rFonts w:ascii="Symbol" w:hAnsi="Symbol"/>
      </w:rPr>
    </w:lvl>
    <w:lvl w:ilvl="1" w:tplc="F25C7CC8">
      <w:start w:val="1"/>
      <w:numFmt w:val="bullet"/>
      <w:lvlText w:val=""/>
      <w:lvlJc w:val="left"/>
      <w:pPr>
        <w:ind w:left="720" w:hanging="360"/>
      </w:pPr>
      <w:rPr>
        <w:rFonts w:ascii="Symbol" w:hAnsi="Symbol"/>
      </w:rPr>
    </w:lvl>
    <w:lvl w:ilvl="2" w:tplc="A798EBC0">
      <w:start w:val="1"/>
      <w:numFmt w:val="bullet"/>
      <w:lvlText w:val=""/>
      <w:lvlJc w:val="left"/>
      <w:pPr>
        <w:ind w:left="720" w:hanging="360"/>
      </w:pPr>
      <w:rPr>
        <w:rFonts w:ascii="Symbol" w:hAnsi="Symbol"/>
      </w:rPr>
    </w:lvl>
    <w:lvl w:ilvl="3" w:tplc="E17E52F2">
      <w:start w:val="1"/>
      <w:numFmt w:val="bullet"/>
      <w:lvlText w:val=""/>
      <w:lvlJc w:val="left"/>
      <w:pPr>
        <w:ind w:left="720" w:hanging="360"/>
      </w:pPr>
      <w:rPr>
        <w:rFonts w:ascii="Symbol" w:hAnsi="Symbol"/>
      </w:rPr>
    </w:lvl>
    <w:lvl w:ilvl="4" w:tplc="A1E66CFE">
      <w:start w:val="1"/>
      <w:numFmt w:val="bullet"/>
      <w:lvlText w:val=""/>
      <w:lvlJc w:val="left"/>
      <w:pPr>
        <w:ind w:left="720" w:hanging="360"/>
      </w:pPr>
      <w:rPr>
        <w:rFonts w:ascii="Symbol" w:hAnsi="Symbol"/>
      </w:rPr>
    </w:lvl>
    <w:lvl w:ilvl="5" w:tplc="D598B992">
      <w:start w:val="1"/>
      <w:numFmt w:val="bullet"/>
      <w:lvlText w:val=""/>
      <w:lvlJc w:val="left"/>
      <w:pPr>
        <w:ind w:left="720" w:hanging="360"/>
      </w:pPr>
      <w:rPr>
        <w:rFonts w:ascii="Symbol" w:hAnsi="Symbol"/>
      </w:rPr>
    </w:lvl>
    <w:lvl w:ilvl="6" w:tplc="ACA4B452">
      <w:start w:val="1"/>
      <w:numFmt w:val="bullet"/>
      <w:lvlText w:val=""/>
      <w:lvlJc w:val="left"/>
      <w:pPr>
        <w:ind w:left="720" w:hanging="360"/>
      </w:pPr>
      <w:rPr>
        <w:rFonts w:ascii="Symbol" w:hAnsi="Symbol"/>
      </w:rPr>
    </w:lvl>
    <w:lvl w:ilvl="7" w:tplc="3A90EF02">
      <w:start w:val="1"/>
      <w:numFmt w:val="bullet"/>
      <w:lvlText w:val=""/>
      <w:lvlJc w:val="left"/>
      <w:pPr>
        <w:ind w:left="720" w:hanging="360"/>
      </w:pPr>
      <w:rPr>
        <w:rFonts w:ascii="Symbol" w:hAnsi="Symbol"/>
      </w:rPr>
    </w:lvl>
    <w:lvl w:ilvl="8" w:tplc="B5E82B34">
      <w:start w:val="1"/>
      <w:numFmt w:val="bullet"/>
      <w:lvlText w:val=""/>
      <w:lvlJc w:val="left"/>
      <w:pPr>
        <w:ind w:left="720" w:hanging="360"/>
      </w:pPr>
      <w:rPr>
        <w:rFonts w:ascii="Symbol" w:hAnsi="Symbol"/>
      </w:rPr>
    </w:lvl>
  </w:abstractNum>
  <w:abstractNum w:abstractNumId="15" w15:restartNumberingAfterBreak="0">
    <w:nsid w:val="43C1097B"/>
    <w:multiLevelType w:val="hybridMultilevel"/>
    <w:tmpl w:val="A7701924"/>
    <w:lvl w:ilvl="0" w:tplc="D59A20C8">
      <w:start w:val="1"/>
      <w:numFmt w:val="bullet"/>
      <w:lvlText w:val=""/>
      <w:lvlJc w:val="left"/>
      <w:pPr>
        <w:ind w:left="720" w:hanging="360"/>
      </w:pPr>
      <w:rPr>
        <w:rFonts w:ascii="Symbol" w:hAnsi="Symbol"/>
      </w:rPr>
    </w:lvl>
    <w:lvl w:ilvl="1" w:tplc="1764A8AA">
      <w:start w:val="1"/>
      <w:numFmt w:val="bullet"/>
      <w:lvlText w:val=""/>
      <w:lvlJc w:val="left"/>
      <w:pPr>
        <w:ind w:left="720" w:hanging="360"/>
      </w:pPr>
      <w:rPr>
        <w:rFonts w:ascii="Symbol" w:hAnsi="Symbol"/>
      </w:rPr>
    </w:lvl>
    <w:lvl w:ilvl="2" w:tplc="24ECF1D6">
      <w:start w:val="1"/>
      <w:numFmt w:val="bullet"/>
      <w:lvlText w:val=""/>
      <w:lvlJc w:val="left"/>
      <w:pPr>
        <w:ind w:left="720" w:hanging="360"/>
      </w:pPr>
      <w:rPr>
        <w:rFonts w:ascii="Symbol" w:hAnsi="Symbol"/>
      </w:rPr>
    </w:lvl>
    <w:lvl w:ilvl="3" w:tplc="5F3296FE">
      <w:start w:val="1"/>
      <w:numFmt w:val="bullet"/>
      <w:lvlText w:val=""/>
      <w:lvlJc w:val="left"/>
      <w:pPr>
        <w:ind w:left="720" w:hanging="360"/>
      </w:pPr>
      <w:rPr>
        <w:rFonts w:ascii="Symbol" w:hAnsi="Symbol"/>
      </w:rPr>
    </w:lvl>
    <w:lvl w:ilvl="4" w:tplc="28C4559A">
      <w:start w:val="1"/>
      <w:numFmt w:val="bullet"/>
      <w:lvlText w:val=""/>
      <w:lvlJc w:val="left"/>
      <w:pPr>
        <w:ind w:left="720" w:hanging="360"/>
      </w:pPr>
      <w:rPr>
        <w:rFonts w:ascii="Symbol" w:hAnsi="Symbol"/>
      </w:rPr>
    </w:lvl>
    <w:lvl w:ilvl="5" w:tplc="728279EA">
      <w:start w:val="1"/>
      <w:numFmt w:val="bullet"/>
      <w:lvlText w:val=""/>
      <w:lvlJc w:val="left"/>
      <w:pPr>
        <w:ind w:left="720" w:hanging="360"/>
      </w:pPr>
      <w:rPr>
        <w:rFonts w:ascii="Symbol" w:hAnsi="Symbol"/>
      </w:rPr>
    </w:lvl>
    <w:lvl w:ilvl="6" w:tplc="96B2CFFA">
      <w:start w:val="1"/>
      <w:numFmt w:val="bullet"/>
      <w:lvlText w:val=""/>
      <w:lvlJc w:val="left"/>
      <w:pPr>
        <w:ind w:left="720" w:hanging="360"/>
      </w:pPr>
      <w:rPr>
        <w:rFonts w:ascii="Symbol" w:hAnsi="Symbol"/>
      </w:rPr>
    </w:lvl>
    <w:lvl w:ilvl="7" w:tplc="4536AE92">
      <w:start w:val="1"/>
      <w:numFmt w:val="bullet"/>
      <w:lvlText w:val=""/>
      <w:lvlJc w:val="left"/>
      <w:pPr>
        <w:ind w:left="720" w:hanging="360"/>
      </w:pPr>
      <w:rPr>
        <w:rFonts w:ascii="Symbol" w:hAnsi="Symbol"/>
      </w:rPr>
    </w:lvl>
    <w:lvl w:ilvl="8" w:tplc="A64C4476">
      <w:start w:val="1"/>
      <w:numFmt w:val="bullet"/>
      <w:lvlText w:val=""/>
      <w:lvlJc w:val="left"/>
      <w:pPr>
        <w:ind w:left="720" w:hanging="360"/>
      </w:pPr>
      <w:rPr>
        <w:rFonts w:ascii="Symbol" w:hAnsi="Symbol"/>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515F3"/>
    <w:multiLevelType w:val="multilevel"/>
    <w:tmpl w:val="E5BAAC60"/>
    <w:styleLink w:val="Style3"/>
    <w:lvl w:ilvl="0">
      <w:start w:val="1"/>
      <w:numFmt w:val="bulle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93F4296"/>
    <w:multiLevelType w:val="hybridMultilevel"/>
    <w:tmpl w:val="508EEB9E"/>
    <w:lvl w:ilvl="0" w:tplc="C88E6566">
      <w:start w:val="1"/>
      <w:numFmt w:val="bullet"/>
      <w:lvlText w:val=""/>
      <w:lvlJc w:val="left"/>
      <w:pPr>
        <w:ind w:left="720" w:hanging="360"/>
      </w:pPr>
      <w:rPr>
        <w:rFonts w:ascii="Symbol" w:hAnsi="Symbol"/>
      </w:rPr>
    </w:lvl>
    <w:lvl w:ilvl="1" w:tplc="6F8A92EC">
      <w:start w:val="1"/>
      <w:numFmt w:val="bullet"/>
      <w:lvlText w:val=""/>
      <w:lvlJc w:val="left"/>
      <w:pPr>
        <w:ind w:left="720" w:hanging="360"/>
      </w:pPr>
      <w:rPr>
        <w:rFonts w:ascii="Symbol" w:hAnsi="Symbol"/>
      </w:rPr>
    </w:lvl>
    <w:lvl w:ilvl="2" w:tplc="D1A2D69E">
      <w:start w:val="1"/>
      <w:numFmt w:val="bullet"/>
      <w:lvlText w:val=""/>
      <w:lvlJc w:val="left"/>
      <w:pPr>
        <w:ind w:left="720" w:hanging="360"/>
      </w:pPr>
      <w:rPr>
        <w:rFonts w:ascii="Symbol" w:hAnsi="Symbol"/>
      </w:rPr>
    </w:lvl>
    <w:lvl w:ilvl="3" w:tplc="237CC10A">
      <w:start w:val="1"/>
      <w:numFmt w:val="bullet"/>
      <w:lvlText w:val=""/>
      <w:lvlJc w:val="left"/>
      <w:pPr>
        <w:ind w:left="720" w:hanging="360"/>
      </w:pPr>
      <w:rPr>
        <w:rFonts w:ascii="Symbol" w:hAnsi="Symbol"/>
      </w:rPr>
    </w:lvl>
    <w:lvl w:ilvl="4" w:tplc="5630EA12">
      <w:start w:val="1"/>
      <w:numFmt w:val="bullet"/>
      <w:lvlText w:val=""/>
      <w:lvlJc w:val="left"/>
      <w:pPr>
        <w:ind w:left="720" w:hanging="360"/>
      </w:pPr>
      <w:rPr>
        <w:rFonts w:ascii="Symbol" w:hAnsi="Symbol"/>
      </w:rPr>
    </w:lvl>
    <w:lvl w:ilvl="5" w:tplc="654ECB06">
      <w:start w:val="1"/>
      <w:numFmt w:val="bullet"/>
      <w:lvlText w:val=""/>
      <w:lvlJc w:val="left"/>
      <w:pPr>
        <w:ind w:left="720" w:hanging="360"/>
      </w:pPr>
      <w:rPr>
        <w:rFonts w:ascii="Symbol" w:hAnsi="Symbol"/>
      </w:rPr>
    </w:lvl>
    <w:lvl w:ilvl="6" w:tplc="4C6E66A4">
      <w:start w:val="1"/>
      <w:numFmt w:val="bullet"/>
      <w:lvlText w:val=""/>
      <w:lvlJc w:val="left"/>
      <w:pPr>
        <w:ind w:left="720" w:hanging="360"/>
      </w:pPr>
      <w:rPr>
        <w:rFonts w:ascii="Symbol" w:hAnsi="Symbol"/>
      </w:rPr>
    </w:lvl>
    <w:lvl w:ilvl="7" w:tplc="2BAA74A0">
      <w:start w:val="1"/>
      <w:numFmt w:val="bullet"/>
      <w:lvlText w:val=""/>
      <w:lvlJc w:val="left"/>
      <w:pPr>
        <w:ind w:left="720" w:hanging="360"/>
      </w:pPr>
      <w:rPr>
        <w:rFonts w:ascii="Symbol" w:hAnsi="Symbol"/>
      </w:rPr>
    </w:lvl>
    <w:lvl w:ilvl="8" w:tplc="890C37B6">
      <w:start w:val="1"/>
      <w:numFmt w:val="bullet"/>
      <w:lvlText w:val=""/>
      <w:lvlJc w:val="left"/>
      <w:pPr>
        <w:ind w:left="720" w:hanging="360"/>
      </w:pPr>
      <w:rPr>
        <w:rFonts w:ascii="Symbol" w:hAnsi="Symbol"/>
      </w:rPr>
    </w:lvl>
  </w:abstractNum>
  <w:abstractNum w:abstractNumId="19" w15:restartNumberingAfterBreak="0">
    <w:nsid w:val="4DAC1142"/>
    <w:multiLevelType w:val="multilevel"/>
    <w:tmpl w:val="6EFE96F0"/>
    <w:styleLink w:val="Headings"/>
    <w:lvl w:ilvl="0">
      <w:start w:val="3"/>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01755D4"/>
    <w:multiLevelType w:val="hybridMultilevel"/>
    <w:tmpl w:val="D2245B10"/>
    <w:lvl w:ilvl="0" w:tplc="DE260DC8">
      <w:start w:val="1"/>
      <w:numFmt w:val="bullet"/>
      <w:lvlText w:val=""/>
      <w:lvlJc w:val="left"/>
      <w:pPr>
        <w:ind w:left="720" w:hanging="360"/>
      </w:pPr>
      <w:rPr>
        <w:rFonts w:ascii="Symbol" w:hAnsi="Symbol"/>
      </w:rPr>
    </w:lvl>
    <w:lvl w:ilvl="1" w:tplc="37144294">
      <w:start w:val="1"/>
      <w:numFmt w:val="bullet"/>
      <w:lvlText w:val=""/>
      <w:lvlJc w:val="left"/>
      <w:pPr>
        <w:ind w:left="720" w:hanging="360"/>
      </w:pPr>
      <w:rPr>
        <w:rFonts w:ascii="Symbol" w:hAnsi="Symbol"/>
      </w:rPr>
    </w:lvl>
    <w:lvl w:ilvl="2" w:tplc="B7D4BC9E">
      <w:start w:val="1"/>
      <w:numFmt w:val="bullet"/>
      <w:lvlText w:val=""/>
      <w:lvlJc w:val="left"/>
      <w:pPr>
        <w:ind w:left="720" w:hanging="360"/>
      </w:pPr>
      <w:rPr>
        <w:rFonts w:ascii="Symbol" w:hAnsi="Symbol"/>
      </w:rPr>
    </w:lvl>
    <w:lvl w:ilvl="3" w:tplc="77AC82F6">
      <w:start w:val="1"/>
      <w:numFmt w:val="bullet"/>
      <w:lvlText w:val=""/>
      <w:lvlJc w:val="left"/>
      <w:pPr>
        <w:ind w:left="720" w:hanging="360"/>
      </w:pPr>
      <w:rPr>
        <w:rFonts w:ascii="Symbol" w:hAnsi="Symbol"/>
      </w:rPr>
    </w:lvl>
    <w:lvl w:ilvl="4" w:tplc="810E864A">
      <w:start w:val="1"/>
      <w:numFmt w:val="bullet"/>
      <w:lvlText w:val=""/>
      <w:lvlJc w:val="left"/>
      <w:pPr>
        <w:ind w:left="720" w:hanging="360"/>
      </w:pPr>
      <w:rPr>
        <w:rFonts w:ascii="Symbol" w:hAnsi="Symbol"/>
      </w:rPr>
    </w:lvl>
    <w:lvl w:ilvl="5" w:tplc="4E848A1E">
      <w:start w:val="1"/>
      <w:numFmt w:val="bullet"/>
      <w:lvlText w:val=""/>
      <w:lvlJc w:val="left"/>
      <w:pPr>
        <w:ind w:left="720" w:hanging="360"/>
      </w:pPr>
      <w:rPr>
        <w:rFonts w:ascii="Symbol" w:hAnsi="Symbol"/>
      </w:rPr>
    </w:lvl>
    <w:lvl w:ilvl="6" w:tplc="27EA9AC4">
      <w:start w:val="1"/>
      <w:numFmt w:val="bullet"/>
      <w:lvlText w:val=""/>
      <w:lvlJc w:val="left"/>
      <w:pPr>
        <w:ind w:left="720" w:hanging="360"/>
      </w:pPr>
      <w:rPr>
        <w:rFonts w:ascii="Symbol" w:hAnsi="Symbol"/>
      </w:rPr>
    </w:lvl>
    <w:lvl w:ilvl="7" w:tplc="EC286E66">
      <w:start w:val="1"/>
      <w:numFmt w:val="bullet"/>
      <w:lvlText w:val=""/>
      <w:lvlJc w:val="left"/>
      <w:pPr>
        <w:ind w:left="720" w:hanging="360"/>
      </w:pPr>
      <w:rPr>
        <w:rFonts w:ascii="Symbol" w:hAnsi="Symbol"/>
      </w:rPr>
    </w:lvl>
    <w:lvl w:ilvl="8" w:tplc="E154E828">
      <w:start w:val="1"/>
      <w:numFmt w:val="bullet"/>
      <w:lvlText w:val=""/>
      <w:lvlJc w:val="left"/>
      <w:pPr>
        <w:ind w:left="720" w:hanging="360"/>
      </w:pPr>
      <w:rPr>
        <w:rFonts w:ascii="Symbol" w:hAnsi="Symbol"/>
      </w:rPr>
    </w:lvl>
  </w:abstractNum>
  <w:abstractNum w:abstractNumId="21" w15:restartNumberingAfterBreak="0">
    <w:nsid w:val="509E7240"/>
    <w:multiLevelType w:val="hybridMultilevel"/>
    <w:tmpl w:val="AB845CA0"/>
    <w:lvl w:ilvl="0" w:tplc="F3EC5E7E">
      <w:start w:val="1"/>
      <w:numFmt w:val="bullet"/>
      <w:lvlText w:val=""/>
      <w:lvlJc w:val="left"/>
      <w:pPr>
        <w:ind w:left="720" w:hanging="360"/>
      </w:pPr>
      <w:rPr>
        <w:rFonts w:ascii="Symbol" w:hAnsi="Symbol"/>
      </w:rPr>
    </w:lvl>
    <w:lvl w:ilvl="1" w:tplc="629A0F4E">
      <w:start w:val="1"/>
      <w:numFmt w:val="bullet"/>
      <w:lvlText w:val=""/>
      <w:lvlJc w:val="left"/>
      <w:pPr>
        <w:ind w:left="720" w:hanging="360"/>
      </w:pPr>
      <w:rPr>
        <w:rFonts w:ascii="Symbol" w:hAnsi="Symbol"/>
      </w:rPr>
    </w:lvl>
    <w:lvl w:ilvl="2" w:tplc="7EB20D8A">
      <w:start w:val="1"/>
      <w:numFmt w:val="bullet"/>
      <w:lvlText w:val=""/>
      <w:lvlJc w:val="left"/>
      <w:pPr>
        <w:ind w:left="720" w:hanging="360"/>
      </w:pPr>
      <w:rPr>
        <w:rFonts w:ascii="Symbol" w:hAnsi="Symbol"/>
      </w:rPr>
    </w:lvl>
    <w:lvl w:ilvl="3" w:tplc="C9485C34">
      <w:start w:val="1"/>
      <w:numFmt w:val="bullet"/>
      <w:lvlText w:val=""/>
      <w:lvlJc w:val="left"/>
      <w:pPr>
        <w:ind w:left="720" w:hanging="360"/>
      </w:pPr>
      <w:rPr>
        <w:rFonts w:ascii="Symbol" w:hAnsi="Symbol"/>
      </w:rPr>
    </w:lvl>
    <w:lvl w:ilvl="4" w:tplc="A62A4A16">
      <w:start w:val="1"/>
      <w:numFmt w:val="bullet"/>
      <w:lvlText w:val=""/>
      <w:lvlJc w:val="left"/>
      <w:pPr>
        <w:ind w:left="720" w:hanging="360"/>
      </w:pPr>
      <w:rPr>
        <w:rFonts w:ascii="Symbol" w:hAnsi="Symbol"/>
      </w:rPr>
    </w:lvl>
    <w:lvl w:ilvl="5" w:tplc="B23636A2">
      <w:start w:val="1"/>
      <w:numFmt w:val="bullet"/>
      <w:lvlText w:val=""/>
      <w:lvlJc w:val="left"/>
      <w:pPr>
        <w:ind w:left="720" w:hanging="360"/>
      </w:pPr>
      <w:rPr>
        <w:rFonts w:ascii="Symbol" w:hAnsi="Symbol"/>
      </w:rPr>
    </w:lvl>
    <w:lvl w:ilvl="6" w:tplc="52367BCA">
      <w:start w:val="1"/>
      <w:numFmt w:val="bullet"/>
      <w:lvlText w:val=""/>
      <w:lvlJc w:val="left"/>
      <w:pPr>
        <w:ind w:left="720" w:hanging="360"/>
      </w:pPr>
      <w:rPr>
        <w:rFonts w:ascii="Symbol" w:hAnsi="Symbol"/>
      </w:rPr>
    </w:lvl>
    <w:lvl w:ilvl="7" w:tplc="6F48998A">
      <w:start w:val="1"/>
      <w:numFmt w:val="bullet"/>
      <w:lvlText w:val=""/>
      <w:lvlJc w:val="left"/>
      <w:pPr>
        <w:ind w:left="720" w:hanging="360"/>
      </w:pPr>
      <w:rPr>
        <w:rFonts w:ascii="Symbol" w:hAnsi="Symbol"/>
      </w:rPr>
    </w:lvl>
    <w:lvl w:ilvl="8" w:tplc="D2C2FF82">
      <w:start w:val="1"/>
      <w:numFmt w:val="bullet"/>
      <w:lvlText w:val=""/>
      <w:lvlJc w:val="left"/>
      <w:pPr>
        <w:ind w:left="720" w:hanging="360"/>
      </w:pPr>
      <w:rPr>
        <w:rFonts w:ascii="Symbol" w:hAnsi="Symbol"/>
      </w:rPr>
    </w:lvl>
  </w:abstractNum>
  <w:abstractNum w:abstractNumId="22" w15:restartNumberingAfterBreak="0">
    <w:nsid w:val="59456899"/>
    <w:multiLevelType w:val="multilevel"/>
    <w:tmpl w:val="92846974"/>
    <w:styleLink w:val="Style2"/>
    <w:lvl w:ilvl="0">
      <w:start w:val="1"/>
      <w:numFmt w:val="bulle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AA0DCE"/>
    <w:multiLevelType w:val="hybridMultilevel"/>
    <w:tmpl w:val="9A9AAE24"/>
    <w:lvl w:ilvl="0" w:tplc="0C090001">
      <w:start w:val="1"/>
      <w:numFmt w:val="bullet"/>
      <w:lvlText w:val=""/>
      <w:lvlJc w:val="left"/>
      <w:pPr>
        <w:ind w:left="9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CF5D49"/>
    <w:multiLevelType w:val="hybridMultilevel"/>
    <w:tmpl w:val="28BC0FCE"/>
    <w:styleLink w:val="Style4"/>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3D64CF4"/>
    <w:multiLevelType w:val="multilevel"/>
    <w:tmpl w:val="4F92F9EC"/>
    <w:lvl w:ilvl="0">
      <w:start w:val="3"/>
      <w:numFmt w:val="decimal"/>
      <w:lvlText w:val="%1"/>
      <w:lvlJc w:val="left"/>
      <w:pPr>
        <w:ind w:left="432" w:hanging="432"/>
      </w:pPr>
      <w:rPr>
        <w:rFonts w:hint="default"/>
        <w:b/>
      </w:rPr>
    </w:lvl>
    <w:lvl w:ilvl="1">
      <w:start w:val="2"/>
      <w:numFmt w:val="decimal"/>
      <w:lvlText w:val="%1.%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6D74AE"/>
    <w:multiLevelType w:val="hybridMultilevel"/>
    <w:tmpl w:val="10784DC4"/>
    <w:lvl w:ilvl="0" w:tplc="CD8E7712">
      <w:start w:val="1"/>
      <w:numFmt w:val="bullet"/>
      <w:lvlText w:val=""/>
      <w:lvlJc w:val="left"/>
      <w:pPr>
        <w:ind w:left="1080" w:hanging="360"/>
      </w:pPr>
      <w:rPr>
        <w:rFonts w:ascii="Symbol" w:hAnsi="Symbol"/>
      </w:rPr>
    </w:lvl>
    <w:lvl w:ilvl="1" w:tplc="7F10E734">
      <w:start w:val="1"/>
      <w:numFmt w:val="bullet"/>
      <w:lvlText w:val=""/>
      <w:lvlJc w:val="left"/>
      <w:pPr>
        <w:ind w:left="1080" w:hanging="360"/>
      </w:pPr>
      <w:rPr>
        <w:rFonts w:ascii="Symbol" w:hAnsi="Symbol"/>
      </w:rPr>
    </w:lvl>
    <w:lvl w:ilvl="2" w:tplc="3780A8F8">
      <w:start w:val="1"/>
      <w:numFmt w:val="bullet"/>
      <w:lvlText w:val=""/>
      <w:lvlJc w:val="left"/>
      <w:pPr>
        <w:ind w:left="1080" w:hanging="360"/>
      </w:pPr>
      <w:rPr>
        <w:rFonts w:ascii="Symbol" w:hAnsi="Symbol"/>
      </w:rPr>
    </w:lvl>
    <w:lvl w:ilvl="3" w:tplc="A8E25C4E">
      <w:start w:val="1"/>
      <w:numFmt w:val="bullet"/>
      <w:lvlText w:val=""/>
      <w:lvlJc w:val="left"/>
      <w:pPr>
        <w:ind w:left="1080" w:hanging="360"/>
      </w:pPr>
      <w:rPr>
        <w:rFonts w:ascii="Symbol" w:hAnsi="Symbol"/>
      </w:rPr>
    </w:lvl>
    <w:lvl w:ilvl="4" w:tplc="A356B056">
      <w:start w:val="1"/>
      <w:numFmt w:val="bullet"/>
      <w:lvlText w:val=""/>
      <w:lvlJc w:val="left"/>
      <w:pPr>
        <w:ind w:left="1080" w:hanging="360"/>
      </w:pPr>
      <w:rPr>
        <w:rFonts w:ascii="Symbol" w:hAnsi="Symbol"/>
      </w:rPr>
    </w:lvl>
    <w:lvl w:ilvl="5" w:tplc="87AEC4CC">
      <w:start w:val="1"/>
      <w:numFmt w:val="bullet"/>
      <w:lvlText w:val=""/>
      <w:lvlJc w:val="left"/>
      <w:pPr>
        <w:ind w:left="1080" w:hanging="360"/>
      </w:pPr>
      <w:rPr>
        <w:rFonts w:ascii="Symbol" w:hAnsi="Symbol"/>
      </w:rPr>
    </w:lvl>
    <w:lvl w:ilvl="6" w:tplc="79CE3C56">
      <w:start w:val="1"/>
      <w:numFmt w:val="bullet"/>
      <w:lvlText w:val=""/>
      <w:lvlJc w:val="left"/>
      <w:pPr>
        <w:ind w:left="1080" w:hanging="360"/>
      </w:pPr>
      <w:rPr>
        <w:rFonts w:ascii="Symbol" w:hAnsi="Symbol"/>
      </w:rPr>
    </w:lvl>
    <w:lvl w:ilvl="7" w:tplc="1F24FE28">
      <w:start w:val="1"/>
      <w:numFmt w:val="bullet"/>
      <w:lvlText w:val=""/>
      <w:lvlJc w:val="left"/>
      <w:pPr>
        <w:ind w:left="1080" w:hanging="360"/>
      </w:pPr>
      <w:rPr>
        <w:rFonts w:ascii="Symbol" w:hAnsi="Symbol"/>
      </w:rPr>
    </w:lvl>
    <w:lvl w:ilvl="8" w:tplc="CF686EA6">
      <w:start w:val="1"/>
      <w:numFmt w:val="bullet"/>
      <w:lvlText w:val=""/>
      <w:lvlJc w:val="left"/>
      <w:pPr>
        <w:ind w:left="1080" w:hanging="360"/>
      </w:pPr>
      <w:rPr>
        <w:rFonts w:ascii="Symbol" w:hAnsi="Symbol"/>
      </w:rPr>
    </w:lvl>
  </w:abstractNum>
  <w:abstractNum w:abstractNumId="28" w15:restartNumberingAfterBreak="0">
    <w:nsid w:val="778E67A4"/>
    <w:multiLevelType w:val="multilevel"/>
    <w:tmpl w:val="F5185EF6"/>
    <w:lvl w:ilvl="0">
      <w:start w:val="1"/>
      <w:numFmt w:val="bullet"/>
      <w:lvlText w:val=""/>
      <w:lvlJc w:val="left"/>
      <w:pPr>
        <w:ind w:left="709" w:hanging="432"/>
      </w:pPr>
      <w:rPr>
        <w:rFonts w:ascii="Symbol" w:hAnsi="Symbol" w:hint="default"/>
        <w:b/>
      </w:rPr>
    </w:lvl>
    <w:lvl w:ilvl="1">
      <w:start w:val="1"/>
      <w:numFmt w:val="upperLetter"/>
      <w:lvlText w:val="%1%2"/>
      <w:lvlJc w:val="left"/>
      <w:pPr>
        <w:ind w:left="853" w:hanging="576"/>
      </w:pPr>
      <w:rPr>
        <w:rFonts w:hint="default"/>
      </w:rPr>
    </w:lvl>
    <w:lvl w:ilvl="2">
      <w:start w:val="1"/>
      <w:numFmt w:val="decimal"/>
      <w:lvlText w:val="%1%2.%3"/>
      <w:lvlJc w:val="left"/>
      <w:pPr>
        <w:ind w:left="277" w:firstLine="0"/>
      </w:pPr>
      <w:rPr>
        <w:rFonts w:hint="default"/>
      </w:rPr>
    </w:lvl>
    <w:lvl w:ilvl="3">
      <w:start w:val="1"/>
      <w:numFmt w:val="decimal"/>
      <w:lvlRestart w:val="1"/>
      <w:lvlText w:val="%1.%4"/>
      <w:lvlJc w:val="left"/>
      <w:pPr>
        <w:ind w:left="1141" w:hanging="864"/>
      </w:pPr>
      <w:rPr>
        <w:rFonts w:hint="default"/>
      </w:rPr>
    </w:lvl>
    <w:lvl w:ilvl="4">
      <w:start w:val="1"/>
      <w:numFmt w:val="decimal"/>
      <w:lvlRestart w:val="3"/>
      <w:lvlText w:val="%1%2.%5"/>
      <w:lvlJc w:val="left"/>
      <w:pPr>
        <w:ind w:left="277" w:firstLine="0"/>
      </w:pPr>
      <w:rPr>
        <w:rFonts w:hint="default"/>
      </w:rPr>
    </w:lvl>
    <w:lvl w:ilvl="5">
      <w:start w:val="1"/>
      <w:numFmt w:val="none"/>
      <w:suff w:val="nothing"/>
      <w:lvlText w:val=""/>
      <w:lvlJc w:val="left"/>
      <w:pPr>
        <w:ind w:left="277" w:firstLine="0"/>
      </w:pPr>
      <w:rPr>
        <w:rFonts w:hint="default"/>
      </w:rPr>
    </w:lvl>
    <w:lvl w:ilvl="6">
      <w:start w:val="1"/>
      <w:numFmt w:val="none"/>
      <w:suff w:val="nothing"/>
      <w:lvlText w:val=""/>
      <w:lvlJc w:val="left"/>
      <w:pPr>
        <w:ind w:left="1573" w:hanging="1296"/>
      </w:pPr>
      <w:rPr>
        <w:rFonts w:hint="default"/>
      </w:rPr>
    </w:lvl>
    <w:lvl w:ilvl="7">
      <w:start w:val="1"/>
      <w:numFmt w:val="decimal"/>
      <w:lvlText w:val="%1.%2.%3.%4.%5.%6.%7.%8"/>
      <w:lvlJc w:val="left"/>
      <w:pPr>
        <w:ind w:left="1717" w:hanging="1440"/>
      </w:pPr>
      <w:rPr>
        <w:rFonts w:hint="default"/>
      </w:rPr>
    </w:lvl>
    <w:lvl w:ilvl="8">
      <w:start w:val="1"/>
      <w:numFmt w:val="decimal"/>
      <w:lvlText w:val="%1.%2.%3.%4.%5.%6.%7.%8.%9"/>
      <w:lvlJc w:val="left"/>
      <w:pPr>
        <w:ind w:left="1861" w:hanging="1584"/>
      </w:pPr>
      <w:rPr>
        <w:rFonts w:hint="default"/>
      </w:rPr>
    </w:lvl>
  </w:abstractNum>
  <w:abstractNum w:abstractNumId="29" w15:restartNumberingAfterBreak="0">
    <w:nsid w:val="784D033C"/>
    <w:multiLevelType w:val="multilevel"/>
    <w:tmpl w:val="842042E2"/>
    <w:lvl w:ilvl="0">
      <w:start w:val="1"/>
      <w:numFmt w:val="decimal"/>
      <w:pStyle w:val="PBACESHeading1"/>
      <w:lvlText w:val="%1"/>
      <w:lvlJc w:val="left"/>
      <w:pPr>
        <w:ind w:left="720" w:hanging="720"/>
      </w:pPr>
      <w:rPr>
        <w:rFonts w:hint="default"/>
        <w:b/>
      </w:rPr>
    </w:lvl>
    <w:lvl w:ilvl="1">
      <w:start w:val="1"/>
      <w:numFmt w:val="none"/>
      <w:pStyle w:val="PBACESHeadingCAPS"/>
      <w:suff w:val="nothing"/>
      <w:lvlText w:val=""/>
      <w:lvlJc w:val="left"/>
      <w:pPr>
        <w:ind w:left="720" w:hanging="720"/>
      </w:pPr>
      <w:rPr>
        <w:rFonts w:hint="default"/>
      </w:rPr>
    </w:lvl>
    <w:lvl w:ilvl="2">
      <w:start w:val="1"/>
      <w:numFmt w:val="none"/>
      <w:lvlRestart w:val="1"/>
      <w:pStyle w:val="PBACESHeading2"/>
      <w:suff w:val="nothing"/>
      <w:lvlText w:val=""/>
      <w:lvlJc w:val="left"/>
      <w:pPr>
        <w:ind w:left="720" w:hanging="720"/>
      </w:pPr>
      <w:rPr>
        <w:rFonts w:hint="default"/>
      </w:rPr>
    </w:lvl>
    <w:lvl w:ilvl="3">
      <w:start w:val="1"/>
      <w:numFmt w:val="none"/>
      <w:lvlRestart w:val="1"/>
      <w:pStyle w:val="PBACESHeading3"/>
      <w:suff w:val="nothing"/>
      <w:lvlText w:val=""/>
      <w:lvlJc w:val="left"/>
      <w:pPr>
        <w:ind w:left="1080" w:hanging="1080"/>
      </w:pPr>
      <w:rPr>
        <w:rFonts w:hint="default"/>
      </w:rPr>
    </w:lvl>
    <w:lvl w:ilvl="4">
      <w:start w:val="1"/>
      <w:numFmt w:val="decimal"/>
      <w:lvlRestart w:val="1"/>
      <w:pStyle w:val="ListParagraph"/>
      <w:lvlText w:val="%1.%5"/>
      <w:lvlJc w:val="left"/>
      <w:pPr>
        <w:ind w:left="720" w:hanging="720"/>
      </w:pPr>
      <w:rPr>
        <w:rFonts w:hint="default"/>
        <w:b w:val="0"/>
        <w:bCs/>
        <w:i w:val="0"/>
        <w:iCs w:val="0"/>
        <w:color w:val="auto"/>
      </w:rPr>
    </w:lvl>
    <w:lvl w:ilvl="5">
      <w:start w:val="1"/>
      <w:numFmt w:val="decimal"/>
      <w:lvlRestart w:val="1"/>
      <w:pStyle w:val="MSACHeading1"/>
      <w:lvlText w:val="%6"/>
      <w:lvlJc w:val="left"/>
      <w:pPr>
        <w:ind w:left="720"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252DAD"/>
    <w:multiLevelType w:val="hybridMultilevel"/>
    <w:tmpl w:val="F1362682"/>
    <w:lvl w:ilvl="0" w:tplc="BFF22262">
      <w:start w:val="1"/>
      <w:numFmt w:val="bullet"/>
      <w:lvlText w:val=""/>
      <w:lvlJc w:val="left"/>
      <w:pPr>
        <w:ind w:left="1080" w:hanging="360"/>
      </w:pPr>
      <w:rPr>
        <w:rFonts w:ascii="Symbol" w:hAnsi="Symbol"/>
      </w:rPr>
    </w:lvl>
    <w:lvl w:ilvl="1" w:tplc="8088710A">
      <w:start w:val="1"/>
      <w:numFmt w:val="bullet"/>
      <w:lvlText w:val=""/>
      <w:lvlJc w:val="left"/>
      <w:pPr>
        <w:ind w:left="1080" w:hanging="360"/>
      </w:pPr>
      <w:rPr>
        <w:rFonts w:ascii="Symbol" w:hAnsi="Symbol"/>
      </w:rPr>
    </w:lvl>
    <w:lvl w:ilvl="2" w:tplc="EC203C56">
      <w:start w:val="1"/>
      <w:numFmt w:val="bullet"/>
      <w:lvlText w:val=""/>
      <w:lvlJc w:val="left"/>
      <w:pPr>
        <w:ind w:left="1080" w:hanging="360"/>
      </w:pPr>
      <w:rPr>
        <w:rFonts w:ascii="Symbol" w:hAnsi="Symbol"/>
      </w:rPr>
    </w:lvl>
    <w:lvl w:ilvl="3" w:tplc="0736252A">
      <w:start w:val="1"/>
      <w:numFmt w:val="bullet"/>
      <w:lvlText w:val=""/>
      <w:lvlJc w:val="left"/>
      <w:pPr>
        <w:ind w:left="1080" w:hanging="360"/>
      </w:pPr>
      <w:rPr>
        <w:rFonts w:ascii="Symbol" w:hAnsi="Symbol"/>
      </w:rPr>
    </w:lvl>
    <w:lvl w:ilvl="4" w:tplc="01F8E546">
      <w:start w:val="1"/>
      <w:numFmt w:val="bullet"/>
      <w:lvlText w:val=""/>
      <w:lvlJc w:val="left"/>
      <w:pPr>
        <w:ind w:left="1080" w:hanging="360"/>
      </w:pPr>
      <w:rPr>
        <w:rFonts w:ascii="Symbol" w:hAnsi="Symbol"/>
      </w:rPr>
    </w:lvl>
    <w:lvl w:ilvl="5" w:tplc="51AA50C8">
      <w:start w:val="1"/>
      <w:numFmt w:val="bullet"/>
      <w:lvlText w:val=""/>
      <w:lvlJc w:val="left"/>
      <w:pPr>
        <w:ind w:left="1080" w:hanging="360"/>
      </w:pPr>
      <w:rPr>
        <w:rFonts w:ascii="Symbol" w:hAnsi="Symbol"/>
      </w:rPr>
    </w:lvl>
    <w:lvl w:ilvl="6" w:tplc="9032560A">
      <w:start w:val="1"/>
      <w:numFmt w:val="bullet"/>
      <w:lvlText w:val=""/>
      <w:lvlJc w:val="left"/>
      <w:pPr>
        <w:ind w:left="1080" w:hanging="360"/>
      </w:pPr>
      <w:rPr>
        <w:rFonts w:ascii="Symbol" w:hAnsi="Symbol"/>
      </w:rPr>
    </w:lvl>
    <w:lvl w:ilvl="7" w:tplc="36B66F9C">
      <w:start w:val="1"/>
      <w:numFmt w:val="bullet"/>
      <w:lvlText w:val=""/>
      <w:lvlJc w:val="left"/>
      <w:pPr>
        <w:ind w:left="1080" w:hanging="360"/>
      </w:pPr>
      <w:rPr>
        <w:rFonts w:ascii="Symbol" w:hAnsi="Symbol"/>
      </w:rPr>
    </w:lvl>
    <w:lvl w:ilvl="8" w:tplc="5208772E">
      <w:start w:val="1"/>
      <w:numFmt w:val="bullet"/>
      <w:lvlText w:val=""/>
      <w:lvlJc w:val="left"/>
      <w:pPr>
        <w:ind w:left="1080" w:hanging="360"/>
      </w:pPr>
      <w:rPr>
        <w:rFonts w:ascii="Symbol" w:hAnsi="Symbol"/>
      </w:rPr>
    </w:lvl>
  </w:abstractNum>
  <w:num w:numId="1" w16cid:durableId="83459259">
    <w:abstractNumId w:val="19"/>
  </w:num>
  <w:num w:numId="2" w16cid:durableId="1728722686">
    <w:abstractNumId w:val="5"/>
  </w:num>
  <w:num w:numId="3" w16cid:durableId="2098357730">
    <w:abstractNumId w:val="29"/>
  </w:num>
  <w:num w:numId="4" w16cid:durableId="821584777">
    <w:abstractNumId w:val="17"/>
  </w:num>
  <w:num w:numId="5" w16cid:durableId="1213539042">
    <w:abstractNumId w:val="8"/>
  </w:num>
  <w:num w:numId="6" w16cid:durableId="1119836982">
    <w:abstractNumId w:val="22"/>
  </w:num>
  <w:num w:numId="7" w16cid:durableId="376708755">
    <w:abstractNumId w:val="0"/>
  </w:num>
  <w:num w:numId="8" w16cid:durableId="3575890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2284066">
    <w:abstractNumId w:val="24"/>
  </w:num>
  <w:num w:numId="10" w16cid:durableId="1716932451">
    <w:abstractNumId w:val="3"/>
  </w:num>
  <w:num w:numId="11" w16cid:durableId="210267045">
    <w:abstractNumId w:val="16"/>
  </w:num>
  <w:num w:numId="12" w16cid:durableId="1327897293">
    <w:abstractNumId w:val="23"/>
  </w:num>
  <w:num w:numId="13" w16cid:durableId="260339944">
    <w:abstractNumId w:val="25"/>
  </w:num>
  <w:num w:numId="14" w16cid:durableId="1774125646">
    <w:abstractNumId w:val="7"/>
  </w:num>
  <w:num w:numId="15" w16cid:durableId="562643509">
    <w:abstractNumId w:val="11"/>
  </w:num>
  <w:num w:numId="16" w16cid:durableId="241642852">
    <w:abstractNumId w:val="2"/>
  </w:num>
  <w:num w:numId="17" w16cid:durableId="84813021">
    <w:abstractNumId w:val="28"/>
  </w:num>
  <w:num w:numId="18" w16cid:durableId="1979457665">
    <w:abstractNumId w:val="12"/>
  </w:num>
  <w:num w:numId="19" w16cid:durableId="1982880512">
    <w:abstractNumId w:val="21"/>
  </w:num>
  <w:num w:numId="20" w16cid:durableId="1488090999">
    <w:abstractNumId w:val="18"/>
  </w:num>
  <w:num w:numId="21" w16cid:durableId="875309187">
    <w:abstractNumId w:val="27"/>
  </w:num>
  <w:num w:numId="22" w16cid:durableId="1986427425">
    <w:abstractNumId w:val="15"/>
  </w:num>
  <w:num w:numId="23" w16cid:durableId="718742071">
    <w:abstractNumId w:val="4"/>
  </w:num>
  <w:num w:numId="24" w16cid:durableId="1861550967">
    <w:abstractNumId w:val="14"/>
  </w:num>
  <w:num w:numId="25" w16cid:durableId="112482397">
    <w:abstractNumId w:val="9"/>
  </w:num>
  <w:num w:numId="26" w16cid:durableId="1917400097">
    <w:abstractNumId w:val="20"/>
  </w:num>
  <w:num w:numId="27" w16cid:durableId="1393429479">
    <w:abstractNumId w:val="30"/>
  </w:num>
  <w:num w:numId="28" w16cid:durableId="764418830">
    <w:abstractNumId w:val="10"/>
  </w:num>
  <w:num w:numId="29" w16cid:durableId="111562391">
    <w:abstractNumId w:val="13"/>
  </w:num>
  <w:num w:numId="30" w16cid:durableId="1857504058">
    <w:abstractNumId w:val="6"/>
  </w:num>
  <w:num w:numId="31" w16cid:durableId="1695569454">
    <w:abstractNumId w:val="1"/>
  </w:num>
  <w:num w:numId="32" w16cid:durableId="209997201">
    <w:abstractNumId w:val="26"/>
  </w:num>
  <w:num w:numId="33" w16cid:durableId="842745814">
    <w:abstractNumId w:val="29"/>
  </w:num>
  <w:num w:numId="34" w16cid:durableId="1722703597">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ES" w:vendorID="64" w:dllVersion="0" w:nlCheck="1" w:checkStyle="0"/>
  <w:activeWritingStyle w:appName="MSWord" w:lang="en-AU"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NZ"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Formatting/>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82"/>
    <w:rsid w:val="0000042C"/>
    <w:rsid w:val="000006D8"/>
    <w:rsid w:val="000014FE"/>
    <w:rsid w:val="0000180D"/>
    <w:rsid w:val="000019BB"/>
    <w:rsid w:val="00001A39"/>
    <w:rsid w:val="00001A4E"/>
    <w:rsid w:val="00001AB4"/>
    <w:rsid w:val="00001B70"/>
    <w:rsid w:val="00001C59"/>
    <w:rsid w:val="00001D06"/>
    <w:rsid w:val="00001DE9"/>
    <w:rsid w:val="00001FE6"/>
    <w:rsid w:val="000023A7"/>
    <w:rsid w:val="000024A2"/>
    <w:rsid w:val="00002954"/>
    <w:rsid w:val="00002C5D"/>
    <w:rsid w:val="00002C93"/>
    <w:rsid w:val="000036E3"/>
    <w:rsid w:val="00003822"/>
    <w:rsid w:val="000038C1"/>
    <w:rsid w:val="00003E76"/>
    <w:rsid w:val="00004307"/>
    <w:rsid w:val="000044D5"/>
    <w:rsid w:val="0000459E"/>
    <w:rsid w:val="000046F4"/>
    <w:rsid w:val="00004B97"/>
    <w:rsid w:val="00004FEB"/>
    <w:rsid w:val="0000546C"/>
    <w:rsid w:val="00005823"/>
    <w:rsid w:val="0000594B"/>
    <w:rsid w:val="000059AC"/>
    <w:rsid w:val="00005B8B"/>
    <w:rsid w:val="00005E99"/>
    <w:rsid w:val="00005F05"/>
    <w:rsid w:val="0000609D"/>
    <w:rsid w:val="000062E0"/>
    <w:rsid w:val="0000667F"/>
    <w:rsid w:val="00006B3C"/>
    <w:rsid w:val="00006D47"/>
    <w:rsid w:val="00006FB1"/>
    <w:rsid w:val="00007392"/>
    <w:rsid w:val="000077A0"/>
    <w:rsid w:val="0000796A"/>
    <w:rsid w:val="00007EEA"/>
    <w:rsid w:val="00010033"/>
    <w:rsid w:val="000102EF"/>
    <w:rsid w:val="0001042F"/>
    <w:rsid w:val="0001061C"/>
    <w:rsid w:val="0001066F"/>
    <w:rsid w:val="0001077D"/>
    <w:rsid w:val="00010799"/>
    <w:rsid w:val="000107EE"/>
    <w:rsid w:val="00010C1D"/>
    <w:rsid w:val="00011263"/>
    <w:rsid w:val="000113F8"/>
    <w:rsid w:val="000116B7"/>
    <w:rsid w:val="00011BFD"/>
    <w:rsid w:val="00011D23"/>
    <w:rsid w:val="00011F86"/>
    <w:rsid w:val="00011FF6"/>
    <w:rsid w:val="0001220C"/>
    <w:rsid w:val="000125E7"/>
    <w:rsid w:val="0001281E"/>
    <w:rsid w:val="000129B6"/>
    <w:rsid w:val="00012E9B"/>
    <w:rsid w:val="000131C9"/>
    <w:rsid w:val="00013222"/>
    <w:rsid w:val="000132F7"/>
    <w:rsid w:val="0001330D"/>
    <w:rsid w:val="000133FE"/>
    <w:rsid w:val="000136F4"/>
    <w:rsid w:val="00013A6E"/>
    <w:rsid w:val="00013B8D"/>
    <w:rsid w:val="00013C01"/>
    <w:rsid w:val="00013C5A"/>
    <w:rsid w:val="00013D95"/>
    <w:rsid w:val="00013E19"/>
    <w:rsid w:val="000142C1"/>
    <w:rsid w:val="00014607"/>
    <w:rsid w:val="0001481D"/>
    <w:rsid w:val="00014D42"/>
    <w:rsid w:val="00014DF5"/>
    <w:rsid w:val="00015191"/>
    <w:rsid w:val="00015290"/>
    <w:rsid w:val="0001548D"/>
    <w:rsid w:val="00015634"/>
    <w:rsid w:val="00015C53"/>
    <w:rsid w:val="00015C70"/>
    <w:rsid w:val="00015D9E"/>
    <w:rsid w:val="000163B7"/>
    <w:rsid w:val="00016757"/>
    <w:rsid w:val="00016804"/>
    <w:rsid w:val="00016B57"/>
    <w:rsid w:val="00016BA3"/>
    <w:rsid w:val="000170C1"/>
    <w:rsid w:val="000170E1"/>
    <w:rsid w:val="000171BC"/>
    <w:rsid w:val="000175CF"/>
    <w:rsid w:val="0001784E"/>
    <w:rsid w:val="00017D8C"/>
    <w:rsid w:val="000201ED"/>
    <w:rsid w:val="000202B9"/>
    <w:rsid w:val="00020382"/>
    <w:rsid w:val="0002046C"/>
    <w:rsid w:val="00020500"/>
    <w:rsid w:val="0002064D"/>
    <w:rsid w:val="000208F3"/>
    <w:rsid w:val="0002095B"/>
    <w:rsid w:val="00020987"/>
    <w:rsid w:val="00020AC2"/>
    <w:rsid w:val="00020C3B"/>
    <w:rsid w:val="00020D6C"/>
    <w:rsid w:val="00020E4A"/>
    <w:rsid w:val="00020ECB"/>
    <w:rsid w:val="00020F71"/>
    <w:rsid w:val="0002151A"/>
    <w:rsid w:val="000215AA"/>
    <w:rsid w:val="000218BA"/>
    <w:rsid w:val="000219F6"/>
    <w:rsid w:val="0002217E"/>
    <w:rsid w:val="000223DF"/>
    <w:rsid w:val="0002251F"/>
    <w:rsid w:val="00023037"/>
    <w:rsid w:val="00023139"/>
    <w:rsid w:val="000231DA"/>
    <w:rsid w:val="000234E5"/>
    <w:rsid w:val="000239BE"/>
    <w:rsid w:val="00023FB1"/>
    <w:rsid w:val="00024559"/>
    <w:rsid w:val="0002473E"/>
    <w:rsid w:val="000247BD"/>
    <w:rsid w:val="00024F80"/>
    <w:rsid w:val="0002501A"/>
    <w:rsid w:val="0002561B"/>
    <w:rsid w:val="000259BF"/>
    <w:rsid w:val="00025A80"/>
    <w:rsid w:val="00025B1B"/>
    <w:rsid w:val="00025FBA"/>
    <w:rsid w:val="0002649C"/>
    <w:rsid w:val="00026551"/>
    <w:rsid w:val="000267F7"/>
    <w:rsid w:val="000268CC"/>
    <w:rsid w:val="00026ACC"/>
    <w:rsid w:val="00027A46"/>
    <w:rsid w:val="00030147"/>
    <w:rsid w:val="00030372"/>
    <w:rsid w:val="00030785"/>
    <w:rsid w:val="00030C26"/>
    <w:rsid w:val="00030D9F"/>
    <w:rsid w:val="0003112C"/>
    <w:rsid w:val="000317C9"/>
    <w:rsid w:val="000319B6"/>
    <w:rsid w:val="000319E5"/>
    <w:rsid w:val="00031B66"/>
    <w:rsid w:val="0003209F"/>
    <w:rsid w:val="00032348"/>
    <w:rsid w:val="00032364"/>
    <w:rsid w:val="000324D0"/>
    <w:rsid w:val="00032562"/>
    <w:rsid w:val="00032876"/>
    <w:rsid w:val="00032CBA"/>
    <w:rsid w:val="00032DD7"/>
    <w:rsid w:val="00032E50"/>
    <w:rsid w:val="0003300E"/>
    <w:rsid w:val="00033427"/>
    <w:rsid w:val="00033771"/>
    <w:rsid w:val="00033CE1"/>
    <w:rsid w:val="000342E4"/>
    <w:rsid w:val="00034404"/>
    <w:rsid w:val="00034949"/>
    <w:rsid w:val="0003497C"/>
    <w:rsid w:val="00034DBB"/>
    <w:rsid w:val="000350DD"/>
    <w:rsid w:val="00035165"/>
    <w:rsid w:val="00035391"/>
    <w:rsid w:val="00035402"/>
    <w:rsid w:val="000356E5"/>
    <w:rsid w:val="0003576C"/>
    <w:rsid w:val="00035922"/>
    <w:rsid w:val="000359BA"/>
    <w:rsid w:val="00035A14"/>
    <w:rsid w:val="00035D99"/>
    <w:rsid w:val="00035E66"/>
    <w:rsid w:val="000362A8"/>
    <w:rsid w:val="00036719"/>
    <w:rsid w:val="00036B77"/>
    <w:rsid w:val="00036DC8"/>
    <w:rsid w:val="00036E51"/>
    <w:rsid w:val="00036E6A"/>
    <w:rsid w:val="00036E85"/>
    <w:rsid w:val="00036EDC"/>
    <w:rsid w:val="00037126"/>
    <w:rsid w:val="00037303"/>
    <w:rsid w:val="00037315"/>
    <w:rsid w:val="000373DD"/>
    <w:rsid w:val="000374A5"/>
    <w:rsid w:val="000374E1"/>
    <w:rsid w:val="00037943"/>
    <w:rsid w:val="00037988"/>
    <w:rsid w:val="00037FC0"/>
    <w:rsid w:val="0004034F"/>
    <w:rsid w:val="0004035C"/>
    <w:rsid w:val="00040603"/>
    <w:rsid w:val="000406DB"/>
    <w:rsid w:val="0004072C"/>
    <w:rsid w:val="0004089F"/>
    <w:rsid w:val="00040C2C"/>
    <w:rsid w:val="00040DC6"/>
    <w:rsid w:val="00040F30"/>
    <w:rsid w:val="000412F4"/>
    <w:rsid w:val="00041350"/>
    <w:rsid w:val="00041501"/>
    <w:rsid w:val="000417F6"/>
    <w:rsid w:val="0004192B"/>
    <w:rsid w:val="000419C6"/>
    <w:rsid w:val="00041A03"/>
    <w:rsid w:val="00041E0E"/>
    <w:rsid w:val="00041EE1"/>
    <w:rsid w:val="00042277"/>
    <w:rsid w:val="0004235F"/>
    <w:rsid w:val="00042AD8"/>
    <w:rsid w:val="00042ADB"/>
    <w:rsid w:val="00042CD1"/>
    <w:rsid w:val="00042EFC"/>
    <w:rsid w:val="000436F2"/>
    <w:rsid w:val="000439A3"/>
    <w:rsid w:val="00043FD0"/>
    <w:rsid w:val="000440BA"/>
    <w:rsid w:val="0004441D"/>
    <w:rsid w:val="000444CE"/>
    <w:rsid w:val="0004457F"/>
    <w:rsid w:val="000445E3"/>
    <w:rsid w:val="000446CA"/>
    <w:rsid w:val="000449EB"/>
    <w:rsid w:val="00044B44"/>
    <w:rsid w:val="00044D3C"/>
    <w:rsid w:val="00044E8D"/>
    <w:rsid w:val="00044F4B"/>
    <w:rsid w:val="000456BF"/>
    <w:rsid w:val="00045A7B"/>
    <w:rsid w:val="00045D81"/>
    <w:rsid w:val="0004600A"/>
    <w:rsid w:val="000461CF"/>
    <w:rsid w:val="00046501"/>
    <w:rsid w:val="0004665C"/>
    <w:rsid w:val="00046915"/>
    <w:rsid w:val="00046EE7"/>
    <w:rsid w:val="00046F62"/>
    <w:rsid w:val="00047008"/>
    <w:rsid w:val="0004706D"/>
    <w:rsid w:val="000472C5"/>
    <w:rsid w:val="00047352"/>
    <w:rsid w:val="000474E7"/>
    <w:rsid w:val="0004758F"/>
    <w:rsid w:val="0004759C"/>
    <w:rsid w:val="00047867"/>
    <w:rsid w:val="000479FA"/>
    <w:rsid w:val="00047AE0"/>
    <w:rsid w:val="00047E1F"/>
    <w:rsid w:val="00047FBB"/>
    <w:rsid w:val="00050061"/>
    <w:rsid w:val="0005019F"/>
    <w:rsid w:val="000503C3"/>
    <w:rsid w:val="0005046C"/>
    <w:rsid w:val="0005065C"/>
    <w:rsid w:val="00050982"/>
    <w:rsid w:val="00050E21"/>
    <w:rsid w:val="00050F49"/>
    <w:rsid w:val="00051067"/>
    <w:rsid w:val="0005142B"/>
    <w:rsid w:val="00051450"/>
    <w:rsid w:val="000514A9"/>
    <w:rsid w:val="0005164A"/>
    <w:rsid w:val="0005165A"/>
    <w:rsid w:val="0005165F"/>
    <w:rsid w:val="000518C1"/>
    <w:rsid w:val="00051A79"/>
    <w:rsid w:val="00051C0C"/>
    <w:rsid w:val="00051D07"/>
    <w:rsid w:val="00052029"/>
    <w:rsid w:val="000521AA"/>
    <w:rsid w:val="000522BD"/>
    <w:rsid w:val="000522EE"/>
    <w:rsid w:val="00052673"/>
    <w:rsid w:val="00052BCD"/>
    <w:rsid w:val="00052D42"/>
    <w:rsid w:val="00052D98"/>
    <w:rsid w:val="00053242"/>
    <w:rsid w:val="00053A99"/>
    <w:rsid w:val="00053B70"/>
    <w:rsid w:val="00053B8E"/>
    <w:rsid w:val="00053B9B"/>
    <w:rsid w:val="00053C1F"/>
    <w:rsid w:val="00054171"/>
    <w:rsid w:val="000541F5"/>
    <w:rsid w:val="0005457B"/>
    <w:rsid w:val="00054A7C"/>
    <w:rsid w:val="00054BAE"/>
    <w:rsid w:val="00054C97"/>
    <w:rsid w:val="00054DE7"/>
    <w:rsid w:val="00054EE9"/>
    <w:rsid w:val="00054FB7"/>
    <w:rsid w:val="00054FF2"/>
    <w:rsid w:val="00055237"/>
    <w:rsid w:val="0005525E"/>
    <w:rsid w:val="0005531A"/>
    <w:rsid w:val="00055465"/>
    <w:rsid w:val="00055515"/>
    <w:rsid w:val="000556C9"/>
    <w:rsid w:val="000556EB"/>
    <w:rsid w:val="00055747"/>
    <w:rsid w:val="00055CFB"/>
    <w:rsid w:val="00055D4C"/>
    <w:rsid w:val="00055DCD"/>
    <w:rsid w:val="00056028"/>
    <w:rsid w:val="000560A5"/>
    <w:rsid w:val="000564E7"/>
    <w:rsid w:val="00056574"/>
    <w:rsid w:val="0005705A"/>
    <w:rsid w:val="00057274"/>
    <w:rsid w:val="000573A6"/>
    <w:rsid w:val="0005741E"/>
    <w:rsid w:val="00057515"/>
    <w:rsid w:val="000578D9"/>
    <w:rsid w:val="000578DD"/>
    <w:rsid w:val="00057E1F"/>
    <w:rsid w:val="00057E53"/>
    <w:rsid w:val="00057ED8"/>
    <w:rsid w:val="00057F71"/>
    <w:rsid w:val="00060161"/>
    <w:rsid w:val="000601A2"/>
    <w:rsid w:val="00060254"/>
    <w:rsid w:val="0006026E"/>
    <w:rsid w:val="00060854"/>
    <w:rsid w:val="00060AED"/>
    <w:rsid w:val="00060C39"/>
    <w:rsid w:val="00060CDC"/>
    <w:rsid w:val="000617E7"/>
    <w:rsid w:val="00061DFE"/>
    <w:rsid w:val="00062018"/>
    <w:rsid w:val="00062067"/>
    <w:rsid w:val="00062104"/>
    <w:rsid w:val="00062318"/>
    <w:rsid w:val="000623B7"/>
    <w:rsid w:val="000624E9"/>
    <w:rsid w:val="00062830"/>
    <w:rsid w:val="0006287B"/>
    <w:rsid w:val="00062AAA"/>
    <w:rsid w:val="00062BE1"/>
    <w:rsid w:val="00062DDA"/>
    <w:rsid w:val="00062EFD"/>
    <w:rsid w:val="0006331B"/>
    <w:rsid w:val="000633A4"/>
    <w:rsid w:val="00063637"/>
    <w:rsid w:val="00063D2D"/>
    <w:rsid w:val="00063D52"/>
    <w:rsid w:val="00063DBF"/>
    <w:rsid w:val="00064156"/>
    <w:rsid w:val="000642A9"/>
    <w:rsid w:val="00064384"/>
    <w:rsid w:val="000643FA"/>
    <w:rsid w:val="0006442F"/>
    <w:rsid w:val="000644BB"/>
    <w:rsid w:val="00064A78"/>
    <w:rsid w:val="00064D04"/>
    <w:rsid w:val="000654DC"/>
    <w:rsid w:val="00065571"/>
    <w:rsid w:val="000657A0"/>
    <w:rsid w:val="00065C62"/>
    <w:rsid w:val="00065C74"/>
    <w:rsid w:val="00065CDE"/>
    <w:rsid w:val="00065F4A"/>
    <w:rsid w:val="0006608A"/>
    <w:rsid w:val="000661AA"/>
    <w:rsid w:val="00066561"/>
    <w:rsid w:val="0006673C"/>
    <w:rsid w:val="00066D2C"/>
    <w:rsid w:val="0006752C"/>
    <w:rsid w:val="00067667"/>
    <w:rsid w:val="000676B2"/>
    <w:rsid w:val="000676E5"/>
    <w:rsid w:val="00067743"/>
    <w:rsid w:val="000677DE"/>
    <w:rsid w:val="000677FA"/>
    <w:rsid w:val="00067D9F"/>
    <w:rsid w:val="000701BE"/>
    <w:rsid w:val="0007033E"/>
    <w:rsid w:val="0007063B"/>
    <w:rsid w:val="000708AA"/>
    <w:rsid w:val="000709B8"/>
    <w:rsid w:val="00070C70"/>
    <w:rsid w:val="00070D4E"/>
    <w:rsid w:val="00070D75"/>
    <w:rsid w:val="00070E5A"/>
    <w:rsid w:val="00070F2E"/>
    <w:rsid w:val="00071B7E"/>
    <w:rsid w:val="00072074"/>
    <w:rsid w:val="000721FB"/>
    <w:rsid w:val="00072541"/>
    <w:rsid w:val="000728C3"/>
    <w:rsid w:val="00072E31"/>
    <w:rsid w:val="00073155"/>
    <w:rsid w:val="000735B4"/>
    <w:rsid w:val="00073A2C"/>
    <w:rsid w:val="00073FD7"/>
    <w:rsid w:val="00074722"/>
    <w:rsid w:val="0007481B"/>
    <w:rsid w:val="00074A38"/>
    <w:rsid w:val="00074C9A"/>
    <w:rsid w:val="00074F02"/>
    <w:rsid w:val="00075009"/>
    <w:rsid w:val="0007530D"/>
    <w:rsid w:val="000753E6"/>
    <w:rsid w:val="0007550D"/>
    <w:rsid w:val="00075511"/>
    <w:rsid w:val="000755A5"/>
    <w:rsid w:val="0007561C"/>
    <w:rsid w:val="00075A36"/>
    <w:rsid w:val="00075A40"/>
    <w:rsid w:val="00075B17"/>
    <w:rsid w:val="00075C55"/>
    <w:rsid w:val="00075F2D"/>
    <w:rsid w:val="00076697"/>
    <w:rsid w:val="000766D9"/>
    <w:rsid w:val="00076B6D"/>
    <w:rsid w:val="00076CD7"/>
    <w:rsid w:val="00076D9F"/>
    <w:rsid w:val="00076E38"/>
    <w:rsid w:val="00076EDA"/>
    <w:rsid w:val="00076F7C"/>
    <w:rsid w:val="00077209"/>
    <w:rsid w:val="000772D9"/>
    <w:rsid w:val="00077711"/>
    <w:rsid w:val="00077F1E"/>
    <w:rsid w:val="00080172"/>
    <w:rsid w:val="000802B4"/>
    <w:rsid w:val="000805D1"/>
    <w:rsid w:val="000806A8"/>
    <w:rsid w:val="00080813"/>
    <w:rsid w:val="0008081E"/>
    <w:rsid w:val="00080AD4"/>
    <w:rsid w:val="00080DD3"/>
    <w:rsid w:val="00080E2D"/>
    <w:rsid w:val="00080F09"/>
    <w:rsid w:val="00080F75"/>
    <w:rsid w:val="00080FF3"/>
    <w:rsid w:val="0008145C"/>
    <w:rsid w:val="0008160A"/>
    <w:rsid w:val="00081699"/>
    <w:rsid w:val="000816DF"/>
    <w:rsid w:val="000819B3"/>
    <w:rsid w:val="00081C05"/>
    <w:rsid w:val="00081E24"/>
    <w:rsid w:val="00081F8F"/>
    <w:rsid w:val="00081FD8"/>
    <w:rsid w:val="00082314"/>
    <w:rsid w:val="00082422"/>
    <w:rsid w:val="000825EF"/>
    <w:rsid w:val="00082868"/>
    <w:rsid w:val="000829F7"/>
    <w:rsid w:val="00082BF6"/>
    <w:rsid w:val="00082C4A"/>
    <w:rsid w:val="00082E17"/>
    <w:rsid w:val="00083434"/>
    <w:rsid w:val="0008357C"/>
    <w:rsid w:val="0008362B"/>
    <w:rsid w:val="00083896"/>
    <w:rsid w:val="00083B74"/>
    <w:rsid w:val="0008407E"/>
    <w:rsid w:val="00084157"/>
    <w:rsid w:val="0008417E"/>
    <w:rsid w:val="000842DF"/>
    <w:rsid w:val="000847FE"/>
    <w:rsid w:val="00084A91"/>
    <w:rsid w:val="00084B18"/>
    <w:rsid w:val="00084C2C"/>
    <w:rsid w:val="0008507B"/>
    <w:rsid w:val="000851FA"/>
    <w:rsid w:val="0008527D"/>
    <w:rsid w:val="000852CF"/>
    <w:rsid w:val="000855E3"/>
    <w:rsid w:val="0008563F"/>
    <w:rsid w:val="00085CEA"/>
    <w:rsid w:val="0008606B"/>
    <w:rsid w:val="00086133"/>
    <w:rsid w:val="00086180"/>
    <w:rsid w:val="00086221"/>
    <w:rsid w:val="000863AE"/>
    <w:rsid w:val="00086850"/>
    <w:rsid w:val="00086881"/>
    <w:rsid w:val="000868B3"/>
    <w:rsid w:val="00086916"/>
    <w:rsid w:val="00086BFB"/>
    <w:rsid w:val="00086DFC"/>
    <w:rsid w:val="00086F3B"/>
    <w:rsid w:val="00086F64"/>
    <w:rsid w:val="00086FEE"/>
    <w:rsid w:val="00087082"/>
    <w:rsid w:val="00087258"/>
    <w:rsid w:val="000875CD"/>
    <w:rsid w:val="00087BD9"/>
    <w:rsid w:val="00087F22"/>
    <w:rsid w:val="00090074"/>
    <w:rsid w:val="000900D5"/>
    <w:rsid w:val="00090188"/>
    <w:rsid w:val="000901E7"/>
    <w:rsid w:val="00090279"/>
    <w:rsid w:val="000903CA"/>
    <w:rsid w:val="000904D2"/>
    <w:rsid w:val="00090711"/>
    <w:rsid w:val="0009098E"/>
    <w:rsid w:val="000909A8"/>
    <w:rsid w:val="00090DD4"/>
    <w:rsid w:val="0009119C"/>
    <w:rsid w:val="00091688"/>
    <w:rsid w:val="0009181F"/>
    <w:rsid w:val="00091ADE"/>
    <w:rsid w:val="00091CBA"/>
    <w:rsid w:val="00091D3C"/>
    <w:rsid w:val="0009213D"/>
    <w:rsid w:val="0009269D"/>
    <w:rsid w:val="00092727"/>
    <w:rsid w:val="0009280E"/>
    <w:rsid w:val="00092945"/>
    <w:rsid w:val="00092B5B"/>
    <w:rsid w:val="00092C7F"/>
    <w:rsid w:val="00092DD7"/>
    <w:rsid w:val="00092E58"/>
    <w:rsid w:val="0009348B"/>
    <w:rsid w:val="00093628"/>
    <w:rsid w:val="000937B7"/>
    <w:rsid w:val="00093A48"/>
    <w:rsid w:val="00093D56"/>
    <w:rsid w:val="00093E92"/>
    <w:rsid w:val="00093F2F"/>
    <w:rsid w:val="000944AE"/>
    <w:rsid w:val="000945B3"/>
    <w:rsid w:val="00094CDE"/>
    <w:rsid w:val="0009533A"/>
    <w:rsid w:val="000960AD"/>
    <w:rsid w:val="0009688E"/>
    <w:rsid w:val="00096BCD"/>
    <w:rsid w:val="00097141"/>
    <w:rsid w:val="00097399"/>
    <w:rsid w:val="0009739E"/>
    <w:rsid w:val="0009750D"/>
    <w:rsid w:val="000979F4"/>
    <w:rsid w:val="00097EE5"/>
    <w:rsid w:val="000A027E"/>
    <w:rsid w:val="000A050C"/>
    <w:rsid w:val="000A05C4"/>
    <w:rsid w:val="000A0F4F"/>
    <w:rsid w:val="000A161F"/>
    <w:rsid w:val="000A18F1"/>
    <w:rsid w:val="000A19A8"/>
    <w:rsid w:val="000A1F7B"/>
    <w:rsid w:val="000A232E"/>
    <w:rsid w:val="000A245D"/>
    <w:rsid w:val="000A253B"/>
    <w:rsid w:val="000A2694"/>
    <w:rsid w:val="000A2714"/>
    <w:rsid w:val="000A27E5"/>
    <w:rsid w:val="000A2DC7"/>
    <w:rsid w:val="000A2EF1"/>
    <w:rsid w:val="000A2F25"/>
    <w:rsid w:val="000A3053"/>
    <w:rsid w:val="000A313D"/>
    <w:rsid w:val="000A3399"/>
    <w:rsid w:val="000A3413"/>
    <w:rsid w:val="000A3439"/>
    <w:rsid w:val="000A3681"/>
    <w:rsid w:val="000A369E"/>
    <w:rsid w:val="000A36A5"/>
    <w:rsid w:val="000A375D"/>
    <w:rsid w:val="000A3A11"/>
    <w:rsid w:val="000A3AF6"/>
    <w:rsid w:val="000A3B48"/>
    <w:rsid w:val="000A3C7C"/>
    <w:rsid w:val="000A3C85"/>
    <w:rsid w:val="000A3D99"/>
    <w:rsid w:val="000A3F4C"/>
    <w:rsid w:val="000A4109"/>
    <w:rsid w:val="000A4147"/>
    <w:rsid w:val="000A41A2"/>
    <w:rsid w:val="000A428C"/>
    <w:rsid w:val="000A42E6"/>
    <w:rsid w:val="000A4AF8"/>
    <w:rsid w:val="000A4E1F"/>
    <w:rsid w:val="000A516B"/>
    <w:rsid w:val="000A52D8"/>
    <w:rsid w:val="000A53B6"/>
    <w:rsid w:val="000A571A"/>
    <w:rsid w:val="000A5D44"/>
    <w:rsid w:val="000A5E13"/>
    <w:rsid w:val="000A612B"/>
    <w:rsid w:val="000A6609"/>
    <w:rsid w:val="000A6708"/>
    <w:rsid w:val="000A6929"/>
    <w:rsid w:val="000A6ABF"/>
    <w:rsid w:val="000A6B21"/>
    <w:rsid w:val="000A6DFA"/>
    <w:rsid w:val="000A6F8A"/>
    <w:rsid w:val="000A6FBD"/>
    <w:rsid w:val="000A7200"/>
    <w:rsid w:val="000A7333"/>
    <w:rsid w:val="000A738B"/>
    <w:rsid w:val="000A743E"/>
    <w:rsid w:val="000A74CD"/>
    <w:rsid w:val="000A7A0C"/>
    <w:rsid w:val="000A7B68"/>
    <w:rsid w:val="000A7BB1"/>
    <w:rsid w:val="000A7EA5"/>
    <w:rsid w:val="000B0766"/>
    <w:rsid w:val="000B0B88"/>
    <w:rsid w:val="000B0F8D"/>
    <w:rsid w:val="000B10C6"/>
    <w:rsid w:val="000B111E"/>
    <w:rsid w:val="000B1138"/>
    <w:rsid w:val="000B12EB"/>
    <w:rsid w:val="000B140F"/>
    <w:rsid w:val="000B14E8"/>
    <w:rsid w:val="000B159D"/>
    <w:rsid w:val="000B168F"/>
    <w:rsid w:val="000B16D8"/>
    <w:rsid w:val="000B194B"/>
    <w:rsid w:val="000B1A93"/>
    <w:rsid w:val="000B206B"/>
    <w:rsid w:val="000B20D1"/>
    <w:rsid w:val="000B2168"/>
    <w:rsid w:val="000B21D2"/>
    <w:rsid w:val="000B2254"/>
    <w:rsid w:val="000B22D5"/>
    <w:rsid w:val="000B2480"/>
    <w:rsid w:val="000B24B1"/>
    <w:rsid w:val="000B24F2"/>
    <w:rsid w:val="000B2742"/>
    <w:rsid w:val="000B2BE3"/>
    <w:rsid w:val="000B2F0E"/>
    <w:rsid w:val="000B30A1"/>
    <w:rsid w:val="000B32B2"/>
    <w:rsid w:val="000B3492"/>
    <w:rsid w:val="000B35EA"/>
    <w:rsid w:val="000B3659"/>
    <w:rsid w:val="000B376F"/>
    <w:rsid w:val="000B3777"/>
    <w:rsid w:val="000B388B"/>
    <w:rsid w:val="000B4005"/>
    <w:rsid w:val="000B4064"/>
    <w:rsid w:val="000B44AC"/>
    <w:rsid w:val="000B4681"/>
    <w:rsid w:val="000B47BF"/>
    <w:rsid w:val="000B47F0"/>
    <w:rsid w:val="000B499E"/>
    <w:rsid w:val="000B4FAD"/>
    <w:rsid w:val="000B50D0"/>
    <w:rsid w:val="000B5175"/>
    <w:rsid w:val="000B5180"/>
    <w:rsid w:val="000B5589"/>
    <w:rsid w:val="000B568D"/>
    <w:rsid w:val="000B56CD"/>
    <w:rsid w:val="000B5811"/>
    <w:rsid w:val="000B5867"/>
    <w:rsid w:val="000B5AE9"/>
    <w:rsid w:val="000B61BA"/>
    <w:rsid w:val="000B636B"/>
    <w:rsid w:val="000B67AF"/>
    <w:rsid w:val="000B6867"/>
    <w:rsid w:val="000B695D"/>
    <w:rsid w:val="000B6B69"/>
    <w:rsid w:val="000B6BC5"/>
    <w:rsid w:val="000B6D3A"/>
    <w:rsid w:val="000B6F36"/>
    <w:rsid w:val="000B71E1"/>
    <w:rsid w:val="000B74A6"/>
    <w:rsid w:val="000B769B"/>
    <w:rsid w:val="000B79CE"/>
    <w:rsid w:val="000B7A09"/>
    <w:rsid w:val="000B7A4D"/>
    <w:rsid w:val="000B7A75"/>
    <w:rsid w:val="000B7A9A"/>
    <w:rsid w:val="000B7AE9"/>
    <w:rsid w:val="000B7AED"/>
    <w:rsid w:val="000C0142"/>
    <w:rsid w:val="000C03CD"/>
    <w:rsid w:val="000C05C6"/>
    <w:rsid w:val="000C0987"/>
    <w:rsid w:val="000C0AFE"/>
    <w:rsid w:val="000C0CB8"/>
    <w:rsid w:val="000C0F62"/>
    <w:rsid w:val="000C10D5"/>
    <w:rsid w:val="000C10F6"/>
    <w:rsid w:val="000C11CC"/>
    <w:rsid w:val="000C12D7"/>
    <w:rsid w:val="000C1696"/>
    <w:rsid w:val="000C185F"/>
    <w:rsid w:val="000C1BE0"/>
    <w:rsid w:val="000C1CD0"/>
    <w:rsid w:val="000C1E0A"/>
    <w:rsid w:val="000C1E64"/>
    <w:rsid w:val="000C1FE4"/>
    <w:rsid w:val="000C264C"/>
    <w:rsid w:val="000C2658"/>
    <w:rsid w:val="000C29E7"/>
    <w:rsid w:val="000C2ACF"/>
    <w:rsid w:val="000C2B8C"/>
    <w:rsid w:val="000C2D18"/>
    <w:rsid w:val="000C2DA9"/>
    <w:rsid w:val="000C2E08"/>
    <w:rsid w:val="000C2F65"/>
    <w:rsid w:val="000C341C"/>
    <w:rsid w:val="000C34EC"/>
    <w:rsid w:val="000C356D"/>
    <w:rsid w:val="000C35E1"/>
    <w:rsid w:val="000C3638"/>
    <w:rsid w:val="000C3650"/>
    <w:rsid w:val="000C3719"/>
    <w:rsid w:val="000C375A"/>
    <w:rsid w:val="000C3860"/>
    <w:rsid w:val="000C3ACD"/>
    <w:rsid w:val="000C3D99"/>
    <w:rsid w:val="000C3DCB"/>
    <w:rsid w:val="000C3DD4"/>
    <w:rsid w:val="000C45FF"/>
    <w:rsid w:val="000C4CD6"/>
    <w:rsid w:val="000C4DDC"/>
    <w:rsid w:val="000C5B52"/>
    <w:rsid w:val="000C5B85"/>
    <w:rsid w:val="000C5D7B"/>
    <w:rsid w:val="000C5EE4"/>
    <w:rsid w:val="000C5EF8"/>
    <w:rsid w:val="000C668E"/>
    <w:rsid w:val="000C6777"/>
    <w:rsid w:val="000C6A40"/>
    <w:rsid w:val="000C6ABB"/>
    <w:rsid w:val="000C72B3"/>
    <w:rsid w:val="000C7305"/>
    <w:rsid w:val="000C7336"/>
    <w:rsid w:val="000C743C"/>
    <w:rsid w:val="000C7654"/>
    <w:rsid w:val="000C7883"/>
    <w:rsid w:val="000C790C"/>
    <w:rsid w:val="000C793A"/>
    <w:rsid w:val="000C7B1E"/>
    <w:rsid w:val="000C7F42"/>
    <w:rsid w:val="000D0023"/>
    <w:rsid w:val="000D01AA"/>
    <w:rsid w:val="000D0218"/>
    <w:rsid w:val="000D0480"/>
    <w:rsid w:val="000D0661"/>
    <w:rsid w:val="000D0749"/>
    <w:rsid w:val="000D085A"/>
    <w:rsid w:val="000D0A81"/>
    <w:rsid w:val="000D122A"/>
    <w:rsid w:val="000D161B"/>
    <w:rsid w:val="000D169F"/>
    <w:rsid w:val="000D18A0"/>
    <w:rsid w:val="000D1988"/>
    <w:rsid w:val="000D199E"/>
    <w:rsid w:val="000D19F0"/>
    <w:rsid w:val="000D1AB4"/>
    <w:rsid w:val="000D1D6E"/>
    <w:rsid w:val="000D2138"/>
    <w:rsid w:val="000D2189"/>
    <w:rsid w:val="000D21B1"/>
    <w:rsid w:val="000D266B"/>
    <w:rsid w:val="000D26D4"/>
    <w:rsid w:val="000D2F5C"/>
    <w:rsid w:val="000D31D0"/>
    <w:rsid w:val="000D321F"/>
    <w:rsid w:val="000D32C8"/>
    <w:rsid w:val="000D34C8"/>
    <w:rsid w:val="000D35B4"/>
    <w:rsid w:val="000D381F"/>
    <w:rsid w:val="000D3854"/>
    <w:rsid w:val="000D39EF"/>
    <w:rsid w:val="000D3B0F"/>
    <w:rsid w:val="000D3C55"/>
    <w:rsid w:val="000D3C9B"/>
    <w:rsid w:val="000D3CC2"/>
    <w:rsid w:val="000D3D97"/>
    <w:rsid w:val="000D3DBE"/>
    <w:rsid w:val="000D418A"/>
    <w:rsid w:val="000D43BC"/>
    <w:rsid w:val="000D4628"/>
    <w:rsid w:val="000D46EF"/>
    <w:rsid w:val="000D4705"/>
    <w:rsid w:val="000D4793"/>
    <w:rsid w:val="000D4895"/>
    <w:rsid w:val="000D48E9"/>
    <w:rsid w:val="000D5198"/>
    <w:rsid w:val="000D51D6"/>
    <w:rsid w:val="000D5375"/>
    <w:rsid w:val="000D593F"/>
    <w:rsid w:val="000D5BC6"/>
    <w:rsid w:val="000D65D3"/>
    <w:rsid w:val="000D6651"/>
    <w:rsid w:val="000D6726"/>
    <w:rsid w:val="000D68F0"/>
    <w:rsid w:val="000D6A84"/>
    <w:rsid w:val="000D6B8C"/>
    <w:rsid w:val="000D7093"/>
    <w:rsid w:val="000D746C"/>
    <w:rsid w:val="000D7979"/>
    <w:rsid w:val="000D79E5"/>
    <w:rsid w:val="000D7A42"/>
    <w:rsid w:val="000D7A9C"/>
    <w:rsid w:val="000D7FF6"/>
    <w:rsid w:val="000E00E1"/>
    <w:rsid w:val="000E0135"/>
    <w:rsid w:val="000E0181"/>
    <w:rsid w:val="000E01E8"/>
    <w:rsid w:val="000E0388"/>
    <w:rsid w:val="000E0414"/>
    <w:rsid w:val="000E04CE"/>
    <w:rsid w:val="000E0545"/>
    <w:rsid w:val="000E06C6"/>
    <w:rsid w:val="000E0799"/>
    <w:rsid w:val="000E07AE"/>
    <w:rsid w:val="000E07CD"/>
    <w:rsid w:val="000E0833"/>
    <w:rsid w:val="000E0901"/>
    <w:rsid w:val="000E09B0"/>
    <w:rsid w:val="000E0AC7"/>
    <w:rsid w:val="000E0B49"/>
    <w:rsid w:val="000E0B79"/>
    <w:rsid w:val="000E0CF4"/>
    <w:rsid w:val="000E0E6C"/>
    <w:rsid w:val="000E0EEC"/>
    <w:rsid w:val="000E1069"/>
    <w:rsid w:val="000E1401"/>
    <w:rsid w:val="000E15B5"/>
    <w:rsid w:val="000E17CB"/>
    <w:rsid w:val="000E1CB4"/>
    <w:rsid w:val="000E1CF2"/>
    <w:rsid w:val="000E21D0"/>
    <w:rsid w:val="000E23AC"/>
    <w:rsid w:val="000E287A"/>
    <w:rsid w:val="000E28B5"/>
    <w:rsid w:val="000E29AB"/>
    <w:rsid w:val="000E2C3F"/>
    <w:rsid w:val="000E2C9A"/>
    <w:rsid w:val="000E2F02"/>
    <w:rsid w:val="000E3155"/>
    <w:rsid w:val="000E322B"/>
    <w:rsid w:val="000E3279"/>
    <w:rsid w:val="000E3585"/>
    <w:rsid w:val="000E383F"/>
    <w:rsid w:val="000E3CEE"/>
    <w:rsid w:val="000E3EC4"/>
    <w:rsid w:val="000E4089"/>
    <w:rsid w:val="000E41CB"/>
    <w:rsid w:val="000E4342"/>
    <w:rsid w:val="000E485C"/>
    <w:rsid w:val="000E4A22"/>
    <w:rsid w:val="000E4A45"/>
    <w:rsid w:val="000E4B90"/>
    <w:rsid w:val="000E5281"/>
    <w:rsid w:val="000E5AC8"/>
    <w:rsid w:val="000E5ED3"/>
    <w:rsid w:val="000E5F82"/>
    <w:rsid w:val="000E5FDB"/>
    <w:rsid w:val="000E608E"/>
    <w:rsid w:val="000E66DD"/>
    <w:rsid w:val="000E6825"/>
    <w:rsid w:val="000E697E"/>
    <w:rsid w:val="000E6E11"/>
    <w:rsid w:val="000E6F0C"/>
    <w:rsid w:val="000E7019"/>
    <w:rsid w:val="000E7029"/>
    <w:rsid w:val="000E7085"/>
    <w:rsid w:val="000E732F"/>
    <w:rsid w:val="000E7A9F"/>
    <w:rsid w:val="000F030E"/>
    <w:rsid w:val="000F0549"/>
    <w:rsid w:val="000F07C8"/>
    <w:rsid w:val="000F08AD"/>
    <w:rsid w:val="000F08F6"/>
    <w:rsid w:val="000F16A5"/>
    <w:rsid w:val="000F17E3"/>
    <w:rsid w:val="000F1A5A"/>
    <w:rsid w:val="000F1B54"/>
    <w:rsid w:val="000F1C86"/>
    <w:rsid w:val="000F2220"/>
    <w:rsid w:val="000F243A"/>
    <w:rsid w:val="000F2534"/>
    <w:rsid w:val="000F313A"/>
    <w:rsid w:val="000F316E"/>
    <w:rsid w:val="000F34E4"/>
    <w:rsid w:val="000F3652"/>
    <w:rsid w:val="000F3A43"/>
    <w:rsid w:val="000F48B7"/>
    <w:rsid w:val="000F49F4"/>
    <w:rsid w:val="000F5325"/>
    <w:rsid w:val="000F540A"/>
    <w:rsid w:val="000F5B89"/>
    <w:rsid w:val="000F5C18"/>
    <w:rsid w:val="000F664C"/>
    <w:rsid w:val="000F664D"/>
    <w:rsid w:val="000F67C7"/>
    <w:rsid w:val="000F68F8"/>
    <w:rsid w:val="000F6941"/>
    <w:rsid w:val="000F6B3C"/>
    <w:rsid w:val="000F6BCA"/>
    <w:rsid w:val="000F6C4A"/>
    <w:rsid w:val="000F6D04"/>
    <w:rsid w:val="000F76E2"/>
    <w:rsid w:val="000F7B0C"/>
    <w:rsid w:val="000F7D8E"/>
    <w:rsid w:val="000F7E47"/>
    <w:rsid w:val="0010002A"/>
    <w:rsid w:val="001001A3"/>
    <w:rsid w:val="00100343"/>
    <w:rsid w:val="00100429"/>
    <w:rsid w:val="00100441"/>
    <w:rsid w:val="001007BF"/>
    <w:rsid w:val="00100802"/>
    <w:rsid w:val="0010086D"/>
    <w:rsid w:val="00100B04"/>
    <w:rsid w:val="00100D09"/>
    <w:rsid w:val="00100F9B"/>
    <w:rsid w:val="0010143F"/>
    <w:rsid w:val="001018A8"/>
    <w:rsid w:val="0010190A"/>
    <w:rsid w:val="00102014"/>
    <w:rsid w:val="00102787"/>
    <w:rsid w:val="00102993"/>
    <w:rsid w:val="00102B10"/>
    <w:rsid w:val="00102BA5"/>
    <w:rsid w:val="00102BEE"/>
    <w:rsid w:val="0010309D"/>
    <w:rsid w:val="001031BA"/>
    <w:rsid w:val="00103264"/>
    <w:rsid w:val="00103368"/>
    <w:rsid w:val="00103411"/>
    <w:rsid w:val="00103771"/>
    <w:rsid w:val="00103A16"/>
    <w:rsid w:val="00103AAF"/>
    <w:rsid w:val="00103B20"/>
    <w:rsid w:val="00103BB8"/>
    <w:rsid w:val="00103D4F"/>
    <w:rsid w:val="00103D91"/>
    <w:rsid w:val="001040CB"/>
    <w:rsid w:val="00104264"/>
    <w:rsid w:val="001043AA"/>
    <w:rsid w:val="001049A4"/>
    <w:rsid w:val="00104A1D"/>
    <w:rsid w:val="00104FBE"/>
    <w:rsid w:val="00104FE4"/>
    <w:rsid w:val="001054F7"/>
    <w:rsid w:val="001056CE"/>
    <w:rsid w:val="00105895"/>
    <w:rsid w:val="001059D6"/>
    <w:rsid w:val="00105A48"/>
    <w:rsid w:val="00105D1A"/>
    <w:rsid w:val="00105FCF"/>
    <w:rsid w:val="001063F0"/>
    <w:rsid w:val="00106411"/>
    <w:rsid w:val="0010651F"/>
    <w:rsid w:val="0010659B"/>
    <w:rsid w:val="00106888"/>
    <w:rsid w:val="001069A7"/>
    <w:rsid w:val="001069CF"/>
    <w:rsid w:val="00107448"/>
    <w:rsid w:val="00107541"/>
    <w:rsid w:val="00107623"/>
    <w:rsid w:val="00107C3D"/>
    <w:rsid w:val="00107C94"/>
    <w:rsid w:val="00107E4E"/>
    <w:rsid w:val="00110125"/>
    <w:rsid w:val="001106E3"/>
    <w:rsid w:val="001108AD"/>
    <w:rsid w:val="00110A2F"/>
    <w:rsid w:val="00110DA6"/>
    <w:rsid w:val="00110DBB"/>
    <w:rsid w:val="00111126"/>
    <w:rsid w:val="001111D0"/>
    <w:rsid w:val="001112DA"/>
    <w:rsid w:val="001112FE"/>
    <w:rsid w:val="0011144D"/>
    <w:rsid w:val="0011157D"/>
    <w:rsid w:val="00111667"/>
    <w:rsid w:val="0011173D"/>
    <w:rsid w:val="00111951"/>
    <w:rsid w:val="00111D9F"/>
    <w:rsid w:val="00111F96"/>
    <w:rsid w:val="001120B5"/>
    <w:rsid w:val="00112359"/>
    <w:rsid w:val="001125E5"/>
    <w:rsid w:val="00112863"/>
    <w:rsid w:val="001129BB"/>
    <w:rsid w:val="00112E6E"/>
    <w:rsid w:val="00112F1A"/>
    <w:rsid w:val="00113155"/>
    <w:rsid w:val="00113216"/>
    <w:rsid w:val="001132D5"/>
    <w:rsid w:val="00113390"/>
    <w:rsid w:val="00113408"/>
    <w:rsid w:val="001136A7"/>
    <w:rsid w:val="001138EE"/>
    <w:rsid w:val="001139E8"/>
    <w:rsid w:val="00113B7B"/>
    <w:rsid w:val="00113B9A"/>
    <w:rsid w:val="00113C4A"/>
    <w:rsid w:val="00113D4A"/>
    <w:rsid w:val="00113E97"/>
    <w:rsid w:val="00113E9B"/>
    <w:rsid w:val="001147D5"/>
    <w:rsid w:val="00114A5F"/>
    <w:rsid w:val="00114AD9"/>
    <w:rsid w:val="00114C32"/>
    <w:rsid w:val="00115124"/>
    <w:rsid w:val="00115422"/>
    <w:rsid w:val="00115840"/>
    <w:rsid w:val="001158E8"/>
    <w:rsid w:val="00115B2B"/>
    <w:rsid w:val="00115D20"/>
    <w:rsid w:val="00115D55"/>
    <w:rsid w:val="00115F86"/>
    <w:rsid w:val="00116114"/>
    <w:rsid w:val="00116262"/>
    <w:rsid w:val="00116362"/>
    <w:rsid w:val="001163AD"/>
    <w:rsid w:val="00116DE1"/>
    <w:rsid w:val="00116DEB"/>
    <w:rsid w:val="00116FEE"/>
    <w:rsid w:val="001172AF"/>
    <w:rsid w:val="00117306"/>
    <w:rsid w:val="001176CB"/>
    <w:rsid w:val="001200DA"/>
    <w:rsid w:val="001201BE"/>
    <w:rsid w:val="001207EC"/>
    <w:rsid w:val="00120966"/>
    <w:rsid w:val="00120BD6"/>
    <w:rsid w:val="00120F68"/>
    <w:rsid w:val="001213AE"/>
    <w:rsid w:val="00121609"/>
    <w:rsid w:val="00121AAE"/>
    <w:rsid w:val="0012212C"/>
    <w:rsid w:val="001221C9"/>
    <w:rsid w:val="001225EF"/>
    <w:rsid w:val="001225FA"/>
    <w:rsid w:val="001226CC"/>
    <w:rsid w:val="00122869"/>
    <w:rsid w:val="00122A1D"/>
    <w:rsid w:val="00122A30"/>
    <w:rsid w:val="00122BDD"/>
    <w:rsid w:val="00122C04"/>
    <w:rsid w:val="00122CD7"/>
    <w:rsid w:val="001236CF"/>
    <w:rsid w:val="00123702"/>
    <w:rsid w:val="00123795"/>
    <w:rsid w:val="001237AD"/>
    <w:rsid w:val="00123A54"/>
    <w:rsid w:val="00123BFA"/>
    <w:rsid w:val="00123D80"/>
    <w:rsid w:val="00123E81"/>
    <w:rsid w:val="001240E8"/>
    <w:rsid w:val="001245C8"/>
    <w:rsid w:val="0012467D"/>
    <w:rsid w:val="001246B8"/>
    <w:rsid w:val="0012508B"/>
    <w:rsid w:val="0012523C"/>
    <w:rsid w:val="0012553A"/>
    <w:rsid w:val="00125673"/>
    <w:rsid w:val="0012573B"/>
    <w:rsid w:val="0012585A"/>
    <w:rsid w:val="00125B89"/>
    <w:rsid w:val="0012617D"/>
    <w:rsid w:val="0012645A"/>
    <w:rsid w:val="001264D1"/>
    <w:rsid w:val="00126524"/>
    <w:rsid w:val="00126945"/>
    <w:rsid w:val="00126ECF"/>
    <w:rsid w:val="0012701F"/>
    <w:rsid w:val="00127471"/>
    <w:rsid w:val="0012751D"/>
    <w:rsid w:val="0012779A"/>
    <w:rsid w:val="001277A7"/>
    <w:rsid w:val="001278E2"/>
    <w:rsid w:val="001279AE"/>
    <w:rsid w:val="00127AF3"/>
    <w:rsid w:val="00127EC6"/>
    <w:rsid w:val="0013040C"/>
    <w:rsid w:val="00130522"/>
    <w:rsid w:val="001306A5"/>
    <w:rsid w:val="00130879"/>
    <w:rsid w:val="00130949"/>
    <w:rsid w:val="00130A8B"/>
    <w:rsid w:val="00131172"/>
    <w:rsid w:val="0013141C"/>
    <w:rsid w:val="001316BF"/>
    <w:rsid w:val="00131D18"/>
    <w:rsid w:val="00131FC6"/>
    <w:rsid w:val="001320CB"/>
    <w:rsid w:val="001321BE"/>
    <w:rsid w:val="001323D6"/>
    <w:rsid w:val="00132402"/>
    <w:rsid w:val="00132403"/>
    <w:rsid w:val="001324C3"/>
    <w:rsid w:val="001328C6"/>
    <w:rsid w:val="00132A82"/>
    <w:rsid w:val="00132D82"/>
    <w:rsid w:val="001331F0"/>
    <w:rsid w:val="001335EE"/>
    <w:rsid w:val="0013385A"/>
    <w:rsid w:val="001338E4"/>
    <w:rsid w:val="00133B1C"/>
    <w:rsid w:val="00134087"/>
    <w:rsid w:val="001340AD"/>
    <w:rsid w:val="00134157"/>
    <w:rsid w:val="00134240"/>
    <w:rsid w:val="001343ED"/>
    <w:rsid w:val="001346AC"/>
    <w:rsid w:val="00134730"/>
    <w:rsid w:val="0013481E"/>
    <w:rsid w:val="00134B76"/>
    <w:rsid w:val="00134DEF"/>
    <w:rsid w:val="00134F2A"/>
    <w:rsid w:val="00135050"/>
    <w:rsid w:val="00135344"/>
    <w:rsid w:val="00135852"/>
    <w:rsid w:val="00135861"/>
    <w:rsid w:val="00135AB8"/>
    <w:rsid w:val="00136399"/>
    <w:rsid w:val="00136632"/>
    <w:rsid w:val="0013672D"/>
    <w:rsid w:val="001369B5"/>
    <w:rsid w:val="00136B71"/>
    <w:rsid w:val="00136C15"/>
    <w:rsid w:val="00136C98"/>
    <w:rsid w:val="00136DBE"/>
    <w:rsid w:val="00136E76"/>
    <w:rsid w:val="00136F0F"/>
    <w:rsid w:val="00136FD5"/>
    <w:rsid w:val="0013750D"/>
    <w:rsid w:val="001376CB"/>
    <w:rsid w:val="00137A43"/>
    <w:rsid w:val="00137CE4"/>
    <w:rsid w:val="00140120"/>
    <w:rsid w:val="0014037F"/>
    <w:rsid w:val="00140A20"/>
    <w:rsid w:val="00140E44"/>
    <w:rsid w:val="001411A5"/>
    <w:rsid w:val="001412DE"/>
    <w:rsid w:val="001416A1"/>
    <w:rsid w:val="00141819"/>
    <w:rsid w:val="00141B19"/>
    <w:rsid w:val="00141B8C"/>
    <w:rsid w:val="00141BBA"/>
    <w:rsid w:val="00141E39"/>
    <w:rsid w:val="00141E7A"/>
    <w:rsid w:val="00141EFB"/>
    <w:rsid w:val="00141F65"/>
    <w:rsid w:val="00142634"/>
    <w:rsid w:val="001427CC"/>
    <w:rsid w:val="00142EC6"/>
    <w:rsid w:val="0014313D"/>
    <w:rsid w:val="0014335E"/>
    <w:rsid w:val="001435B9"/>
    <w:rsid w:val="001436A4"/>
    <w:rsid w:val="001436C3"/>
    <w:rsid w:val="001437CE"/>
    <w:rsid w:val="00143947"/>
    <w:rsid w:val="00143A6D"/>
    <w:rsid w:val="00143BFC"/>
    <w:rsid w:val="00143C08"/>
    <w:rsid w:val="00143F54"/>
    <w:rsid w:val="0014418A"/>
    <w:rsid w:val="0014434E"/>
    <w:rsid w:val="0014442A"/>
    <w:rsid w:val="001447BA"/>
    <w:rsid w:val="00144A1D"/>
    <w:rsid w:val="00144ECB"/>
    <w:rsid w:val="001456CD"/>
    <w:rsid w:val="00145733"/>
    <w:rsid w:val="00145A73"/>
    <w:rsid w:val="00145A98"/>
    <w:rsid w:val="00145AAB"/>
    <w:rsid w:val="00145BF5"/>
    <w:rsid w:val="00146114"/>
    <w:rsid w:val="001462D0"/>
    <w:rsid w:val="001463F7"/>
    <w:rsid w:val="001468C6"/>
    <w:rsid w:val="001468CF"/>
    <w:rsid w:val="00146C47"/>
    <w:rsid w:val="00146F3C"/>
    <w:rsid w:val="00147522"/>
    <w:rsid w:val="001475EB"/>
    <w:rsid w:val="00147BAF"/>
    <w:rsid w:val="00147C23"/>
    <w:rsid w:val="0015038B"/>
    <w:rsid w:val="0015082C"/>
    <w:rsid w:val="00150968"/>
    <w:rsid w:val="00150B04"/>
    <w:rsid w:val="00150CFB"/>
    <w:rsid w:val="00150D38"/>
    <w:rsid w:val="00150E0A"/>
    <w:rsid w:val="00150E8B"/>
    <w:rsid w:val="0015150F"/>
    <w:rsid w:val="0015159A"/>
    <w:rsid w:val="00151729"/>
    <w:rsid w:val="001517DD"/>
    <w:rsid w:val="00151EE6"/>
    <w:rsid w:val="00152028"/>
    <w:rsid w:val="001520D7"/>
    <w:rsid w:val="0015243A"/>
    <w:rsid w:val="0015247C"/>
    <w:rsid w:val="001524AC"/>
    <w:rsid w:val="0015252D"/>
    <w:rsid w:val="00152635"/>
    <w:rsid w:val="00152739"/>
    <w:rsid w:val="00152E2C"/>
    <w:rsid w:val="0015354C"/>
    <w:rsid w:val="00153738"/>
    <w:rsid w:val="00153816"/>
    <w:rsid w:val="00153A0D"/>
    <w:rsid w:val="00153A2E"/>
    <w:rsid w:val="00153A3C"/>
    <w:rsid w:val="00153BEE"/>
    <w:rsid w:val="00153D4E"/>
    <w:rsid w:val="00153DD5"/>
    <w:rsid w:val="00153E0E"/>
    <w:rsid w:val="00153E2F"/>
    <w:rsid w:val="00153EDB"/>
    <w:rsid w:val="00153FD8"/>
    <w:rsid w:val="001541D0"/>
    <w:rsid w:val="0015435F"/>
    <w:rsid w:val="001544A2"/>
    <w:rsid w:val="001544AA"/>
    <w:rsid w:val="001546E2"/>
    <w:rsid w:val="00154735"/>
    <w:rsid w:val="0015483B"/>
    <w:rsid w:val="00154AA2"/>
    <w:rsid w:val="00154CA4"/>
    <w:rsid w:val="00154D2F"/>
    <w:rsid w:val="00154F73"/>
    <w:rsid w:val="0015503A"/>
    <w:rsid w:val="001550DF"/>
    <w:rsid w:val="001551E5"/>
    <w:rsid w:val="001557F0"/>
    <w:rsid w:val="00155D95"/>
    <w:rsid w:val="00155D9A"/>
    <w:rsid w:val="001561B0"/>
    <w:rsid w:val="001563C1"/>
    <w:rsid w:val="00156589"/>
    <w:rsid w:val="001566C6"/>
    <w:rsid w:val="00156B2C"/>
    <w:rsid w:val="00156C73"/>
    <w:rsid w:val="00156DC8"/>
    <w:rsid w:val="00156F8A"/>
    <w:rsid w:val="00156FF9"/>
    <w:rsid w:val="0015702F"/>
    <w:rsid w:val="0015706C"/>
    <w:rsid w:val="00157105"/>
    <w:rsid w:val="001572A2"/>
    <w:rsid w:val="0015758F"/>
    <w:rsid w:val="00157636"/>
    <w:rsid w:val="001577CE"/>
    <w:rsid w:val="00157F16"/>
    <w:rsid w:val="00160084"/>
    <w:rsid w:val="001600C0"/>
    <w:rsid w:val="00160135"/>
    <w:rsid w:val="00160736"/>
    <w:rsid w:val="001609A4"/>
    <w:rsid w:val="00160B61"/>
    <w:rsid w:val="00160C4A"/>
    <w:rsid w:val="00160DB0"/>
    <w:rsid w:val="00160EE9"/>
    <w:rsid w:val="00160F61"/>
    <w:rsid w:val="00160F82"/>
    <w:rsid w:val="001613EF"/>
    <w:rsid w:val="00161534"/>
    <w:rsid w:val="00161A0C"/>
    <w:rsid w:val="00161A5D"/>
    <w:rsid w:val="00161A60"/>
    <w:rsid w:val="00161C1D"/>
    <w:rsid w:val="00161D47"/>
    <w:rsid w:val="00161E85"/>
    <w:rsid w:val="00161EFF"/>
    <w:rsid w:val="001621B8"/>
    <w:rsid w:val="00162321"/>
    <w:rsid w:val="001623D3"/>
    <w:rsid w:val="001627AA"/>
    <w:rsid w:val="001628F1"/>
    <w:rsid w:val="00162929"/>
    <w:rsid w:val="00163345"/>
    <w:rsid w:val="00163395"/>
    <w:rsid w:val="00163439"/>
    <w:rsid w:val="00163570"/>
    <w:rsid w:val="00163598"/>
    <w:rsid w:val="00163682"/>
    <w:rsid w:val="00163E77"/>
    <w:rsid w:val="001646B4"/>
    <w:rsid w:val="00164B6B"/>
    <w:rsid w:val="00164F03"/>
    <w:rsid w:val="001652A3"/>
    <w:rsid w:val="001652DD"/>
    <w:rsid w:val="001653E5"/>
    <w:rsid w:val="001656AF"/>
    <w:rsid w:val="00165A49"/>
    <w:rsid w:val="00166337"/>
    <w:rsid w:val="00166739"/>
    <w:rsid w:val="001667A9"/>
    <w:rsid w:val="00166A73"/>
    <w:rsid w:val="00166CA0"/>
    <w:rsid w:val="00167096"/>
    <w:rsid w:val="001675AA"/>
    <w:rsid w:val="00167AC1"/>
    <w:rsid w:val="00167C7D"/>
    <w:rsid w:val="00167E65"/>
    <w:rsid w:val="00170015"/>
    <w:rsid w:val="001701AB"/>
    <w:rsid w:val="00170232"/>
    <w:rsid w:val="0017041C"/>
    <w:rsid w:val="0017087C"/>
    <w:rsid w:val="001709D4"/>
    <w:rsid w:val="00170A15"/>
    <w:rsid w:val="00170B51"/>
    <w:rsid w:val="00170C80"/>
    <w:rsid w:val="00170E17"/>
    <w:rsid w:val="0017100C"/>
    <w:rsid w:val="0017106E"/>
    <w:rsid w:val="001717AA"/>
    <w:rsid w:val="00171918"/>
    <w:rsid w:val="00171BD9"/>
    <w:rsid w:val="00171E99"/>
    <w:rsid w:val="001721B7"/>
    <w:rsid w:val="00172454"/>
    <w:rsid w:val="0017265D"/>
    <w:rsid w:val="001728A9"/>
    <w:rsid w:val="00172AC4"/>
    <w:rsid w:val="00172E47"/>
    <w:rsid w:val="00173027"/>
    <w:rsid w:val="0017303B"/>
    <w:rsid w:val="00173435"/>
    <w:rsid w:val="001734A9"/>
    <w:rsid w:val="00173577"/>
    <w:rsid w:val="00173771"/>
    <w:rsid w:val="001738D7"/>
    <w:rsid w:val="00173A7B"/>
    <w:rsid w:val="00173E55"/>
    <w:rsid w:val="00174058"/>
    <w:rsid w:val="0017415A"/>
    <w:rsid w:val="001742D8"/>
    <w:rsid w:val="001744FF"/>
    <w:rsid w:val="00174557"/>
    <w:rsid w:val="001747F0"/>
    <w:rsid w:val="00174C97"/>
    <w:rsid w:val="0017529C"/>
    <w:rsid w:val="001752DB"/>
    <w:rsid w:val="0017564E"/>
    <w:rsid w:val="00175AC8"/>
    <w:rsid w:val="00175C05"/>
    <w:rsid w:val="00175F31"/>
    <w:rsid w:val="00175FEF"/>
    <w:rsid w:val="001760A7"/>
    <w:rsid w:val="0017616B"/>
    <w:rsid w:val="00176648"/>
    <w:rsid w:val="00176658"/>
    <w:rsid w:val="00176AA5"/>
    <w:rsid w:val="00176AAF"/>
    <w:rsid w:val="00176B45"/>
    <w:rsid w:val="00176BB1"/>
    <w:rsid w:val="00176E31"/>
    <w:rsid w:val="001770A7"/>
    <w:rsid w:val="001770E4"/>
    <w:rsid w:val="0017720E"/>
    <w:rsid w:val="001772CC"/>
    <w:rsid w:val="001774BE"/>
    <w:rsid w:val="001777D7"/>
    <w:rsid w:val="00177893"/>
    <w:rsid w:val="001778D5"/>
    <w:rsid w:val="00177940"/>
    <w:rsid w:val="00177AE3"/>
    <w:rsid w:val="00177BAB"/>
    <w:rsid w:val="00177EC3"/>
    <w:rsid w:val="001800DF"/>
    <w:rsid w:val="00180217"/>
    <w:rsid w:val="0018070A"/>
    <w:rsid w:val="00180843"/>
    <w:rsid w:val="00180B01"/>
    <w:rsid w:val="00180F3B"/>
    <w:rsid w:val="00180FB9"/>
    <w:rsid w:val="0018141A"/>
    <w:rsid w:val="001814D2"/>
    <w:rsid w:val="00181A11"/>
    <w:rsid w:val="00181C24"/>
    <w:rsid w:val="00181F4B"/>
    <w:rsid w:val="0018235F"/>
    <w:rsid w:val="0018253F"/>
    <w:rsid w:val="0018289A"/>
    <w:rsid w:val="00182D7D"/>
    <w:rsid w:val="001834B9"/>
    <w:rsid w:val="0018373E"/>
    <w:rsid w:val="001839C0"/>
    <w:rsid w:val="00183A87"/>
    <w:rsid w:val="00184221"/>
    <w:rsid w:val="0018443E"/>
    <w:rsid w:val="001846A2"/>
    <w:rsid w:val="00184B18"/>
    <w:rsid w:val="00184FAF"/>
    <w:rsid w:val="0018527F"/>
    <w:rsid w:val="001852F5"/>
    <w:rsid w:val="0018573E"/>
    <w:rsid w:val="00185C26"/>
    <w:rsid w:val="00185C35"/>
    <w:rsid w:val="00185DF2"/>
    <w:rsid w:val="00185E05"/>
    <w:rsid w:val="00185E33"/>
    <w:rsid w:val="00185FA8"/>
    <w:rsid w:val="001861A2"/>
    <w:rsid w:val="00186307"/>
    <w:rsid w:val="001863F7"/>
    <w:rsid w:val="0018640C"/>
    <w:rsid w:val="00186440"/>
    <w:rsid w:val="00186825"/>
    <w:rsid w:val="00186E32"/>
    <w:rsid w:val="00186EBC"/>
    <w:rsid w:val="00187001"/>
    <w:rsid w:val="00187186"/>
    <w:rsid w:val="001872EA"/>
    <w:rsid w:val="00187EC8"/>
    <w:rsid w:val="00190473"/>
    <w:rsid w:val="00190652"/>
    <w:rsid w:val="0019075E"/>
    <w:rsid w:val="001908B0"/>
    <w:rsid w:val="00190F41"/>
    <w:rsid w:val="0019102D"/>
    <w:rsid w:val="0019133E"/>
    <w:rsid w:val="0019157D"/>
    <w:rsid w:val="001916C0"/>
    <w:rsid w:val="00191742"/>
    <w:rsid w:val="00191820"/>
    <w:rsid w:val="00191995"/>
    <w:rsid w:val="00191B1A"/>
    <w:rsid w:val="00191D01"/>
    <w:rsid w:val="00191EE9"/>
    <w:rsid w:val="00191F88"/>
    <w:rsid w:val="0019229E"/>
    <w:rsid w:val="00192591"/>
    <w:rsid w:val="00192722"/>
    <w:rsid w:val="00192733"/>
    <w:rsid w:val="00192FF8"/>
    <w:rsid w:val="001936FD"/>
    <w:rsid w:val="0019396A"/>
    <w:rsid w:val="001942B5"/>
    <w:rsid w:val="00194366"/>
    <w:rsid w:val="0019493B"/>
    <w:rsid w:val="00194A97"/>
    <w:rsid w:val="00194F36"/>
    <w:rsid w:val="0019507E"/>
    <w:rsid w:val="001951AF"/>
    <w:rsid w:val="001952BB"/>
    <w:rsid w:val="001953F9"/>
    <w:rsid w:val="00195648"/>
    <w:rsid w:val="0019589E"/>
    <w:rsid w:val="00195989"/>
    <w:rsid w:val="00195A8C"/>
    <w:rsid w:val="00195B66"/>
    <w:rsid w:val="00195B81"/>
    <w:rsid w:val="00195C85"/>
    <w:rsid w:val="00195CB8"/>
    <w:rsid w:val="00195CB9"/>
    <w:rsid w:val="00195DA4"/>
    <w:rsid w:val="001960AF"/>
    <w:rsid w:val="001960C0"/>
    <w:rsid w:val="001962A7"/>
    <w:rsid w:val="00196895"/>
    <w:rsid w:val="00196BB5"/>
    <w:rsid w:val="00197248"/>
    <w:rsid w:val="00197264"/>
    <w:rsid w:val="001975AE"/>
    <w:rsid w:val="0019764B"/>
    <w:rsid w:val="00197D31"/>
    <w:rsid w:val="00197F2E"/>
    <w:rsid w:val="001A0142"/>
    <w:rsid w:val="001A02DE"/>
    <w:rsid w:val="001A05DD"/>
    <w:rsid w:val="001A09DC"/>
    <w:rsid w:val="001A0E17"/>
    <w:rsid w:val="001A10D7"/>
    <w:rsid w:val="001A1392"/>
    <w:rsid w:val="001A1553"/>
    <w:rsid w:val="001A15AE"/>
    <w:rsid w:val="001A1665"/>
    <w:rsid w:val="001A18ED"/>
    <w:rsid w:val="001A1A5B"/>
    <w:rsid w:val="001A1F2D"/>
    <w:rsid w:val="001A1F9A"/>
    <w:rsid w:val="001A2003"/>
    <w:rsid w:val="001A2054"/>
    <w:rsid w:val="001A20DC"/>
    <w:rsid w:val="001A21C1"/>
    <w:rsid w:val="001A22C0"/>
    <w:rsid w:val="001A238A"/>
    <w:rsid w:val="001A2441"/>
    <w:rsid w:val="001A2485"/>
    <w:rsid w:val="001A2656"/>
    <w:rsid w:val="001A29B0"/>
    <w:rsid w:val="001A2D31"/>
    <w:rsid w:val="001A2E38"/>
    <w:rsid w:val="001A2F62"/>
    <w:rsid w:val="001A3230"/>
    <w:rsid w:val="001A3379"/>
    <w:rsid w:val="001A344D"/>
    <w:rsid w:val="001A364F"/>
    <w:rsid w:val="001A385A"/>
    <w:rsid w:val="001A3959"/>
    <w:rsid w:val="001A3CD9"/>
    <w:rsid w:val="001A3DC9"/>
    <w:rsid w:val="001A3E7D"/>
    <w:rsid w:val="001A4166"/>
    <w:rsid w:val="001A44F2"/>
    <w:rsid w:val="001A45F2"/>
    <w:rsid w:val="001A471D"/>
    <w:rsid w:val="001A4997"/>
    <w:rsid w:val="001A4BA0"/>
    <w:rsid w:val="001A4C70"/>
    <w:rsid w:val="001A4F07"/>
    <w:rsid w:val="001A4F4C"/>
    <w:rsid w:val="001A5C97"/>
    <w:rsid w:val="001A5E3C"/>
    <w:rsid w:val="001A61C7"/>
    <w:rsid w:val="001A6A4A"/>
    <w:rsid w:val="001A6B54"/>
    <w:rsid w:val="001A6C90"/>
    <w:rsid w:val="001A6C97"/>
    <w:rsid w:val="001A6F19"/>
    <w:rsid w:val="001A6F72"/>
    <w:rsid w:val="001A7634"/>
    <w:rsid w:val="001A79CF"/>
    <w:rsid w:val="001A7A97"/>
    <w:rsid w:val="001B00CE"/>
    <w:rsid w:val="001B00E2"/>
    <w:rsid w:val="001B0350"/>
    <w:rsid w:val="001B0450"/>
    <w:rsid w:val="001B072F"/>
    <w:rsid w:val="001B0D41"/>
    <w:rsid w:val="001B12A9"/>
    <w:rsid w:val="001B140A"/>
    <w:rsid w:val="001B1629"/>
    <w:rsid w:val="001B1718"/>
    <w:rsid w:val="001B17B7"/>
    <w:rsid w:val="001B1912"/>
    <w:rsid w:val="001B1EF6"/>
    <w:rsid w:val="001B1F0A"/>
    <w:rsid w:val="001B1F53"/>
    <w:rsid w:val="001B1FB3"/>
    <w:rsid w:val="001B203A"/>
    <w:rsid w:val="001B2086"/>
    <w:rsid w:val="001B2175"/>
    <w:rsid w:val="001B21AA"/>
    <w:rsid w:val="001B23BC"/>
    <w:rsid w:val="001B2407"/>
    <w:rsid w:val="001B2429"/>
    <w:rsid w:val="001B26BB"/>
    <w:rsid w:val="001B300A"/>
    <w:rsid w:val="001B33F6"/>
    <w:rsid w:val="001B41E8"/>
    <w:rsid w:val="001B42C3"/>
    <w:rsid w:val="001B45EE"/>
    <w:rsid w:val="001B46EF"/>
    <w:rsid w:val="001B4762"/>
    <w:rsid w:val="001B48DF"/>
    <w:rsid w:val="001B49DC"/>
    <w:rsid w:val="001B4CF8"/>
    <w:rsid w:val="001B4D1D"/>
    <w:rsid w:val="001B4DC3"/>
    <w:rsid w:val="001B4E83"/>
    <w:rsid w:val="001B5B6B"/>
    <w:rsid w:val="001B5D05"/>
    <w:rsid w:val="001B5D72"/>
    <w:rsid w:val="001B5E0F"/>
    <w:rsid w:val="001B5E50"/>
    <w:rsid w:val="001B5E52"/>
    <w:rsid w:val="001B6149"/>
    <w:rsid w:val="001B6389"/>
    <w:rsid w:val="001B72BF"/>
    <w:rsid w:val="001B7B56"/>
    <w:rsid w:val="001B7CE0"/>
    <w:rsid w:val="001C04CC"/>
    <w:rsid w:val="001C051E"/>
    <w:rsid w:val="001C06AA"/>
    <w:rsid w:val="001C0DA1"/>
    <w:rsid w:val="001C0DFC"/>
    <w:rsid w:val="001C134F"/>
    <w:rsid w:val="001C1931"/>
    <w:rsid w:val="001C1CB6"/>
    <w:rsid w:val="001C1CF9"/>
    <w:rsid w:val="001C1D90"/>
    <w:rsid w:val="001C2AA7"/>
    <w:rsid w:val="001C2E05"/>
    <w:rsid w:val="001C3154"/>
    <w:rsid w:val="001C31B6"/>
    <w:rsid w:val="001C3249"/>
    <w:rsid w:val="001C34DE"/>
    <w:rsid w:val="001C374F"/>
    <w:rsid w:val="001C394D"/>
    <w:rsid w:val="001C3AD4"/>
    <w:rsid w:val="001C3CBA"/>
    <w:rsid w:val="001C3D41"/>
    <w:rsid w:val="001C3F2D"/>
    <w:rsid w:val="001C3FE8"/>
    <w:rsid w:val="001C401B"/>
    <w:rsid w:val="001C40A1"/>
    <w:rsid w:val="001C40E6"/>
    <w:rsid w:val="001C411D"/>
    <w:rsid w:val="001C41CB"/>
    <w:rsid w:val="001C4276"/>
    <w:rsid w:val="001C42FF"/>
    <w:rsid w:val="001C4647"/>
    <w:rsid w:val="001C49C0"/>
    <w:rsid w:val="001C4B55"/>
    <w:rsid w:val="001C4C57"/>
    <w:rsid w:val="001C53BA"/>
    <w:rsid w:val="001C56AE"/>
    <w:rsid w:val="001C58A4"/>
    <w:rsid w:val="001C5A2B"/>
    <w:rsid w:val="001C5C05"/>
    <w:rsid w:val="001C6519"/>
    <w:rsid w:val="001C6718"/>
    <w:rsid w:val="001C69D7"/>
    <w:rsid w:val="001C6AA0"/>
    <w:rsid w:val="001C6DED"/>
    <w:rsid w:val="001C6DFE"/>
    <w:rsid w:val="001C7497"/>
    <w:rsid w:val="001C767F"/>
    <w:rsid w:val="001C7802"/>
    <w:rsid w:val="001C796E"/>
    <w:rsid w:val="001C7BA3"/>
    <w:rsid w:val="001C7D17"/>
    <w:rsid w:val="001C7D1B"/>
    <w:rsid w:val="001C7EA4"/>
    <w:rsid w:val="001C7F3F"/>
    <w:rsid w:val="001D0111"/>
    <w:rsid w:val="001D04C6"/>
    <w:rsid w:val="001D0864"/>
    <w:rsid w:val="001D0D38"/>
    <w:rsid w:val="001D0FEC"/>
    <w:rsid w:val="001D1002"/>
    <w:rsid w:val="001D115A"/>
    <w:rsid w:val="001D1179"/>
    <w:rsid w:val="001D120A"/>
    <w:rsid w:val="001D12BA"/>
    <w:rsid w:val="001D12BF"/>
    <w:rsid w:val="001D133C"/>
    <w:rsid w:val="001D1A4C"/>
    <w:rsid w:val="001D1E86"/>
    <w:rsid w:val="001D23FD"/>
    <w:rsid w:val="001D2408"/>
    <w:rsid w:val="001D259F"/>
    <w:rsid w:val="001D26E9"/>
    <w:rsid w:val="001D2AB4"/>
    <w:rsid w:val="001D2D7D"/>
    <w:rsid w:val="001D2E7E"/>
    <w:rsid w:val="001D34E3"/>
    <w:rsid w:val="001D35AC"/>
    <w:rsid w:val="001D3634"/>
    <w:rsid w:val="001D3ABE"/>
    <w:rsid w:val="001D3AC3"/>
    <w:rsid w:val="001D423E"/>
    <w:rsid w:val="001D454B"/>
    <w:rsid w:val="001D4651"/>
    <w:rsid w:val="001D493C"/>
    <w:rsid w:val="001D4EF1"/>
    <w:rsid w:val="001D4F93"/>
    <w:rsid w:val="001D54B4"/>
    <w:rsid w:val="001D5583"/>
    <w:rsid w:val="001D5A50"/>
    <w:rsid w:val="001D5B6E"/>
    <w:rsid w:val="001D5D47"/>
    <w:rsid w:val="001D5DE3"/>
    <w:rsid w:val="001D5FCF"/>
    <w:rsid w:val="001D60F0"/>
    <w:rsid w:val="001D64B4"/>
    <w:rsid w:val="001D65EE"/>
    <w:rsid w:val="001D6649"/>
    <w:rsid w:val="001D6651"/>
    <w:rsid w:val="001D6F1D"/>
    <w:rsid w:val="001D7605"/>
    <w:rsid w:val="001D76A3"/>
    <w:rsid w:val="001D7709"/>
    <w:rsid w:val="001D77EF"/>
    <w:rsid w:val="001D7CF1"/>
    <w:rsid w:val="001D7D6C"/>
    <w:rsid w:val="001D7F14"/>
    <w:rsid w:val="001E06E8"/>
    <w:rsid w:val="001E07BC"/>
    <w:rsid w:val="001E0994"/>
    <w:rsid w:val="001E0B0B"/>
    <w:rsid w:val="001E0B0D"/>
    <w:rsid w:val="001E0B61"/>
    <w:rsid w:val="001E0C2B"/>
    <w:rsid w:val="001E0FCB"/>
    <w:rsid w:val="001E1039"/>
    <w:rsid w:val="001E11A6"/>
    <w:rsid w:val="001E13A7"/>
    <w:rsid w:val="001E1517"/>
    <w:rsid w:val="001E1546"/>
    <w:rsid w:val="001E16C6"/>
    <w:rsid w:val="001E1827"/>
    <w:rsid w:val="001E1B5B"/>
    <w:rsid w:val="001E1B7A"/>
    <w:rsid w:val="001E1C65"/>
    <w:rsid w:val="001E1DAD"/>
    <w:rsid w:val="001E213B"/>
    <w:rsid w:val="001E2340"/>
    <w:rsid w:val="001E2526"/>
    <w:rsid w:val="001E25C1"/>
    <w:rsid w:val="001E25EC"/>
    <w:rsid w:val="001E2862"/>
    <w:rsid w:val="001E29AE"/>
    <w:rsid w:val="001E2E49"/>
    <w:rsid w:val="001E2ED8"/>
    <w:rsid w:val="001E324C"/>
    <w:rsid w:val="001E324D"/>
    <w:rsid w:val="001E37B2"/>
    <w:rsid w:val="001E3BC7"/>
    <w:rsid w:val="001E3D5D"/>
    <w:rsid w:val="001E3F18"/>
    <w:rsid w:val="001E4027"/>
    <w:rsid w:val="001E4226"/>
    <w:rsid w:val="001E4366"/>
    <w:rsid w:val="001E4564"/>
    <w:rsid w:val="001E46E4"/>
    <w:rsid w:val="001E46EB"/>
    <w:rsid w:val="001E4813"/>
    <w:rsid w:val="001E4C5C"/>
    <w:rsid w:val="001E4E98"/>
    <w:rsid w:val="001E4FF2"/>
    <w:rsid w:val="001E5137"/>
    <w:rsid w:val="001E517C"/>
    <w:rsid w:val="001E5239"/>
    <w:rsid w:val="001E543C"/>
    <w:rsid w:val="001E55EF"/>
    <w:rsid w:val="001E57BE"/>
    <w:rsid w:val="001E5896"/>
    <w:rsid w:val="001E58B2"/>
    <w:rsid w:val="001E58B3"/>
    <w:rsid w:val="001E5918"/>
    <w:rsid w:val="001E59E3"/>
    <w:rsid w:val="001E5A6F"/>
    <w:rsid w:val="001E5B1F"/>
    <w:rsid w:val="001E5B44"/>
    <w:rsid w:val="001E5D63"/>
    <w:rsid w:val="001E5E22"/>
    <w:rsid w:val="001E609F"/>
    <w:rsid w:val="001E65DD"/>
    <w:rsid w:val="001E665E"/>
    <w:rsid w:val="001E6CE6"/>
    <w:rsid w:val="001E6F99"/>
    <w:rsid w:val="001E6FA6"/>
    <w:rsid w:val="001E74F5"/>
    <w:rsid w:val="001E7C29"/>
    <w:rsid w:val="001E7C2C"/>
    <w:rsid w:val="001E7EAA"/>
    <w:rsid w:val="001E7FA6"/>
    <w:rsid w:val="001F01BA"/>
    <w:rsid w:val="001F073C"/>
    <w:rsid w:val="001F0967"/>
    <w:rsid w:val="001F096E"/>
    <w:rsid w:val="001F0D0A"/>
    <w:rsid w:val="001F162C"/>
    <w:rsid w:val="001F1740"/>
    <w:rsid w:val="001F1F4C"/>
    <w:rsid w:val="001F21E6"/>
    <w:rsid w:val="001F23E0"/>
    <w:rsid w:val="001F241C"/>
    <w:rsid w:val="001F282D"/>
    <w:rsid w:val="001F2912"/>
    <w:rsid w:val="001F2A23"/>
    <w:rsid w:val="001F2B49"/>
    <w:rsid w:val="001F2F10"/>
    <w:rsid w:val="001F2F47"/>
    <w:rsid w:val="001F32CB"/>
    <w:rsid w:val="001F3765"/>
    <w:rsid w:val="001F3849"/>
    <w:rsid w:val="001F3C4B"/>
    <w:rsid w:val="001F3F5B"/>
    <w:rsid w:val="001F4280"/>
    <w:rsid w:val="001F461E"/>
    <w:rsid w:val="001F4999"/>
    <w:rsid w:val="001F4EA6"/>
    <w:rsid w:val="001F4FB1"/>
    <w:rsid w:val="001F5016"/>
    <w:rsid w:val="001F50EA"/>
    <w:rsid w:val="001F514D"/>
    <w:rsid w:val="001F51F7"/>
    <w:rsid w:val="001F5395"/>
    <w:rsid w:val="001F542E"/>
    <w:rsid w:val="001F5ABF"/>
    <w:rsid w:val="001F5C10"/>
    <w:rsid w:val="001F5C5B"/>
    <w:rsid w:val="001F5D23"/>
    <w:rsid w:val="001F5FF4"/>
    <w:rsid w:val="001F63F3"/>
    <w:rsid w:val="001F6426"/>
    <w:rsid w:val="001F647E"/>
    <w:rsid w:val="001F657E"/>
    <w:rsid w:val="001F6687"/>
    <w:rsid w:val="001F6896"/>
    <w:rsid w:val="001F68D2"/>
    <w:rsid w:val="001F6914"/>
    <w:rsid w:val="001F703F"/>
    <w:rsid w:val="001F70BC"/>
    <w:rsid w:val="001F7225"/>
    <w:rsid w:val="001F7578"/>
    <w:rsid w:val="001F75D6"/>
    <w:rsid w:val="001F7814"/>
    <w:rsid w:val="001F7844"/>
    <w:rsid w:val="001F7911"/>
    <w:rsid w:val="00200296"/>
    <w:rsid w:val="00200347"/>
    <w:rsid w:val="00200486"/>
    <w:rsid w:val="002006AB"/>
    <w:rsid w:val="0020072B"/>
    <w:rsid w:val="00200EE9"/>
    <w:rsid w:val="00201066"/>
    <w:rsid w:val="002016EC"/>
    <w:rsid w:val="0020179D"/>
    <w:rsid w:val="00201ADB"/>
    <w:rsid w:val="00201CBA"/>
    <w:rsid w:val="00201EBC"/>
    <w:rsid w:val="0020209D"/>
    <w:rsid w:val="002020CD"/>
    <w:rsid w:val="00202B2F"/>
    <w:rsid w:val="002033BE"/>
    <w:rsid w:val="002034E6"/>
    <w:rsid w:val="00203532"/>
    <w:rsid w:val="0020366C"/>
    <w:rsid w:val="0020374A"/>
    <w:rsid w:val="002037A2"/>
    <w:rsid w:val="00203AB9"/>
    <w:rsid w:val="00203C51"/>
    <w:rsid w:val="00203D8B"/>
    <w:rsid w:val="00203DC2"/>
    <w:rsid w:val="00203DCA"/>
    <w:rsid w:val="0020417F"/>
    <w:rsid w:val="002041E9"/>
    <w:rsid w:val="0020476A"/>
    <w:rsid w:val="0020487C"/>
    <w:rsid w:val="00204B6C"/>
    <w:rsid w:val="00204D5B"/>
    <w:rsid w:val="00204DAA"/>
    <w:rsid w:val="002050BD"/>
    <w:rsid w:val="002051C6"/>
    <w:rsid w:val="00205404"/>
    <w:rsid w:val="00205554"/>
    <w:rsid w:val="002058E5"/>
    <w:rsid w:val="00205F76"/>
    <w:rsid w:val="002060AD"/>
    <w:rsid w:val="002060B4"/>
    <w:rsid w:val="0020618E"/>
    <w:rsid w:val="002062C1"/>
    <w:rsid w:val="00206346"/>
    <w:rsid w:val="0020646E"/>
    <w:rsid w:val="002065D3"/>
    <w:rsid w:val="00206718"/>
    <w:rsid w:val="00206986"/>
    <w:rsid w:val="00206D92"/>
    <w:rsid w:val="00206E55"/>
    <w:rsid w:val="00207502"/>
    <w:rsid w:val="00207798"/>
    <w:rsid w:val="002077D2"/>
    <w:rsid w:val="002078DB"/>
    <w:rsid w:val="002079A2"/>
    <w:rsid w:val="00207BE6"/>
    <w:rsid w:val="00207E0C"/>
    <w:rsid w:val="00210169"/>
    <w:rsid w:val="002104CD"/>
    <w:rsid w:val="0021082E"/>
    <w:rsid w:val="00210AAA"/>
    <w:rsid w:val="00210B26"/>
    <w:rsid w:val="00210C9A"/>
    <w:rsid w:val="00210E4C"/>
    <w:rsid w:val="00210EBD"/>
    <w:rsid w:val="00210FAA"/>
    <w:rsid w:val="0021102C"/>
    <w:rsid w:val="00211340"/>
    <w:rsid w:val="00211570"/>
    <w:rsid w:val="0021182E"/>
    <w:rsid w:val="00211C09"/>
    <w:rsid w:val="00211E1D"/>
    <w:rsid w:val="00211F51"/>
    <w:rsid w:val="00212129"/>
    <w:rsid w:val="00212463"/>
    <w:rsid w:val="002126F0"/>
    <w:rsid w:val="00212798"/>
    <w:rsid w:val="00212EAA"/>
    <w:rsid w:val="00213003"/>
    <w:rsid w:val="0021306B"/>
    <w:rsid w:val="00213288"/>
    <w:rsid w:val="0021345A"/>
    <w:rsid w:val="002134EC"/>
    <w:rsid w:val="00213660"/>
    <w:rsid w:val="002137CB"/>
    <w:rsid w:val="0021396C"/>
    <w:rsid w:val="00213A08"/>
    <w:rsid w:val="00213B11"/>
    <w:rsid w:val="0021405E"/>
    <w:rsid w:val="00214438"/>
    <w:rsid w:val="002146CD"/>
    <w:rsid w:val="00214CFF"/>
    <w:rsid w:val="00214F00"/>
    <w:rsid w:val="00215029"/>
    <w:rsid w:val="002153BF"/>
    <w:rsid w:val="002155F9"/>
    <w:rsid w:val="00215734"/>
    <w:rsid w:val="00215787"/>
    <w:rsid w:val="002158FA"/>
    <w:rsid w:val="00215926"/>
    <w:rsid w:val="0021598D"/>
    <w:rsid w:val="002159EE"/>
    <w:rsid w:val="00215B26"/>
    <w:rsid w:val="00215BC0"/>
    <w:rsid w:val="00215C63"/>
    <w:rsid w:val="00215FEA"/>
    <w:rsid w:val="002161E4"/>
    <w:rsid w:val="0021633C"/>
    <w:rsid w:val="00216479"/>
    <w:rsid w:val="00216700"/>
    <w:rsid w:val="00216816"/>
    <w:rsid w:val="002169AB"/>
    <w:rsid w:val="002169C6"/>
    <w:rsid w:val="00216A53"/>
    <w:rsid w:val="00216B8C"/>
    <w:rsid w:val="0021736F"/>
    <w:rsid w:val="0021761D"/>
    <w:rsid w:val="002177E2"/>
    <w:rsid w:val="00217B53"/>
    <w:rsid w:val="00217ED3"/>
    <w:rsid w:val="002204A9"/>
    <w:rsid w:val="002205EB"/>
    <w:rsid w:val="00220D48"/>
    <w:rsid w:val="00220FE2"/>
    <w:rsid w:val="00220FE5"/>
    <w:rsid w:val="0022112C"/>
    <w:rsid w:val="002212AA"/>
    <w:rsid w:val="0022187F"/>
    <w:rsid w:val="0022194F"/>
    <w:rsid w:val="00221ED8"/>
    <w:rsid w:val="00221F91"/>
    <w:rsid w:val="00221FBB"/>
    <w:rsid w:val="00221FD9"/>
    <w:rsid w:val="00222071"/>
    <w:rsid w:val="0022222A"/>
    <w:rsid w:val="00222259"/>
    <w:rsid w:val="0022254D"/>
    <w:rsid w:val="00222C06"/>
    <w:rsid w:val="00222C2E"/>
    <w:rsid w:val="00222DAD"/>
    <w:rsid w:val="00222EB2"/>
    <w:rsid w:val="00223464"/>
    <w:rsid w:val="002234A6"/>
    <w:rsid w:val="002234AB"/>
    <w:rsid w:val="0022355C"/>
    <w:rsid w:val="00223AAF"/>
    <w:rsid w:val="00223AEB"/>
    <w:rsid w:val="00223B44"/>
    <w:rsid w:val="00223D85"/>
    <w:rsid w:val="0022407C"/>
    <w:rsid w:val="00224135"/>
    <w:rsid w:val="002241EA"/>
    <w:rsid w:val="002242F3"/>
    <w:rsid w:val="0022443B"/>
    <w:rsid w:val="002245CB"/>
    <w:rsid w:val="002245F0"/>
    <w:rsid w:val="00224B32"/>
    <w:rsid w:val="00224E47"/>
    <w:rsid w:val="00224E84"/>
    <w:rsid w:val="002250C2"/>
    <w:rsid w:val="00225292"/>
    <w:rsid w:val="00225391"/>
    <w:rsid w:val="002255A3"/>
    <w:rsid w:val="00225774"/>
    <w:rsid w:val="0022584A"/>
    <w:rsid w:val="0022589F"/>
    <w:rsid w:val="00225FCB"/>
    <w:rsid w:val="00226018"/>
    <w:rsid w:val="002265F7"/>
    <w:rsid w:val="00226A1D"/>
    <w:rsid w:val="00226E0F"/>
    <w:rsid w:val="00226F09"/>
    <w:rsid w:val="00227212"/>
    <w:rsid w:val="002276FA"/>
    <w:rsid w:val="00227797"/>
    <w:rsid w:val="00227810"/>
    <w:rsid w:val="00227D10"/>
    <w:rsid w:val="00227D6D"/>
    <w:rsid w:val="002303BB"/>
    <w:rsid w:val="0023041B"/>
    <w:rsid w:val="00230420"/>
    <w:rsid w:val="00230425"/>
    <w:rsid w:val="00230455"/>
    <w:rsid w:val="00230533"/>
    <w:rsid w:val="002307AF"/>
    <w:rsid w:val="00230B66"/>
    <w:rsid w:val="00230E4C"/>
    <w:rsid w:val="00230F1D"/>
    <w:rsid w:val="0023122B"/>
    <w:rsid w:val="002314E6"/>
    <w:rsid w:val="0023195C"/>
    <w:rsid w:val="00231AD6"/>
    <w:rsid w:val="00231D99"/>
    <w:rsid w:val="002320FC"/>
    <w:rsid w:val="0023274C"/>
    <w:rsid w:val="00232807"/>
    <w:rsid w:val="00232B21"/>
    <w:rsid w:val="00232BAB"/>
    <w:rsid w:val="00232C65"/>
    <w:rsid w:val="00232DDA"/>
    <w:rsid w:val="00232E65"/>
    <w:rsid w:val="00232F62"/>
    <w:rsid w:val="002331AD"/>
    <w:rsid w:val="00233207"/>
    <w:rsid w:val="00233296"/>
    <w:rsid w:val="002333F3"/>
    <w:rsid w:val="00233480"/>
    <w:rsid w:val="00233714"/>
    <w:rsid w:val="00233817"/>
    <w:rsid w:val="00233B8E"/>
    <w:rsid w:val="00233BFA"/>
    <w:rsid w:val="002340CF"/>
    <w:rsid w:val="00234259"/>
    <w:rsid w:val="00234271"/>
    <w:rsid w:val="002343A9"/>
    <w:rsid w:val="0023448C"/>
    <w:rsid w:val="002345B0"/>
    <w:rsid w:val="00234B3F"/>
    <w:rsid w:val="00234BC0"/>
    <w:rsid w:val="00234C37"/>
    <w:rsid w:val="00234CB0"/>
    <w:rsid w:val="00234CC5"/>
    <w:rsid w:val="00234D4D"/>
    <w:rsid w:val="00234E67"/>
    <w:rsid w:val="00234FE1"/>
    <w:rsid w:val="00235040"/>
    <w:rsid w:val="00235309"/>
    <w:rsid w:val="00235742"/>
    <w:rsid w:val="002358F2"/>
    <w:rsid w:val="00235D07"/>
    <w:rsid w:val="00235D58"/>
    <w:rsid w:val="00235DEA"/>
    <w:rsid w:val="00235EE8"/>
    <w:rsid w:val="00236041"/>
    <w:rsid w:val="00236156"/>
    <w:rsid w:val="002361AD"/>
    <w:rsid w:val="002365AB"/>
    <w:rsid w:val="0023668C"/>
    <w:rsid w:val="002367B3"/>
    <w:rsid w:val="00236856"/>
    <w:rsid w:val="00236D31"/>
    <w:rsid w:val="00237148"/>
    <w:rsid w:val="002371B6"/>
    <w:rsid w:val="00237339"/>
    <w:rsid w:val="002377F3"/>
    <w:rsid w:val="00237966"/>
    <w:rsid w:val="00237A03"/>
    <w:rsid w:val="00237AFF"/>
    <w:rsid w:val="002405F8"/>
    <w:rsid w:val="00240B85"/>
    <w:rsid w:val="00240BA5"/>
    <w:rsid w:val="00240D84"/>
    <w:rsid w:val="00240DED"/>
    <w:rsid w:val="00240E95"/>
    <w:rsid w:val="002412C5"/>
    <w:rsid w:val="0024137B"/>
    <w:rsid w:val="002415E7"/>
    <w:rsid w:val="00241716"/>
    <w:rsid w:val="002419BE"/>
    <w:rsid w:val="00241C1C"/>
    <w:rsid w:val="00241C83"/>
    <w:rsid w:val="00241F93"/>
    <w:rsid w:val="00241FB7"/>
    <w:rsid w:val="002425EA"/>
    <w:rsid w:val="00242674"/>
    <w:rsid w:val="00242B77"/>
    <w:rsid w:val="00242C18"/>
    <w:rsid w:val="00242EA0"/>
    <w:rsid w:val="00242EB4"/>
    <w:rsid w:val="0024312B"/>
    <w:rsid w:val="00243198"/>
    <w:rsid w:val="00243685"/>
    <w:rsid w:val="00243AD6"/>
    <w:rsid w:val="00243BFC"/>
    <w:rsid w:val="00243E2D"/>
    <w:rsid w:val="00243ED3"/>
    <w:rsid w:val="00243F24"/>
    <w:rsid w:val="00244189"/>
    <w:rsid w:val="002441BF"/>
    <w:rsid w:val="0024459C"/>
    <w:rsid w:val="002447C4"/>
    <w:rsid w:val="0024486F"/>
    <w:rsid w:val="00244CC2"/>
    <w:rsid w:val="00244D16"/>
    <w:rsid w:val="00244D2A"/>
    <w:rsid w:val="002451C6"/>
    <w:rsid w:val="00245467"/>
    <w:rsid w:val="002456A1"/>
    <w:rsid w:val="00245750"/>
    <w:rsid w:val="00245A03"/>
    <w:rsid w:val="00245A3A"/>
    <w:rsid w:val="00245AD1"/>
    <w:rsid w:val="00245AD9"/>
    <w:rsid w:val="00245BD4"/>
    <w:rsid w:val="00245EF3"/>
    <w:rsid w:val="00245FDB"/>
    <w:rsid w:val="00246034"/>
    <w:rsid w:val="002463B8"/>
    <w:rsid w:val="00246446"/>
    <w:rsid w:val="002466BF"/>
    <w:rsid w:val="00246747"/>
    <w:rsid w:val="00246880"/>
    <w:rsid w:val="00246BDF"/>
    <w:rsid w:val="00246D09"/>
    <w:rsid w:val="002470BB"/>
    <w:rsid w:val="00247496"/>
    <w:rsid w:val="0024789E"/>
    <w:rsid w:val="00247AD1"/>
    <w:rsid w:val="00247C9A"/>
    <w:rsid w:val="00247E05"/>
    <w:rsid w:val="00247F1E"/>
    <w:rsid w:val="002500EC"/>
    <w:rsid w:val="0025075A"/>
    <w:rsid w:val="002509D2"/>
    <w:rsid w:val="002509D5"/>
    <w:rsid w:val="00250B02"/>
    <w:rsid w:val="00250BB8"/>
    <w:rsid w:val="00250D89"/>
    <w:rsid w:val="00250E5D"/>
    <w:rsid w:val="002510C4"/>
    <w:rsid w:val="00251441"/>
    <w:rsid w:val="00251544"/>
    <w:rsid w:val="002515C6"/>
    <w:rsid w:val="00251B36"/>
    <w:rsid w:val="00251B37"/>
    <w:rsid w:val="00251D74"/>
    <w:rsid w:val="0025237B"/>
    <w:rsid w:val="00252BC9"/>
    <w:rsid w:val="00252D1E"/>
    <w:rsid w:val="00252D61"/>
    <w:rsid w:val="0025308D"/>
    <w:rsid w:val="002530E7"/>
    <w:rsid w:val="002532B4"/>
    <w:rsid w:val="002532E9"/>
    <w:rsid w:val="0025347C"/>
    <w:rsid w:val="00253521"/>
    <w:rsid w:val="00253552"/>
    <w:rsid w:val="00253806"/>
    <w:rsid w:val="00253A4B"/>
    <w:rsid w:val="00253C44"/>
    <w:rsid w:val="00253EA5"/>
    <w:rsid w:val="00253EC9"/>
    <w:rsid w:val="00253FC3"/>
    <w:rsid w:val="0025430D"/>
    <w:rsid w:val="00254502"/>
    <w:rsid w:val="00254519"/>
    <w:rsid w:val="00254636"/>
    <w:rsid w:val="00254637"/>
    <w:rsid w:val="0025487C"/>
    <w:rsid w:val="00254AE2"/>
    <w:rsid w:val="00254C54"/>
    <w:rsid w:val="00254EEB"/>
    <w:rsid w:val="002552CB"/>
    <w:rsid w:val="0025564A"/>
    <w:rsid w:val="0025581C"/>
    <w:rsid w:val="002558F2"/>
    <w:rsid w:val="00255A90"/>
    <w:rsid w:val="00255B26"/>
    <w:rsid w:val="00255C30"/>
    <w:rsid w:val="00255D33"/>
    <w:rsid w:val="00255F30"/>
    <w:rsid w:val="0025613F"/>
    <w:rsid w:val="0025639F"/>
    <w:rsid w:val="002567D9"/>
    <w:rsid w:val="00256894"/>
    <w:rsid w:val="00256973"/>
    <w:rsid w:val="00256A15"/>
    <w:rsid w:val="00256A30"/>
    <w:rsid w:val="00257C43"/>
    <w:rsid w:val="00257D7F"/>
    <w:rsid w:val="00257EFD"/>
    <w:rsid w:val="00257F91"/>
    <w:rsid w:val="00260182"/>
    <w:rsid w:val="002601E1"/>
    <w:rsid w:val="00260646"/>
    <w:rsid w:val="00260E2D"/>
    <w:rsid w:val="0026124B"/>
    <w:rsid w:val="00261292"/>
    <w:rsid w:val="00261567"/>
    <w:rsid w:val="00261573"/>
    <w:rsid w:val="00261DC6"/>
    <w:rsid w:val="00261DE3"/>
    <w:rsid w:val="00261F21"/>
    <w:rsid w:val="00262193"/>
    <w:rsid w:val="00262238"/>
    <w:rsid w:val="002622B6"/>
    <w:rsid w:val="002623A1"/>
    <w:rsid w:val="002625C9"/>
    <w:rsid w:val="002625FB"/>
    <w:rsid w:val="002629AB"/>
    <w:rsid w:val="00262C13"/>
    <w:rsid w:val="00262C96"/>
    <w:rsid w:val="00262F12"/>
    <w:rsid w:val="00262FDE"/>
    <w:rsid w:val="00263164"/>
    <w:rsid w:val="0026327B"/>
    <w:rsid w:val="0026329E"/>
    <w:rsid w:val="002632BB"/>
    <w:rsid w:val="00263522"/>
    <w:rsid w:val="0026393E"/>
    <w:rsid w:val="00263A45"/>
    <w:rsid w:val="00263ABB"/>
    <w:rsid w:val="00263C2D"/>
    <w:rsid w:val="00263DA6"/>
    <w:rsid w:val="00263F8E"/>
    <w:rsid w:val="002640A3"/>
    <w:rsid w:val="00264173"/>
    <w:rsid w:val="00264623"/>
    <w:rsid w:val="00264773"/>
    <w:rsid w:val="00264912"/>
    <w:rsid w:val="00264B61"/>
    <w:rsid w:val="00264E52"/>
    <w:rsid w:val="00265050"/>
    <w:rsid w:val="0026515C"/>
    <w:rsid w:val="0026548D"/>
    <w:rsid w:val="002654CF"/>
    <w:rsid w:val="002655F3"/>
    <w:rsid w:val="00265998"/>
    <w:rsid w:val="002659AB"/>
    <w:rsid w:val="00265AEF"/>
    <w:rsid w:val="00265BE2"/>
    <w:rsid w:val="002661DA"/>
    <w:rsid w:val="00266542"/>
    <w:rsid w:val="00266A98"/>
    <w:rsid w:val="00266C5C"/>
    <w:rsid w:val="00266D4C"/>
    <w:rsid w:val="00267120"/>
    <w:rsid w:val="00267D11"/>
    <w:rsid w:val="0027005A"/>
    <w:rsid w:val="002700CD"/>
    <w:rsid w:val="00270362"/>
    <w:rsid w:val="0027077A"/>
    <w:rsid w:val="002707A1"/>
    <w:rsid w:val="0027081F"/>
    <w:rsid w:val="00270835"/>
    <w:rsid w:val="00270BBC"/>
    <w:rsid w:val="00270D1A"/>
    <w:rsid w:val="00271508"/>
    <w:rsid w:val="00271700"/>
    <w:rsid w:val="0027170A"/>
    <w:rsid w:val="0027185F"/>
    <w:rsid w:val="00271A45"/>
    <w:rsid w:val="00271F1E"/>
    <w:rsid w:val="002722F5"/>
    <w:rsid w:val="0027245B"/>
    <w:rsid w:val="002725DD"/>
    <w:rsid w:val="00272FC8"/>
    <w:rsid w:val="0027308A"/>
    <w:rsid w:val="0027331C"/>
    <w:rsid w:val="002733F0"/>
    <w:rsid w:val="00273DBF"/>
    <w:rsid w:val="00274017"/>
    <w:rsid w:val="00274197"/>
    <w:rsid w:val="002742B8"/>
    <w:rsid w:val="002747C4"/>
    <w:rsid w:val="00274B1B"/>
    <w:rsid w:val="00274D20"/>
    <w:rsid w:val="00274ED7"/>
    <w:rsid w:val="0027540E"/>
    <w:rsid w:val="00275428"/>
    <w:rsid w:val="0027569D"/>
    <w:rsid w:val="0027575E"/>
    <w:rsid w:val="002758FE"/>
    <w:rsid w:val="00275D37"/>
    <w:rsid w:val="00275D8E"/>
    <w:rsid w:val="00276020"/>
    <w:rsid w:val="00276052"/>
    <w:rsid w:val="0027640E"/>
    <w:rsid w:val="002764AD"/>
    <w:rsid w:val="00276701"/>
    <w:rsid w:val="00276797"/>
    <w:rsid w:val="00276902"/>
    <w:rsid w:val="00276C83"/>
    <w:rsid w:val="00276C8A"/>
    <w:rsid w:val="00276C8F"/>
    <w:rsid w:val="00276F74"/>
    <w:rsid w:val="0027706D"/>
    <w:rsid w:val="00277678"/>
    <w:rsid w:val="00277D40"/>
    <w:rsid w:val="00277FAE"/>
    <w:rsid w:val="002800D2"/>
    <w:rsid w:val="002801F4"/>
    <w:rsid w:val="00280346"/>
    <w:rsid w:val="00280396"/>
    <w:rsid w:val="002803EA"/>
    <w:rsid w:val="00280528"/>
    <w:rsid w:val="00280630"/>
    <w:rsid w:val="00280AE3"/>
    <w:rsid w:val="00280B5B"/>
    <w:rsid w:val="00280D8D"/>
    <w:rsid w:val="00280DAE"/>
    <w:rsid w:val="00280EEC"/>
    <w:rsid w:val="00281290"/>
    <w:rsid w:val="00281501"/>
    <w:rsid w:val="00281708"/>
    <w:rsid w:val="002818A9"/>
    <w:rsid w:val="002818EF"/>
    <w:rsid w:val="002819B3"/>
    <w:rsid w:val="00281DCF"/>
    <w:rsid w:val="00281ECA"/>
    <w:rsid w:val="00281FB8"/>
    <w:rsid w:val="0028235F"/>
    <w:rsid w:val="00282491"/>
    <w:rsid w:val="002825FE"/>
    <w:rsid w:val="00282602"/>
    <w:rsid w:val="00282826"/>
    <w:rsid w:val="002828BA"/>
    <w:rsid w:val="00282A0E"/>
    <w:rsid w:val="00282B78"/>
    <w:rsid w:val="00282CED"/>
    <w:rsid w:val="00282FC7"/>
    <w:rsid w:val="002832A1"/>
    <w:rsid w:val="002836DF"/>
    <w:rsid w:val="0028376C"/>
    <w:rsid w:val="002837C4"/>
    <w:rsid w:val="00283B83"/>
    <w:rsid w:val="00283C0B"/>
    <w:rsid w:val="00283C30"/>
    <w:rsid w:val="0028427B"/>
    <w:rsid w:val="0028433A"/>
    <w:rsid w:val="00284447"/>
    <w:rsid w:val="00284960"/>
    <w:rsid w:val="00284AD0"/>
    <w:rsid w:val="00284C31"/>
    <w:rsid w:val="00284FBD"/>
    <w:rsid w:val="00285067"/>
    <w:rsid w:val="002850E9"/>
    <w:rsid w:val="00285123"/>
    <w:rsid w:val="00285273"/>
    <w:rsid w:val="002856CC"/>
    <w:rsid w:val="002857F1"/>
    <w:rsid w:val="00285ACB"/>
    <w:rsid w:val="00285F83"/>
    <w:rsid w:val="002861AB"/>
    <w:rsid w:val="0028638B"/>
    <w:rsid w:val="0028638C"/>
    <w:rsid w:val="00286488"/>
    <w:rsid w:val="0028664D"/>
    <w:rsid w:val="00286D80"/>
    <w:rsid w:val="00286FAA"/>
    <w:rsid w:val="00287596"/>
    <w:rsid w:val="002875D6"/>
    <w:rsid w:val="0028777E"/>
    <w:rsid w:val="00287C85"/>
    <w:rsid w:val="00287E1E"/>
    <w:rsid w:val="00290346"/>
    <w:rsid w:val="00290898"/>
    <w:rsid w:val="00290940"/>
    <w:rsid w:val="00290BB7"/>
    <w:rsid w:val="00290FF7"/>
    <w:rsid w:val="0029105F"/>
    <w:rsid w:val="0029116E"/>
    <w:rsid w:val="00291472"/>
    <w:rsid w:val="002914A7"/>
    <w:rsid w:val="002917BD"/>
    <w:rsid w:val="002917D3"/>
    <w:rsid w:val="00291928"/>
    <w:rsid w:val="00291A0A"/>
    <w:rsid w:val="00291EF3"/>
    <w:rsid w:val="00291F41"/>
    <w:rsid w:val="00291FE1"/>
    <w:rsid w:val="002923DF"/>
    <w:rsid w:val="0029258E"/>
    <w:rsid w:val="0029283B"/>
    <w:rsid w:val="0029289C"/>
    <w:rsid w:val="002928F4"/>
    <w:rsid w:val="00292A49"/>
    <w:rsid w:val="00292BCF"/>
    <w:rsid w:val="002933F0"/>
    <w:rsid w:val="002933F9"/>
    <w:rsid w:val="002935DF"/>
    <w:rsid w:val="002935F1"/>
    <w:rsid w:val="002936C2"/>
    <w:rsid w:val="00293A1D"/>
    <w:rsid w:val="00294054"/>
    <w:rsid w:val="00294066"/>
    <w:rsid w:val="00294271"/>
    <w:rsid w:val="002942A0"/>
    <w:rsid w:val="002942DA"/>
    <w:rsid w:val="00294858"/>
    <w:rsid w:val="00294912"/>
    <w:rsid w:val="00294ABB"/>
    <w:rsid w:val="00294BAB"/>
    <w:rsid w:val="00294D94"/>
    <w:rsid w:val="00295100"/>
    <w:rsid w:val="00295497"/>
    <w:rsid w:val="002954BC"/>
    <w:rsid w:val="00295721"/>
    <w:rsid w:val="00295A46"/>
    <w:rsid w:val="00295A65"/>
    <w:rsid w:val="00295B11"/>
    <w:rsid w:val="00295D70"/>
    <w:rsid w:val="00295E18"/>
    <w:rsid w:val="00295E95"/>
    <w:rsid w:val="00296709"/>
    <w:rsid w:val="002968CA"/>
    <w:rsid w:val="002968F7"/>
    <w:rsid w:val="00296A01"/>
    <w:rsid w:val="00296C36"/>
    <w:rsid w:val="00296C9F"/>
    <w:rsid w:val="00296D2A"/>
    <w:rsid w:val="00297021"/>
    <w:rsid w:val="002970C5"/>
    <w:rsid w:val="0029758B"/>
    <w:rsid w:val="002976EB"/>
    <w:rsid w:val="00297908"/>
    <w:rsid w:val="00297A8A"/>
    <w:rsid w:val="00297B12"/>
    <w:rsid w:val="00297B70"/>
    <w:rsid w:val="00297BDC"/>
    <w:rsid w:val="00297C45"/>
    <w:rsid w:val="002A001D"/>
    <w:rsid w:val="002A0660"/>
    <w:rsid w:val="002A07C2"/>
    <w:rsid w:val="002A0948"/>
    <w:rsid w:val="002A0AAB"/>
    <w:rsid w:val="002A0AD8"/>
    <w:rsid w:val="002A0E43"/>
    <w:rsid w:val="002A0E98"/>
    <w:rsid w:val="002A0EEF"/>
    <w:rsid w:val="002A0FB9"/>
    <w:rsid w:val="002A111B"/>
    <w:rsid w:val="002A1AAD"/>
    <w:rsid w:val="002A1BB4"/>
    <w:rsid w:val="002A1E1C"/>
    <w:rsid w:val="002A1EA6"/>
    <w:rsid w:val="002A1EBC"/>
    <w:rsid w:val="002A23CA"/>
    <w:rsid w:val="002A23DC"/>
    <w:rsid w:val="002A2479"/>
    <w:rsid w:val="002A2509"/>
    <w:rsid w:val="002A2519"/>
    <w:rsid w:val="002A2567"/>
    <w:rsid w:val="002A2632"/>
    <w:rsid w:val="002A28BC"/>
    <w:rsid w:val="002A2C50"/>
    <w:rsid w:val="002A31CE"/>
    <w:rsid w:val="002A326C"/>
    <w:rsid w:val="002A32C2"/>
    <w:rsid w:val="002A377B"/>
    <w:rsid w:val="002A37ED"/>
    <w:rsid w:val="002A391F"/>
    <w:rsid w:val="002A421D"/>
    <w:rsid w:val="002A4470"/>
    <w:rsid w:val="002A44EC"/>
    <w:rsid w:val="002A4503"/>
    <w:rsid w:val="002A4529"/>
    <w:rsid w:val="002A4585"/>
    <w:rsid w:val="002A4CA1"/>
    <w:rsid w:val="002A4E1C"/>
    <w:rsid w:val="002A4EAE"/>
    <w:rsid w:val="002A4EF5"/>
    <w:rsid w:val="002A506C"/>
    <w:rsid w:val="002A50D0"/>
    <w:rsid w:val="002A5360"/>
    <w:rsid w:val="002A56D2"/>
    <w:rsid w:val="002A579C"/>
    <w:rsid w:val="002A5973"/>
    <w:rsid w:val="002A5A12"/>
    <w:rsid w:val="002A5C78"/>
    <w:rsid w:val="002A5FFA"/>
    <w:rsid w:val="002A6017"/>
    <w:rsid w:val="002A61AB"/>
    <w:rsid w:val="002A61E4"/>
    <w:rsid w:val="002A6280"/>
    <w:rsid w:val="002A6857"/>
    <w:rsid w:val="002A692B"/>
    <w:rsid w:val="002A6ABB"/>
    <w:rsid w:val="002A6EF8"/>
    <w:rsid w:val="002A73CD"/>
    <w:rsid w:val="002A76C4"/>
    <w:rsid w:val="002A77C4"/>
    <w:rsid w:val="002A7897"/>
    <w:rsid w:val="002A78B9"/>
    <w:rsid w:val="002A7951"/>
    <w:rsid w:val="002A7C57"/>
    <w:rsid w:val="002B012D"/>
    <w:rsid w:val="002B0389"/>
    <w:rsid w:val="002B038D"/>
    <w:rsid w:val="002B05B8"/>
    <w:rsid w:val="002B0639"/>
    <w:rsid w:val="002B0F12"/>
    <w:rsid w:val="002B0F87"/>
    <w:rsid w:val="002B138E"/>
    <w:rsid w:val="002B15B3"/>
    <w:rsid w:val="002B1760"/>
    <w:rsid w:val="002B1A57"/>
    <w:rsid w:val="002B1E02"/>
    <w:rsid w:val="002B1E61"/>
    <w:rsid w:val="002B221F"/>
    <w:rsid w:val="002B2396"/>
    <w:rsid w:val="002B23AA"/>
    <w:rsid w:val="002B256E"/>
    <w:rsid w:val="002B2694"/>
    <w:rsid w:val="002B2883"/>
    <w:rsid w:val="002B2DA7"/>
    <w:rsid w:val="002B2DC3"/>
    <w:rsid w:val="002B2ED6"/>
    <w:rsid w:val="002B2F9A"/>
    <w:rsid w:val="002B3129"/>
    <w:rsid w:val="002B3132"/>
    <w:rsid w:val="002B31B5"/>
    <w:rsid w:val="002B320C"/>
    <w:rsid w:val="002B339E"/>
    <w:rsid w:val="002B33FA"/>
    <w:rsid w:val="002B3884"/>
    <w:rsid w:val="002B395D"/>
    <w:rsid w:val="002B3ABC"/>
    <w:rsid w:val="002B3B76"/>
    <w:rsid w:val="002B3F29"/>
    <w:rsid w:val="002B4240"/>
    <w:rsid w:val="002B42E0"/>
    <w:rsid w:val="002B472B"/>
    <w:rsid w:val="002B4831"/>
    <w:rsid w:val="002B4941"/>
    <w:rsid w:val="002B4BD3"/>
    <w:rsid w:val="002B4D00"/>
    <w:rsid w:val="002B5103"/>
    <w:rsid w:val="002B524A"/>
    <w:rsid w:val="002B5683"/>
    <w:rsid w:val="002B595C"/>
    <w:rsid w:val="002B5CE7"/>
    <w:rsid w:val="002B5D74"/>
    <w:rsid w:val="002B5F76"/>
    <w:rsid w:val="002B62FC"/>
    <w:rsid w:val="002B64EB"/>
    <w:rsid w:val="002B6621"/>
    <w:rsid w:val="002B677D"/>
    <w:rsid w:val="002B678B"/>
    <w:rsid w:val="002B67CA"/>
    <w:rsid w:val="002B6817"/>
    <w:rsid w:val="002B6924"/>
    <w:rsid w:val="002B6AA6"/>
    <w:rsid w:val="002B6BFA"/>
    <w:rsid w:val="002B7085"/>
    <w:rsid w:val="002B70DD"/>
    <w:rsid w:val="002B7229"/>
    <w:rsid w:val="002B77B1"/>
    <w:rsid w:val="002B7ADB"/>
    <w:rsid w:val="002B7B5A"/>
    <w:rsid w:val="002B7C71"/>
    <w:rsid w:val="002B7F13"/>
    <w:rsid w:val="002C0030"/>
    <w:rsid w:val="002C00F5"/>
    <w:rsid w:val="002C0349"/>
    <w:rsid w:val="002C04D7"/>
    <w:rsid w:val="002C093A"/>
    <w:rsid w:val="002C0A43"/>
    <w:rsid w:val="002C0C63"/>
    <w:rsid w:val="002C0E6F"/>
    <w:rsid w:val="002C0EDA"/>
    <w:rsid w:val="002C143E"/>
    <w:rsid w:val="002C1543"/>
    <w:rsid w:val="002C1619"/>
    <w:rsid w:val="002C1785"/>
    <w:rsid w:val="002C1787"/>
    <w:rsid w:val="002C17C7"/>
    <w:rsid w:val="002C18AF"/>
    <w:rsid w:val="002C1AC7"/>
    <w:rsid w:val="002C1C92"/>
    <w:rsid w:val="002C1CE1"/>
    <w:rsid w:val="002C1CF3"/>
    <w:rsid w:val="002C1D2F"/>
    <w:rsid w:val="002C23FA"/>
    <w:rsid w:val="002C2781"/>
    <w:rsid w:val="002C27BA"/>
    <w:rsid w:val="002C2BE4"/>
    <w:rsid w:val="002C2EDD"/>
    <w:rsid w:val="002C2FDD"/>
    <w:rsid w:val="002C2FEB"/>
    <w:rsid w:val="002C31A8"/>
    <w:rsid w:val="002C349E"/>
    <w:rsid w:val="002C34C0"/>
    <w:rsid w:val="002C37D4"/>
    <w:rsid w:val="002C3BF2"/>
    <w:rsid w:val="002C42DD"/>
    <w:rsid w:val="002C463F"/>
    <w:rsid w:val="002C485B"/>
    <w:rsid w:val="002C49F6"/>
    <w:rsid w:val="002C4E92"/>
    <w:rsid w:val="002C4EB3"/>
    <w:rsid w:val="002C539F"/>
    <w:rsid w:val="002C5633"/>
    <w:rsid w:val="002C5681"/>
    <w:rsid w:val="002C585F"/>
    <w:rsid w:val="002C58AA"/>
    <w:rsid w:val="002C5D48"/>
    <w:rsid w:val="002C615E"/>
    <w:rsid w:val="002C6198"/>
    <w:rsid w:val="002C6C40"/>
    <w:rsid w:val="002C6D1B"/>
    <w:rsid w:val="002C6EF2"/>
    <w:rsid w:val="002C6F24"/>
    <w:rsid w:val="002C7024"/>
    <w:rsid w:val="002C719E"/>
    <w:rsid w:val="002C738D"/>
    <w:rsid w:val="002C7706"/>
    <w:rsid w:val="002C7AB3"/>
    <w:rsid w:val="002C7C13"/>
    <w:rsid w:val="002C7C21"/>
    <w:rsid w:val="002C7D60"/>
    <w:rsid w:val="002C7EDF"/>
    <w:rsid w:val="002D097E"/>
    <w:rsid w:val="002D0E83"/>
    <w:rsid w:val="002D0EF2"/>
    <w:rsid w:val="002D1242"/>
    <w:rsid w:val="002D15EB"/>
    <w:rsid w:val="002D20CA"/>
    <w:rsid w:val="002D2358"/>
    <w:rsid w:val="002D23E6"/>
    <w:rsid w:val="002D241F"/>
    <w:rsid w:val="002D24AC"/>
    <w:rsid w:val="002D252F"/>
    <w:rsid w:val="002D2D56"/>
    <w:rsid w:val="002D2FCA"/>
    <w:rsid w:val="002D320C"/>
    <w:rsid w:val="002D3374"/>
    <w:rsid w:val="002D3511"/>
    <w:rsid w:val="002D351A"/>
    <w:rsid w:val="002D359A"/>
    <w:rsid w:val="002D37CF"/>
    <w:rsid w:val="002D3803"/>
    <w:rsid w:val="002D3A26"/>
    <w:rsid w:val="002D3AF8"/>
    <w:rsid w:val="002D3E22"/>
    <w:rsid w:val="002D3E4E"/>
    <w:rsid w:val="002D4B30"/>
    <w:rsid w:val="002D4BF0"/>
    <w:rsid w:val="002D510C"/>
    <w:rsid w:val="002D51A8"/>
    <w:rsid w:val="002D51CE"/>
    <w:rsid w:val="002D58AB"/>
    <w:rsid w:val="002D595E"/>
    <w:rsid w:val="002D5A6D"/>
    <w:rsid w:val="002D5BFE"/>
    <w:rsid w:val="002D6155"/>
    <w:rsid w:val="002D6416"/>
    <w:rsid w:val="002D64E5"/>
    <w:rsid w:val="002D6613"/>
    <w:rsid w:val="002D6909"/>
    <w:rsid w:val="002D6B88"/>
    <w:rsid w:val="002D6D90"/>
    <w:rsid w:val="002D6DB1"/>
    <w:rsid w:val="002D6E67"/>
    <w:rsid w:val="002D7015"/>
    <w:rsid w:val="002D7160"/>
    <w:rsid w:val="002D73D1"/>
    <w:rsid w:val="002D7823"/>
    <w:rsid w:val="002D7912"/>
    <w:rsid w:val="002D7B90"/>
    <w:rsid w:val="002D7BA0"/>
    <w:rsid w:val="002D7CA1"/>
    <w:rsid w:val="002E04C8"/>
    <w:rsid w:val="002E056B"/>
    <w:rsid w:val="002E071C"/>
    <w:rsid w:val="002E163F"/>
    <w:rsid w:val="002E17E6"/>
    <w:rsid w:val="002E1B1D"/>
    <w:rsid w:val="002E1E3B"/>
    <w:rsid w:val="002E1F57"/>
    <w:rsid w:val="002E2178"/>
    <w:rsid w:val="002E254D"/>
    <w:rsid w:val="002E2D5C"/>
    <w:rsid w:val="002E316B"/>
    <w:rsid w:val="002E3592"/>
    <w:rsid w:val="002E35B6"/>
    <w:rsid w:val="002E389F"/>
    <w:rsid w:val="002E38F7"/>
    <w:rsid w:val="002E3B17"/>
    <w:rsid w:val="002E3BBB"/>
    <w:rsid w:val="002E3D3B"/>
    <w:rsid w:val="002E405B"/>
    <w:rsid w:val="002E4293"/>
    <w:rsid w:val="002E47D9"/>
    <w:rsid w:val="002E49AD"/>
    <w:rsid w:val="002E4C2D"/>
    <w:rsid w:val="002E4F6F"/>
    <w:rsid w:val="002E5285"/>
    <w:rsid w:val="002E5436"/>
    <w:rsid w:val="002E55B7"/>
    <w:rsid w:val="002E58E5"/>
    <w:rsid w:val="002E5B77"/>
    <w:rsid w:val="002E5DD0"/>
    <w:rsid w:val="002E5DEA"/>
    <w:rsid w:val="002E60A8"/>
    <w:rsid w:val="002E647F"/>
    <w:rsid w:val="002E6644"/>
    <w:rsid w:val="002E6D38"/>
    <w:rsid w:val="002E6E86"/>
    <w:rsid w:val="002E724A"/>
    <w:rsid w:val="002E74EE"/>
    <w:rsid w:val="002E776E"/>
    <w:rsid w:val="002E78C4"/>
    <w:rsid w:val="002E78FB"/>
    <w:rsid w:val="002E795F"/>
    <w:rsid w:val="002E7A8B"/>
    <w:rsid w:val="002E7B78"/>
    <w:rsid w:val="002F022D"/>
    <w:rsid w:val="002F05C9"/>
    <w:rsid w:val="002F078A"/>
    <w:rsid w:val="002F0C6B"/>
    <w:rsid w:val="002F12AA"/>
    <w:rsid w:val="002F14A2"/>
    <w:rsid w:val="002F185E"/>
    <w:rsid w:val="002F1BAA"/>
    <w:rsid w:val="002F1C23"/>
    <w:rsid w:val="002F1C45"/>
    <w:rsid w:val="002F1D86"/>
    <w:rsid w:val="002F1DE0"/>
    <w:rsid w:val="002F1FBC"/>
    <w:rsid w:val="002F2410"/>
    <w:rsid w:val="002F26E6"/>
    <w:rsid w:val="002F2AE0"/>
    <w:rsid w:val="002F2EA8"/>
    <w:rsid w:val="002F3081"/>
    <w:rsid w:val="002F311E"/>
    <w:rsid w:val="002F313A"/>
    <w:rsid w:val="002F31C0"/>
    <w:rsid w:val="002F32B9"/>
    <w:rsid w:val="002F32D9"/>
    <w:rsid w:val="002F345B"/>
    <w:rsid w:val="002F3878"/>
    <w:rsid w:val="002F389A"/>
    <w:rsid w:val="002F392C"/>
    <w:rsid w:val="002F3AC5"/>
    <w:rsid w:val="002F43A0"/>
    <w:rsid w:val="002F4515"/>
    <w:rsid w:val="002F4ACA"/>
    <w:rsid w:val="002F4BA7"/>
    <w:rsid w:val="002F4E4A"/>
    <w:rsid w:val="002F540F"/>
    <w:rsid w:val="002F54D1"/>
    <w:rsid w:val="002F5838"/>
    <w:rsid w:val="002F5E30"/>
    <w:rsid w:val="002F5FEC"/>
    <w:rsid w:val="002F62A2"/>
    <w:rsid w:val="002F62D7"/>
    <w:rsid w:val="002F68ED"/>
    <w:rsid w:val="002F6C2F"/>
    <w:rsid w:val="002F6C42"/>
    <w:rsid w:val="002F71B8"/>
    <w:rsid w:val="002F71F4"/>
    <w:rsid w:val="002F763A"/>
    <w:rsid w:val="002F791A"/>
    <w:rsid w:val="002F7A6B"/>
    <w:rsid w:val="002F7B2F"/>
    <w:rsid w:val="002F7D9F"/>
    <w:rsid w:val="00300200"/>
    <w:rsid w:val="003004DC"/>
    <w:rsid w:val="00300718"/>
    <w:rsid w:val="003009BB"/>
    <w:rsid w:val="00300D17"/>
    <w:rsid w:val="00301227"/>
    <w:rsid w:val="0030196B"/>
    <w:rsid w:val="00301A30"/>
    <w:rsid w:val="00301A98"/>
    <w:rsid w:val="00301B77"/>
    <w:rsid w:val="00301EA1"/>
    <w:rsid w:val="00301ED8"/>
    <w:rsid w:val="00301F26"/>
    <w:rsid w:val="003020A0"/>
    <w:rsid w:val="003023F7"/>
    <w:rsid w:val="00302621"/>
    <w:rsid w:val="003028B6"/>
    <w:rsid w:val="0030299D"/>
    <w:rsid w:val="00302A20"/>
    <w:rsid w:val="00302C16"/>
    <w:rsid w:val="00302CC1"/>
    <w:rsid w:val="00302E36"/>
    <w:rsid w:val="00302FCC"/>
    <w:rsid w:val="003030C3"/>
    <w:rsid w:val="00303145"/>
    <w:rsid w:val="003032EC"/>
    <w:rsid w:val="0030362F"/>
    <w:rsid w:val="0030365B"/>
    <w:rsid w:val="00303859"/>
    <w:rsid w:val="0030391E"/>
    <w:rsid w:val="00303F4E"/>
    <w:rsid w:val="0030402C"/>
    <w:rsid w:val="0030413E"/>
    <w:rsid w:val="00304455"/>
    <w:rsid w:val="0030448F"/>
    <w:rsid w:val="003044BF"/>
    <w:rsid w:val="003048B2"/>
    <w:rsid w:val="00304A7B"/>
    <w:rsid w:val="00304BE9"/>
    <w:rsid w:val="00304FEF"/>
    <w:rsid w:val="00304FF0"/>
    <w:rsid w:val="003051CB"/>
    <w:rsid w:val="00305238"/>
    <w:rsid w:val="003052DC"/>
    <w:rsid w:val="00305513"/>
    <w:rsid w:val="00305604"/>
    <w:rsid w:val="003057B1"/>
    <w:rsid w:val="0030584E"/>
    <w:rsid w:val="00305BD5"/>
    <w:rsid w:val="00305CF6"/>
    <w:rsid w:val="00305D53"/>
    <w:rsid w:val="00305D89"/>
    <w:rsid w:val="00305F13"/>
    <w:rsid w:val="00305F60"/>
    <w:rsid w:val="0030611F"/>
    <w:rsid w:val="003061B3"/>
    <w:rsid w:val="00306254"/>
    <w:rsid w:val="003062AE"/>
    <w:rsid w:val="00306361"/>
    <w:rsid w:val="00306437"/>
    <w:rsid w:val="00306621"/>
    <w:rsid w:val="00306BFF"/>
    <w:rsid w:val="00306D59"/>
    <w:rsid w:val="0030702B"/>
    <w:rsid w:val="0030717F"/>
    <w:rsid w:val="003071A3"/>
    <w:rsid w:val="003071DA"/>
    <w:rsid w:val="00307223"/>
    <w:rsid w:val="00307546"/>
    <w:rsid w:val="003077DC"/>
    <w:rsid w:val="0030786B"/>
    <w:rsid w:val="003079D8"/>
    <w:rsid w:val="00307A3D"/>
    <w:rsid w:val="00307C65"/>
    <w:rsid w:val="00307EFF"/>
    <w:rsid w:val="00307F7F"/>
    <w:rsid w:val="0031030C"/>
    <w:rsid w:val="0031033B"/>
    <w:rsid w:val="003105CA"/>
    <w:rsid w:val="00310753"/>
    <w:rsid w:val="00310894"/>
    <w:rsid w:val="00310B0F"/>
    <w:rsid w:val="00310CB4"/>
    <w:rsid w:val="00310E37"/>
    <w:rsid w:val="00310F06"/>
    <w:rsid w:val="00311040"/>
    <w:rsid w:val="0031106D"/>
    <w:rsid w:val="00311396"/>
    <w:rsid w:val="00311864"/>
    <w:rsid w:val="00311FF1"/>
    <w:rsid w:val="00312473"/>
    <w:rsid w:val="003128BF"/>
    <w:rsid w:val="00312BBA"/>
    <w:rsid w:val="00312EBC"/>
    <w:rsid w:val="00313265"/>
    <w:rsid w:val="00313568"/>
    <w:rsid w:val="003137A2"/>
    <w:rsid w:val="003145CA"/>
    <w:rsid w:val="00314658"/>
    <w:rsid w:val="0031480D"/>
    <w:rsid w:val="00314972"/>
    <w:rsid w:val="00314A11"/>
    <w:rsid w:val="00314A82"/>
    <w:rsid w:val="00314BF9"/>
    <w:rsid w:val="00314BFC"/>
    <w:rsid w:val="0031546B"/>
    <w:rsid w:val="00315514"/>
    <w:rsid w:val="003155D0"/>
    <w:rsid w:val="00315667"/>
    <w:rsid w:val="003157A5"/>
    <w:rsid w:val="00315B37"/>
    <w:rsid w:val="00315C30"/>
    <w:rsid w:val="00315C9F"/>
    <w:rsid w:val="00315E5B"/>
    <w:rsid w:val="00315EEC"/>
    <w:rsid w:val="00316208"/>
    <w:rsid w:val="003162EB"/>
    <w:rsid w:val="003163D5"/>
    <w:rsid w:val="00316664"/>
    <w:rsid w:val="003176AA"/>
    <w:rsid w:val="003176BB"/>
    <w:rsid w:val="00317A1D"/>
    <w:rsid w:val="00317D69"/>
    <w:rsid w:val="00317E06"/>
    <w:rsid w:val="00317E18"/>
    <w:rsid w:val="00317E7F"/>
    <w:rsid w:val="00317F6E"/>
    <w:rsid w:val="0032001D"/>
    <w:rsid w:val="003200C4"/>
    <w:rsid w:val="0032015C"/>
    <w:rsid w:val="0032037E"/>
    <w:rsid w:val="003204B0"/>
    <w:rsid w:val="0032078B"/>
    <w:rsid w:val="003208AE"/>
    <w:rsid w:val="00320B2F"/>
    <w:rsid w:val="00320D11"/>
    <w:rsid w:val="0032106B"/>
    <w:rsid w:val="0032121E"/>
    <w:rsid w:val="00321358"/>
    <w:rsid w:val="003215EF"/>
    <w:rsid w:val="00322233"/>
    <w:rsid w:val="003222E6"/>
    <w:rsid w:val="00322800"/>
    <w:rsid w:val="00322C42"/>
    <w:rsid w:val="00322F94"/>
    <w:rsid w:val="003232BA"/>
    <w:rsid w:val="003232F9"/>
    <w:rsid w:val="00323B7F"/>
    <w:rsid w:val="00323C87"/>
    <w:rsid w:val="00323CB9"/>
    <w:rsid w:val="00323CDD"/>
    <w:rsid w:val="00323E12"/>
    <w:rsid w:val="00324021"/>
    <w:rsid w:val="00324141"/>
    <w:rsid w:val="00324238"/>
    <w:rsid w:val="0032449D"/>
    <w:rsid w:val="00324692"/>
    <w:rsid w:val="003246E3"/>
    <w:rsid w:val="00324A81"/>
    <w:rsid w:val="00324B79"/>
    <w:rsid w:val="00324BCB"/>
    <w:rsid w:val="00324D7D"/>
    <w:rsid w:val="00325055"/>
    <w:rsid w:val="0032514C"/>
    <w:rsid w:val="00325654"/>
    <w:rsid w:val="0032581A"/>
    <w:rsid w:val="00325FDF"/>
    <w:rsid w:val="00326008"/>
    <w:rsid w:val="0032646C"/>
    <w:rsid w:val="0032685C"/>
    <w:rsid w:val="00326A73"/>
    <w:rsid w:val="00326E07"/>
    <w:rsid w:val="00326E91"/>
    <w:rsid w:val="003276A0"/>
    <w:rsid w:val="003277C0"/>
    <w:rsid w:val="003278BE"/>
    <w:rsid w:val="003278C0"/>
    <w:rsid w:val="00327956"/>
    <w:rsid w:val="00327C06"/>
    <w:rsid w:val="003300F7"/>
    <w:rsid w:val="0033037E"/>
    <w:rsid w:val="0033039F"/>
    <w:rsid w:val="00330B1E"/>
    <w:rsid w:val="00330D61"/>
    <w:rsid w:val="00330DCA"/>
    <w:rsid w:val="00330DF0"/>
    <w:rsid w:val="00330E8B"/>
    <w:rsid w:val="00331171"/>
    <w:rsid w:val="003313F0"/>
    <w:rsid w:val="00331602"/>
    <w:rsid w:val="00331A16"/>
    <w:rsid w:val="00331C8C"/>
    <w:rsid w:val="00332005"/>
    <w:rsid w:val="0033202E"/>
    <w:rsid w:val="003322A1"/>
    <w:rsid w:val="003323FF"/>
    <w:rsid w:val="00332874"/>
    <w:rsid w:val="00332DA0"/>
    <w:rsid w:val="003330CA"/>
    <w:rsid w:val="00333169"/>
    <w:rsid w:val="0033335C"/>
    <w:rsid w:val="00333444"/>
    <w:rsid w:val="00333682"/>
    <w:rsid w:val="00333792"/>
    <w:rsid w:val="00333856"/>
    <w:rsid w:val="00333925"/>
    <w:rsid w:val="00333B26"/>
    <w:rsid w:val="00333C84"/>
    <w:rsid w:val="00333E41"/>
    <w:rsid w:val="003342EA"/>
    <w:rsid w:val="003345FF"/>
    <w:rsid w:val="003347E5"/>
    <w:rsid w:val="0033491A"/>
    <w:rsid w:val="00334938"/>
    <w:rsid w:val="00334ACF"/>
    <w:rsid w:val="00334BF5"/>
    <w:rsid w:val="0033505C"/>
    <w:rsid w:val="003350A5"/>
    <w:rsid w:val="003352B3"/>
    <w:rsid w:val="003352EA"/>
    <w:rsid w:val="00335372"/>
    <w:rsid w:val="00335497"/>
    <w:rsid w:val="0033558D"/>
    <w:rsid w:val="00335644"/>
    <w:rsid w:val="0033581E"/>
    <w:rsid w:val="0033591B"/>
    <w:rsid w:val="00335A88"/>
    <w:rsid w:val="00335D3B"/>
    <w:rsid w:val="00335F2D"/>
    <w:rsid w:val="0033605D"/>
    <w:rsid w:val="00336182"/>
    <w:rsid w:val="003362C2"/>
    <w:rsid w:val="003364FA"/>
    <w:rsid w:val="0033663C"/>
    <w:rsid w:val="00336E9E"/>
    <w:rsid w:val="00337256"/>
    <w:rsid w:val="003372EF"/>
    <w:rsid w:val="00337BBC"/>
    <w:rsid w:val="0034026A"/>
    <w:rsid w:val="003403A4"/>
    <w:rsid w:val="003404A4"/>
    <w:rsid w:val="00340565"/>
    <w:rsid w:val="0034078E"/>
    <w:rsid w:val="0034094C"/>
    <w:rsid w:val="00340AE1"/>
    <w:rsid w:val="00341400"/>
    <w:rsid w:val="0034164C"/>
    <w:rsid w:val="003417B9"/>
    <w:rsid w:val="00341847"/>
    <w:rsid w:val="00341A14"/>
    <w:rsid w:val="00341C3A"/>
    <w:rsid w:val="00341E1D"/>
    <w:rsid w:val="003421F2"/>
    <w:rsid w:val="0034220C"/>
    <w:rsid w:val="0034265E"/>
    <w:rsid w:val="003426E5"/>
    <w:rsid w:val="003429D1"/>
    <w:rsid w:val="00342CA4"/>
    <w:rsid w:val="00342D61"/>
    <w:rsid w:val="00342EC7"/>
    <w:rsid w:val="00343079"/>
    <w:rsid w:val="003430F0"/>
    <w:rsid w:val="003432E0"/>
    <w:rsid w:val="003432ED"/>
    <w:rsid w:val="0034331B"/>
    <w:rsid w:val="00343462"/>
    <w:rsid w:val="00344070"/>
    <w:rsid w:val="00344124"/>
    <w:rsid w:val="00344677"/>
    <w:rsid w:val="003447CC"/>
    <w:rsid w:val="00344B37"/>
    <w:rsid w:val="00344BD5"/>
    <w:rsid w:val="00344C20"/>
    <w:rsid w:val="00344EC0"/>
    <w:rsid w:val="0034537F"/>
    <w:rsid w:val="00345488"/>
    <w:rsid w:val="00345963"/>
    <w:rsid w:val="003459E1"/>
    <w:rsid w:val="00345E01"/>
    <w:rsid w:val="00345EC1"/>
    <w:rsid w:val="00346001"/>
    <w:rsid w:val="00346182"/>
    <w:rsid w:val="003466F4"/>
    <w:rsid w:val="00346962"/>
    <w:rsid w:val="00346987"/>
    <w:rsid w:val="00346DAA"/>
    <w:rsid w:val="0034710E"/>
    <w:rsid w:val="0034720F"/>
    <w:rsid w:val="003472DA"/>
    <w:rsid w:val="00347899"/>
    <w:rsid w:val="00347D15"/>
    <w:rsid w:val="00347D9F"/>
    <w:rsid w:val="0035045D"/>
    <w:rsid w:val="00350530"/>
    <w:rsid w:val="00350B3F"/>
    <w:rsid w:val="00350D96"/>
    <w:rsid w:val="00351381"/>
    <w:rsid w:val="0035170D"/>
    <w:rsid w:val="00351981"/>
    <w:rsid w:val="00351C3D"/>
    <w:rsid w:val="00351CCC"/>
    <w:rsid w:val="00352434"/>
    <w:rsid w:val="003528B6"/>
    <w:rsid w:val="00352BAD"/>
    <w:rsid w:val="00352E6A"/>
    <w:rsid w:val="00352F3D"/>
    <w:rsid w:val="00353040"/>
    <w:rsid w:val="003530A6"/>
    <w:rsid w:val="003534B3"/>
    <w:rsid w:val="00353627"/>
    <w:rsid w:val="0035370C"/>
    <w:rsid w:val="003537AD"/>
    <w:rsid w:val="00353DE4"/>
    <w:rsid w:val="00353F43"/>
    <w:rsid w:val="00354048"/>
    <w:rsid w:val="003541B6"/>
    <w:rsid w:val="003544F3"/>
    <w:rsid w:val="00354671"/>
    <w:rsid w:val="0035467D"/>
    <w:rsid w:val="00354992"/>
    <w:rsid w:val="003549EF"/>
    <w:rsid w:val="00354E17"/>
    <w:rsid w:val="00354E99"/>
    <w:rsid w:val="0035515C"/>
    <w:rsid w:val="00355559"/>
    <w:rsid w:val="00355773"/>
    <w:rsid w:val="00355967"/>
    <w:rsid w:val="00355A65"/>
    <w:rsid w:val="00355AFD"/>
    <w:rsid w:val="00355BE7"/>
    <w:rsid w:val="00355F72"/>
    <w:rsid w:val="0035613B"/>
    <w:rsid w:val="00356178"/>
    <w:rsid w:val="00356F31"/>
    <w:rsid w:val="00356FA6"/>
    <w:rsid w:val="003570FC"/>
    <w:rsid w:val="00357111"/>
    <w:rsid w:val="00357153"/>
    <w:rsid w:val="00357158"/>
    <w:rsid w:val="003573F3"/>
    <w:rsid w:val="00357657"/>
    <w:rsid w:val="003576D8"/>
    <w:rsid w:val="00357897"/>
    <w:rsid w:val="00357D9F"/>
    <w:rsid w:val="00357E32"/>
    <w:rsid w:val="00357EC0"/>
    <w:rsid w:val="00360198"/>
    <w:rsid w:val="003601B9"/>
    <w:rsid w:val="0036042C"/>
    <w:rsid w:val="0036070E"/>
    <w:rsid w:val="00360945"/>
    <w:rsid w:val="00360D56"/>
    <w:rsid w:val="00360DDB"/>
    <w:rsid w:val="0036100F"/>
    <w:rsid w:val="003610D0"/>
    <w:rsid w:val="0036115C"/>
    <w:rsid w:val="00361FEE"/>
    <w:rsid w:val="00362344"/>
    <w:rsid w:val="003626D4"/>
    <w:rsid w:val="0036276C"/>
    <w:rsid w:val="003627BF"/>
    <w:rsid w:val="00362861"/>
    <w:rsid w:val="003628C0"/>
    <w:rsid w:val="00362904"/>
    <w:rsid w:val="00362EB6"/>
    <w:rsid w:val="00362FC1"/>
    <w:rsid w:val="00362FEB"/>
    <w:rsid w:val="0036300D"/>
    <w:rsid w:val="0036320F"/>
    <w:rsid w:val="00363487"/>
    <w:rsid w:val="003636AB"/>
    <w:rsid w:val="003639A6"/>
    <w:rsid w:val="00363B8F"/>
    <w:rsid w:val="00363FB1"/>
    <w:rsid w:val="00364285"/>
    <w:rsid w:val="0036437B"/>
    <w:rsid w:val="003645D5"/>
    <w:rsid w:val="00364869"/>
    <w:rsid w:val="003649F9"/>
    <w:rsid w:val="00364C9B"/>
    <w:rsid w:val="00364F26"/>
    <w:rsid w:val="00365032"/>
    <w:rsid w:val="00365043"/>
    <w:rsid w:val="00365187"/>
    <w:rsid w:val="00365440"/>
    <w:rsid w:val="003654E5"/>
    <w:rsid w:val="003656BA"/>
    <w:rsid w:val="00365C0B"/>
    <w:rsid w:val="0036623C"/>
    <w:rsid w:val="00366347"/>
    <w:rsid w:val="0036635C"/>
    <w:rsid w:val="00366408"/>
    <w:rsid w:val="00366409"/>
    <w:rsid w:val="003665F2"/>
    <w:rsid w:val="00366755"/>
    <w:rsid w:val="00366F31"/>
    <w:rsid w:val="00367027"/>
    <w:rsid w:val="003670CB"/>
    <w:rsid w:val="0036774D"/>
    <w:rsid w:val="003679AE"/>
    <w:rsid w:val="00367B69"/>
    <w:rsid w:val="00367CAA"/>
    <w:rsid w:val="00367DFD"/>
    <w:rsid w:val="003701CF"/>
    <w:rsid w:val="00370261"/>
    <w:rsid w:val="0037064D"/>
    <w:rsid w:val="00370688"/>
    <w:rsid w:val="00370A69"/>
    <w:rsid w:val="00370B94"/>
    <w:rsid w:val="00370BA9"/>
    <w:rsid w:val="00370BC7"/>
    <w:rsid w:val="00370EDD"/>
    <w:rsid w:val="00370FFB"/>
    <w:rsid w:val="003711B5"/>
    <w:rsid w:val="0037121E"/>
    <w:rsid w:val="003714BA"/>
    <w:rsid w:val="0037190A"/>
    <w:rsid w:val="0037190C"/>
    <w:rsid w:val="00371BC2"/>
    <w:rsid w:val="00371C49"/>
    <w:rsid w:val="00371F14"/>
    <w:rsid w:val="00371F6F"/>
    <w:rsid w:val="00372006"/>
    <w:rsid w:val="003727C9"/>
    <w:rsid w:val="00372BCF"/>
    <w:rsid w:val="00372CCB"/>
    <w:rsid w:val="00372FD5"/>
    <w:rsid w:val="00372FFB"/>
    <w:rsid w:val="00373117"/>
    <w:rsid w:val="0037320D"/>
    <w:rsid w:val="00373409"/>
    <w:rsid w:val="003736BD"/>
    <w:rsid w:val="00373775"/>
    <w:rsid w:val="00373886"/>
    <w:rsid w:val="00373957"/>
    <w:rsid w:val="003739E1"/>
    <w:rsid w:val="003741A7"/>
    <w:rsid w:val="0037425F"/>
    <w:rsid w:val="0037437B"/>
    <w:rsid w:val="0037479A"/>
    <w:rsid w:val="003747ED"/>
    <w:rsid w:val="00374BD1"/>
    <w:rsid w:val="00374E68"/>
    <w:rsid w:val="00374F67"/>
    <w:rsid w:val="00375270"/>
    <w:rsid w:val="00375351"/>
    <w:rsid w:val="00375778"/>
    <w:rsid w:val="00375979"/>
    <w:rsid w:val="0037609B"/>
    <w:rsid w:val="00376156"/>
    <w:rsid w:val="00376372"/>
    <w:rsid w:val="0037676B"/>
    <w:rsid w:val="00376AF9"/>
    <w:rsid w:val="00376BEA"/>
    <w:rsid w:val="00376F2E"/>
    <w:rsid w:val="0037708E"/>
    <w:rsid w:val="00377392"/>
    <w:rsid w:val="00377587"/>
    <w:rsid w:val="00377817"/>
    <w:rsid w:val="00377AC1"/>
    <w:rsid w:val="0038018F"/>
    <w:rsid w:val="003802AE"/>
    <w:rsid w:val="003802D7"/>
    <w:rsid w:val="003805B2"/>
    <w:rsid w:val="003805C4"/>
    <w:rsid w:val="003808D7"/>
    <w:rsid w:val="00380B35"/>
    <w:rsid w:val="00380C18"/>
    <w:rsid w:val="00380E85"/>
    <w:rsid w:val="00381033"/>
    <w:rsid w:val="003811A2"/>
    <w:rsid w:val="00381435"/>
    <w:rsid w:val="0038198A"/>
    <w:rsid w:val="00381B5A"/>
    <w:rsid w:val="00381BB7"/>
    <w:rsid w:val="003823C7"/>
    <w:rsid w:val="003823DB"/>
    <w:rsid w:val="00382613"/>
    <w:rsid w:val="003827CD"/>
    <w:rsid w:val="0038281C"/>
    <w:rsid w:val="00382DF3"/>
    <w:rsid w:val="003830EB"/>
    <w:rsid w:val="00383CE8"/>
    <w:rsid w:val="00383FD2"/>
    <w:rsid w:val="003842BE"/>
    <w:rsid w:val="00384353"/>
    <w:rsid w:val="00384481"/>
    <w:rsid w:val="00384489"/>
    <w:rsid w:val="00384730"/>
    <w:rsid w:val="00384827"/>
    <w:rsid w:val="00384BA6"/>
    <w:rsid w:val="00384E86"/>
    <w:rsid w:val="0038500C"/>
    <w:rsid w:val="0038516B"/>
    <w:rsid w:val="00385250"/>
    <w:rsid w:val="003854B2"/>
    <w:rsid w:val="003857F3"/>
    <w:rsid w:val="00385A64"/>
    <w:rsid w:val="00385AE7"/>
    <w:rsid w:val="00385BFA"/>
    <w:rsid w:val="00385C4D"/>
    <w:rsid w:val="00385F0B"/>
    <w:rsid w:val="0038604D"/>
    <w:rsid w:val="003863BC"/>
    <w:rsid w:val="00386865"/>
    <w:rsid w:val="00386A8F"/>
    <w:rsid w:val="00386BBA"/>
    <w:rsid w:val="00386D1A"/>
    <w:rsid w:val="00386DB2"/>
    <w:rsid w:val="00386DD1"/>
    <w:rsid w:val="00386EAC"/>
    <w:rsid w:val="00387195"/>
    <w:rsid w:val="00387403"/>
    <w:rsid w:val="003877EB"/>
    <w:rsid w:val="00387881"/>
    <w:rsid w:val="00387890"/>
    <w:rsid w:val="00387989"/>
    <w:rsid w:val="003900AC"/>
    <w:rsid w:val="003901BE"/>
    <w:rsid w:val="003902F3"/>
    <w:rsid w:val="0039045D"/>
    <w:rsid w:val="00391008"/>
    <w:rsid w:val="00391210"/>
    <w:rsid w:val="0039138B"/>
    <w:rsid w:val="003913AD"/>
    <w:rsid w:val="00391479"/>
    <w:rsid w:val="0039182E"/>
    <w:rsid w:val="003919EA"/>
    <w:rsid w:val="00391A41"/>
    <w:rsid w:val="00391FFE"/>
    <w:rsid w:val="00392362"/>
    <w:rsid w:val="00392393"/>
    <w:rsid w:val="003923CF"/>
    <w:rsid w:val="0039240D"/>
    <w:rsid w:val="003929EB"/>
    <w:rsid w:val="00392A46"/>
    <w:rsid w:val="00392D97"/>
    <w:rsid w:val="00392E25"/>
    <w:rsid w:val="00393041"/>
    <w:rsid w:val="00393096"/>
    <w:rsid w:val="0039342B"/>
    <w:rsid w:val="00393433"/>
    <w:rsid w:val="0039354D"/>
    <w:rsid w:val="00393687"/>
    <w:rsid w:val="00393705"/>
    <w:rsid w:val="003938BC"/>
    <w:rsid w:val="00393931"/>
    <w:rsid w:val="003939FD"/>
    <w:rsid w:val="00393BC7"/>
    <w:rsid w:val="00393EBB"/>
    <w:rsid w:val="00394159"/>
    <w:rsid w:val="00394218"/>
    <w:rsid w:val="00394857"/>
    <w:rsid w:val="00394C83"/>
    <w:rsid w:val="00394DBD"/>
    <w:rsid w:val="00394DC3"/>
    <w:rsid w:val="00395236"/>
    <w:rsid w:val="003957AC"/>
    <w:rsid w:val="00395BDA"/>
    <w:rsid w:val="00395C43"/>
    <w:rsid w:val="00395E85"/>
    <w:rsid w:val="00396339"/>
    <w:rsid w:val="00396362"/>
    <w:rsid w:val="003964F8"/>
    <w:rsid w:val="003964FA"/>
    <w:rsid w:val="0039655E"/>
    <w:rsid w:val="003966C9"/>
    <w:rsid w:val="00396A8D"/>
    <w:rsid w:val="00397170"/>
    <w:rsid w:val="00397724"/>
    <w:rsid w:val="00397873"/>
    <w:rsid w:val="00397C6F"/>
    <w:rsid w:val="00397DA8"/>
    <w:rsid w:val="00397DDF"/>
    <w:rsid w:val="003A0014"/>
    <w:rsid w:val="003A0103"/>
    <w:rsid w:val="003A0294"/>
    <w:rsid w:val="003A02D6"/>
    <w:rsid w:val="003A04B8"/>
    <w:rsid w:val="003A0642"/>
    <w:rsid w:val="003A065D"/>
    <w:rsid w:val="003A096A"/>
    <w:rsid w:val="003A0AC7"/>
    <w:rsid w:val="003A0B90"/>
    <w:rsid w:val="003A0F07"/>
    <w:rsid w:val="003A141A"/>
    <w:rsid w:val="003A1580"/>
    <w:rsid w:val="003A1B18"/>
    <w:rsid w:val="003A1BCA"/>
    <w:rsid w:val="003A212F"/>
    <w:rsid w:val="003A2660"/>
    <w:rsid w:val="003A26BF"/>
    <w:rsid w:val="003A26E9"/>
    <w:rsid w:val="003A2F3F"/>
    <w:rsid w:val="003A30B4"/>
    <w:rsid w:val="003A30E1"/>
    <w:rsid w:val="003A3163"/>
    <w:rsid w:val="003A3433"/>
    <w:rsid w:val="003A3652"/>
    <w:rsid w:val="003A3BF4"/>
    <w:rsid w:val="003A3F86"/>
    <w:rsid w:val="003A4267"/>
    <w:rsid w:val="003A429E"/>
    <w:rsid w:val="003A4347"/>
    <w:rsid w:val="003A4A7F"/>
    <w:rsid w:val="003A4BEF"/>
    <w:rsid w:val="003A51AF"/>
    <w:rsid w:val="003A535B"/>
    <w:rsid w:val="003A537E"/>
    <w:rsid w:val="003A53E6"/>
    <w:rsid w:val="003A5A9E"/>
    <w:rsid w:val="003A5D25"/>
    <w:rsid w:val="003A6233"/>
    <w:rsid w:val="003A660F"/>
    <w:rsid w:val="003A6673"/>
    <w:rsid w:val="003A693E"/>
    <w:rsid w:val="003A6992"/>
    <w:rsid w:val="003A70A3"/>
    <w:rsid w:val="003A7248"/>
    <w:rsid w:val="003A7595"/>
    <w:rsid w:val="003A79A4"/>
    <w:rsid w:val="003A7B91"/>
    <w:rsid w:val="003A7E56"/>
    <w:rsid w:val="003B0164"/>
    <w:rsid w:val="003B031B"/>
    <w:rsid w:val="003B0328"/>
    <w:rsid w:val="003B0905"/>
    <w:rsid w:val="003B095E"/>
    <w:rsid w:val="003B0D6A"/>
    <w:rsid w:val="003B0E06"/>
    <w:rsid w:val="003B0F8F"/>
    <w:rsid w:val="003B1040"/>
    <w:rsid w:val="003B1169"/>
    <w:rsid w:val="003B11C6"/>
    <w:rsid w:val="003B1602"/>
    <w:rsid w:val="003B164D"/>
    <w:rsid w:val="003B1728"/>
    <w:rsid w:val="003B1F7B"/>
    <w:rsid w:val="003B1FB8"/>
    <w:rsid w:val="003B2438"/>
    <w:rsid w:val="003B2F09"/>
    <w:rsid w:val="003B2F79"/>
    <w:rsid w:val="003B3089"/>
    <w:rsid w:val="003B34FA"/>
    <w:rsid w:val="003B3A58"/>
    <w:rsid w:val="003B3B0A"/>
    <w:rsid w:val="003B3B7B"/>
    <w:rsid w:val="003B3C35"/>
    <w:rsid w:val="003B3CB3"/>
    <w:rsid w:val="003B40A8"/>
    <w:rsid w:val="003B44A7"/>
    <w:rsid w:val="003B4541"/>
    <w:rsid w:val="003B4969"/>
    <w:rsid w:val="003B4CBC"/>
    <w:rsid w:val="003B4D78"/>
    <w:rsid w:val="003B4DC8"/>
    <w:rsid w:val="003B4F05"/>
    <w:rsid w:val="003B4F83"/>
    <w:rsid w:val="003B527D"/>
    <w:rsid w:val="003B572B"/>
    <w:rsid w:val="003B580B"/>
    <w:rsid w:val="003B5B21"/>
    <w:rsid w:val="003B61FF"/>
    <w:rsid w:val="003B630B"/>
    <w:rsid w:val="003B631F"/>
    <w:rsid w:val="003B6320"/>
    <w:rsid w:val="003B6594"/>
    <w:rsid w:val="003B6755"/>
    <w:rsid w:val="003B67A4"/>
    <w:rsid w:val="003B67F5"/>
    <w:rsid w:val="003B6819"/>
    <w:rsid w:val="003B6906"/>
    <w:rsid w:val="003B6C56"/>
    <w:rsid w:val="003B6CFB"/>
    <w:rsid w:val="003B70C6"/>
    <w:rsid w:val="003B72B5"/>
    <w:rsid w:val="003B7303"/>
    <w:rsid w:val="003B73F9"/>
    <w:rsid w:val="003B7407"/>
    <w:rsid w:val="003B7656"/>
    <w:rsid w:val="003B772F"/>
    <w:rsid w:val="003B786B"/>
    <w:rsid w:val="003B7888"/>
    <w:rsid w:val="003B7894"/>
    <w:rsid w:val="003B79B8"/>
    <w:rsid w:val="003B7ACD"/>
    <w:rsid w:val="003B7C5F"/>
    <w:rsid w:val="003B7FFA"/>
    <w:rsid w:val="003C0127"/>
    <w:rsid w:val="003C03C9"/>
    <w:rsid w:val="003C0478"/>
    <w:rsid w:val="003C055D"/>
    <w:rsid w:val="003C069C"/>
    <w:rsid w:val="003C06C0"/>
    <w:rsid w:val="003C0EAF"/>
    <w:rsid w:val="003C0F94"/>
    <w:rsid w:val="003C10AA"/>
    <w:rsid w:val="003C1353"/>
    <w:rsid w:val="003C1538"/>
    <w:rsid w:val="003C16FF"/>
    <w:rsid w:val="003C19D8"/>
    <w:rsid w:val="003C1A2D"/>
    <w:rsid w:val="003C1A9F"/>
    <w:rsid w:val="003C1BC8"/>
    <w:rsid w:val="003C1DD1"/>
    <w:rsid w:val="003C1E5F"/>
    <w:rsid w:val="003C2112"/>
    <w:rsid w:val="003C2360"/>
    <w:rsid w:val="003C2754"/>
    <w:rsid w:val="003C27BC"/>
    <w:rsid w:val="003C2902"/>
    <w:rsid w:val="003C2E84"/>
    <w:rsid w:val="003C2FFE"/>
    <w:rsid w:val="003C38B3"/>
    <w:rsid w:val="003C3922"/>
    <w:rsid w:val="003C3CFF"/>
    <w:rsid w:val="003C3EED"/>
    <w:rsid w:val="003C40E8"/>
    <w:rsid w:val="003C41A3"/>
    <w:rsid w:val="003C42F6"/>
    <w:rsid w:val="003C46D5"/>
    <w:rsid w:val="003C48FD"/>
    <w:rsid w:val="003C4EEF"/>
    <w:rsid w:val="003C50DE"/>
    <w:rsid w:val="003C5281"/>
    <w:rsid w:val="003C52DA"/>
    <w:rsid w:val="003C535A"/>
    <w:rsid w:val="003C549A"/>
    <w:rsid w:val="003C54D2"/>
    <w:rsid w:val="003C56C4"/>
    <w:rsid w:val="003C5787"/>
    <w:rsid w:val="003C57A3"/>
    <w:rsid w:val="003C5CA7"/>
    <w:rsid w:val="003C5F39"/>
    <w:rsid w:val="003C6073"/>
    <w:rsid w:val="003C6251"/>
    <w:rsid w:val="003C63B6"/>
    <w:rsid w:val="003C63E5"/>
    <w:rsid w:val="003C6906"/>
    <w:rsid w:val="003C6A73"/>
    <w:rsid w:val="003C6BD3"/>
    <w:rsid w:val="003C6D3E"/>
    <w:rsid w:val="003C6DDD"/>
    <w:rsid w:val="003C7218"/>
    <w:rsid w:val="003C7303"/>
    <w:rsid w:val="003C7432"/>
    <w:rsid w:val="003C7644"/>
    <w:rsid w:val="003C76F2"/>
    <w:rsid w:val="003C777E"/>
    <w:rsid w:val="003C788A"/>
    <w:rsid w:val="003C7A8B"/>
    <w:rsid w:val="003C7BC6"/>
    <w:rsid w:val="003D024C"/>
    <w:rsid w:val="003D03C8"/>
    <w:rsid w:val="003D053B"/>
    <w:rsid w:val="003D05AD"/>
    <w:rsid w:val="003D0997"/>
    <w:rsid w:val="003D0C59"/>
    <w:rsid w:val="003D111B"/>
    <w:rsid w:val="003D118C"/>
    <w:rsid w:val="003D11A9"/>
    <w:rsid w:val="003D1437"/>
    <w:rsid w:val="003D1451"/>
    <w:rsid w:val="003D151C"/>
    <w:rsid w:val="003D1832"/>
    <w:rsid w:val="003D197B"/>
    <w:rsid w:val="003D1A9A"/>
    <w:rsid w:val="003D1CAE"/>
    <w:rsid w:val="003D1FB3"/>
    <w:rsid w:val="003D2083"/>
    <w:rsid w:val="003D261C"/>
    <w:rsid w:val="003D27F0"/>
    <w:rsid w:val="003D2A37"/>
    <w:rsid w:val="003D2B13"/>
    <w:rsid w:val="003D3428"/>
    <w:rsid w:val="003D3692"/>
    <w:rsid w:val="003D3C57"/>
    <w:rsid w:val="003D3E6A"/>
    <w:rsid w:val="003D3EFE"/>
    <w:rsid w:val="003D42A9"/>
    <w:rsid w:val="003D42EE"/>
    <w:rsid w:val="003D460D"/>
    <w:rsid w:val="003D4646"/>
    <w:rsid w:val="003D499A"/>
    <w:rsid w:val="003D49B6"/>
    <w:rsid w:val="003D4CF9"/>
    <w:rsid w:val="003D4DC7"/>
    <w:rsid w:val="003D5053"/>
    <w:rsid w:val="003D5078"/>
    <w:rsid w:val="003D562F"/>
    <w:rsid w:val="003D5658"/>
    <w:rsid w:val="003D5911"/>
    <w:rsid w:val="003D5ADF"/>
    <w:rsid w:val="003D5E54"/>
    <w:rsid w:val="003D5EC6"/>
    <w:rsid w:val="003D5F01"/>
    <w:rsid w:val="003D6425"/>
    <w:rsid w:val="003D662F"/>
    <w:rsid w:val="003D66DC"/>
    <w:rsid w:val="003D6854"/>
    <w:rsid w:val="003D68A1"/>
    <w:rsid w:val="003D697A"/>
    <w:rsid w:val="003D69EF"/>
    <w:rsid w:val="003D72A2"/>
    <w:rsid w:val="003D72B6"/>
    <w:rsid w:val="003D74F3"/>
    <w:rsid w:val="003D7673"/>
    <w:rsid w:val="003D76B3"/>
    <w:rsid w:val="003D7753"/>
    <w:rsid w:val="003E006F"/>
    <w:rsid w:val="003E0146"/>
    <w:rsid w:val="003E0338"/>
    <w:rsid w:val="003E0455"/>
    <w:rsid w:val="003E045A"/>
    <w:rsid w:val="003E07B4"/>
    <w:rsid w:val="003E0E30"/>
    <w:rsid w:val="003E0EDB"/>
    <w:rsid w:val="003E126B"/>
    <w:rsid w:val="003E171D"/>
    <w:rsid w:val="003E18E9"/>
    <w:rsid w:val="003E1B36"/>
    <w:rsid w:val="003E1B45"/>
    <w:rsid w:val="003E2045"/>
    <w:rsid w:val="003E2552"/>
    <w:rsid w:val="003E295E"/>
    <w:rsid w:val="003E2C44"/>
    <w:rsid w:val="003E330E"/>
    <w:rsid w:val="003E3664"/>
    <w:rsid w:val="003E38F4"/>
    <w:rsid w:val="003E3946"/>
    <w:rsid w:val="003E39DD"/>
    <w:rsid w:val="003E3D76"/>
    <w:rsid w:val="003E40AE"/>
    <w:rsid w:val="003E4698"/>
    <w:rsid w:val="003E5014"/>
    <w:rsid w:val="003E561B"/>
    <w:rsid w:val="003E5C56"/>
    <w:rsid w:val="003E601F"/>
    <w:rsid w:val="003E6196"/>
    <w:rsid w:val="003E6475"/>
    <w:rsid w:val="003E6554"/>
    <w:rsid w:val="003E65FB"/>
    <w:rsid w:val="003E6CE5"/>
    <w:rsid w:val="003E6CF0"/>
    <w:rsid w:val="003E6F88"/>
    <w:rsid w:val="003E7496"/>
    <w:rsid w:val="003E749D"/>
    <w:rsid w:val="003E76CA"/>
    <w:rsid w:val="003E77A3"/>
    <w:rsid w:val="003E78BE"/>
    <w:rsid w:val="003F00CF"/>
    <w:rsid w:val="003F0331"/>
    <w:rsid w:val="003F033F"/>
    <w:rsid w:val="003F03CF"/>
    <w:rsid w:val="003F043D"/>
    <w:rsid w:val="003F0C1B"/>
    <w:rsid w:val="003F105A"/>
    <w:rsid w:val="003F1149"/>
    <w:rsid w:val="003F13F3"/>
    <w:rsid w:val="003F195F"/>
    <w:rsid w:val="003F1AF9"/>
    <w:rsid w:val="003F1D56"/>
    <w:rsid w:val="003F1D75"/>
    <w:rsid w:val="003F1E73"/>
    <w:rsid w:val="003F2000"/>
    <w:rsid w:val="003F20DA"/>
    <w:rsid w:val="003F24A8"/>
    <w:rsid w:val="003F2742"/>
    <w:rsid w:val="003F282E"/>
    <w:rsid w:val="003F2CC6"/>
    <w:rsid w:val="003F2D08"/>
    <w:rsid w:val="003F2EBB"/>
    <w:rsid w:val="003F2F6D"/>
    <w:rsid w:val="003F2F83"/>
    <w:rsid w:val="003F3385"/>
    <w:rsid w:val="003F358F"/>
    <w:rsid w:val="003F373F"/>
    <w:rsid w:val="003F3DEC"/>
    <w:rsid w:val="003F3F2E"/>
    <w:rsid w:val="003F4259"/>
    <w:rsid w:val="003F430D"/>
    <w:rsid w:val="003F4CA9"/>
    <w:rsid w:val="003F4F06"/>
    <w:rsid w:val="003F4F35"/>
    <w:rsid w:val="003F4FA7"/>
    <w:rsid w:val="003F518B"/>
    <w:rsid w:val="003F54F5"/>
    <w:rsid w:val="003F57E6"/>
    <w:rsid w:val="003F594F"/>
    <w:rsid w:val="003F5B14"/>
    <w:rsid w:val="003F5BCD"/>
    <w:rsid w:val="003F5F83"/>
    <w:rsid w:val="003F5FBE"/>
    <w:rsid w:val="003F60D8"/>
    <w:rsid w:val="003F6199"/>
    <w:rsid w:val="003F61D5"/>
    <w:rsid w:val="003F6A43"/>
    <w:rsid w:val="003F6E30"/>
    <w:rsid w:val="003F70DF"/>
    <w:rsid w:val="003F73AE"/>
    <w:rsid w:val="003F76A7"/>
    <w:rsid w:val="003F779D"/>
    <w:rsid w:val="003F78CB"/>
    <w:rsid w:val="003F7D41"/>
    <w:rsid w:val="003F7FEB"/>
    <w:rsid w:val="004000CA"/>
    <w:rsid w:val="004004B6"/>
    <w:rsid w:val="00400789"/>
    <w:rsid w:val="004007FA"/>
    <w:rsid w:val="00400B74"/>
    <w:rsid w:val="00400CE7"/>
    <w:rsid w:val="00400F19"/>
    <w:rsid w:val="00400F8A"/>
    <w:rsid w:val="0040103C"/>
    <w:rsid w:val="004012C7"/>
    <w:rsid w:val="0040136F"/>
    <w:rsid w:val="00401482"/>
    <w:rsid w:val="00401582"/>
    <w:rsid w:val="00401678"/>
    <w:rsid w:val="00401828"/>
    <w:rsid w:val="00401D7C"/>
    <w:rsid w:val="00401E77"/>
    <w:rsid w:val="00401F14"/>
    <w:rsid w:val="00402157"/>
    <w:rsid w:val="004029A1"/>
    <w:rsid w:val="004033BF"/>
    <w:rsid w:val="004034D0"/>
    <w:rsid w:val="00403A20"/>
    <w:rsid w:val="00403C05"/>
    <w:rsid w:val="004041A5"/>
    <w:rsid w:val="00404289"/>
    <w:rsid w:val="004042EE"/>
    <w:rsid w:val="004044F2"/>
    <w:rsid w:val="004048BB"/>
    <w:rsid w:val="0040494E"/>
    <w:rsid w:val="00404ACC"/>
    <w:rsid w:val="00404B00"/>
    <w:rsid w:val="00404B7C"/>
    <w:rsid w:val="00404BBC"/>
    <w:rsid w:val="00404C3E"/>
    <w:rsid w:val="00404C88"/>
    <w:rsid w:val="00404D15"/>
    <w:rsid w:val="00404EDF"/>
    <w:rsid w:val="00405193"/>
    <w:rsid w:val="004051F7"/>
    <w:rsid w:val="00405251"/>
    <w:rsid w:val="00405513"/>
    <w:rsid w:val="00405C77"/>
    <w:rsid w:val="00405CE0"/>
    <w:rsid w:val="0040607B"/>
    <w:rsid w:val="004060FB"/>
    <w:rsid w:val="00406222"/>
    <w:rsid w:val="00406359"/>
    <w:rsid w:val="0040650C"/>
    <w:rsid w:val="00406603"/>
    <w:rsid w:val="004067E0"/>
    <w:rsid w:val="0040684C"/>
    <w:rsid w:val="00406D27"/>
    <w:rsid w:val="00406E31"/>
    <w:rsid w:val="004070F8"/>
    <w:rsid w:val="004073DC"/>
    <w:rsid w:val="004073EB"/>
    <w:rsid w:val="0040761E"/>
    <w:rsid w:val="0040771D"/>
    <w:rsid w:val="00407E8E"/>
    <w:rsid w:val="0041009B"/>
    <w:rsid w:val="004104E7"/>
    <w:rsid w:val="00410A48"/>
    <w:rsid w:val="00410B15"/>
    <w:rsid w:val="00410BB3"/>
    <w:rsid w:val="004112C2"/>
    <w:rsid w:val="004117C2"/>
    <w:rsid w:val="004117EA"/>
    <w:rsid w:val="004118BF"/>
    <w:rsid w:val="00411B6E"/>
    <w:rsid w:val="00411D0E"/>
    <w:rsid w:val="00411D3A"/>
    <w:rsid w:val="00411E34"/>
    <w:rsid w:val="00411F2D"/>
    <w:rsid w:val="004121E2"/>
    <w:rsid w:val="00412B8D"/>
    <w:rsid w:val="00412B92"/>
    <w:rsid w:val="00413365"/>
    <w:rsid w:val="004136A7"/>
    <w:rsid w:val="00413891"/>
    <w:rsid w:val="00413A63"/>
    <w:rsid w:val="00413D5E"/>
    <w:rsid w:val="00413D7E"/>
    <w:rsid w:val="00413DBA"/>
    <w:rsid w:val="00413FE6"/>
    <w:rsid w:val="004140E9"/>
    <w:rsid w:val="00414755"/>
    <w:rsid w:val="0041498A"/>
    <w:rsid w:val="00414A05"/>
    <w:rsid w:val="00414B93"/>
    <w:rsid w:val="00414F02"/>
    <w:rsid w:val="00414FDC"/>
    <w:rsid w:val="00415162"/>
    <w:rsid w:val="00415238"/>
    <w:rsid w:val="004152EA"/>
    <w:rsid w:val="00415589"/>
    <w:rsid w:val="00415BF8"/>
    <w:rsid w:val="00415F31"/>
    <w:rsid w:val="00416479"/>
    <w:rsid w:val="00416764"/>
    <w:rsid w:val="0041685C"/>
    <w:rsid w:val="004177C7"/>
    <w:rsid w:val="00417913"/>
    <w:rsid w:val="00417C3E"/>
    <w:rsid w:val="00417FAF"/>
    <w:rsid w:val="004201B9"/>
    <w:rsid w:val="0042040B"/>
    <w:rsid w:val="00420540"/>
    <w:rsid w:val="0042056C"/>
    <w:rsid w:val="004207E6"/>
    <w:rsid w:val="004208B1"/>
    <w:rsid w:val="004208CF"/>
    <w:rsid w:val="00420AB1"/>
    <w:rsid w:val="00420B29"/>
    <w:rsid w:val="00420B8E"/>
    <w:rsid w:val="00420F95"/>
    <w:rsid w:val="004213C8"/>
    <w:rsid w:val="00421450"/>
    <w:rsid w:val="004215A8"/>
    <w:rsid w:val="004218B8"/>
    <w:rsid w:val="00421E6A"/>
    <w:rsid w:val="00421EF5"/>
    <w:rsid w:val="00421F3E"/>
    <w:rsid w:val="00421F5F"/>
    <w:rsid w:val="004220F6"/>
    <w:rsid w:val="0042261E"/>
    <w:rsid w:val="00422A2E"/>
    <w:rsid w:val="00422B73"/>
    <w:rsid w:val="00422B78"/>
    <w:rsid w:val="00422C0B"/>
    <w:rsid w:val="00422F23"/>
    <w:rsid w:val="00422F8F"/>
    <w:rsid w:val="004233FE"/>
    <w:rsid w:val="004236D5"/>
    <w:rsid w:val="00423A7A"/>
    <w:rsid w:val="00423F3A"/>
    <w:rsid w:val="0042437D"/>
    <w:rsid w:val="0042442B"/>
    <w:rsid w:val="0042484C"/>
    <w:rsid w:val="00424C78"/>
    <w:rsid w:val="00424CCA"/>
    <w:rsid w:val="00424DA2"/>
    <w:rsid w:val="00425029"/>
    <w:rsid w:val="0042507A"/>
    <w:rsid w:val="00425085"/>
    <w:rsid w:val="00425317"/>
    <w:rsid w:val="004253E4"/>
    <w:rsid w:val="0042568B"/>
    <w:rsid w:val="00425745"/>
    <w:rsid w:val="0042578B"/>
    <w:rsid w:val="00425961"/>
    <w:rsid w:val="00425B70"/>
    <w:rsid w:val="00425DA4"/>
    <w:rsid w:val="00426090"/>
    <w:rsid w:val="00426648"/>
    <w:rsid w:val="004268CB"/>
    <w:rsid w:val="00426C29"/>
    <w:rsid w:val="00426CD0"/>
    <w:rsid w:val="00426CF2"/>
    <w:rsid w:val="00426DBC"/>
    <w:rsid w:val="00426E23"/>
    <w:rsid w:val="00427384"/>
    <w:rsid w:val="004273AD"/>
    <w:rsid w:val="00427509"/>
    <w:rsid w:val="00427E55"/>
    <w:rsid w:val="004301FC"/>
    <w:rsid w:val="0043030F"/>
    <w:rsid w:val="004305B8"/>
    <w:rsid w:val="0043083B"/>
    <w:rsid w:val="00430DDA"/>
    <w:rsid w:val="00430E69"/>
    <w:rsid w:val="00431875"/>
    <w:rsid w:val="004319D5"/>
    <w:rsid w:val="00431A3A"/>
    <w:rsid w:val="00431B28"/>
    <w:rsid w:val="00431D4D"/>
    <w:rsid w:val="0043237D"/>
    <w:rsid w:val="004323B5"/>
    <w:rsid w:val="00432534"/>
    <w:rsid w:val="00432862"/>
    <w:rsid w:val="00432A8C"/>
    <w:rsid w:val="00432BA8"/>
    <w:rsid w:val="00432CD2"/>
    <w:rsid w:val="00432DE6"/>
    <w:rsid w:val="00432FF2"/>
    <w:rsid w:val="004330B8"/>
    <w:rsid w:val="00433120"/>
    <w:rsid w:val="004335B6"/>
    <w:rsid w:val="00433675"/>
    <w:rsid w:val="004339E4"/>
    <w:rsid w:val="00433D0A"/>
    <w:rsid w:val="00434112"/>
    <w:rsid w:val="004341A0"/>
    <w:rsid w:val="00434242"/>
    <w:rsid w:val="004343DD"/>
    <w:rsid w:val="0043441E"/>
    <w:rsid w:val="00434EE9"/>
    <w:rsid w:val="0043501F"/>
    <w:rsid w:val="00435360"/>
    <w:rsid w:val="0043537F"/>
    <w:rsid w:val="004356BB"/>
    <w:rsid w:val="0043579D"/>
    <w:rsid w:val="00435A63"/>
    <w:rsid w:val="00435BCD"/>
    <w:rsid w:val="00435EBD"/>
    <w:rsid w:val="00435F06"/>
    <w:rsid w:val="00435F66"/>
    <w:rsid w:val="00436009"/>
    <w:rsid w:val="0043611B"/>
    <w:rsid w:val="004361FD"/>
    <w:rsid w:val="004364B8"/>
    <w:rsid w:val="0043655B"/>
    <w:rsid w:val="004367D7"/>
    <w:rsid w:val="00436FD5"/>
    <w:rsid w:val="0043796A"/>
    <w:rsid w:val="00437AFD"/>
    <w:rsid w:val="00437BB5"/>
    <w:rsid w:val="004406EC"/>
    <w:rsid w:val="00440BEE"/>
    <w:rsid w:val="00440C2E"/>
    <w:rsid w:val="0044158A"/>
    <w:rsid w:val="00441705"/>
    <w:rsid w:val="004418D9"/>
    <w:rsid w:val="00441962"/>
    <w:rsid w:val="00441FD5"/>
    <w:rsid w:val="00442191"/>
    <w:rsid w:val="004423F4"/>
    <w:rsid w:val="004427D4"/>
    <w:rsid w:val="0044282D"/>
    <w:rsid w:val="00442869"/>
    <w:rsid w:val="004428D8"/>
    <w:rsid w:val="00442DB5"/>
    <w:rsid w:val="00442EEC"/>
    <w:rsid w:val="0044302D"/>
    <w:rsid w:val="0044316E"/>
    <w:rsid w:val="004431CE"/>
    <w:rsid w:val="004434F0"/>
    <w:rsid w:val="004435EE"/>
    <w:rsid w:val="00443775"/>
    <w:rsid w:val="00443794"/>
    <w:rsid w:val="0044381A"/>
    <w:rsid w:val="00443F1A"/>
    <w:rsid w:val="00443F31"/>
    <w:rsid w:val="00444321"/>
    <w:rsid w:val="00444644"/>
    <w:rsid w:val="004446A7"/>
    <w:rsid w:val="00444BAA"/>
    <w:rsid w:val="00444CB6"/>
    <w:rsid w:val="00445299"/>
    <w:rsid w:val="00445375"/>
    <w:rsid w:val="00445721"/>
    <w:rsid w:val="004457F0"/>
    <w:rsid w:val="004458C8"/>
    <w:rsid w:val="00445928"/>
    <w:rsid w:val="004459D2"/>
    <w:rsid w:val="004459EF"/>
    <w:rsid w:val="00445A11"/>
    <w:rsid w:val="00445CBD"/>
    <w:rsid w:val="00445EE0"/>
    <w:rsid w:val="00445F30"/>
    <w:rsid w:val="00446328"/>
    <w:rsid w:val="00446551"/>
    <w:rsid w:val="0044684C"/>
    <w:rsid w:val="00446B21"/>
    <w:rsid w:val="00446BD7"/>
    <w:rsid w:val="00446E73"/>
    <w:rsid w:val="004472B9"/>
    <w:rsid w:val="004504BA"/>
    <w:rsid w:val="0045050C"/>
    <w:rsid w:val="0045084E"/>
    <w:rsid w:val="004509D8"/>
    <w:rsid w:val="00450C9A"/>
    <w:rsid w:val="00450E64"/>
    <w:rsid w:val="004510AD"/>
    <w:rsid w:val="004510C4"/>
    <w:rsid w:val="0045111A"/>
    <w:rsid w:val="004513E2"/>
    <w:rsid w:val="00451753"/>
    <w:rsid w:val="00451B2F"/>
    <w:rsid w:val="00451BC2"/>
    <w:rsid w:val="00451BD0"/>
    <w:rsid w:val="0045230A"/>
    <w:rsid w:val="0045230F"/>
    <w:rsid w:val="00452AAF"/>
    <w:rsid w:val="00452EB2"/>
    <w:rsid w:val="00452FFE"/>
    <w:rsid w:val="0045330C"/>
    <w:rsid w:val="00453397"/>
    <w:rsid w:val="00453556"/>
    <w:rsid w:val="0045369B"/>
    <w:rsid w:val="0045389C"/>
    <w:rsid w:val="004539E6"/>
    <w:rsid w:val="00453AEE"/>
    <w:rsid w:val="00453BAE"/>
    <w:rsid w:val="00453D59"/>
    <w:rsid w:val="00453DF0"/>
    <w:rsid w:val="00454424"/>
    <w:rsid w:val="0045455F"/>
    <w:rsid w:val="00454639"/>
    <w:rsid w:val="004548E9"/>
    <w:rsid w:val="00454945"/>
    <w:rsid w:val="0045495F"/>
    <w:rsid w:val="00454AEC"/>
    <w:rsid w:val="00454B0E"/>
    <w:rsid w:val="00454B20"/>
    <w:rsid w:val="00454BFF"/>
    <w:rsid w:val="00455154"/>
    <w:rsid w:val="0045545A"/>
    <w:rsid w:val="00455628"/>
    <w:rsid w:val="00455642"/>
    <w:rsid w:val="00455678"/>
    <w:rsid w:val="00455692"/>
    <w:rsid w:val="00455C75"/>
    <w:rsid w:val="00455FB1"/>
    <w:rsid w:val="00455FFD"/>
    <w:rsid w:val="00456070"/>
    <w:rsid w:val="004561F4"/>
    <w:rsid w:val="004561FC"/>
    <w:rsid w:val="00456242"/>
    <w:rsid w:val="00456586"/>
    <w:rsid w:val="004566F5"/>
    <w:rsid w:val="00456A1A"/>
    <w:rsid w:val="00456BBE"/>
    <w:rsid w:val="00456BE4"/>
    <w:rsid w:val="00456EEB"/>
    <w:rsid w:val="00456F6E"/>
    <w:rsid w:val="0045730B"/>
    <w:rsid w:val="00457430"/>
    <w:rsid w:val="00457519"/>
    <w:rsid w:val="00457585"/>
    <w:rsid w:val="004575EE"/>
    <w:rsid w:val="00457610"/>
    <w:rsid w:val="0045766F"/>
    <w:rsid w:val="00457850"/>
    <w:rsid w:val="0045786C"/>
    <w:rsid w:val="0045794F"/>
    <w:rsid w:val="00457979"/>
    <w:rsid w:val="0045797A"/>
    <w:rsid w:val="004601E9"/>
    <w:rsid w:val="00460250"/>
    <w:rsid w:val="00460335"/>
    <w:rsid w:val="004603A5"/>
    <w:rsid w:val="004604E2"/>
    <w:rsid w:val="00460751"/>
    <w:rsid w:val="0046082B"/>
    <w:rsid w:val="00460B6A"/>
    <w:rsid w:val="00460BCD"/>
    <w:rsid w:val="00460CEC"/>
    <w:rsid w:val="00460DDB"/>
    <w:rsid w:val="0046100B"/>
    <w:rsid w:val="004610AD"/>
    <w:rsid w:val="004611D3"/>
    <w:rsid w:val="004612EC"/>
    <w:rsid w:val="00461314"/>
    <w:rsid w:val="004619BB"/>
    <w:rsid w:val="00461A94"/>
    <w:rsid w:val="00461C99"/>
    <w:rsid w:val="00461D65"/>
    <w:rsid w:val="00462386"/>
    <w:rsid w:val="004625EC"/>
    <w:rsid w:val="00462809"/>
    <w:rsid w:val="00462913"/>
    <w:rsid w:val="0046298D"/>
    <w:rsid w:val="00462A91"/>
    <w:rsid w:val="00462AB2"/>
    <w:rsid w:val="00462AC6"/>
    <w:rsid w:val="00463027"/>
    <w:rsid w:val="00463B35"/>
    <w:rsid w:val="00464321"/>
    <w:rsid w:val="0046498E"/>
    <w:rsid w:val="00464D1C"/>
    <w:rsid w:val="00464D48"/>
    <w:rsid w:val="00464D8D"/>
    <w:rsid w:val="004654A5"/>
    <w:rsid w:val="004655E4"/>
    <w:rsid w:val="00465906"/>
    <w:rsid w:val="00465AF0"/>
    <w:rsid w:val="00465BFC"/>
    <w:rsid w:val="00465C3F"/>
    <w:rsid w:val="00465D17"/>
    <w:rsid w:val="00465D3F"/>
    <w:rsid w:val="00465F99"/>
    <w:rsid w:val="0046600B"/>
    <w:rsid w:val="0046621E"/>
    <w:rsid w:val="0046632E"/>
    <w:rsid w:val="00466763"/>
    <w:rsid w:val="004668E2"/>
    <w:rsid w:val="00466D48"/>
    <w:rsid w:val="00466D6A"/>
    <w:rsid w:val="00466FA7"/>
    <w:rsid w:val="00467327"/>
    <w:rsid w:val="0046767C"/>
    <w:rsid w:val="004676E8"/>
    <w:rsid w:val="00467D1F"/>
    <w:rsid w:val="00467DDA"/>
    <w:rsid w:val="00467E63"/>
    <w:rsid w:val="0047043B"/>
    <w:rsid w:val="00470538"/>
    <w:rsid w:val="004712CE"/>
    <w:rsid w:val="00471638"/>
    <w:rsid w:val="00471675"/>
    <w:rsid w:val="00471D94"/>
    <w:rsid w:val="00471FE6"/>
    <w:rsid w:val="0047215C"/>
    <w:rsid w:val="0047223B"/>
    <w:rsid w:val="00472296"/>
    <w:rsid w:val="004724D8"/>
    <w:rsid w:val="00472B22"/>
    <w:rsid w:val="00472D4D"/>
    <w:rsid w:val="00472E69"/>
    <w:rsid w:val="00473128"/>
    <w:rsid w:val="0047323C"/>
    <w:rsid w:val="00473339"/>
    <w:rsid w:val="00473652"/>
    <w:rsid w:val="00473799"/>
    <w:rsid w:val="00473B6E"/>
    <w:rsid w:val="00473E98"/>
    <w:rsid w:val="0047407F"/>
    <w:rsid w:val="00474219"/>
    <w:rsid w:val="0047474D"/>
    <w:rsid w:val="00474763"/>
    <w:rsid w:val="00474E22"/>
    <w:rsid w:val="00474F91"/>
    <w:rsid w:val="004750D7"/>
    <w:rsid w:val="0047584F"/>
    <w:rsid w:val="00475A57"/>
    <w:rsid w:val="00475A7F"/>
    <w:rsid w:val="00475C56"/>
    <w:rsid w:val="00475CBD"/>
    <w:rsid w:val="00475D02"/>
    <w:rsid w:val="00476549"/>
    <w:rsid w:val="004765A0"/>
    <w:rsid w:val="004765D6"/>
    <w:rsid w:val="0047666F"/>
    <w:rsid w:val="00476961"/>
    <w:rsid w:val="00476C71"/>
    <w:rsid w:val="00476D32"/>
    <w:rsid w:val="004772C3"/>
    <w:rsid w:val="00477405"/>
    <w:rsid w:val="00477527"/>
    <w:rsid w:val="0047790B"/>
    <w:rsid w:val="00477AAA"/>
    <w:rsid w:val="00480585"/>
    <w:rsid w:val="00480702"/>
    <w:rsid w:val="00481549"/>
    <w:rsid w:val="004818C4"/>
    <w:rsid w:val="00481933"/>
    <w:rsid w:val="0048237E"/>
    <w:rsid w:val="0048254C"/>
    <w:rsid w:val="00482686"/>
    <w:rsid w:val="00482A7E"/>
    <w:rsid w:val="00482BE5"/>
    <w:rsid w:val="00482D60"/>
    <w:rsid w:val="0048314D"/>
    <w:rsid w:val="00483320"/>
    <w:rsid w:val="004833D8"/>
    <w:rsid w:val="0048384D"/>
    <w:rsid w:val="004838CD"/>
    <w:rsid w:val="00483B63"/>
    <w:rsid w:val="00483E37"/>
    <w:rsid w:val="00483EC5"/>
    <w:rsid w:val="00483ECD"/>
    <w:rsid w:val="00484070"/>
    <w:rsid w:val="004843C8"/>
    <w:rsid w:val="00484461"/>
    <w:rsid w:val="00484685"/>
    <w:rsid w:val="0048478C"/>
    <w:rsid w:val="004847D1"/>
    <w:rsid w:val="00484C93"/>
    <w:rsid w:val="00484CCB"/>
    <w:rsid w:val="00484E4A"/>
    <w:rsid w:val="00485039"/>
    <w:rsid w:val="004852ED"/>
    <w:rsid w:val="0048541D"/>
    <w:rsid w:val="004856DE"/>
    <w:rsid w:val="00485AA2"/>
    <w:rsid w:val="00485B91"/>
    <w:rsid w:val="00485E45"/>
    <w:rsid w:val="00485EB5"/>
    <w:rsid w:val="00485F55"/>
    <w:rsid w:val="004862E2"/>
    <w:rsid w:val="004863B6"/>
    <w:rsid w:val="0048643A"/>
    <w:rsid w:val="00486CB7"/>
    <w:rsid w:val="00486D75"/>
    <w:rsid w:val="0048761C"/>
    <w:rsid w:val="004876B7"/>
    <w:rsid w:val="00487A18"/>
    <w:rsid w:val="00487F7D"/>
    <w:rsid w:val="00490677"/>
    <w:rsid w:val="00490690"/>
    <w:rsid w:val="004908B7"/>
    <w:rsid w:val="00490A71"/>
    <w:rsid w:val="00490C53"/>
    <w:rsid w:val="00490CFC"/>
    <w:rsid w:val="0049106B"/>
    <w:rsid w:val="00491127"/>
    <w:rsid w:val="004912BF"/>
    <w:rsid w:val="004918AE"/>
    <w:rsid w:val="004919DD"/>
    <w:rsid w:val="00491EDD"/>
    <w:rsid w:val="004920E5"/>
    <w:rsid w:val="00492323"/>
    <w:rsid w:val="0049238A"/>
    <w:rsid w:val="0049242C"/>
    <w:rsid w:val="004927F2"/>
    <w:rsid w:val="004928A9"/>
    <w:rsid w:val="00492908"/>
    <w:rsid w:val="004929D0"/>
    <w:rsid w:val="00492FDB"/>
    <w:rsid w:val="004935C0"/>
    <w:rsid w:val="004935EF"/>
    <w:rsid w:val="0049424D"/>
    <w:rsid w:val="004942F6"/>
    <w:rsid w:val="004943A5"/>
    <w:rsid w:val="00494474"/>
    <w:rsid w:val="00494D66"/>
    <w:rsid w:val="00494F62"/>
    <w:rsid w:val="00494F7C"/>
    <w:rsid w:val="0049567F"/>
    <w:rsid w:val="004959FD"/>
    <w:rsid w:val="00495F4C"/>
    <w:rsid w:val="004965C8"/>
    <w:rsid w:val="004968FC"/>
    <w:rsid w:val="00496C2E"/>
    <w:rsid w:val="0049702D"/>
    <w:rsid w:val="00497EFB"/>
    <w:rsid w:val="00497F4A"/>
    <w:rsid w:val="004A0074"/>
    <w:rsid w:val="004A03F6"/>
    <w:rsid w:val="004A042F"/>
    <w:rsid w:val="004A076E"/>
    <w:rsid w:val="004A0860"/>
    <w:rsid w:val="004A0AE3"/>
    <w:rsid w:val="004A0C6D"/>
    <w:rsid w:val="004A0C78"/>
    <w:rsid w:val="004A0F72"/>
    <w:rsid w:val="004A12DD"/>
    <w:rsid w:val="004A13C4"/>
    <w:rsid w:val="004A1531"/>
    <w:rsid w:val="004A162A"/>
    <w:rsid w:val="004A16FD"/>
    <w:rsid w:val="004A1870"/>
    <w:rsid w:val="004A1FFA"/>
    <w:rsid w:val="004A2003"/>
    <w:rsid w:val="004A2032"/>
    <w:rsid w:val="004A20B3"/>
    <w:rsid w:val="004A2281"/>
    <w:rsid w:val="004A235D"/>
    <w:rsid w:val="004A236B"/>
    <w:rsid w:val="004A263D"/>
    <w:rsid w:val="004A2B71"/>
    <w:rsid w:val="004A2C71"/>
    <w:rsid w:val="004A2D4D"/>
    <w:rsid w:val="004A2D50"/>
    <w:rsid w:val="004A2DF5"/>
    <w:rsid w:val="004A2F33"/>
    <w:rsid w:val="004A3866"/>
    <w:rsid w:val="004A3AA0"/>
    <w:rsid w:val="004A3B1C"/>
    <w:rsid w:val="004A3E52"/>
    <w:rsid w:val="004A3EA8"/>
    <w:rsid w:val="004A4116"/>
    <w:rsid w:val="004A4396"/>
    <w:rsid w:val="004A44B0"/>
    <w:rsid w:val="004A45EE"/>
    <w:rsid w:val="004A4693"/>
    <w:rsid w:val="004A491B"/>
    <w:rsid w:val="004A4EF3"/>
    <w:rsid w:val="004A4F6C"/>
    <w:rsid w:val="004A527D"/>
    <w:rsid w:val="004A55F9"/>
    <w:rsid w:val="004A5746"/>
    <w:rsid w:val="004A5999"/>
    <w:rsid w:val="004A5C68"/>
    <w:rsid w:val="004A5EFF"/>
    <w:rsid w:val="004A62BF"/>
    <w:rsid w:val="004A6780"/>
    <w:rsid w:val="004A6894"/>
    <w:rsid w:val="004A6A61"/>
    <w:rsid w:val="004A743C"/>
    <w:rsid w:val="004A7A15"/>
    <w:rsid w:val="004A7A22"/>
    <w:rsid w:val="004A7AA0"/>
    <w:rsid w:val="004A7E4F"/>
    <w:rsid w:val="004A7FE4"/>
    <w:rsid w:val="004B010F"/>
    <w:rsid w:val="004B01EE"/>
    <w:rsid w:val="004B033F"/>
    <w:rsid w:val="004B056B"/>
    <w:rsid w:val="004B071F"/>
    <w:rsid w:val="004B0ADA"/>
    <w:rsid w:val="004B0FD3"/>
    <w:rsid w:val="004B0FF1"/>
    <w:rsid w:val="004B1646"/>
    <w:rsid w:val="004B1787"/>
    <w:rsid w:val="004B18F5"/>
    <w:rsid w:val="004B1F72"/>
    <w:rsid w:val="004B23E2"/>
    <w:rsid w:val="004B23FF"/>
    <w:rsid w:val="004B2427"/>
    <w:rsid w:val="004B2437"/>
    <w:rsid w:val="004B286C"/>
    <w:rsid w:val="004B29AF"/>
    <w:rsid w:val="004B2E42"/>
    <w:rsid w:val="004B3097"/>
    <w:rsid w:val="004B32F3"/>
    <w:rsid w:val="004B34AE"/>
    <w:rsid w:val="004B36C9"/>
    <w:rsid w:val="004B38B8"/>
    <w:rsid w:val="004B3C00"/>
    <w:rsid w:val="004B3C96"/>
    <w:rsid w:val="004B3E01"/>
    <w:rsid w:val="004B3E11"/>
    <w:rsid w:val="004B3EA6"/>
    <w:rsid w:val="004B403F"/>
    <w:rsid w:val="004B40AC"/>
    <w:rsid w:val="004B4214"/>
    <w:rsid w:val="004B4539"/>
    <w:rsid w:val="004B46C5"/>
    <w:rsid w:val="004B484E"/>
    <w:rsid w:val="004B4C33"/>
    <w:rsid w:val="004B4D03"/>
    <w:rsid w:val="004B4D3B"/>
    <w:rsid w:val="004B5086"/>
    <w:rsid w:val="004B5147"/>
    <w:rsid w:val="004B51F7"/>
    <w:rsid w:val="004B52B0"/>
    <w:rsid w:val="004B5344"/>
    <w:rsid w:val="004B5599"/>
    <w:rsid w:val="004B5721"/>
    <w:rsid w:val="004B58C3"/>
    <w:rsid w:val="004B5A0C"/>
    <w:rsid w:val="004B5A36"/>
    <w:rsid w:val="004B5CF1"/>
    <w:rsid w:val="004B5DEC"/>
    <w:rsid w:val="004B5FF2"/>
    <w:rsid w:val="004B623E"/>
    <w:rsid w:val="004B639E"/>
    <w:rsid w:val="004B6CE1"/>
    <w:rsid w:val="004B7321"/>
    <w:rsid w:val="004B7782"/>
    <w:rsid w:val="004B77DD"/>
    <w:rsid w:val="004B7A17"/>
    <w:rsid w:val="004B7A3A"/>
    <w:rsid w:val="004B7ADF"/>
    <w:rsid w:val="004B7B28"/>
    <w:rsid w:val="004B7D7B"/>
    <w:rsid w:val="004B7D80"/>
    <w:rsid w:val="004B7FB4"/>
    <w:rsid w:val="004C000E"/>
    <w:rsid w:val="004C0170"/>
    <w:rsid w:val="004C019E"/>
    <w:rsid w:val="004C02DD"/>
    <w:rsid w:val="004C0572"/>
    <w:rsid w:val="004C05BE"/>
    <w:rsid w:val="004C0705"/>
    <w:rsid w:val="004C0777"/>
    <w:rsid w:val="004C099A"/>
    <w:rsid w:val="004C0DF5"/>
    <w:rsid w:val="004C0E03"/>
    <w:rsid w:val="004C0E47"/>
    <w:rsid w:val="004C1153"/>
    <w:rsid w:val="004C1299"/>
    <w:rsid w:val="004C1337"/>
    <w:rsid w:val="004C13D0"/>
    <w:rsid w:val="004C142A"/>
    <w:rsid w:val="004C168E"/>
    <w:rsid w:val="004C1ABD"/>
    <w:rsid w:val="004C1B7A"/>
    <w:rsid w:val="004C1CD8"/>
    <w:rsid w:val="004C1D0C"/>
    <w:rsid w:val="004C1F47"/>
    <w:rsid w:val="004C215C"/>
    <w:rsid w:val="004C2508"/>
    <w:rsid w:val="004C2656"/>
    <w:rsid w:val="004C2EA2"/>
    <w:rsid w:val="004C2FF3"/>
    <w:rsid w:val="004C3411"/>
    <w:rsid w:val="004C35E4"/>
    <w:rsid w:val="004C37B3"/>
    <w:rsid w:val="004C3B63"/>
    <w:rsid w:val="004C3F1D"/>
    <w:rsid w:val="004C3F79"/>
    <w:rsid w:val="004C445C"/>
    <w:rsid w:val="004C4652"/>
    <w:rsid w:val="004C48B8"/>
    <w:rsid w:val="004C49CE"/>
    <w:rsid w:val="004C4D7F"/>
    <w:rsid w:val="004C4DC4"/>
    <w:rsid w:val="004C506F"/>
    <w:rsid w:val="004C524A"/>
    <w:rsid w:val="004C5303"/>
    <w:rsid w:val="004C5582"/>
    <w:rsid w:val="004C559B"/>
    <w:rsid w:val="004C58C2"/>
    <w:rsid w:val="004C5BF8"/>
    <w:rsid w:val="004C5EAC"/>
    <w:rsid w:val="004C5EC2"/>
    <w:rsid w:val="004C5F62"/>
    <w:rsid w:val="004C5FD5"/>
    <w:rsid w:val="004C6059"/>
    <w:rsid w:val="004C6809"/>
    <w:rsid w:val="004C6990"/>
    <w:rsid w:val="004C69F6"/>
    <w:rsid w:val="004C6A3E"/>
    <w:rsid w:val="004C6A9A"/>
    <w:rsid w:val="004C70F3"/>
    <w:rsid w:val="004C73D6"/>
    <w:rsid w:val="004C74AA"/>
    <w:rsid w:val="004C76DA"/>
    <w:rsid w:val="004C77BD"/>
    <w:rsid w:val="004C7A0D"/>
    <w:rsid w:val="004C7B7D"/>
    <w:rsid w:val="004C7E63"/>
    <w:rsid w:val="004C7F17"/>
    <w:rsid w:val="004D001E"/>
    <w:rsid w:val="004D0172"/>
    <w:rsid w:val="004D0383"/>
    <w:rsid w:val="004D08C5"/>
    <w:rsid w:val="004D0952"/>
    <w:rsid w:val="004D0B37"/>
    <w:rsid w:val="004D0DD4"/>
    <w:rsid w:val="004D1006"/>
    <w:rsid w:val="004D1585"/>
    <w:rsid w:val="004D17B3"/>
    <w:rsid w:val="004D1899"/>
    <w:rsid w:val="004D1BC3"/>
    <w:rsid w:val="004D1BFA"/>
    <w:rsid w:val="004D1C06"/>
    <w:rsid w:val="004D1F44"/>
    <w:rsid w:val="004D225D"/>
    <w:rsid w:val="004D2361"/>
    <w:rsid w:val="004D2451"/>
    <w:rsid w:val="004D24AB"/>
    <w:rsid w:val="004D26D9"/>
    <w:rsid w:val="004D2804"/>
    <w:rsid w:val="004D2EF5"/>
    <w:rsid w:val="004D3219"/>
    <w:rsid w:val="004D328B"/>
    <w:rsid w:val="004D3694"/>
    <w:rsid w:val="004D3821"/>
    <w:rsid w:val="004D39F8"/>
    <w:rsid w:val="004D3D6E"/>
    <w:rsid w:val="004D3E8A"/>
    <w:rsid w:val="004D404C"/>
    <w:rsid w:val="004D42F5"/>
    <w:rsid w:val="004D45DF"/>
    <w:rsid w:val="004D46E1"/>
    <w:rsid w:val="004D46FD"/>
    <w:rsid w:val="004D4A2E"/>
    <w:rsid w:val="004D4A3E"/>
    <w:rsid w:val="004D5161"/>
    <w:rsid w:val="004D5466"/>
    <w:rsid w:val="004D5535"/>
    <w:rsid w:val="004D5686"/>
    <w:rsid w:val="004D5B71"/>
    <w:rsid w:val="004D63CB"/>
    <w:rsid w:val="004D642E"/>
    <w:rsid w:val="004D67E3"/>
    <w:rsid w:val="004D6A72"/>
    <w:rsid w:val="004D6C0E"/>
    <w:rsid w:val="004D6C96"/>
    <w:rsid w:val="004D6DA3"/>
    <w:rsid w:val="004D70E9"/>
    <w:rsid w:val="004D7250"/>
    <w:rsid w:val="004D740B"/>
    <w:rsid w:val="004D7414"/>
    <w:rsid w:val="004D74C6"/>
    <w:rsid w:val="004D7B70"/>
    <w:rsid w:val="004D7D30"/>
    <w:rsid w:val="004D7F30"/>
    <w:rsid w:val="004E02BC"/>
    <w:rsid w:val="004E02EC"/>
    <w:rsid w:val="004E05E6"/>
    <w:rsid w:val="004E066C"/>
    <w:rsid w:val="004E06F1"/>
    <w:rsid w:val="004E08F4"/>
    <w:rsid w:val="004E0C0B"/>
    <w:rsid w:val="004E0E04"/>
    <w:rsid w:val="004E0F0B"/>
    <w:rsid w:val="004E10E5"/>
    <w:rsid w:val="004E16FF"/>
    <w:rsid w:val="004E1858"/>
    <w:rsid w:val="004E1BD3"/>
    <w:rsid w:val="004E1C13"/>
    <w:rsid w:val="004E1D63"/>
    <w:rsid w:val="004E2125"/>
    <w:rsid w:val="004E2147"/>
    <w:rsid w:val="004E2150"/>
    <w:rsid w:val="004E21AF"/>
    <w:rsid w:val="004E232C"/>
    <w:rsid w:val="004E25C7"/>
    <w:rsid w:val="004E26D9"/>
    <w:rsid w:val="004E2DF3"/>
    <w:rsid w:val="004E329F"/>
    <w:rsid w:val="004E346E"/>
    <w:rsid w:val="004E351C"/>
    <w:rsid w:val="004E398E"/>
    <w:rsid w:val="004E3B12"/>
    <w:rsid w:val="004E407B"/>
    <w:rsid w:val="004E4105"/>
    <w:rsid w:val="004E4346"/>
    <w:rsid w:val="004E4813"/>
    <w:rsid w:val="004E4A9F"/>
    <w:rsid w:val="004E5093"/>
    <w:rsid w:val="004E5151"/>
    <w:rsid w:val="004E570A"/>
    <w:rsid w:val="004E5933"/>
    <w:rsid w:val="004E5A9A"/>
    <w:rsid w:val="004E5DAC"/>
    <w:rsid w:val="004E5F8F"/>
    <w:rsid w:val="004E687A"/>
    <w:rsid w:val="004E68FA"/>
    <w:rsid w:val="004E6CBE"/>
    <w:rsid w:val="004E6CFF"/>
    <w:rsid w:val="004E6D75"/>
    <w:rsid w:val="004E6DF9"/>
    <w:rsid w:val="004E6F5F"/>
    <w:rsid w:val="004E6F94"/>
    <w:rsid w:val="004E7026"/>
    <w:rsid w:val="004E76F8"/>
    <w:rsid w:val="004E779A"/>
    <w:rsid w:val="004E7AD4"/>
    <w:rsid w:val="004E7D1E"/>
    <w:rsid w:val="004E7D32"/>
    <w:rsid w:val="004E7D59"/>
    <w:rsid w:val="004E7ED2"/>
    <w:rsid w:val="004E7FD9"/>
    <w:rsid w:val="004F0212"/>
    <w:rsid w:val="004F02B4"/>
    <w:rsid w:val="004F0FC5"/>
    <w:rsid w:val="004F1050"/>
    <w:rsid w:val="004F1178"/>
    <w:rsid w:val="004F150F"/>
    <w:rsid w:val="004F1539"/>
    <w:rsid w:val="004F15D2"/>
    <w:rsid w:val="004F17CD"/>
    <w:rsid w:val="004F1802"/>
    <w:rsid w:val="004F1AA2"/>
    <w:rsid w:val="004F1B7B"/>
    <w:rsid w:val="004F1C85"/>
    <w:rsid w:val="004F1FD5"/>
    <w:rsid w:val="004F201A"/>
    <w:rsid w:val="004F203A"/>
    <w:rsid w:val="004F2248"/>
    <w:rsid w:val="004F248E"/>
    <w:rsid w:val="004F24B7"/>
    <w:rsid w:val="004F2608"/>
    <w:rsid w:val="004F2675"/>
    <w:rsid w:val="004F26DB"/>
    <w:rsid w:val="004F27D6"/>
    <w:rsid w:val="004F2ACD"/>
    <w:rsid w:val="004F2D3A"/>
    <w:rsid w:val="004F30D2"/>
    <w:rsid w:val="004F3252"/>
    <w:rsid w:val="004F3688"/>
    <w:rsid w:val="004F36A6"/>
    <w:rsid w:val="004F36C8"/>
    <w:rsid w:val="004F3AAE"/>
    <w:rsid w:val="004F3C32"/>
    <w:rsid w:val="004F41CD"/>
    <w:rsid w:val="004F4253"/>
    <w:rsid w:val="004F475A"/>
    <w:rsid w:val="004F476C"/>
    <w:rsid w:val="004F4B9B"/>
    <w:rsid w:val="004F4BDE"/>
    <w:rsid w:val="004F4FBC"/>
    <w:rsid w:val="004F521F"/>
    <w:rsid w:val="004F530A"/>
    <w:rsid w:val="004F5762"/>
    <w:rsid w:val="004F5C65"/>
    <w:rsid w:val="004F5E94"/>
    <w:rsid w:val="004F6052"/>
    <w:rsid w:val="004F6344"/>
    <w:rsid w:val="004F644B"/>
    <w:rsid w:val="004F64E9"/>
    <w:rsid w:val="004F65E2"/>
    <w:rsid w:val="004F6846"/>
    <w:rsid w:val="004F6E45"/>
    <w:rsid w:val="004F71FC"/>
    <w:rsid w:val="004F762D"/>
    <w:rsid w:val="004F76A5"/>
    <w:rsid w:val="004F774D"/>
    <w:rsid w:val="004F7776"/>
    <w:rsid w:val="004F7860"/>
    <w:rsid w:val="004F786B"/>
    <w:rsid w:val="004F7CAC"/>
    <w:rsid w:val="00500042"/>
    <w:rsid w:val="005000C2"/>
    <w:rsid w:val="00500178"/>
    <w:rsid w:val="0050076A"/>
    <w:rsid w:val="0050087A"/>
    <w:rsid w:val="005011FA"/>
    <w:rsid w:val="0050161C"/>
    <w:rsid w:val="005016CE"/>
    <w:rsid w:val="0050175A"/>
    <w:rsid w:val="00501873"/>
    <w:rsid w:val="00501C00"/>
    <w:rsid w:val="00501DA0"/>
    <w:rsid w:val="00501F5B"/>
    <w:rsid w:val="0050209B"/>
    <w:rsid w:val="00502229"/>
    <w:rsid w:val="00502264"/>
    <w:rsid w:val="00502270"/>
    <w:rsid w:val="00502693"/>
    <w:rsid w:val="00502A88"/>
    <w:rsid w:val="00502DA7"/>
    <w:rsid w:val="005030DD"/>
    <w:rsid w:val="005031ED"/>
    <w:rsid w:val="00503B12"/>
    <w:rsid w:val="00503C4C"/>
    <w:rsid w:val="00503E77"/>
    <w:rsid w:val="00504433"/>
    <w:rsid w:val="00504DA3"/>
    <w:rsid w:val="00504DBC"/>
    <w:rsid w:val="00504FC7"/>
    <w:rsid w:val="00505037"/>
    <w:rsid w:val="00505322"/>
    <w:rsid w:val="0050532B"/>
    <w:rsid w:val="005058DE"/>
    <w:rsid w:val="00505943"/>
    <w:rsid w:val="00505AA3"/>
    <w:rsid w:val="00505D7E"/>
    <w:rsid w:val="00506055"/>
    <w:rsid w:val="00506192"/>
    <w:rsid w:val="00506264"/>
    <w:rsid w:val="005062C9"/>
    <w:rsid w:val="00506392"/>
    <w:rsid w:val="0050661E"/>
    <w:rsid w:val="00506623"/>
    <w:rsid w:val="00506BD7"/>
    <w:rsid w:val="00506F33"/>
    <w:rsid w:val="005072CA"/>
    <w:rsid w:val="0050764E"/>
    <w:rsid w:val="005079D2"/>
    <w:rsid w:val="00507D90"/>
    <w:rsid w:val="00507DB6"/>
    <w:rsid w:val="00507E1B"/>
    <w:rsid w:val="00507FC3"/>
    <w:rsid w:val="0051007D"/>
    <w:rsid w:val="0051019D"/>
    <w:rsid w:val="005101E6"/>
    <w:rsid w:val="005102D3"/>
    <w:rsid w:val="005102D8"/>
    <w:rsid w:val="00510595"/>
    <w:rsid w:val="005105D9"/>
    <w:rsid w:val="005106DB"/>
    <w:rsid w:val="005109B0"/>
    <w:rsid w:val="00510C31"/>
    <w:rsid w:val="00510F27"/>
    <w:rsid w:val="00511053"/>
    <w:rsid w:val="005110E3"/>
    <w:rsid w:val="005111A5"/>
    <w:rsid w:val="0051130E"/>
    <w:rsid w:val="00511320"/>
    <w:rsid w:val="0051166E"/>
    <w:rsid w:val="00511869"/>
    <w:rsid w:val="005119C9"/>
    <w:rsid w:val="00511B0C"/>
    <w:rsid w:val="00511DCD"/>
    <w:rsid w:val="00511E9F"/>
    <w:rsid w:val="00511FE9"/>
    <w:rsid w:val="005121AE"/>
    <w:rsid w:val="00512734"/>
    <w:rsid w:val="00512B8D"/>
    <w:rsid w:val="00512CCB"/>
    <w:rsid w:val="00512FB6"/>
    <w:rsid w:val="00512FDD"/>
    <w:rsid w:val="00513692"/>
    <w:rsid w:val="0051387B"/>
    <w:rsid w:val="0051387C"/>
    <w:rsid w:val="00513C4B"/>
    <w:rsid w:val="00513EA1"/>
    <w:rsid w:val="00513F9D"/>
    <w:rsid w:val="005143F9"/>
    <w:rsid w:val="00514440"/>
    <w:rsid w:val="00514493"/>
    <w:rsid w:val="005148D8"/>
    <w:rsid w:val="005149BF"/>
    <w:rsid w:val="00514A09"/>
    <w:rsid w:val="00514AE5"/>
    <w:rsid w:val="00514D08"/>
    <w:rsid w:val="00514DA9"/>
    <w:rsid w:val="00514E56"/>
    <w:rsid w:val="00515001"/>
    <w:rsid w:val="0051584B"/>
    <w:rsid w:val="00515E3A"/>
    <w:rsid w:val="00515ECE"/>
    <w:rsid w:val="00515F62"/>
    <w:rsid w:val="005162AC"/>
    <w:rsid w:val="0051645A"/>
    <w:rsid w:val="00516566"/>
    <w:rsid w:val="005168EB"/>
    <w:rsid w:val="00516BFF"/>
    <w:rsid w:val="00516F57"/>
    <w:rsid w:val="005171B1"/>
    <w:rsid w:val="0051740D"/>
    <w:rsid w:val="00517B35"/>
    <w:rsid w:val="00517CE4"/>
    <w:rsid w:val="00517EF6"/>
    <w:rsid w:val="0052036D"/>
    <w:rsid w:val="0052050D"/>
    <w:rsid w:val="0052090B"/>
    <w:rsid w:val="00520CDF"/>
    <w:rsid w:val="00520F54"/>
    <w:rsid w:val="00521371"/>
    <w:rsid w:val="005215E3"/>
    <w:rsid w:val="005218C3"/>
    <w:rsid w:val="005218EC"/>
    <w:rsid w:val="00521CBC"/>
    <w:rsid w:val="00521DEE"/>
    <w:rsid w:val="00521E44"/>
    <w:rsid w:val="00521E6D"/>
    <w:rsid w:val="00522174"/>
    <w:rsid w:val="00522562"/>
    <w:rsid w:val="00522933"/>
    <w:rsid w:val="00522A10"/>
    <w:rsid w:val="00522CDF"/>
    <w:rsid w:val="00522D42"/>
    <w:rsid w:val="00522E60"/>
    <w:rsid w:val="00522EF9"/>
    <w:rsid w:val="0052301D"/>
    <w:rsid w:val="005234F5"/>
    <w:rsid w:val="005236DF"/>
    <w:rsid w:val="005239F2"/>
    <w:rsid w:val="00523A77"/>
    <w:rsid w:val="00523E0B"/>
    <w:rsid w:val="00523EE4"/>
    <w:rsid w:val="00524016"/>
    <w:rsid w:val="00524261"/>
    <w:rsid w:val="005243EE"/>
    <w:rsid w:val="00524604"/>
    <w:rsid w:val="00524B53"/>
    <w:rsid w:val="00524E92"/>
    <w:rsid w:val="0052529F"/>
    <w:rsid w:val="00525653"/>
    <w:rsid w:val="005256A3"/>
    <w:rsid w:val="005259BE"/>
    <w:rsid w:val="00525A02"/>
    <w:rsid w:val="00525AF8"/>
    <w:rsid w:val="00525B07"/>
    <w:rsid w:val="00525BAE"/>
    <w:rsid w:val="00525C42"/>
    <w:rsid w:val="00525DA4"/>
    <w:rsid w:val="00525E44"/>
    <w:rsid w:val="00526059"/>
    <w:rsid w:val="0052621C"/>
    <w:rsid w:val="005262E1"/>
    <w:rsid w:val="0052680D"/>
    <w:rsid w:val="005269C8"/>
    <w:rsid w:val="00526BD1"/>
    <w:rsid w:val="00526CD0"/>
    <w:rsid w:val="005271FE"/>
    <w:rsid w:val="0052724C"/>
    <w:rsid w:val="005273FB"/>
    <w:rsid w:val="0052758B"/>
    <w:rsid w:val="0052771F"/>
    <w:rsid w:val="00527A1F"/>
    <w:rsid w:val="00527CAF"/>
    <w:rsid w:val="005301AD"/>
    <w:rsid w:val="0053020C"/>
    <w:rsid w:val="00530688"/>
    <w:rsid w:val="0053068A"/>
    <w:rsid w:val="005306A7"/>
    <w:rsid w:val="005306A8"/>
    <w:rsid w:val="00530706"/>
    <w:rsid w:val="00530A54"/>
    <w:rsid w:val="00530ACB"/>
    <w:rsid w:val="00530CB7"/>
    <w:rsid w:val="00530E0F"/>
    <w:rsid w:val="0053103C"/>
    <w:rsid w:val="005310F0"/>
    <w:rsid w:val="0053130E"/>
    <w:rsid w:val="00531435"/>
    <w:rsid w:val="00531555"/>
    <w:rsid w:val="00531630"/>
    <w:rsid w:val="0053175A"/>
    <w:rsid w:val="0053193D"/>
    <w:rsid w:val="00531BD1"/>
    <w:rsid w:val="00531C11"/>
    <w:rsid w:val="00531FE4"/>
    <w:rsid w:val="0053211C"/>
    <w:rsid w:val="0053262C"/>
    <w:rsid w:val="0053263E"/>
    <w:rsid w:val="005326EE"/>
    <w:rsid w:val="00532950"/>
    <w:rsid w:val="00532E75"/>
    <w:rsid w:val="0053345D"/>
    <w:rsid w:val="0053350B"/>
    <w:rsid w:val="00533753"/>
    <w:rsid w:val="00533879"/>
    <w:rsid w:val="00533E39"/>
    <w:rsid w:val="005347F4"/>
    <w:rsid w:val="00534A96"/>
    <w:rsid w:val="00534CB4"/>
    <w:rsid w:val="00534E61"/>
    <w:rsid w:val="00534F14"/>
    <w:rsid w:val="00535362"/>
    <w:rsid w:val="005353C8"/>
    <w:rsid w:val="005354F9"/>
    <w:rsid w:val="00535C74"/>
    <w:rsid w:val="00535CB6"/>
    <w:rsid w:val="00535CFB"/>
    <w:rsid w:val="00535D95"/>
    <w:rsid w:val="00535F0C"/>
    <w:rsid w:val="0053606B"/>
    <w:rsid w:val="005361AB"/>
    <w:rsid w:val="005361AE"/>
    <w:rsid w:val="005361CE"/>
    <w:rsid w:val="0053633F"/>
    <w:rsid w:val="00536660"/>
    <w:rsid w:val="005367F7"/>
    <w:rsid w:val="00536E58"/>
    <w:rsid w:val="00536F9A"/>
    <w:rsid w:val="00537649"/>
    <w:rsid w:val="0053795D"/>
    <w:rsid w:val="00537A05"/>
    <w:rsid w:val="00537A4E"/>
    <w:rsid w:val="00537AE4"/>
    <w:rsid w:val="00537C5A"/>
    <w:rsid w:val="00537ECE"/>
    <w:rsid w:val="00537F52"/>
    <w:rsid w:val="00537F65"/>
    <w:rsid w:val="0054026A"/>
    <w:rsid w:val="0054040B"/>
    <w:rsid w:val="0054056E"/>
    <w:rsid w:val="00540581"/>
    <w:rsid w:val="00540619"/>
    <w:rsid w:val="005407CA"/>
    <w:rsid w:val="0054087C"/>
    <w:rsid w:val="00540880"/>
    <w:rsid w:val="005409BB"/>
    <w:rsid w:val="00540BD6"/>
    <w:rsid w:val="00540DDA"/>
    <w:rsid w:val="00540F9E"/>
    <w:rsid w:val="00541642"/>
    <w:rsid w:val="005416CF"/>
    <w:rsid w:val="00541C64"/>
    <w:rsid w:val="00541D43"/>
    <w:rsid w:val="00541E68"/>
    <w:rsid w:val="00541F49"/>
    <w:rsid w:val="00542068"/>
    <w:rsid w:val="0054233D"/>
    <w:rsid w:val="005427F8"/>
    <w:rsid w:val="005431EC"/>
    <w:rsid w:val="005437E9"/>
    <w:rsid w:val="005438D3"/>
    <w:rsid w:val="005439E5"/>
    <w:rsid w:val="00543AF9"/>
    <w:rsid w:val="00543CC8"/>
    <w:rsid w:val="00544056"/>
    <w:rsid w:val="00544266"/>
    <w:rsid w:val="00544312"/>
    <w:rsid w:val="005445B5"/>
    <w:rsid w:val="00544C74"/>
    <w:rsid w:val="00544CB7"/>
    <w:rsid w:val="00544DE1"/>
    <w:rsid w:val="00544ED0"/>
    <w:rsid w:val="00545051"/>
    <w:rsid w:val="00545111"/>
    <w:rsid w:val="0054512E"/>
    <w:rsid w:val="00545819"/>
    <w:rsid w:val="00545898"/>
    <w:rsid w:val="00545978"/>
    <w:rsid w:val="00545AD7"/>
    <w:rsid w:val="00545BE1"/>
    <w:rsid w:val="00545C1C"/>
    <w:rsid w:val="00545C78"/>
    <w:rsid w:val="00545CC3"/>
    <w:rsid w:val="00546074"/>
    <w:rsid w:val="005460AD"/>
    <w:rsid w:val="00546168"/>
    <w:rsid w:val="005464EA"/>
    <w:rsid w:val="0054667A"/>
    <w:rsid w:val="00546701"/>
    <w:rsid w:val="0054670A"/>
    <w:rsid w:val="005467EE"/>
    <w:rsid w:val="00546A40"/>
    <w:rsid w:val="00546D85"/>
    <w:rsid w:val="00546DEE"/>
    <w:rsid w:val="00546FFC"/>
    <w:rsid w:val="005473A1"/>
    <w:rsid w:val="005473DC"/>
    <w:rsid w:val="00547763"/>
    <w:rsid w:val="00547803"/>
    <w:rsid w:val="005479A4"/>
    <w:rsid w:val="00547B02"/>
    <w:rsid w:val="00547CD2"/>
    <w:rsid w:val="00547FC0"/>
    <w:rsid w:val="0055072B"/>
    <w:rsid w:val="0055129B"/>
    <w:rsid w:val="005514AF"/>
    <w:rsid w:val="00551519"/>
    <w:rsid w:val="0055178B"/>
    <w:rsid w:val="005517B7"/>
    <w:rsid w:val="005518F6"/>
    <w:rsid w:val="00551ADE"/>
    <w:rsid w:val="00551DCF"/>
    <w:rsid w:val="00552015"/>
    <w:rsid w:val="00552033"/>
    <w:rsid w:val="00552544"/>
    <w:rsid w:val="00552642"/>
    <w:rsid w:val="005528EF"/>
    <w:rsid w:val="005528F6"/>
    <w:rsid w:val="00552A93"/>
    <w:rsid w:val="00552D32"/>
    <w:rsid w:val="0055323C"/>
    <w:rsid w:val="005532FE"/>
    <w:rsid w:val="0055351C"/>
    <w:rsid w:val="005535A0"/>
    <w:rsid w:val="00553688"/>
    <w:rsid w:val="005539E9"/>
    <w:rsid w:val="00553A98"/>
    <w:rsid w:val="00553B93"/>
    <w:rsid w:val="00553C64"/>
    <w:rsid w:val="00553D5B"/>
    <w:rsid w:val="00553E6B"/>
    <w:rsid w:val="00553FB0"/>
    <w:rsid w:val="0055417D"/>
    <w:rsid w:val="005541E9"/>
    <w:rsid w:val="0055454F"/>
    <w:rsid w:val="00554647"/>
    <w:rsid w:val="00554685"/>
    <w:rsid w:val="00554932"/>
    <w:rsid w:val="00554DEA"/>
    <w:rsid w:val="00555017"/>
    <w:rsid w:val="00555066"/>
    <w:rsid w:val="0055529A"/>
    <w:rsid w:val="0055532F"/>
    <w:rsid w:val="005554FE"/>
    <w:rsid w:val="005556B7"/>
    <w:rsid w:val="005558A9"/>
    <w:rsid w:val="00556072"/>
    <w:rsid w:val="00556345"/>
    <w:rsid w:val="005569D8"/>
    <w:rsid w:val="00556D9C"/>
    <w:rsid w:val="00556DD9"/>
    <w:rsid w:val="00556E0E"/>
    <w:rsid w:val="00557137"/>
    <w:rsid w:val="0055726B"/>
    <w:rsid w:val="00557557"/>
    <w:rsid w:val="00557628"/>
    <w:rsid w:val="0055780A"/>
    <w:rsid w:val="00557849"/>
    <w:rsid w:val="00557880"/>
    <w:rsid w:val="00557906"/>
    <w:rsid w:val="0055792A"/>
    <w:rsid w:val="00557CFC"/>
    <w:rsid w:val="00557D6E"/>
    <w:rsid w:val="00560033"/>
    <w:rsid w:val="00560346"/>
    <w:rsid w:val="00560362"/>
    <w:rsid w:val="0056057C"/>
    <w:rsid w:val="00560618"/>
    <w:rsid w:val="00560A7A"/>
    <w:rsid w:val="00560B37"/>
    <w:rsid w:val="00560B4A"/>
    <w:rsid w:val="00560BC3"/>
    <w:rsid w:val="00560BEB"/>
    <w:rsid w:val="00560C5C"/>
    <w:rsid w:val="00560D73"/>
    <w:rsid w:val="00560DF2"/>
    <w:rsid w:val="00560E87"/>
    <w:rsid w:val="0056110C"/>
    <w:rsid w:val="00561154"/>
    <w:rsid w:val="005617DF"/>
    <w:rsid w:val="005617E5"/>
    <w:rsid w:val="005619A5"/>
    <w:rsid w:val="00561B8F"/>
    <w:rsid w:val="00561C69"/>
    <w:rsid w:val="00561CF8"/>
    <w:rsid w:val="00561D24"/>
    <w:rsid w:val="00561DFC"/>
    <w:rsid w:val="00561E9B"/>
    <w:rsid w:val="00562AF1"/>
    <w:rsid w:val="00563103"/>
    <w:rsid w:val="005634A0"/>
    <w:rsid w:val="005634F7"/>
    <w:rsid w:val="0056358A"/>
    <w:rsid w:val="0056375E"/>
    <w:rsid w:val="005639BE"/>
    <w:rsid w:val="00563D55"/>
    <w:rsid w:val="00563F5E"/>
    <w:rsid w:val="0056405A"/>
    <w:rsid w:val="0056429D"/>
    <w:rsid w:val="0056442C"/>
    <w:rsid w:val="0056456A"/>
    <w:rsid w:val="00564718"/>
    <w:rsid w:val="005649F1"/>
    <w:rsid w:val="00564C33"/>
    <w:rsid w:val="00564E0F"/>
    <w:rsid w:val="00564ED2"/>
    <w:rsid w:val="0056517D"/>
    <w:rsid w:val="0056534D"/>
    <w:rsid w:val="0056591B"/>
    <w:rsid w:val="005659F7"/>
    <w:rsid w:val="00565A06"/>
    <w:rsid w:val="00565B8E"/>
    <w:rsid w:val="00565D37"/>
    <w:rsid w:val="00565EC8"/>
    <w:rsid w:val="00566662"/>
    <w:rsid w:val="005668A9"/>
    <w:rsid w:val="00566926"/>
    <w:rsid w:val="005669EE"/>
    <w:rsid w:val="00566A70"/>
    <w:rsid w:val="00566BB4"/>
    <w:rsid w:val="00566D7F"/>
    <w:rsid w:val="00567780"/>
    <w:rsid w:val="00567CC0"/>
    <w:rsid w:val="00570110"/>
    <w:rsid w:val="00570157"/>
    <w:rsid w:val="005703CD"/>
    <w:rsid w:val="00570694"/>
    <w:rsid w:val="00570A06"/>
    <w:rsid w:val="00570A49"/>
    <w:rsid w:val="00570E08"/>
    <w:rsid w:val="00571317"/>
    <w:rsid w:val="00571365"/>
    <w:rsid w:val="00571703"/>
    <w:rsid w:val="0057173E"/>
    <w:rsid w:val="00571930"/>
    <w:rsid w:val="00571B08"/>
    <w:rsid w:val="00571D72"/>
    <w:rsid w:val="00571E94"/>
    <w:rsid w:val="00571F8E"/>
    <w:rsid w:val="00571F95"/>
    <w:rsid w:val="00572088"/>
    <w:rsid w:val="00572552"/>
    <w:rsid w:val="005725A5"/>
    <w:rsid w:val="00572AA8"/>
    <w:rsid w:val="00572DA1"/>
    <w:rsid w:val="00572FC4"/>
    <w:rsid w:val="005730C8"/>
    <w:rsid w:val="00573225"/>
    <w:rsid w:val="0057324A"/>
    <w:rsid w:val="00573402"/>
    <w:rsid w:val="005737B2"/>
    <w:rsid w:val="005738A6"/>
    <w:rsid w:val="0057394D"/>
    <w:rsid w:val="00573B93"/>
    <w:rsid w:val="00573DFE"/>
    <w:rsid w:val="00573E7E"/>
    <w:rsid w:val="005741AC"/>
    <w:rsid w:val="005744DA"/>
    <w:rsid w:val="00574FCA"/>
    <w:rsid w:val="0057524C"/>
    <w:rsid w:val="00575433"/>
    <w:rsid w:val="00575488"/>
    <w:rsid w:val="0057569E"/>
    <w:rsid w:val="0057573B"/>
    <w:rsid w:val="0057590D"/>
    <w:rsid w:val="005759AD"/>
    <w:rsid w:val="00575B2F"/>
    <w:rsid w:val="00575CFD"/>
    <w:rsid w:val="005762EF"/>
    <w:rsid w:val="005768D6"/>
    <w:rsid w:val="005769A6"/>
    <w:rsid w:val="00576ADE"/>
    <w:rsid w:val="00576D4F"/>
    <w:rsid w:val="00576DF0"/>
    <w:rsid w:val="00576E00"/>
    <w:rsid w:val="00576EA5"/>
    <w:rsid w:val="005770BA"/>
    <w:rsid w:val="00577471"/>
    <w:rsid w:val="00577726"/>
    <w:rsid w:val="00577A33"/>
    <w:rsid w:val="00577B05"/>
    <w:rsid w:val="00577C05"/>
    <w:rsid w:val="00577CFD"/>
    <w:rsid w:val="00577DEF"/>
    <w:rsid w:val="00580097"/>
    <w:rsid w:val="005800F3"/>
    <w:rsid w:val="0058013B"/>
    <w:rsid w:val="00580161"/>
    <w:rsid w:val="00580289"/>
    <w:rsid w:val="005803FF"/>
    <w:rsid w:val="005805B7"/>
    <w:rsid w:val="005806D2"/>
    <w:rsid w:val="0058092C"/>
    <w:rsid w:val="005809DF"/>
    <w:rsid w:val="00580BCD"/>
    <w:rsid w:val="00581072"/>
    <w:rsid w:val="005814DF"/>
    <w:rsid w:val="00581696"/>
    <w:rsid w:val="005816FD"/>
    <w:rsid w:val="00581719"/>
    <w:rsid w:val="005819C6"/>
    <w:rsid w:val="00581B29"/>
    <w:rsid w:val="00581EB6"/>
    <w:rsid w:val="005820A4"/>
    <w:rsid w:val="00582129"/>
    <w:rsid w:val="0058234E"/>
    <w:rsid w:val="00582367"/>
    <w:rsid w:val="005823A7"/>
    <w:rsid w:val="00582537"/>
    <w:rsid w:val="0058286A"/>
    <w:rsid w:val="0058289A"/>
    <w:rsid w:val="005828DC"/>
    <w:rsid w:val="00582A3A"/>
    <w:rsid w:val="00582ED6"/>
    <w:rsid w:val="005837D8"/>
    <w:rsid w:val="005837EC"/>
    <w:rsid w:val="005838F4"/>
    <w:rsid w:val="00583D6D"/>
    <w:rsid w:val="00583F39"/>
    <w:rsid w:val="00584040"/>
    <w:rsid w:val="00584193"/>
    <w:rsid w:val="00584483"/>
    <w:rsid w:val="0058454D"/>
    <w:rsid w:val="00584846"/>
    <w:rsid w:val="00584AED"/>
    <w:rsid w:val="00584BB2"/>
    <w:rsid w:val="00584C84"/>
    <w:rsid w:val="00584C95"/>
    <w:rsid w:val="00584CAB"/>
    <w:rsid w:val="0058532E"/>
    <w:rsid w:val="00585608"/>
    <w:rsid w:val="005857E2"/>
    <w:rsid w:val="00585A31"/>
    <w:rsid w:val="00585A49"/>
    <w:rsid w:val="00585A70"/>
    <w:rsid w:val="00585CBA"/>
    <w:rsid w:val="00585FC2"/>
    <w:rsid w:val="0058601A"/>
    <w:rsid w:val="005860E1"/>
    <w:rsid w:val="00586106"/>
    <w:rsid w:val="005862B8"/>
    <w:rsid w:val="005863B1"/>
    <w:rsid w:val="00586822"/>
    <w:rsid w:val="005868CA"/>
    <w:rsid w:val="00586B68"/>
    <w:rsid w:val="0058764D"/>
    <w:rsid w:val="005878BF"/>
    <w:rsid w:val="005878CE"/>
    <w:rsid w:val="0058794F"/>
    <w:rsid w:val="00587C84"/>
    <w:rsid w:val="00587CD2"/>
    <w:rsid w:val="00587EF0"/>
    <w:rsid w:val="00587F46"/>
    <w:rsid w:val="005901F2"/>
    <w:rsid w:val="005904E0"/>
    <w:rsid w:val="0059050C"/>
    <w:rsid w:val="00590CD1"/>
    <w:rsid w:val="00590E3B"/>
    <w:rsid w:val="00591062"/>
    <w:rsid w:val="005910F4"/>
    <w:rsid w:val="005919B6"/>
    <w:rsid w:val="00591B74"/>
    <w:rsid w:val="00591C83"/>
    <w:rsid w:val="00591E88"/>
    <w:rsid w:val="00591F10"/>
    <w:rsid w:val="00592330"/>
    <w:rsid w:val="00592D49"/>
    <w:rsid w:val="00592FC3"/>
    <w:rsid w:val="00593703"/>
    <w:rsid w:val="00593758"/>
    <w:rsid w:val="00593787"/>
    <w:rsid w:val="005938D4"/>
    <w:rsid w:val="005938EF"/>
    <w:rsid w:val="00593998"/>
    <w:rsid w:val="00593A6F"/>
    <w:rsid w:val="00593AE1"/>
    <w:rsid w:val="00593D34"/>
    <w:rsid w:val="00594197"/>
    <w:rsid w:val="005941FF"/>
    <w:rsid w:val="00594D92"/>
    <w:rsid w:val="00594E01"/>
    <w:rsid w:val="00594EF3"/>
    <w:rsid w:val="00595861"/>
    <w:rsid w:val="005958ED"/>
    <w:rsid w:val="00595C11"/>
    <w:rsid w:val="00595E82"/>
    <w:rsid w:val="005965D7"/>
    <w:rsid w:val="005967E8"/>
    <w:rsid w:val="00596907"/>
    <w:rsid w:val="005969BF"/>
    <w:rsid w:val="00596BB4"/>
    <w:rsid w:val="00596E50"/>
    <w:rsid w:val="005972C1"/>
    <w:rsid w:val="005973D5"/>
    <w:rsid w:val="0059744A"/>
    <w:rsid w:val="005974C6"/>
    <w:rsid w:val="00597972"/>
    <w:rsid w:val="005979A2"/>
    <w:rsid w:val="00597C95"/>
    <w:rsid w:val="00597FAB"/>
    <w:rsid w:val="005A0028"/>
    <w:rsid w:val="005A004A"/>
    <w:rsid w:val="005A01D6"/>
    <w:rsid w:val="005A0416"/>
    <w:rsid w:val="005A044D"/>
    <w:rsid w:val="005A064D"/>
    <w:rsid w:val="005A06DF"/>
    <w:rsid w:val="005A0B22"/>
    <w:rsid w:val="005A0B6A"/>
    <w:rsid w:val="005A0DF3"/>
    <w:rsid w:val="005A1273"/>
    <w:rsid w:val="005A1AC0"/>
    <w:rsid w:val="005A1D74"/>
    <w:rsid w:val="005A20B6"/>
    <w:rsid w:val="005A2100"/>
    <w:rsid w:val="005A251A"/>
    <w:rsid w:val="005A28DC"/>
    <w:rsid w:val="005A2967"/>
    <w:rsid w:val="005A2979"/>
    <w:rsid w:val="005A3281"/>
    <w:rsid w:val="005A34BF"/>
    <w:rsid w:val="005A350C"/>
    <w:rsid w:val="005A3598"/>
    <w:rsid w:val="005A368F"/>
    <w:rsid w:val="005A39A3"/>
    <w:rsid w:val="005A3CDE"/>
    <w:rsid w:val="005A41A1"/>
    <w:rsid w:val="005A4269"/>
    <w:rsid w:val="005A497D"/>
    <w:rsid w:val="005A4C43"/>
    <w:rsid w:val="005A4C9E"/>
    <w:rsid w:val="005A4D0B"/>
    <w:rsid w:val="005A4D37"/>
    <w:rsid w:val="005A5D1C"/>
    <w:rsid w:val="005A5D6A"/>
    <w:rsid w:val="005A6347"/>
    <w:rsid w:val="005A6518"/>
    <w:rsid w:val="005A66AF"/>
    <w:rsid w:val="005A6A7A"/>
    <w:rsid w:val="005A6E0A"/>
    <w:rsid w:val="005A6E9F"/>
    <w:rsid w:val="005A6EFE"/>
    <w:rsid w:val="005A71F8"/>
    <w:rsid w:val="005A722C"/>
    <w:rsid w:val="005A7349"/>
    <w:rsid w:val="005A7753"/>
    <w:rsid w:val="005A78C9"/>
    <w:rsid w:val="005A7959"/>
    <w:rsid w:val="005B01C2"/>
    <w:rsid w:val="005B0292"/>
    <w:rsid w:val="005B02CC"/>
    <w:rsid w:val="005B02DE"/>
    <w:rsid w:val="005B0400"/>
    <w:rsid w:val="005B046C"/>
    <w:rsid w:val="005B05C4"/>
    <w:rsid w:val="005B0DAE"/>
    <w:rsid w:val="005B0E9B"/>
    <w:rsid w:val="005B0FCF"/>
    <w:rsid w:val="005B104C"/>
    <w:rsid w:val="005B10A1"/>
    <w:rsid w:val="005B18AD"/>
    <w:rsid w:val="005B1A46"/>
    <w:rsid w:val="005B2262"/>
    <w:rsid w:val="005B298D"/>
    <w:rsid w:val="005B3131"/>
    <w:rsid w:val="005B3204"/>
    <w:rsid w:val="005B3391"/>
    <w:rsid w:val="005B36A2"/>
    <w:rsid w:val="005B39F6"/>
    <w:rsid w:val="005B3B56"/>
    <w:rsid w:val="005B3CA7"/>
    <w:rsid w:val="005B407D"/>
    <w:rsid w:val="005B4246"/>
    <w:rsid w:val="005B45B3"/>
    <w:rsid w:val="005B498B"/>
    <w:rsid w:val="005B4BFF"/>
    <w:rsid w:val="005B50C3"/>
    <w:rsid w:val="005B5428"/>
    <w:rsid w:val="005B54FF"/>
    <w:rsid w:val="005B5691"/>
    <w:rsid w:val="005B57A4"/>
    <w:rsid w:val="005B57D8"/>
    <w:rsid w:val="005B5DAF"/>
    <w:rsid w:val="005B5DED"/>
    <w:rsid w:val="005B5EA7"/>
    <w:rsid w:val="005B5ED4"/>
    <w:rsid w:val="005B5F45"/>
    <w:rsid w:val="005B61EA"/>
    <w:rsid w:val="005B62BC"/>
    <w:rsid w:val="005B66FC"/>
    <w:rsid w:val="005B694B"/>
    <w:rsid w:val="005B6CD5"/>
    <w:rsid w:val="005B6EB6"/>
    <w:rsid w:val="005B709C"/>
    <w:rsid w:val="005B72B1"/>
    <w:rsid w:val="005B76F9"/>
    <w:rsid w:val="005B79C7"/>
    <w:rsid w:val="005B7AEF"/>
    <w:rsid w:val="005B7B08"/>
    <w:rsid w:val="005B7B44"/>
    <w:rsid w:val="005B7D99"/>
    <w:rsid w:val="005C037F"/>
    <w:rsid w:val="005C0418"/>
    <w:rsid w:val="005C0536"/>
    <w:rsid w:val="005C0658"/>
    <w:rsid w:val="005C09AE"/>
    <w:rsid w:val="005C0C3B"/>
    <w:rsid w:val="005C0F95"/>
    <w:rsid w:val="005C0FA1"/>
    <w:rsid w:val="005C153F"/>
    <w:rsid w:val="005C18AF"/>
    <w:rsid w:val="005C1DDA"/>
    <w:rsid w:val="005C2085"/>
    <w:rsid w:val="005C2134"/>
    <w:rsid w:val="005C241B"/>
    <w:rsid w:val="005C28E5"/>
    <w:rsid w:val="005C2A3D"/>
    <w:rsid w:val="005C2C5D"/>
    <w:rsid w:val="005C2F3E"/>
    <w:rsid w:val="005C33F7"/>
    <w:rsid w:val="005C3792"/>
    <w:rsid w:val="005C3A10"/>
    <w:rsid w:val="005C3FFA"/>
    <w:rsid w:val="005C407E"/>
    <w:rsid w:val="005C45BE"/>
    <w:rsid w:val="005C4731"/>
    <w:rsid w:val="005C4817"/>
    <w:rsid w:val="005C4ABB"/>
    <w:rsid w:val="005C4EF7"/>
    <w:rsid w:val="005C5056"/>
    <w:rsid w:val="005C5312"/>
    <w:rsid w:val="005C53D6"/>
    <w:rsid w:val="005C549A"/>
    <w:rsid w:val="005C5569"/>
    <w:rsid w:val="005C580B"/>
    <w:rsid w:val="005C5E0D"/>
    <w:rsid w:val="005C5E37"/>
    <w:rsid w:val="005C5F8B"/>
    <w:rsid w:val="005C5F9E"/>
    <w:rsid w:val="005C6052"/>
    <w:rsid w:val="005C631F"/>
    <w:rsid w:val="005C6A16"/>
    <w:rsid w:val="005C6A66"/>
    <w:rsid w:val="005C6BE4"/>
    <w:rsid w:val="005C6C2C"/>
    <w:rsid w:val="005C6F85"/>
    <w:rsid w:val="005C718D"/>
    <w:rsid w:val="005C7402"/>
    <w:rsid w:val="005C7462"/>
    <w:rsid w:val="005C7546"/>
    <w:rsid w:val="005C76CF"/>
    <w:rsid w:val="005C76F6"/>
    <w:rsid w:val="005C776D"/>
    <w:rsid w:val="005C793C"/>
    <w:rsid w:val="005C7B10"/>
    <w:rsid w:val="005C7D62"/>
    <w:rsid w:val="005C7FA5"/>
    <w:rsid w:val="005D04E1"/>
    <w:rsid w:val="005D0AC3"/>
    <w:rsid w:val="005D0BC0"/>
    <w:rsid w:val="005D0C21"/>
    <w:rsid w:val="005D0CBF"/>
    <w:rsid w:val="005D0D5B"/>
    <w:rsid w:val="005D0EA7"/>
    <w:rsid w:val="005D1078"/>
    <w:rsid w:val="005D115E"/>
    <w:rsid w:val="005D15A5"/>
    <w:rsid w:val="005D1877"/>
    <w:rsid w:val="005D18A5"/>
    <w:rsid w:val="005D221A"/>
    <w:rsid w:val="005D23CE"/>
    <w:rsid w:val="005D2A73"/>
    <w:rsid w:val="005D2A8E"/>
    <w:rsid w:val="005D3131"/>
    <w:rsid w:val="005D336B"/>
    <w:rsid w:val="005D33FD"/>
    <w:rsid w:val="005D3561"/>
    <w:rsid w:val="005D360A"/>
    <w:rsid w:val="005D3986"/>
    <w:rsid w:val="005D39CE"/>
    <w:rsid w:val="005D3CE4"/>
    <w:rsid w:val="005D4037"/>
    <w:rsid w:val="005D43D2"/>
    <w:rsid w:val="005D4576"/>
    <w:rsid w:val="005D4A05"/>
    <w:rsid w:val="005D4A6D"/>
    <w:rsid w:val="005D4D0E"/>
    <w:rsid w:val="005D5124"/>
    <w:rsid w:val="005D5790"/>
    <w:rsid w:val="005D57DA"/>
    <w:rsid w:val="005D5B3F"/>
    <w:rsid w:val="005D5BA1"/>
    <w:rsid w:val="005D5E13"/>
    <w:rsid w:val="005D5E30"/>
    <w:rsid w:val="005D5FFA"/>
    <w:rsid w:val="005D650F"/>
    <w:rsid w:val="005D658C"/>
    <w:rsid w:val="005D67A1"/>
    <w:rsid w:val="005D687A"/>
    <w:rsid w:val="005D697E"/>
    <w:rsid w:val="005D6BF7"/>
    <w:rsid w:val="005D6FC6"/>
    <w:rsid w:val="005D6FC9"/>
    <w:rsid w:val="005D779C"/>
    <w:rsid w:val="005D7916"/>
    <w:rsid w:val="005D7C9E"/>
    <w:rsid w:val="005E00B9"/>
    <w:rsid w:val="005E089A"/>
    <w:rsid w:val="005E0A7D"/>
    <w:rsid w:val="005E0A8F"/>
    <w:rsid w:val="005E0C5A"/>
    <w:rsid w:val="005E0C5E"/>
    <w:rsid w:val="005E0C6E"/>
    <w:rsid w:val="005E0E24"/>
    <w:rsid w:val="005E0FEA"/>
    <w:rsid w:val="005E1122"/>
    <w:rsid w:val="005E11D7"/>
    <w:rsid w:val="005E1CD8"/>
    <w:rsid w:val="005E1E40"/>
    <w:rsid w:val="005E1E47"/>
    <w:rsid w:val="005E20DC"/>
    <w:rsid w:val="005E2240"/>
    <w:rsid w:val="005E2323"/>
    <w:rsid w:val="005E2851"/>
    <w:rsid w:val="005E2895"/>
    <w:rsid w:val="005E2C6D"/>
    <w:rsid w:val="005E346D"/>
    <w:rsid w:val="005E36F0"/>
    <w:rsid w:val="005E371E"/>
    <w:rsid w:val="005E3954"/>
    <w:rsid w:val="005E3F69"/>
    <w:rsid w:val="005E425C"/>
    <w:rsid w:val="005E4419"/>
    <w:rsid w:val="005E46D7"/>
    <w:rsid w:val="005E49B2"/>
    <w:rsid w:val="005E4A19"/>
    <w:rsid w:val="005E4DA1"/>
    <w:rsid w:val="005E4DEA"/>
    <w:rsid w:val="005E5040"/>
    <w:rsid w:val="005E5076"/>
    <w:rsid w:val="005E5218"/>
    <w:rsid w:val="005E53CB"/>
    <w:rsid w:val="005E5476"/>
    <w:rsid w:val="005E54EE"/>
    <w:rsid w:val="005E551A"/>
    <w:rsid w:val="005E5EA7"/>
    <w:rsid w:val="005E6063"/>
    <w:rsid w:val="005E6066"/>
    <w:rsid w:val="005E6143"/>
    <w:rsid w:val="005E6358"/>
    <w:rsid w:val="005E63ED"/>
    <w:rsid w:val="005E669C"/>
    <w:rsid w:val="005E6823"/>
    <w:rsid w:val="005E68EB"/>
    <w:rsid w:val="005E6EE7"/>
    <w:rsid w:val="005E6F84"/>
    <w:rsid w:val="005E71E2"/>
    <w:rsid w:val="005E71F7"/>
    <w:rsid w:val="005E7369"/>
    <w:rsid w:val="005E73E7"/>
    <w:rsid w:val="005E75E1"/>
    <w:rsid w:val="005E78E8"/>
    <w:rsid w:val="005E7953"/>
    <w:rsid w:val="005F018C"/>
    <w:rsid w:val="005F0327"/>
    <w:rsid w:val="005F0754"/>
    <w:rsid w:val="005F08C3"/>
    <w:rsid w:val="005F08DF"/>
    <w:rsid w:val="005F0AE8"/>
    <w:rsid w:val="005F0C01"/>
    <w:rsid w:val="005F1444"/>
    <w:rsid w:val="005F1502"/>
    <w:rsid w:val="005F1518"/>
    <w:rsid w:val="005F1A5D"/>
    <w:rsid w:val="005F1A7D"/>
    <w:rsid w:val="005F1FD6"/>
    <w:rsid w:val="005F2515"/>
    <w:rsid w:val="005F26CA"/>
    <w:rsid w:val="005F2779"/>
    <w:rsid w:val="005F2A56"/>
    <w:rsid w:val="005F2A6B"/>
    <w:rsid w:val="005F3018"/>
    <w:rsid w:val="005F3366"/>
    <w:rsid w:val="005F3A29"/>
    <w:rsid w:val="005F3A7E"/>
    <w:rsid w:val="005F3B17"/>
    <w:rsid w:val="005F3C3E"/>
    <w:rsid w:val="005F3CBB"/>
    <w:rsid w:val="005F3D38"/>
    <w:rsid w:val="005F3E47"/>
    <w:rsid w:val="005F3F72"/>
    <w:rsid w:val="005F3FAF"/>
    <w:rsid w:val="005F40C1"/>
    <w:rsid w:val="005F41FC"/>
    <w:rsid w:val="005F428D"/>
    <w:rsid w:val="005F432D"/>
    <w:rsid w:val="005F4431"/>
    <w:rsid w:val="005F456E"/>
    <w:rsid w:val="005F4586"/>
    <w:rsid w:val="005F46E8"/>
    <w:rsid w:val="005F470C"/>
    <w:rsid w:val="005F4B2C"/>
    <w:rsid w:val="005F4DBA"/>
    <w:rsid w:val="005F546B"/>
    <w:rsid w:val="005F54B3"/>
    <w:rsid w:val="005F54EC"/>
    <w:rsid w:val="005F55A1"/>
    <w:rsid w:val="005F59B5"/>
    <w:rsid w:val="005F60F3"/>
    <w:rsid w:val="005F614E"/>
    <w:rsid w:val="005F6343"/>
    <w:rsid w:val="005F66D4"/>
    <w:rsid w:val="005F66E0"/>
    <w:rsid w:val="005F6C09"/>
    <w:rsid w:val="005F70E6"/>
    <w:rsid w:val="005F71E6"/>
    <w:rsid w:val="005F7633"/>
    <w:rsid w:val="005F7877"/>
    <w:rsid w:val="005F7B80"/>
    <w:rsid w:val="005F7E40"/>
    <w:rsid w:val="005F7E96"/>
    <w:rsid w:val="005F7F29"/>
    <w:rsid w:val="005F7F38"/>
    <w:rsid w:val="005F7FA8"/>
    <w:rsid w:val="00600015"/>
    <w:rsid w:val="00600063"/>
    <w:rsid w:val="00600099"/>
    <w:rsid w:val="006000B0"/>
    <w:rsid w:val="00600229"/>
    <w:rsid w:val="00600411"/>
    <w:rsid w:val="006005BB"/>
    <w:rsid w:val="006008E0"/>
    <w:rsid w:val="00600926"/>
    <w:rsid w:val="00600A39"/>
    <w:rsid w:val="00600B6A"/>
    <w:rsid w:val="00600C4A"/>
    <w:rsid w:val="00600C81"/>
    <w:rsid w:val="00600F4F"/>
    <w:rsid w:val="00601635"/>
    <w:rsid w:val="006016E7"/>
    <w:rsid w:val="00601869"/>
    <w:rsid w:val="006018C2"/>
    <w:rsid w:val="00601CD1"/>
    <w:rsid w:val="00601E11"/>
    <w:rsid w:val="00602036"/>
    <w:rsid w:val="006021E3"/>
    <w:rsid w:val="0060237C"/>
    <w:rsid w:val="006024D3"/>
    <w:rsid w:val="006025CB"/>
    <w:rsid w:val="00602BE9"/>
    <w:rsid w:val="00602C88"/>
    <w:rsid w:val="00602F99"/>
    <w:rsid w:val="00603238"/>
    <w:rsid w:val="006033D2"/>
    <w:rsid w:val="00603A6C"/>
    <w:rsid w:val="00603B6F"/>
    <w:rsid w:val="0060402F"/>
    <w:rsid w:val="00604067"/>
    <w:rsid w:val="0060423E"/>
    <w:rsid w:val="0060433C"/>
    <w:rsid w:val="00604389"/>
    <w:rsid w:val="00604453"/>
    <w:rsid w:val="00604E88"/>
    <w:rsid w:val="00604FF7"/>
    <w:rsid w:val="006050E7"/>
    <w:rsid w:val="006053B0"/>
    <w:rsid w:val="006057A3"/>
    <w:rsid w:val="0060598E"/>
    <w:rsid w:val="00605A52"/>
    <w:rsid w:val="00605ACD"/>
    <w:rsid w:val="00605ED9"/>
    <w:rsid w:val="00606056"/>
    <w:rsid w:val="00606187"/>
    <w:rsid w:val="00606676"/>
    <w:rsid w:val="006067CD"/>
    <w:rsid w:val="00606852"/>
    <w:rsid w:val="00606B54"/>
    <w:rsid w:val="00606B99"/>
    <w:rsid w:val="00606DF4"/>
    <w:rsid w:val="00606EF9"/>
    <w:rsid w:val="00606F1F"/>
    <w:rsid w:val="0060706A"/>
    <w:rsid w:val="0060718C"/>
    <w:rsid w:val="0060744E"/>
    <w:rsid w:val="00607758"/>
    <w:rsid w:val="00607C81"/>
    <w:rsid w:val="00607D37"/>
    <w:rsid w:val="00607D40"/>
    <w:rsid w:val="00607D6B"/>
    <w:rsid w:val="00607EBA"/>
    <w:rsid w:val="00607F79"/>
    <w:rsid w:val="00610478"/>
    <w:rsid w:val="00610582"/>
    <w:rsid w:val="00610674"/>
    <w:rsid w:val="006106D8"/>
    <w:rsid w:val="006106DC"/>
    <w:rsid w:val="00610706"/>
    <w:rsid w:val="0061089A"/>
    <w:rsid w:val="00610D5E"/>
    <w:rsid w:val="00610F53"/>
    <w:rsid w:val="006110E3"/>
    <w:rsid w:val="006110E8"/>
    <w:rsid w:val="006111B2"/>
    <w:rsid w:val="006112E3"/>
    <w:rsid w:val="00611744"/>
    <w:rsid w:val="00611BA7"/>
    <w:rsid w:val="00611E3A"/>
    <w:rsid w:val="00612641"/>
    <w:rsid w:val="006127DA"/>
    <w:rsid w:val="0061284A"/>
    <w:rsid w:val="00612D29"/>
    <w:rsid w:val="00612EBC"/>
    <w:rsid w:val="00612EFD"/>
    <w:rsid w:val="00613121"/>
    <w:rsid w:val="0061323E"/>
    <w:rsid w:val="006132C3"/>
    <w:rsid w:val="00613467"/>
    <w:rsid w:val="00613494"/>
    <w:rsid w:val="00613512"/>
    <w:rsid w:val="0061359B"/>
    <w:rsid w:val="00613703"/>
    <w:rsid w:val="00613756"/>
    <w:rsid w:val="00613E06"/>
    <w:rsid w:val="00614050"/>
    <w:rsid w:val="00614080"/>
    <w:rsid w:val="00614241"/>
    <w:rsid w:val="006143F8"/>
    <w:rsid w:val="00614A18"/>
    <w:rsid w:val="00614BAE"/>
    <w:rsid w:val="00614C2A"/>
    <w:rsid w:val="00614E7C"/>
    <w:rsid w:val="006152B2"/>
    <w:rsid w:val="00615649"/>
    <w:rsid w:val="0061585E"/>
    <w:rsid w:val="006158C6"/>
    <w:rsid w:val="00615BB3"/>
    <w:rsid w:val="00615CF2"/>
    <w:rsid w:val="00615EEC"/>
    <w:rsid w:val="00616553"/>
    <w:rsid w:val="0061655A"/>
    <w:rsid w:val="00616BB6"/>
    <w:rsid w:val="00616C56"/>
    <w:rsid w:val="00616E8E"/>
    <w:rsid w:val="00616F61"/>
    <w:rsid w:val="00617423"/>
    <w:rsid w:val="006176A6"/>
    <w:rsid w:val="0061782C"/>
    <w:rsid w:val="00617B8A"/>
    <w:rsid w:val="00617D6B"/>
    <w:rsid w:val="0062017C"/>
    <w:rsid w:val="0062022B"/>
    <w:rsid w:val="0062027A"/>
    <w:rsid w:val="00620310"/>
    <w:rsid w:val="00620521"/>
    <w:rsid w:val="00620535"/>
    <w:rsid w:val="00620A81"/>
    <w:rsid w:val="00620A88"/>
    <w:rsid w:val="00620AE7"/>
    <w:rsid w:val="00621832"/>
    <w:rsid w:val="00621931"/>
    <w:rsid w:val="00621B0F"/>
    <w:rsid w:val="00621C18"/>
    <w:rsid w:val="00621E04"/>
    <w:rsid w:val="00621EA3"/>
    <w:rsid w:val="00621F5F"/>
    <w:rsid w:val="00622062"/>
    <w:rsid w:val="0062214A"/>
    <w:rsid w:val="00622777"/>
    <w:rsid w:val="006227CC"/>
    <w:rsid w:val="00622EDE"/>
    <w:rsid w:val="00622FAF"/>
    <w:rsid w:val="00623092"/>
    <w:rsid w:val="006230C5"/>
    <w:rsid w:val="00623454"/>
    <w:rsid w:val="0062398E"/>
    <w:rsid w:val="006239CC"/>
    <w:rsid w:val="00623BA7"/>
    <w:rsid w:val="00623D0B"/>
    <w:rsid w:val="00624315"/>
    <w:rsid w:val="00624366"/>
    <w:rsid w:val="006245AB"/>
    <w:rsid w:val="00624601"/>
    <w:rsid w:val="00624778"/>
    <w:rsid w:val="0062479B"/>
    <w:rsid w:val="00624815"/>
    <w:rsid w:val="00624A75"/>
    <w:rsid w:val="00624B8F"/>
    <w:rsid w:val="00624D6F"/>
    <w:rsid w:val="00624FD7"/>
    <w:rsid w:val="0062502D"/>
    <w:rsid w:val="0062545B"/>
    <w:rsid w:val="0062552A"/>
    <w:rsid w:val="00625690"/>
    <w:rsid w:val="006257DC"/>
    <w:rsid w:val="006258CF"/>
    <w:rsid w:val="00625901"/>
    <w:rsid w:val="00625A8F"/>
    <w:rsid w:val="00625ADB"/>
    <w:rsid w:val="00625D5E"/>
    <w:rsid w:val="00625F3B"/>
    <w:rsid w:val="0062601C"/>
    <w:rsid w:val="00626242"/>
    <w:rsid w:val="00626297"/>
    <w:rsid w:val="0062637D"/>
    <w:rsid w:val="0062640B"/>
    <w:rsid w:val="006264E9"/>
    <w:rsid w:val="00626EB2"/>
    <w:rsid w:val="00626F1A"/>
    <w:rsid w:val="00626FEF"/>
    <w:rsid w:val="00627021"/>
    <w:rsid w:val="006270E0"/>
    <w:rsid w:val="006271A8"/>
    <w:rsid w:val="0062726F"/>
    <w:rsid w:val="0062733B"/>
    <w:rsid w:val="00627374"/>
    <w:rsid w:val="00627527"/>
    <w:rsid w:val="00627C07"/>
    <w:rsid w:val="00627C4E"/>
    <w:rsid w:val="00627CBD"/>
    <w:rsid w:val="006301C7"/>
    <w:rsid w:val="0063021A"/>
    <w:rsid w:val="006302E2"/>
    <w:rsid w:val="00630349"/>
    <w:rsid w:val="00630496"/>
    <w:rsid w:val="00630594"/>
    <w:rsid w:val="00630790"/>
    <w:rsid w:val="00630803"/>
    <w:rsid w:val="00630877"/>
    <w:rsid w:val="00630ACF"/>
    <w:rsid w:val="00630AF8"/>
    <w:rsid w:val="00630B97"/>
    <w:rsid w:val="00630CAD"/>
    <w:rsid w:val="0063113C"/>
    <w:rsid w:val="00631213"/>
    <w:rsid w:val="006313D9"/>
    <w:rsid w:val="00631648"/>
    <w:rsid w:val="006316FB"/>
    <w:rsid w:val="00631C87"/>
    <w:rsid w:val="00631CBF"/>
    <w:rsid w:val="00631FDD"/>
    <w:rsid w:val="006322AA"/>
    <w:rsid w:val="00632B4D"/>
    <w:rsid w:val="00632E37"/>
    <w:rsid w:val="00632EA9"/>
    <w:rsid w:val="00633169"/>
    <w:rsid w:val="006332BE"/>
    <w:rsid w:val="006332FF"/>
    <w:rsid w:val="006333C5"/>
    <w:rsid w:val="00633A27"/>
    <w:rsid w:val="00633D37"/>
    <w:rsid w:val="00633F74"/>
    <w:rsid w:val="006340BC"/>
    <w:rsid w:val="006343C0"/>
    <w:rsid w:val="006348E4"/>
    <w:rsid w:val="00634C7E"/>
    <w:rsid w:val="006351EC"/>
    <w:rsid w:val="0063521C"/>
    <w:rsid w:val="0063554C"/>
    <w:rsid w:val="00635AA7"/>
    <w:rsid w:val="00635AB4"/>
    <w:rsid w:val="00635F20"/>
    <w:rsid w:val="00636078"/>
    <w:rsid w:val="006361A1"/>
    <w:rsid w:val="006365EB"/>
    <w:rsid w:val="00636647"/>
    <w:rsid w:val="00636805"/>
    <w:rsid w:val="0063680C"/>
    <w:rsid w:val="00636B9D"/>
    <w:rsid w:val="00636D5F"/>
    <w:rsid w:val="00636D93"/>
    <w:rsid w:val="00636DA5"/>
    <w:rsid w:val="00636F13"/>
    <w:rsid w:val="00636F53"/>
    <w:rsid w:val="0063731E"/>
    <w:rsid w:val="006373DD"/>
    <w:rsid w:val="00637544"/>
    <w:rsid w:val="00637761"/>
    <w:rsid w:val="00637A0F"/>
    <w:rsid w:val="00637C5B"/>
    <w:rsid w:val="00637DCC"/>
    <w:rsid w:val="00637EB2"/>
    <w:rsid w:val="00640023"/>
    <w:rsid w:val="0064003B"/>
    <w:rsid w:val="0064024C"/>
    <w:rsid w:val="00640343"/>
    <w:rsid w:val="006404B1"/>
    <w:rsid w:val="0064060F"/>
    <w:rsid w:val="006408C3"/>
    <w:rsid w:val="00640B3D"/>
    <w:rsid w:val="00640E65"/>
    <w:rsid w:val="00641561"/>
    <w:rsid w:val="006416F4"/>
    <w:rsid w:val="006418D1"/>
    <w:rsid w:val="00641C2B"/>
    <w:rsid w:val="00641F9D"/>
    <w:rsid w:val="00641FEF"/>
    <w:rsid w:val="006420FC"/>
    <w:rsid w:val="006421DC"/>
    <w:rsid w:val="006422DD"/>
    <w:rsid w:val="006424D9"/>
    <w:rsid w:val="006428AF"/>
    <w:rsid w:val="00642900"/>
    <w:rsid w:val="0064290C"/>
    <w:rsid w:val="00642996"/>
    <w:rsid w:val="00642E52"/>
    <w:rsid w:val="00642E92"/>
    <w:rsid w:val="00642E98"/>
    <w:rsid w:val="00642F97"/>
    <w:rsid w:val="0064344A"/>
    <w:rsid w:val="006436B7"/>
    <w:rsid w:val="006437E3"/>
    <w:rsid w:val="00643CE6"/>
    <w:rsid w:val="00644122"/>
    <w:rsid w:val="006442A5"/>
    <w:rsid w:val="00644498"/>
    <w:rsid w:val="0064485F"/>
    <w:rsid w:val="006448C0"/>
    <w:rsid w:val="00644B1E"/>
    <w:rsid w:val="00644B73"/>
    <w:rsid w:val="00644B9E"/>
    <w:rsid w:val="00644BEA"/>
    <w:rsid w:val="00644E3E"/>
    <w:rsid w:val="00645173"/>
    <w:rsid w:val="006452B3"/>
    <w:rsid w:val="0064547E"/>
    <w:rsid w:val="006454BB"/>
    <w:rsid w:val="006455FF"/>
    <w:rsid w:val="00645879"/>
    <w:rsid w:val="006458B6"/>
    <w:rsid w:val="00645AB3"/>
    <w:rsid w:val="00645AF8"/>
    <w:rsid w:val="00645C35"/>
    <w:rsid w:val="00645E08"/>
    <w:rsid w:val="00645E3D"/>
    <w:rsid w:val="00645FCA"/>
    <w:rsid w:val="0064620D"/>
    <w:rsid w:val="006463A5"/>
    <w:rsid w:val="006463D3"/>
    <w:rsid w:val="00646471"/>
    <w:rsid w:val="0064677A"/>
    <w:rsid w:val="006468C1"/>
    <w:rsid w:val="00646ADB"/>
    <w:rsid w:val="00646DBC"/>
    <w:rsid w:val="00646E4F"/>
    <w:rsid w:val="00647019"/>
    <w:rsid w:val="0064719A"/>
    <w:rsid w:val="00647244"/>
    <w:rsid w:val="006474CB"/>
    <w:rsid w:val="00647BBA"/>
    <w:rsid w:val="006501CB"/>
    <w:rsid w:val="006506AF"/>
    <w:rsid w:val="006509EF"/>
    <w:rsid w:val="00650B1A"/>
    <w:rsid w:val="00650F8D"/>
    <w:rsid w:val="006510EB"/>
    <w:rsid w:val="006517EB"/>
    <w:rsid w:val="00651861"/>
    <w:rsid w:val="006518B3"/>
    <w:rsid w:val="006518C5"/>
    <w:rsid w:val="006519DF"/>
    <w:rsid w:val="00651D27"/>
    <w:rsid w:val="00651E78"/>
    <w:rsid w:val="00651EE5"/>
    <w:rsid w:val="0065226B"/>
    <w:rsid w:val="006525BD"/>
    <w:rsid w:val="00652803"/>
    <w:rsid w:val="00652B9E"/>
    <w:rsid w:val="00652DAC"/>
    <w:rsid w:val="00653434"/>
    <w:rsid w:val="0065375E"/>
    <w:rsid w:val="0065378D"/>
    <w:rsid w:val="00653A5D"/>
    <w:rsid w:val="00653F26"/>
    <w:rsid w:val="00653F4E"/>
    <w:rsid w:val="0065406B"/>
    <w:rsid w:val="006541CC"/>
    <w:rsid w:val="00654592"/>
    <w:rsid w:val="006545E6"/>
    <w:rsid w:val="00654C2A"/>
    <w:rsid w:val="00654D78"/>
    <w:rsid w:val="00655158"/>
    <w:rsid w:val="006551B2"/>
    <w:rsid w:val="006552B0"/>
    <w:rsid w:val="006553A2"/>
    <w:rsid w:val="006554ED"/>
    <w:rsid w:val="006555F0"/>
    <w:rsid w:val="00655BF4"/>
    <w:rsid w:val="00655CCF"/>
    <w:rsid w:val="006564AE"/>
    <w:rsid w:val="006566A4"/>
    <w:rsid w:val="006568AF"/>
    <w:rsid w:val="006568F0"/>
    <w:rsid w:val="00656A27"/>
    <w:rsid w:val="00656BAC"/>
    <w:rsid w:val="00656D0B"/>
    <w:rsid w:val="00656DAA"/>
    <w:rsid w:val="00656F37"/>
    <w:rsid w:val="00657035"/>
    <w:rsid w:val="006575D7"/>
    <w:rsid w:val="0065770C"/>
    <w:rsid w:val="00657754"/>
    <w:rsid w:val="006578F2"/>
    <w:rsid w:val="0065795C"/>
    <w:rsid w:val="00657A35"/>
    <w:rsid w:val="00657F6A"/>
    <w:rsid w:val="0066015A"/>
    <w:rsid w:val="0066046E"/>
    <w:rsid w:val="00660529"/>
    <w:rsid w:val="00660794"/>
    <w:rsid w:val="006609C7"/>
    <w:rsid w:val="00660BDF"/>
    <w:rsid w:val="00660C40"/>
    <w:rsid w:val="00660F8D"/>
    <w:rsid w:val="006612E6"/>
    <w:rsid w:val="0066130D"/>
    <w:rsid w:val="006614A5"/>
    <w:rsid w:val="00661801"/>
    <w:rsid w:val="006618AA"/>
    <w:rsid w:val="006618BC"/>
    <w:rsid w:val="0066197F"/>
    <w:rsid w:val="00661BC3"/>
    <w:rsid w:val="00661BCA"/>
    <w:rsid w:val="00661D25"/>
    <w:rsid w:val="00661D5A"/>
    <w:rsid w:val="00661E06"/>
    <w:rsid w:val="00661E82"/>
    <w:rsid w:val="006620D0"/>
    <w:rsid w:val="006621B9"/>
    <w:rsid w:val="006624B7"/>
    <w:rsid w:val="00662DFF"/>
    <w:rsid w:val="00663221"/>
    <w:rsid w:val="006634D7"/>
    <w:rsid w:val="006636A0"/>
    <w:rsid w:val="00664356"/>
    <w:rsid w:val="00664BE7"/>
    <w:rsid w:val="00664E77"/>
    <w:rsid w:val="00665125"/>
    <w:rsid w:val="00665213"/>
    <w:rsid w:val="00665353"/>
    <w:rsid w:val="006657BD"/>
    <w:rsid w:val="0066587D"/>
    <w:rsid w:val="00665D7C"/>
    <w:rsid w:val="00665FC6"/>
    <w:rsid w:val="00665FF7"/>
    <w:rsid w:val="00666004"/>
    <w:rsid w:val="006662B0"/>
    <w:rsid w:val="00666396"/>
    <w:rsid w:val="006664E7"/>
    <w:rsid w:val="00666B0C"/>
    <w:rsid w:val="00666DB7"/>
    <w:rsid w:val="00666E78"/>
    <w:rsid w:val="00667104"/>
    <w:rsid w:val="0066751F"/>
    <w:rsid w:val="006676E3"/>
    <w:rsid w:val="006676FD"/>
    <w:rsid w:val="00667846"/>
    <w:rsid w:val="00667926"/>
    <w:rsid w:val="00667965"/>
    <w:rsid w:val="00667A2F"/>
    <w:rsid w:val="00667B00"/>
    <w:rsid w:val="00667C0C"/>
    <w:rsid w:val="00667CBF"/>
    <w:rsid w:val="00667D46"/>
    <w:rsid w:val="0067064F"/>
    <w:rsid w:val="00671225"/>
    <w:rsid w:val="00671270"/>
    <w:rsid w:val="006718A3"/>
    <w:rsid w:val="006718CD"/>
    <w:rsid w:val="00671AEC"/>
    <w:rsid w:val="00671E7D"/>
    <w:rsid w:val="00672120"/>
    <w:rsid w:val="00672285"/>
    <w:rsid w:val="00672325"/>
    <w:rsid w:val="0067262B"/>
    <w:rsid w:val="00672729"/>
    <w:rsid w:val="00672814"/>
    <w:rsid w:val="0067327D"/>
    <w:rsid w:val="00673352"/>
    <w:rsid w:val="006735A5"/>
    <w:rsid w:val="00673640"/>
    <w:rsid w:val="0067371F"/>
    <w:rsid w:val="00673843"/>
    <w:rsid w:val="00673A50"/>
    <w:rsid w:val="00673A7A"/>
    <w:rsid w:val="00673C3A"/>
    <w:rsid w:val="00673D2F"/>
    <w:rsid w:val="00673DB2"/>
    <w:rsid w:val="006744AA"/>
    <w:rsid w:val="006746E9"/>
    <w:rsid w:val="00674927"/>
    <w:rsid w:val="00675022"/>
    <w:rsid w:val="0067551A"/>
    <w:rsid w:val="00675792"/>
    <w:rsid w:val="00675C43"/>
    <w:rsid w:val="00675EEB"/>
    <w:rsid w:val="006760F7"/>
    <w:rsid w:val="0067613B"/>
    <w:rsid w:val="00676C85"/>
    <w:rsid w:val="00676DD6"/>
    <w:rsid w:val="00676E15"/>
    <w:rsid w:val="00676F4E"/>
    <w:rsid w:val="00676F51"/>
    <w:rsid w:val="006770A7"/>
    <w:rsid w:val="006770D5"/>
    <w:rsid w:val="0067722A"/>
    <w:rsid w:val="00677246"/>
    <w:rsid w:val="0067769D"/>
    <w:rsid w:val="00677C04"/>
    <w:rsid w:val="00677DAA"/>
    <w:rsid w:val="00677F9C"/>
    <w:rsid w:val="00677FD9"/>
    <w:rsid w:val="00680906"/>
    <w:rsid w:val="00680ACE"/>
    <w:rsid w:val="00680F1D"/>
    <w:rsid w:val="0068151A"/>
    <w:rsid w:val="00681522"/>
    <w:rsid w:val="00681595"/>
    <w:rsid w:val="006815A9"/>
    <w:rsid w:val="0068188A"/>
    <w:rsid w:val="00681C5B"/>
    <w:rsid w:val="00681C60"/>
    <w:rsid w:val="00681E2E"/>
    <w:rsid w:val="0068200E"/>
    <w:rsid w:val="006823D0"/>
    <w:rsid w:val="006825E1"/>
    <w:rsid w:val="00682AB6"/>
    <w:rsid w:val="00682D7A"/>
    <w:rsid w:val="00682E6D"/>
    <w:rsid w:val="0068320E"/>
    <w:rsid w:val="0068356B"/>
    <w:rsid w:val="0068368C"/>
    <w:rsid w:val="0068379F"/>
    <w:rsid w:val="00683CE7"/>
    <w:rsid w:val="00683F45"/>
    <w:rsid w:val="00683F83"/>
    <w:rsid w:val="00684109"/>
    <w:rsid w:val="0068422F"/>
    <w:rsid w:val="0068446B"/>
    <w:rsid w:val="00684753"/>
    <w:rsid w:val="00684754"/>
    <w:rsid w:val="00684B2B"/>
    <w:rsid w:val="00684C04"/>
    <w:rsid w:val="00684DA1"/>
    <w:rsid w:val="00684FE5"/>
    <w:rsid w:val="006851C2"/>
    <w:rsid w:val="00685242"/>
    <w:rsid w:val="006853EB"/>
    <w:rsid w:val="00685527"/>
    <w:rsid w:val="0068562F"/>
    <w:rsid w:val="0068650C"/>
    <w:rsid w:val="00686579"/>
    <w:rsid w:val="006865D0"/>
    <w:rsid w:val="00686877"/>
    <w:rsid w:val="00686912"/>
    <w:rsid w:val="00686969"/>
    <w:rsid w:val="006869E4"/>
    <w:rsid w:val="00686A31"/>
    <w:rsid w:val="00686A71"/>
    <w:rsid w:val="00686DCA"/>
    <w:rsid w:val="006871A1"/>
    <w:rsid w:val="00687572"/>
    <w:rsid w:val="0068799B"/>
    <w:rsid w:val="00690083"/>
    <w:rsid w:val="00690175"/>
    <w:rsid w:val="0069019F"/>
    <w:rsid w:val="00690681"/>
    <w:rsid w:val="006907F6"/>
    <w:rsid w:val="00690872"/>
    <w:rsid w:val="00690988"/>
    <w:rsid w:val="00690B83"/>
    <w:rsid w:val="00690D11"/>
    <w:rsid w:val="00690D28"/>
    <w:rsid w:val="00690E1B"/>
    <w:rsid w:val="0069123E"/>
    <w:rsid w:val="006912D5"/>
    <w:rsid w:val="006914EB"/>
    <w:rsid w:val="0069162F"/>
    <w:rsid w:val="00691677"/>
    <w:rsid w:val="00691913"/>
    <w:rsid w:val="006919D7"/>
    <w:rsid w:val="00692000"/>
    <w:rsid w:val="00692182"/>
    <w:rsid w:val="0069237B"/>
    <w:rsid w:val="00692934"/>
    <w:rsid w:val="00692C7E"/>
    <w:rsid w:val="00692E7C"/>
    <w:rsid w:val="00693399"/>
    <w:rsid w:val="006934E9"/>
    <w:rsid w:val="00693869"/>
    <w:rsid w:val="00693971"/>
    <w:rsid w:val="00693C35"/>
    <w:rsid w:val="00693DC3"/>
    <w:rsid w:val="00693E28"/>
    <w:rsid w:val="006942AF"/>
    <w:rsid w:val="00694434"/>
    <w:rsid w:val="0069459C"/>
    <w:rsid w:val="00694AE2"/>
    <w:rsid w:val="00694BA1"/>
    <w:rsid w:val="00694C3B"/>
    <w:rsid w:val="00694DC9"/>
    <w:rsid w:val="0069506B"/>
    <w:rsid w:val="006951E3"/>
    <w:rsid w:val="00695294"/>
    <w:rsid w:val="0069589F"/>
    <w:rsid w:val="00695906"/>
    <w:rsid w:val="00695B03"/>
    <w:rsid w:val="00696072"/>
    <w:rsid w:val="0069619F"/>
    <w:rsid w:val="006961DA"/>
    <w:rsid w:val="006969CC"/>
    <w:rsid w:val="006969F2"/>
    <w:rsid w:val="00696BBD"/>
    <w:rsid w:val="00696F95"/>
    <w:rsid w:val="006971AB"/>
    <w:rsid w:val="0069739B"/>
    <w:rsid w:val="0069762E"/>
    <w:rsid w:val="00697898"/>
    <w:rsid w:val="00697DC4"/>
    <w:rsid w:val="00697F14"/>
    <w:rsid w:val="006A0596"/>
    <w:rsid w:val="006A07D6"/>
    <w:rsid w:val="006A0AB9"/>
    <w:rsid w:val="006A0D16"/>
    <w:rsid w:val="006A0DD1"/>
    <w:rsid w:val="006A0E17"/>
    <w:rsid w:val="006A138B"/>
    <w:rsid w:val="006A14D1"/>
    <w:rsid w:val="006A1569"/>
    <w:rsid w:val="006A15B9"/>
    <w:rsid w:val="006A18BB"/>
    <w:rsid w:val="006A1A82"/>
    <w:rsid w:val="006A1CC6"/>
    <w:rsid w:val="006A1D49"/>
    <w:rsid w:val="006A1DD1"/>
    <w:rsid w:val="006A221F"/>
    <w:rsid w:val="006A22FC"/>
    <w:rsid w:val="006A239A"/>
    <w:rsid w:val="006A23E5"/>
    <w:rsid w:val="006A26F6"/>
    <w:rsid w:val="006A2F70"/>
    <w:rsid w:val="006A31D4"/>
    <w:rsid w:val="006A3201"/>
    <w:rsid w:val="006A3498"/>
    <w:rsid w:val="006A3EBE"/>
    <w:rsid w:val="006A40C0"/>
    <w:rsid w:val="006A4AE9"/>
    <w:rsid w:val="006A4C42"/>
    <w:rsid w:val="006A4C8B"/>
    <w:rsid w:val="006A4D02"/>
    <w:rsid w:val="006A56AC"/>
    <w:rsid w:val="006A5A7B"/>
    <w:rsid w:val="006A612C"/>
    <w:rsid w:val="006A6243"/>
    <w:rsid w:val="006A6577"/>
    <w:rsid w:val="006A658E"/>
    <w:rsid w:val="006A67B1"/>
    <w:rsid w:val="006A6B3B"/>
    <w:rsid w:val="006A6C80"/>
    <w:rsid w:val="006A6D31"/>
    <w:rsid w:val="006A6D83"/>
    <w:rsid w:val="006A6DA8"/>
    <w:rsid w:val="006A711F"/>
    <w:rsid w:val="006A769E"/>
    <w:rsid w:val="006A7706"/>
    <w:rsid w:val="006A77D5"/>
    <w:rsid w:val="006A78D7"/>
    <w:rsid w:val="006A798F"/>
    <w:rsid w:val="006A7D99"/>
    <w:rsid w:val="006B01CA"/>
    <w:rsid w:val="006B0480"/>
    <w:rsid w:val="006B0567"/>
    <w:rsid w:val="006B069D"/>
    <w:rsid w:val="006B0B7D"/>
    <w:rsid w:val="006B0C03"/>
    <w:rsid w:val="006B0FC1"/>
    <w:rsid w:val="006B140A"/>
    <w:rsid w:val="006B188D"/>
    <w:rsid w:val="006B2417"/>
    <w:rsid w:val="006B249C"/>
    <w:rsid w:val="006B24C3"/>
    <w:rsid w:val="006B2572"/>
    <w:rsid w:val="006B2AFE"/>
    <w:rsid w:val="006B2CEF"/>
    <w:rsid w:val="006B2D72"/>
    <w:rsid w:val="006B2DFA"/>
    <w:rsid w:val="006B2E25"/>
    <w:rsid w:val="006B2ED2"/>
    <w:rsid w:val="006B32AD"/>
    <w:rsid w:val="006B33EE"/>
    <w:rsid w:val="006B3728"/>
    <w:rsid w:val="006B3757"/>
    <w:rsid w:val="006B37F4"/>
    <w:rsid w:val="006B47D1"/>
    <w:rsid w:val="006B4C72"/>
    <w:rsid w:val="006B4F5C"/>
    <w:rsid w:val="006B53A7"/>
    <w:rsid w:val="006B5708"/>
    <w:rsid w:val="006B5C76"/>
    <w:rsid w:val="006B5CE1"/>
    <w:rsid w:val="006B5D20"/>
    <w:rsid w:val="006B5D29"/>
    <w:rsid w:val="006B6044"/>
    <w:rsid w:val="006B6872"/>
    <w:rsid w:val="006B6AAD"/>
    <w:rsid w:val="006B6BD1"/>
    <w:rsid w:val="006B6DE4"/>
    <w:rsid w:val="006B6FA2"/>
    <w:rsid w:val="006B71A2"/>
    <w:rsid w:val="006B75A2"/>
    <w:rsid w:val="006B7628"/>
    <w:rsid w:val="006B7A85"/>
    <w:rsid w:val="006B7FCF"/>
    <w:rsid w:val="006B7FE6"/>
    <w:rsid w:val="006C014A"/>
    <w:rsid w:val="006C029B"/>
    <w:rsid w:val="006C08BB"/>
    <w:rsid w:val="006C0935"/>
    <w:rsid w:val="006C0974"/>
    <w:rsid w:val="006C0DD3"/>
    <w:rsid w:val="006C11DB"/>
    <w:rsid w:val="006C153A"/>
    <w:rsid w:val="006C162B"/>
    <w:rsid w:val="006C1C04"/>
    <w:rsid w:val="006C23AB"/>
    <w:rsid w:val="006C257D"/>
    <w:rsid w:val="006C2723"/>
    <w:rsid w:val="006C2C76"/>
    <w:rsid w:val="006C2DE8"/>
    <w:rsid w:val="006C318F"/>
    <w:rsid w:val="006C325E"/>
    <w:rsid w:val="006C34D4"/>
    <w:rsid w:val="006C35DE"/>
    <w:rsid w:val="006C36CA"/>
    <w:rsid w:val="006C36D2"/>
    <w:rsid w:val="006C3865"/>
    <w:rsid w:val="006C39BE"/>
    <w:rsid w:val="006C3DB1"/>
    <w:rsid w:val="006C3EBE"/>
    <w:rsid w:val="006C3FBA"/>
    <w:rsid w:val="006C4126"/>
    <w:rsid w:val="006C46AC"/>
    <w:rsid w:val="006C4906"/>
    <w:rsid w:val="006C4AEA"/>
    <w:rsid w:val="006C4BDF"/>
    <w:rsid w:val="006C4C32"/>
    <w:rsid w:val="006C4CD6"/>
    <w:rsid w:val="006C4D0A"/>
    <w:rsid w:val="006C4D48"/>
    <w:rsid w:val="006C4E89"/>
    <w:rsid w:val="006C504B"/>
    <w:rsid w:val="006C514D"/>
    <w:rsid w:val="006C52BB"/>
    <w:rsid w:val="006C543E"/>
    <w:rsid w:val="006C5544"/>
    <w:rsid w:val="006C5A27"/>
    <w:rsid w:val="006C5DF4"/>
    <w:rsid w:val="006C5E62"/>
    <w:rsid w:val="006C5EDE"/>
    <w:rsid w:val="006C5FE5"/>
    <w:rsid w:val="006C603A"/>
    <w:rsid w:val="006C603F"/>
    <w:rsid w:val="006C63BE"/>
    <w:rsid w:val="006C6594"/>
    <w:rsid w:val="006C66CA"/>
    <w:rsid w:val="006C6AA6"/>
    <w:rsid w:val="006C6E78"/>
    <w:rsid w:val="006C735B"/>
    <w:rsid w:val="006C738B"/>
    <w:rsid w:val="006C7609"/>
    <w:rsid w:val="006C79C1"/>
    <w:rsid w:val="006C7FA5"/>
    <w:rsid w:val="006D00C1"/>
    <w:rsid w:val="006D0693"/>
    <w:rsid w:val="006D0A46"/>
    <w:rsid w:val="006D0B3F"/>
    <w:rsid w:val="006D0CEE"/>
    <w:rsid w:val="006D1234"/>
    <w:rsid w:val="006D168B"/>
    <w:rsid w:val="006D1725"/>
    <w:rsid w:val="006D1AE1"/>
    <w:rsid w:val="006D1B74"/>
    <w:rsid w:val="006D1BAC"/>
    <w:rsid w:val="006D1C79"/>
    <w:rsid w:val="006D263F"/>
    <w:rsid w:val="006D2941"/>
    <w:rsid w:val="006D3271"/>
    <w:rsid w:val="006D334A"/>
    <w:rsid w:val="006D33C5"/>
    <w:rsid w:val="006D33F0"/>
    <w:rsid w:val="006D3469"/>
    <w:rsid w:val="006D399E"/>
    <w:rsid w:val="006D3C84"/>
    <w:rsid w:val="006D4080"/>
    <w:rsid w:val="006D412F"/>
    <w:rsid w:val="006D46B6"/>
    <w:rsid w:val="006D4713"/>
    <w:rsid w:val="006D48D6"/>
    <w:rsid w:val="006D4E1F"/>
    <w:rsid w:val="006D535C"/>
    <w:rsid w:val="006D548A"/>
    <w:rsid w:val="006D58E6"/>
    <w:rsid w:val="006D5968"/>
    <w:rsid w:val="006D5AB5"/>
    <w:rsid w:val="006D5D03"/>
    <w:rsid w:val="006D5F43"/>
    <w:rsid w:val="006D61A0"/>
    <w:rsid w:val="006D61BE"/>
    <w:rsid w:val="006D61F7"/>
    <w:rsid w:val="006D641E"/>
    <w:rsid w:val="006D6853"/>
    <w:rsid w:val="006D6954"/>
    <w:rsid w:val="006D6B7E"/>
    <w:rsid w:val="006D7111"/>
    <w:rsid w:val="006D7117"/>
    <w:rsid w:val="006D75FF"/>
    <w:rsid w:val="006D7C21"/>
    <w:rsid w:val="006D7CC2"/>
    <w:rsid w:val="006D7D25"/>
    <w:rsid w:val="006D7E09"/>
    <w:rsid w:val="006D7FC3"/>
    <w:rsid w:val="006E002F"/>
    <w:rsid w:val="006E0090"/>
    <w:rsid w:val="006E00DF"/>
    <w:rsid w:val="006E04C6"/>
    <w:rsid w:val="006E0725"/>
    <w:rsid w:val="006E076C"/>
    <w:rsid w:val="006E0854"/>
    <w:rsid w:val="006E0F7B"/>
    <w:rsid w:val="006E1332"/>
    <w:rsid w:val="006E1362"/>
    <w:rsid w:val="006E18C5"/>
    <w:rsid w:val="006E1971"/>
    <w:rsid w:val="006E1CCB"/>
    <w:rsid w:val="006E22F6"/>
    <w:rsid w:val="006E240F"/>
    <w:rsid w:val="006E245C"/>
    <w:rsid w:val="006E2599"/>
    <w:rsid w:val="006E25E6"/>
    <w:rsid w:val="006E2831"/>
    <w:rsid w:val="006E284A"/>
    <w:rsid w:val="006E2FE4"/>
    <w:rsid w:val="006E3103"/>
    <w:rsid w:val="006E3291"/>
    <w:rsid w:val="006E371C"/>
    <w:rsid w:val="006E3750"/>
    <w:rsid w:val="006E3CBC"/>
    <w:rsid w:val="006E3E49"/>
    <w:rsid w:val="006E3E5E"/>
    <w:rsid w:val="006E4081"/>
    <w:rsid w:val="006E4264"/>
    <w:rsid w:val="006E439D"/>
    <w:rsid w:val="006E4681"/>
    <w:rsid w:val="006E47CF"/>
    <w:rsid w:val="006E47DE"/>
    <w:rsid w:val="006E4B13"/>
    <w:rsid w:val="006E4BD1"/>
    <w:rsid w:val="006E4C64"/>
    <w:rsid w:val="006E4E3A"/>
    <w:rsid w:val="006E4EBB"/>
    <w:rsid w:val="006E4FD2"/>
    <w:rsid w:val="006E51D5"/>
    <w:rsid w:val="006E52C2"/>
    <w:rsid w:val="006E556D"/>
    <w:rsid w:val="006E592B"/>
    <w:rsid w:val="006E596E"/>
    <w:rsid w:val="006E5986"/>
    <w:rsid w:val="006E59EA"/>
    <w:rsid w:val="006E5A04"/>
    <w:rsid w:val="006E5D94"/>
    <w:rsid w:val="006E5DB1"/>
    <w:rsid w:val="006E5DF7"/>
    <w:rsid w:val="006E61E1"/>
    <w:rsid w:val="006E6741"/>
    <w:rsid w:val="006E687C"/>
    <w:rsid w:val="006E6BEF"/>
    <w:rsid w:val="006E6C24"/>
    <w:rsid w:val="006E6C74"/>
    <w:rsid w:val="006E6CE2"/>
    <w:rsid w:val="006E6E4A"/>
    <w:rsid w:val="006E7042"/>
    <w:rsid w:val="006E719A"/>
    <w:rsid w:val="006E7302"/>
    <w:rsid w:val="006E76EA"/>
    <w:rsid w:val="006E7B45"/>
    <w:rsid w:val="006E7D28"/>
    <w:rsid w:val="006E7D49"/>
    <w:rsid w:val="006E7DE3"/>
    <w:rsid w:val="006E7F91"/>
    <w:rsid w:val="006F0231"/>
    <w:rsid w:val="006F029B"/>
    <w:rsid w:val="006F03CD"/>
    <w:rsid w:val="006F03D0"/>
    <w:rsid w:val="006F0619"/>
    <w:rsid w:val="006F0BC5"/>
    <w:rsid w:val="006F0F4C"/>
    <w:rsid w:val="006F1055"/>
    <w:rsid w:val="006F1224"/>
    <w:rsid w:val="006F161E"/>
    <w:rsid w:val="006F187B"/>
    <w:rsid w:val="006F19D9"/>
    <w:rsid w:val="006F1BB3"/>
    <w:rsid w:val="006F1DED"/>
    <w:rsid w:val="006F1F0C"/>
    <w:rsid w:val="006F21CC"/>
    <w:rsid w:val="006F272E"/>
    <w:rsid w:val="006F29C1"/>
    <w:rsid w:val="006F3102"/>
    <w:rsid w:val="006F31AF"/>
    <w:rsid w:val="006F327C"/>
    <w:rsid w:val="006F3435"/>
    <w:rsid w:val="006F350A"/>
    <w:rsid w:val="006F384D"/>
    <w:rsid w:val="006F3D9D"/>
    <w:rsid w:val="006F3FE4"/>
    <w:rsid w:val="006F419E"/>
    <w:rsid w:val="006F42AA"/>
    <w:rsid w:val="006F4402"/>
    <w:rsid w:val="006F45C9"/>
    <w:rsid w:val="006F4775"/>
    <w:rsid w:val="006F4945"/>
    <w:rsid w:val="006F533F"/>
    <w:rsid w:val="006F5441"/>
    <w:rsid w:val="006F5B54"/>
    <w:rsid w:val="006F5F30"/>
    <w:rsid w:val="006F60E9"/>
    <w:rsid w:val="006F615E"/>
    <w:rsid w:val="006F6365"/>
    <w:rsid w:val="006F6402"/>
    <w:rsid w:val="006F6C8E"/>
    <w:rsid w:val="006F6D91"/>
    <w:rsid w:val="006F6F7D"/>
    <w:rsid w:val="006F726F"/>
    <w:rsid w:val="006F72D2"/>
    <w:rsid w:val="006F76CD"/>
    <w:rsid w:val="006F7796"/>
    <w:rsid w:val="006F799C"/>
    <w:rsid w:val="006F7DDD"/>
    <w:rsid w:val="007000FF"/>
    <w:rsid w:val="00700658"/>
    <w:rsid w:val="00700698"/>
    <w:rsid w:val="00700702"/>
    <w:rsid w:val="00700819"/>
    <w:rsid w:val="007009CD"/>
    <w:rsid w:val="00700FE7"/>
    <w:rsid w:val="007012B5"/>
    <w:rsid w:val="0070140A"/>
    <w:rsid w:val="00701434"/>
    <w:rsid w:val="00701A7D"/>
    <w:rsid w:val="00701D5A"/>
    <w:rsid w:val="00701DDA"/>
    <w:rsid w:val="00701DFD"/>
    <w:rsid w:val="007028A5"/>
    <w:rsid w:val="00702F5C"/>
    <w:rsid w:val="00703418"/>
    <w:rsid w:val="007034A0"/>
    <w:rsid w:val="00703691"/>
    <w:rsid w:val="0070398E"/>
    <w:rsid w:val="0070419C"/>
    <w:rsid w:val="0070459F"/>
    <w:rsid w:val="007046C4"/>
    <w:rsid w:val="007046FB"/>
    <w:rsid w:val="00704BA9"/>
    <w:rsid w:val="00704E3D"/>
    <w:rsid w:val="00705133"/>
    <w:rsid w:val="007052F1"/>
    <w:rsid w:val="0070564A"/>
    <w:rsid w:val="00705B35"/>
    <w:rsid w:val="00705B89"/>
    <w:rsid w:val="00705CBC"/>
    <w:rsid w:val="007061AA"/>
    <w:rsid w:val="007063D3"/>
    <w:rsid w:val="007065C5"/>
    <w:rsid w:val="007067D1"/>
    <w:rsid w:val="00706875"/>
    <w:rsid w:val="00706A22"/>
    <w:rsid w:val="00706B2A"/>
    <w:rsid w:val="00706C04"/>
    <w:rsid w:val="007070A2"/>
    <w:rsid w:val="007071A1"/>
    <w:rsid w:val="0070754A"/>
    <w:rsid w:val="00707662"/>
    <w:rsid w:val="00707BF0"/>
    <w:rsid w:val="00707CBB"/>
    <w:rsid w:val="007100CD"/>
    <w:rsid w:val="00710485"/>
    <w:rsid w:val="0071051B"/>
    <w:rsid w:val="00710942"/>
    <w:rsid w:val="007109D8"/>
    <w:rsid w:val="00710A12"/>
    <w:rsid w:val="00710AFB"/>
    <w:rsid w:val="00710CF1"/>
    <w:rsid w:val="00710F0C"/>
    <w:rsid w:val="00710FA8"/>
    <w:rsid w:val="00711042"/>
    <w:rsid w:val="0071108E"/>
    <w:rsid w:val="007111D4"/>
    <w:rsid w:val="007111EF"/>
    <w:rsid w:val="007114D5"/>
    <w:rsid w:val="0071155F"/>
    <w:rsid w:val="007115E8"/>
    <w:rsid w:val="0071194A"/>
    <w:rsid w:val="00711AAF"/>
    <w:rsid w:val="00711ADC"/>
    <w:rsid w:val="00711B9F"/>
    <w:rsid w:val="0071212B"/>
    <w:rsid w:val="007128C6"/>
    <w:rsid w:val="007128E4"/>
    <w:rsid w:val="00712AE8"/>
    <w:rsid w:val="00712C73"/>
    <w:rsid w:val="00712F7F"/>
    <w:rsid w:val="00713015"/>
    <w:rsid w:val="00713176"/>
    <w:rsid w:val="00713395"/>
    <w:rsid w:val="0071341A"/>
    <w:rsid w:val="0071362E"/>
    <w:rsid w:val="00713886"/>
    <w:rsid w:val="00713888"/>
    <w:rsid w:val="00713943"/>
    <w:rsid w:val="00713ECC"/>
    <w:rsid w:val="007141E9"/>
    <w:rsid w:val="00714383"/>
    <w:rsid w:val="007143C0"/>
    <w:rsid w:val="007144C2"/>
    <w:rsid w:val="007148CB"/>
    <w:rsid w:val="00714969"/>
    <w:rsid w:val="00714E0D"/>
    <w:rsid w:val="00715033"/>
    <w:rsid w:val="00715262"/>
    <w:rsid w:val="0071560F"/>
    <w:rsid w:val="00715990"/>
    <w:rsid w:val="00715B02"/>
    <w:rsid w:val="00715BF2"/>
    <w:rsid w:val="00715CC8"/>
    <w:rsid w:val="00715E6D"/>
    <w:rsid w:val="007162F2"/>
    <w:rsid w:val="0071644D"/>
    <w:rsid w:val="0071645F"/>
    <w:rsid w:val="00716460"/>
    <w:rsid w:val="0071652C"/>
    <w:rsid w:val="007165BF"/>
    <w:rsid w:val="007165E8"/>
    <w:rsid w:val="00716A60"/>
    <w:rsid w:val="007170A3"/>
    <w:rsid w:val="0071714E"/>
    <w:rsid w:val="0071744D"/>
    <w:rsid w:val="007176AA"/>
    <w:rsid w:val="007179D4"/>
    <w:rsid w:val="00717C8E"/>
    <w:rsid w:val="00720560"/>
    <w:rsid w:val="00720599"/>
    <w:rsid w:val="007205E1"/>
    <w:rsid w:val="00720DF5"/>
    <w:rsid w:val="00720E59"/>
    <w:rsid w:val="007210C6"/>
    <w:rsid w:val="0072127F"/>
    <w:rsid w:val="00721551"/>
    <w:rsid w:val="00721832"/>
    <w:rsid w:val="00721EF5"/>
    <w:rsid w:val="00721F0B"/>
    <w:rsid w:val="00722107"/>
    <w:rsid w:val="0072211B"/>
    <w:rsid w:val="00722157"/>
    <w:rsid w:val="0072220F"/>
    <w:rsid w:val="007223A4"/>
    <w:rsid w:val="007223F1"/>
    <w:rsid w:val="00722446"/>
    <w:rsid w:val="00722582"/>
    <w:rsid w:val="007225C7"/>
    <w:rsid w:val="0072263A"/>
    <w:rsid w:val="0072280D"/>
    <w:rsid w:val="007229EE"/>
    <w:rsid w:val="00722D43"/>
    <w:rsid w:val="00722D95"/>
    <w:rsid w:val="0072375A"/>
    <w:rsid w:val="00723E1E"/>
    <w:rsid w:val="00723E8E"/>
    <w:rsid w:val="007244C5"/>
    <w:rsid w:val="007246F8"/>
    <w:rsid w:val="00724872"/>
    <w:rsid w:val="00724954"/>
    <w:rsid w:val="007249C9"/>
    <w:rsid w:val="007249F0"/>
    <w:rsid w:val="00724DAA"/>
    <w:rsid w:val="00724F0D"/>
    <w:rsid w:val="007251B6"/>
    <w:rsid w:val="007257F6"/>
    <w:rsid w:val="00725B65"/>
    <w:rsid w:val="00725B9F"/>
    <w:rsid w:val="00725CCD"/>
    <w:rsid w:val="00725EC2"/>
    <w:rsid w:val="00725EE6"/>
    <w:rsid w:val="00725FA4"/>
    <w:rsid w:val="00726026"/>
    <w:rsid w:val="00726388"/>
    <w:rsid w:val="00726426"/>
    <w:rsid w:val="0072675A"/>
    <w:rsid w:val="007267DB"/>
    <w:rsid w:val="0072685C"/>
    <w:rsid w:val="00726EC3"/>
    <w:rsid w:val="0072740F"/>
    <w:rsid w:val="00727433"/>
    <w:rsid w:val="0072745E"/>
    <w:rsid w:val="00727864"/>
    <w:rsid w:val="007279F8"/>
    <w:rsid w:val="00727C12"/>
    <w:rsid w:val="00727CDB"/>
    <w:rsid w:val="0073026A"/>
    <w:rsid w:val="00730439"/>
    <w:rsid w:val="0073062D"/>
    <w:rsid w:val="0073076E"/>
    <w:rsid w:val="00730859"/>
    <w:rsid w:val="00730CE1"/>
    <w:rsid w:val="00730D7F"/>
    <w:rsid w:val="00730F87"/>
    <w:rsid w:val="00731133"/>
    <w:rsid w:val="00731655"/>
    <w:rsid w:val="0073182A"/>
    <w:rsid w:val="007319B1"/>
    <w:rsid w:val="00731CE2"/>
    <w:rsid w:val="00731DA6"/>
    <w:rsid w:val="00731E68"/>
    <w:rsid w:val="00732094"/>
    <w:rsid w:val="007321E6"/>
    <w:rsid w:val="0073240A"/>
    <w:rsid w:val="0073245B"/>
    <w:rsid w:val="00732487"/>
    <w:rsid w:val="007324DD"/>
    <w:rsid w:val="00732509"/>
    <w:rsid w:val="00732628"/>
    <w:rsid w:val="00732762"/>
    <w:rsid w:val="00732A27"/>
    <w:rsid w:val="00732BA9"/>
    <w:rsid w:val="00732C31"/>
    <w:rsid w:val="00733002"/>
    <w:rsid w:val="007330ED"/>
    <w:rsid w:val="007333D0"/>
    <w:rsid w:val="0073369E"/>
    <w:rsid w:val="007337D5"/>
    <w:rsid w:val="00733A4C"/>
    <w:rsid w:val="00733F1F"/>
    <w:rsid w:val="00733FEF"/>
    <w:rsid w:val="00734669"/>
    <w:rsid w:val="00734690"/>
    <w:rsid w:val="00734E21"/>
    <w:rsid w:val="00734FD6"/>
    <w:rsid w:val="00735029"/>
    <w:rsid w:val="00735150"/>
    <w:rsid w:val="007356AA"/>
    <w:rsid w:val="00735846"/>
    <w:rsid w:val="00735A45"/>
    <w:rsid w:val="00735AF8"/>
    <w:rsid w:val="00735D57"/>
    <w:rsid w:val="00735DB6"/>
    <w:rsid w:val="00735E68"/>
    <w:rsid w:val="00735EDF"/>
    <w:rsid w:val="00736328"/>
    <w:rsid w:val="00736350"/>
    <w:rsid w:val="00736F9E"/>
    <w:rsid w:val="007371FA"/>
    <w:rsid w:val="00737598"/>
    <w:rsid w:val="00737CF3"/>
    <w:rsid w:val="00740057"/>
    <w:rsid w:val="0074018D"/>
    <w:rsid w:val="0074021C"/>
    <w:rsid w:val="0074029C"/>
    <w:rsid w:val="007402E3"/>
    <w:rsid w:val="007408F2"/>
    <w:rsid w:val="00740BF1"/>
    <w:rsid w:val="00740FFF"/>
    <w:rsid w:val="0074159F"/>
    <w:rsid w:val="007416BC"/>
    <w:rsid w:val="00741702"/>
    <w:rsid w:val="00741DFC"/>
    <w:rsid w:val="00741F9C"/>
    <w:rsid w:val="00742196"/>
    <w:rsid w:val="0074221C"/>
    <w:rsid w:val="0074236B"/>
    <w:rsid w:val="00742473"/>
    <w:rsid w:val="007424CE"/>
    <w:rsid w:val="0074251E"/>
    <w:rsid w:val="0074272E"/>
    <w:rsid w:val="00742BF5"/>
    <w:rsid w:val="00742C2D"/>
    <w:rsid w:val="0074304D"/>
    <w:rsid w:val="00743105"/>
    <w:rsid w:val="00743116"/>
    <w:rsid w:val="007431E2"/>
    <w:rsid w:val="007436BA"/>
    <w:rsid w:val="00743A3F"/>
    <w:rsid w:val="00743B80"/>
    <w:rsid w:val="00743C90"/>
    <w:rsid w:val="00743CE8"/>
    <w:rsid w:val="00743E53"/>
    <w:rsid w:val="00743E9D"/>
    <w:rsid w:val="00743F3F"/>
    <w:rsid w:val="00744331"/>
    <w:rsid w:val="00744612"/>
    <w:rsid w:val="00744833"/>
    <w:rsid w:val="00744D26"/>
    <w:rsid w:val="00744D79"/>
    <w:rsid w:val="00744DDF"/>
    <w:rsid w:val="00744F89"/>
    <w:rsid w:val="00744FB8"/>
    <w:rsid w:val="00745476"/>
    <w:rsid w:val="00745C20"/>
    <w:rsid w:val="00746455"/>
    <w:rsid w:val="00746533"/>
    <w:rsid w:val="00746579"/>
    <w:rsid w:val="0074692B"/>
    <w:rsid w:val="0074711D"/>
    <w:rsid w:val="00747380"/>
    <w:rsid w:val="00747461"/>
    <w:rsid w:val="007479C3"/>
    <w:rsid w:val="00747C80"/>
    <w:rsid w:val="00747DC2"/>
    <w:rsid w:val="00747EA5"/>
    <w:rsid w:val="00747F64"/>
    <w:rsid w:val="00747FD2"/>
    <w:rsid w:val="00750027"/>
    <w:rsid w:val="007500B6"/>
    <w:rsid w:val="007502E5"/>
    <w:rsid w:val="007503C5"/>
    <w:rsid w:val="00750420"/>
    <w:rsid w:val="0075049B"/>
    <w:rsid w:val="00750646"/>
    <w:rsid w:val="00750704"/>
    <w:rsid w:val="0075082C"/>
    <w:rsid w:val="007509A6"/>
    <w:rsid w:val="00750AE7"/>
    <w:rsid w:val="00750B5A"/>
    <w:rsid w:val="00750E17"/>
    <w:rsid w:val="00750EA8"/>
    <w:rsid w:val="00750FB8"/>
    <w:rsid w:val="00751012"/>
    <w:rsid w:val="00751A22"/>
    <w:rsid w:val="00751C6B"/>
    <w:rsid w:val="00751D4C"/>
    <w:rsid w:val="00751F15"/>
    <w:rsid w:val="007521C3"/>
    <w:rsid w:val="00752404"/>
    <w:rsid w:val="007526A4"/>
    <w:rsid w:val="0075275F"/>
    <w:rsid w:val="0075291F"/>
    <w:rsid w:val="00752FBE"/>
    <w:rsid w:val="007530C0"/>
    <w:rsid w:val="00753356"/>
    <w:rsid w:val="007534E5"/>
    <w:rsid w:val="00753855"/>
    <w:rsid w:val="007538FF"/>
    <w:rsid w:val="00753B4A"/>
    <w:rsid w:val="00753B74"/>
    <w:rsid w:val="007544BB"/>
    <w:rsid w:val="00754510"/>
    <w:rsid w:val="00754630"/>
    <w:rsid w:val="00754674"/>
    <w:rsid w:val="007546A0"/>
    <w:rsid w:val="007547BE"/>
    <w:rsid w:val="007547DB"/>
    <w:rsid w:val="00754E85"/>
    <w:rsid w:val="00754F1E"/>
    <w:rsid w:val="00755318"/>
    <w:rsid w:val="00755685"/>
    <w:rsid w:val="007557CF"/>
    <w:rsid w:val="007558D1"/>
    <w:rsid w:val="007558FA"/>
    <w:rsid w:val="00756031"/>
    <w:rsid w:val="00756270"/>
    <w:rsid w:val="00756370"/>
    <w:rsid w:val="0075652A"/>
    <w:rsid w:val="00756827"/>
    <w:rsid w:val="0075682C"/>
    <w:rsid w:val="007569F7"/>
    <w:rsid w:val="00756A01"/>
    <w:rsid w:val="00756AD4"/>
    <w:rsid w:val="00756BB4"/>
    <w:rsid w:val="00756CB7"/>
    <w:rsid w:val="00756E84"/>
    <w:rsid w:val="00756F1D"/>
    <w:rsid w:val="00757273"/>
    <w:rsid w:val="0075734D"/>
    <w:rsid w:val="00757535"/>
    <w:rsid w:val="007576C5"/>
    <w:rsid w:val="00757822"/>
    <w:rsid w:val="00757860"/>
    <w:rsid w:val="00757978"/>
    <w:rsid w:val="00757C5E"/>
    <w:rsid w:val="00757C64"/>
    <w:rsid w:val="00757E1D"/>
    <w:rsid w:val="007600C0"/>
    <w:rsid w:val="00760284"/>
    <w:rsid w:val="0076032D"/>
    <w:rsid w:val="00760494"/>
    <w:rsid w:val="00760BE5"/>
    <w:rsid w:val="00760C4F"/>
    <w:rsid w:val="00760E4A"/>
    <w:rsid w:val="00760EDB"/>
    <w:rsid w:val="0076141B"/>
    <w:rsid w:val="007614DB"/>
    <w:rsid w:val="007615C1"/>
    <w:rsid w:val="007615EA"/>
    <w:rsid w:val="007616D6"/>
    <w:rsid w:val="007617B2"/>
    <w:rsid w:val="007618E2"/>
    <w:rsid w:val="00761CC5"/>
    <w:rsid w:val="0076201B"/>
    <w:rsid w:val="00762370"/>
    <w:rsid w:val="00762373"/>
    <w:rsid w:val="007625CA"/>
    <w:rsid w:val="007625D4"/>
    <w:rsid w:val="0076263C"/>
    <w:rsid w:val="007627E2"/>
    <w:rsid w:val="00762A25"/>
    <w:rsid w:val="00762D38"/>
    <w:rsid w:val="00763579"/>
    <w:rsid w:val="0076358A"/>
    <w:rsid w:val="00763BBC"/>
    <w:rsid w:val="00763BF0"/>
    <w:rsid w:val="00763C19"/>
    <w:rsid w:val="00763C42"/>
    <w:rsid w:val="00763CBA"/>
    <w:rsid w:val="00763F86"/>
    <w:rsid w:val="00763FBD"/>
    <w:rsid w:val="0076438C"/>
    <w:rsid w:val="0076446C"/>
    <w:rsid w:val="00764484"/>
    <w:rsid w:val="007649E1"/>
    <w:rsid w:val="007649F5"/>
    <w:rsid w:val="00764A24"/>
    <w:rsid w:val="00764CC9"/>
    <w:rsid w:val="00765044"/>
    <w:rsid w:val="007651CB"/>
    <w:rsid w:val="00765257"/>
    <w:rsid w:val="00765388"/>
    <w:rsid w:val="0076599B"/>
    <w:rsid w:val="007659E4"/>
    <w:rsid w:val="00765A77"/>
    <w:rsid w:val="00766414"/>
    <w:rsid w:val="007666CC"/>
    <w:rsid w:val="007669E1"/>
    <w:rsid w:val="00766AFA"/>
    <w:rsid w:val="00766C6C"/>
    <w:rsid w:val="00766ECE"/>
    <w:rsid w:val="00767111"/>
    <w:rsid w:val="00767580"/>
    <w:rsid w:val="007675C4"/>
    <w:rsid w:val="00767841"/>
    <w:rsid w:val="007678B6"/>
    <w:rsid w:val="00767A1E"/>
    <w:rsid w:val="00767E89"/>
    <w:rsid w:val="00767EA1"/>
    <w:rsid w:val="00767ED4"/>
    <w:rsid w:val="00767FAB"/>
    <w:rsid w:val="007700AF"/>
    <w:rsid w:val="00770216"/>
    <w:rsid w:val="007703B2"/>
    <w:rsid w:val="00770966"/>
    <w:rsid w:val="00770B5D"/>
    <w:rsid w:val="00770D56"/>
    <w:rsid w:val="00771091"/>
    <w:rsid w:val="007714C3"/>
    <w:rsid w:val="00771964"/>
    <w:rsid w:val="00771B0E"/>
    <w:rsid w:val="0077200F"/>
    <w:rsid w:val="007720EA"/>
    <w:rsid w:val="00772549"/>
    <w:rsid w:val="007725E6"/>
    <w:rsid w:val="00772612"/>
    <w:rsid w:val="007726A8"/>
    <w:rsid w:val="00772AC1"/>
    <w:rsid w:val="00772C70"/>
    <w:rsid w:val="00772D45"/>
    <w:rsid w:val="00773093"/>
    <w:rsid w:val="00773357"/>
    <w:rsid w:val="00773476"/>
    <w:rsid w:val="0077369C"/>
    <w:rsid w:val="00773A0B"/>
    <w:rsid w:val="00773D15"/>
    <w:rsid w:val="00774390"/>
    <w:rsid w:val="00774A07"/>
    <w:rsid w:val="00774A17"/>
    <w:rsid w:val="00774B14"/>
    <w:rsid w:val="00774F1F"/>
    <w:rsid w:val="007750F2"/>
    <w:rsid w:val="007753DC"/>
    <w:rsid w:val="0077548D"/>
    <w:rsid w:val="00776117"/>
    <w:rsid w:val="007761A4"/>
    <w:rsid w:val="00776A99"/>
    <w:rsid w:val="0077759C"/>
    <w:rsid w:val="00777A6A"/>
    <w:rsid w:val="00777B40"/>
    <w:rsid w:val="00777C1E"/>
    <w:rsid w:val="00777CB0"/>
    <w:rsid w:val="00777F7F"/>
    <w:rsid w:val="00780117"/>
    <w:rsid w:val="00780340"/>
    <w:rsid w:val="007808BE"/>
    <w:rsid w:val="00780D89"/>
    <w:rsid w:val="00780F99"/>
    <w:rsid w:val="00781217"/>
    <w:rsid w:val="007816AF"/>
    <w:rsid w:val="007816C0"/>
    <w:rsid w:val="0078171A"/>
    <w:rsid w:val="00781777"/>
    <w:rsid w:val="00781975"/>
    <w:rsid w:val="00781A5A"/>
    <w:rsid w:val="00781C54"/>
    <w:rsid w:val="00781EC7"/>
    <w:rsid w:val="00781F4B"/>
    <w:rsid w:val="00781FBB"/>
    <w:rsid w:val="00782157"/>
    <w:rsid w:val="0078218C"/>
    <w:rsid w:val="007824E5"/>
    <w:rsid w:val="0078252F"/>
    <w:rsid w:val="0078295A"/>
    <w:rsid w:val="00782AC7"/>
    <w:rsid w:val="00782D7A"/>
    <w:rsid w:val="007830A3"/>
    <w:rsid w:val="007830E9"/>
    <w:rsid w:val="00783538"/>
    <w:rsid w:val="007835AC"/>
    <w:rsid w:val="00783A93"/>
    <w:rsid w:val="00783C17"/>
    <w:rsid w:val="00783CB4"/>
    <w:rsid w:val="0078403C"/>
    <w:rsid w:val="007842CF"/>
    <w:rsid w:val="007847FA"/>
    <w:rsid w:val="00784930"/>
    <w:rsid w:val="0078499A"/>
    <w:rsid w:val="007849B8"/>
    <w:rsid w:val="00784CC6"/>
    <w:rsid w:val="0078541E"/>
    <w:rsid w:val="00785461"/>
    <w:rsid w:val="00785C12"/>
    <w:rsid w:val="00785CBE"/>
    <w:rsid w:val="00785F2C"/>
    <w:rsid w:val="00785F8B"/>
    <w:rsid w:val="00786113"/>
    <w:rsid w:val="00786243"/>
    <w:rsid w:val="00786303"/>
    <w:rsid w:val="00786317"/>
    <w:rsid w:val="0078644E"/>
    <w:rsid w:val="007865DA"/>
    <w:rsid w:val="0078678B"/>
    <w:rsid w:val="00786B27"/>
    <w:rsid w:val="00786E89"/>
    <w:rsid w:val="00786E95"/>
    <w:rsid w:val="00787327"/>
    <w:rsid w:val="00787332"/>
    <w:rsid w:val="00787AAA"/>
    <w:rsid w:val="00787B31"/>
    <w:rsid w:val="00787B9A"/>
    <w:rsid w:val="00787BDA"/>
    <w:rsid w:val="00787CE6"/>
    <w:rsid w:val="00787F01"/>
    <w:rsid w:val="0079013D"/>
    <w:rsid w:val="00790241"/>
    <w:rsid w:val="00790249"/>
    <w:rsid w:val="0079039F"/>
    <w:rsid w:val="0079061B"/>
    <w:rsid w:val="0079070E"/>
    <w:rsid w:val="00790910"/>
    <w:rsid w:val="00790962"/>
    <w:rsid w:val="007909F8"/>
    <w:rsid w:val="00790B32"/>
    <w:rsid w:val="00790C20"/>
    <w:rsid w:val="00790C4A"/>
    <w:rsid w:val="00790D9D"/>
    <w:rsid w:val="00790E43"/>
    <w:rsid w:val="00790FCD"/>
    <w:rsid w:val="007910BF"/>
    <w:rsid w:val="00791330"/>
    <w:rsid w:val="00791AD4"/>
    <w:rsid w:val="00791B22"/>
    <w:rsid w:val="00791B8C"/>
    <w:rsid w:val="00791DE1"/>
    <w:rsid w:val="00791EE9"/>
    <w:rsid w:val="0079212D"/>
    <w:rsid w:val="007921F6"/>
    <w:rsid w:val="007922B7"/>
    <w:rsid w:val="007922F2"/>
    <w:rsid w:val="0079235D"/>
    <w:rsid w:val="00792581"/>
    <w:rsid w:val="007929BB"/>
    <w:rsid w:val="00792B3E"/>
    <w:rsid w:val="00792EC8"/>
    <w:rsid w:val="00792F99"/>
    <w:rsid w:val="007931CB"/>
    <w:rsid w:val="00793276"/>
    <w:rsid w:val="0079329E"/>
    <w:rsid w:val="00793331"/>
    <w:rsid w:val="00793443"/>
    <w:rsid w:val="007934EC"/>
    <w:rsid w:val="0079375E"/>
    <w:rsid w:val="0079392C"/>
    <w:rsid w:val="00793A9C"/>
    <w:rsid w:val="00793C67"/>
    <w:rsid w:val="00793DB8"/>
    <w:rsid w:val="00794A31"/>
    <w:rsid w:val="00794BF1"/>
    <w:rsid w:val="00794D62"/>
    <w:rsid w:val="00794E16"/>
    <w:rsid w:val="00795106"/>
    <w:rsid w:val="0079515E"/>
    <w:rsid w:val="00795630"/>
    <w:rsid w:val="00795649"/>
    <w:rsid w:val="00795E17"/>
    <w:rsid w:val="00796059"/>
    <w:rsid w:val="007963F0"/>
    <w:rsid w:val="00796480"/>
    <w:rsid w:val="007969A6"/>
    <w:rsid w:val="00796BF1"/>
    <w:rsid w:val="00796D37"/>
    <w:rsid w:val="007971C5"/>
    <w:rsid w:val="007973F1"/>
    <w:rsid w:val="007975C9"/>
    <w:rsid w:val="007976BB"/>
    <w:rsid w:val="007977BC"/>
    <w:rsid w:val="00797819"/>
    <w:rsid w:val="007979D7"/>
    <w:rsid w:val="00797B36"/>
    <w:rsid w:val="00797BB2"/>
    <w:rsid w:val="00797C02"/>
    <w:rsid w:val="00797D36"/>
    <w:rsid w:val="00797E72"/>
    <w:rsid w:val="00797EFD"/>
    <w:rsid w:val="007A00B4"/>
    <w:rsid w:val="007A03FA"/>
    <w:rsid w:val="007A0667"/>
    <w:rsid w:val="007A0965"/>
    <w:rsid w:val="007A0C94"/>
    <w:rsid w:val="007A0D97"/>
    <w:rsid w:val="007A0EB7"/>
    <w:rsid w:val="007A1084"/>
    <w:rsid w:val="007A1119"/>
    <w:rsid w:val="007A15B8"/>
    <w:rsid w:val="007A1609"/>
    <w:rsid w:val="007A1A74"/>
    <w:rsid w:val="007A1AEB"/>
    <w:rsid w:val="007A1E0B"/>
    <w:rsid w:val="007A1F13"/>
    <w:rsid w:val="007A2388"/>
    <w:rsid w:val="007A26F8"/>
    <w:rsid w:val="007A2961"/>
    <w:rsid w:val="007A2BE5"/>
    <w:rsid w:val="007A2F11"/>
    <w:rsid w:val="007A321D"/>
    <w:rsid w:val="007A32ED"/>
    <w:rsid w:val="007A361E"/>
    <w:rsid w:val="007A37EA"/>
    <w:rsid w:val="007A3A8C"/>
    <w:rsid w:val="007A40B9"/>
    <w:rsid w:val="007A449E"/>
    <w:rsid w:val="007A4500"/>
    <w:rsid w:val="007A4596"/>
    <w:rsid w:val="007A45E0"/>
    <w:rsid w:val="007A46E5"/>
    <w:rsid w:val="007A4B70"/>
    <w:rsid w:val="007A4D40"/>
    <w:rsid w:val="007A4EC3"/>
    <w:rsid w:val="007A508B"/>
    <w:rsid w:val="007A5448"/>
    <w:rsid w:val="007A5799"/>
    <w:rsid w:val="007A5A5E"/>
    <w:rsid w:val="007A5A7D"/>
    <w:rsid w:val="007A5D68"/>
    <w:rsid w:val="007A5FB6"/>
    <w:rsid w:val="007A6254"/>
    <w:rsid w:val="007A626E"/>
    <w:rsid w:val="007A6306"/>
    <w:rsid w:val="007A6582"/>
    <w:rsid w:val="007A68B0"/>
    <w:rsid w:val="007A6B1A"/>
    <w:rsid w:val="007A6F05"/>
    <w:rsid w:val="007A71B1"/>
    <w:rsid w:val="007A720F"/>
    <w:rsid w:val="007A724E"/>
    <w:rsid w:val="007A7520"/>
    <w:rsid w:val="007A76B6"/>
    <w:rsid w:val="007A79FD"/>
    <w:rsid w:val="007A7AE5"/>
    <w:rsid w:val="007A7BE0"/>
    <w:rsid w:val="007A7E6C"/>
    <w:rsid w:val="007B00DC"/>
    <w:rsid w:val="007B0A7D"/>
    <w:rsid w:val="007B0E0C"/>
    <w:rsid w:val="007B1026"/>
    <w:rsid w:val="007B107F"/>
    <w:rsid w:val="007B1720"/>
    <w:rsid w:val="007B17A1"/>
    <w:rsid w:val="007B1886"/>
    <w:rsid w:val="007B19BF"/>
    <w:rsid w:val="007B1AE3"/>
    <w:rsid w:val="007B20D7"/>
    <w:rsid w:val="007B23AF"/>
    <w:rsid w:val="007B28A8"/>
    <w:rsid w:val="007B2AF8"/>
    <w:rsid w:val="007B33A1"/>
    <w:rsid w:val="007B37B6"/>
    <w:rsid w:val="007B37F9"/>
    <w:rsid w:val="007B3886"/>
    <w:rsid w:val="007B3B3E"/>
    <w:rsid w:val="007B3B6A"/>
    <w:rsid w:val="007B3C56"/>
    <w:rsid w:val="007B41C9"/>
    <w:rsid w:val="007B4223"/>
    <w:rsid w:val="007B442F"/>
    <w:rsid w:val="007B44C6"/>
    <w:rsid w:val="007B4581"/>
    <w:rsid w:val="007B463F"/>
    <w:rsid w:val="007B4733"/>
    <w:rsid w:val="007B4960"/>
    <w:rsid w:val="007B4F57"/>
    <w:rsid w:val="007B5209"/>
    <w:rsid w:val="007B5836"/>
    <w:rsid w:val="007B5883"/>
    <w:rsid w:val="007B5AD0"/>
    <w:rsid w:val="007B5C90"/>
    <w:rsid w:val="007B5E38"/>
    <w:rsid w:val="007B5E53"/>
    <w:rsid w:val="007B60DA"/>
    <w:rsid w:val="007B6283"/>
    <w:rsid w:val="007B6339"/>
    <w:rsid w:val="007B6AA8"/>
    <w:rsid w:val="007B6EF9"/>
    <w:rsid w:val="007B71E8"/>
    <w:rsid w:val="007B72F2"/>
    <w:rsid w:val="007B7914"/>
    <w:rsid w:val="007B7A0E"/>
    <w:rsid w:val="007C0592"/>
    <w:rsid w:val="007C067F"/>
    <w:rsid w:val="007C0AD5"/>
    <w:rsid w:val="007C0AEF"/>
    <w:rsid w:val="007C0B75"/>
    <w:rsid w:val="007C0D0E"/>
    <w:rsid w:val="007C0D55"/>
    <w:rsid w:val="007C0F5A"/>
    <w:rsid w:val="007C1303"/>
    <w:rsid w:val="007C15D9"/>
    <w:rsid w:val="007C1CC6"/>
    <w:rsid w:val="007C1E81"/>
    <w:rsid w:val="007C2243"/>
    <w:rsid w:val="007C2364"/>
    <w:rsid w:val="007C23AB"/>
    <w:rsid w:val="007C242D"/>
    <w:rsid w:val="007C2493"/>
    <w:rsid w:val="007C26E5"/>
    <w:rsid w:val="007C29A8"/>
    <w:rsid w:val="007C2CF1"/>
    <w:rsid w:val="007C3242"/>
    <w:rsid w:val="007C32B2"/>
    <w:rsid w:val="007C351A"/>
    <w:rsid w:val="007C3528"/>
    <w:rsid w:val="007C3557"/>
    <w:rsid w:val="007C367F"/>
    <w:rsid w:val="007C3E96"/>
    <w:rsid w:val="007C3FE4"/>
    <w:rsid w:val="007C4A43"/>
    <w:rsid w:val="007C4A67"/>
    <w:rsid w:val="007C4D0D"/>
    <w:rsid w:val="007C4F80"/>
    <w:rsid w:val="007C5014"/>
    <w:rsid w:val="007C505A"/>
    <w:rsid w:val="007C5065"/>
    <w:rsid w:val="007C50BC"/>
    <w:rsid w:val="007C5313"/>
    <w:rsid w:val="007C532E"/>
    <w:rsid w:val="007C54AF"/>
    <w:rsid w:val="007C55DD"/>
    <w:rsid w:val="007C5601"/>
    <w:rsid w:val="007C5709"/>
    <w:rsid w:val="007C578C"/>
    <w:rsid w:val="007C58DB"/>
    <w:rsid w:val="007C60C2"/>
    <w:rsid w:val="007C636B"/>
    <w:rsid w:val="007C6A1B"/>
    <w:rsid w:val="007C6B1D"/>
    <w:rsid w:val="007C6E07"/>
    <w:rsid w:val="007C7179"/>
    <w:rsid w:val="007C720A"/>
    <w:rsid w:val="007C7497"/>
    <w:rsid w:val="007C7499"/>
    <w:rsid w:val="007C7588"/>
    <w:rsid w:val="007C76BC"/>
    <w:rsid w:val="007C7756"/>
    <w:rsid w:val="007C7C97"/>
    <w:rsid w:val="007C7CB2"/>
    <w:rsid w:val="007C7D0E"/>
    <w:rsid w:val="007C7DD6"/>
    <w:rsid w:val="007D0003"/>
    <w:rsid w:val="007D0392"/>
    <w:rsid w:val="007D0701"/>
    <w:rsid w:val="007D0703"/>
    <w:rsid w:val="007D1092"/>
    <w:rsid w:val="007D111A"/>
    <w:rsid w:val="007D118C"/>
    <w:rsid w:val="007D1533"/>
    <w:rsid w:val="007D1799"/>
    <w:rsid w:val="007D1924"/>
    <w:rsid w:val="007D1D37"/>
    <w:rsid w:val="007D1F44"/>
    <w:rsid w:val="007D216D"/>
    <w:rsid w:val="007D2292"/>
    <w:rsid w:val="007D230B"/>
    <w:rsid w:val="007D24DD"/>
    <w:rsid w:val="007D2549"/>
    <w:rsid w:val="007D2579"/>
    <w:rsid w:val="007D25BE"/>
    <w:rsid w:val="007D2621"/>
    <w:rsid w:val="007D27BC"/>
    <w:rsid w:val="007D2982"/>
    <w:rsid w:val="007D29F5"/>
    <w:rsid w:val="007D2B5C"/>
    <w:rsid w:val="007D2D70"/>
    <w:rsid w:val="007D2E8F"/>
    <w:rsid w:val="007D3077"/>
    <w:rsid w:val="007D309F"/>
    <w:rsid w:val="007D3192"/>
    <w:rsid w:val="007D3573"/>
    <w:rsid w:val="007D3664"/>
    <w:rsid w:val="007D387F"/>
    <w:rsid w:val="007D3BFB"/>
    <w:rsid w:val="007D3D5C"/>
    <w:rsid w:val="007D3DA3"/>
    <w:rsid w:val="007D3DCD"/>
    <w:rsid w:val="007D3E42"/>
    <w:rsid w:val="007D3F08"/>
    <w:rsid w:val="007D3F47"/>
    <w:rsid w:val="007D4273"/>
    <w:rsid w:val="007D47CD"/>
    <w:rsid w:val="007D4F99"/>
    <w:rsid w:val="007D52A6"/>
    <w:rsid w:val="007D5449"/>
    <w:rsid w:val="007D561C"/>
    <w:rsid w:val="007D5CA8"/>
    <w:rsid w:val="007D5F5E"/>
    <w:rsid w:val="007D6330"/>
    <w:rsid w:val="007D63F0"/>
    <w:rsid w:val="007D672C"/>
    <w:rsid w:val="007D6B9E"/>
    <w:rsid w:val="007D72BA"/>
    <w:rsid w:val="007D7379"/>
    <w:rsid w:val="007D74DB"/>
    <w:rsid w:val="007D7548"/>
    <w:rsid w:val="007D79DD"/>
    <w:rsid w:val="007D7D5C"/>
    <w:rsid w:val="007D7E01"/>
    <w:rsid w:val="007E0208"/>
    <w:rsid w:val="007E0293"/>
    <w:rsid w:val="007E02D2"/>
    <w:rsid w:val="007E082B"/>
    <w:rsid w:val="007E0ADF"/>
    <w:rsid w:val="007E0CAF"/>
    <w:rsid w:val="007E0CDE"/>
    <w:rsid w:val="007E10FD"/>
    <w:rsid w:val="007E13D8"/>
    <w:rsid w:val="007E1733"/>
    <w:rsid w:val="007E17A3"/>
    <w:rsid w:val="007E19AF"/>
    <w:rsid w:val="007E1BA5"/>
    <w:rsid w:val="007E1DA3"/>
    <w:rsid w:val="007E1E60"/>
    <w:rsid w:val="007E1F27"/>
    <w:rsid w:val="007E23D4"/>
    <w:rsid w:val="007E24D4"/>
    <w:rsid w:val="007E2593"/>
    <w:rsid w:val="007E28E1"/>
    <w:rsid w:val="007E2B07"/>
    <w:rsid w:val="007E2E21"/>
    <w:rsid w:val="007E2F09"/>
    <w:rsid w:val="007E30C7"/>
    <w:rsid w:val="007E3516"/>
    <w:rsid w:val="007E35F2"/>
    <w:rsid w:val="007E3C2C"/>
    <w:rsid w:val="007E3E05"/>
    <w:rsid w:val="007E40BC"/>
    <w:rsid w:val="007E4136"/>
    <w:rsid w:val="007E456D"/>
    <w:rsid w:val="007E47F5"/>
    <w:rsid w:val="007E4864"/>
    <w:rsid w:val="007E4A65"/>
    <w:rsid w:val="007E4BE4"/>
    <w:rsid w:val="007E4FCC"/>
    <w:rsid w:val="007E5033"/>
    <w:rsid w:val="007E542C"/>
    <w:rsid w:val="007E563F"/>
    <w:rsid w:val="007E588B"/>
    <w:rsid w:val="007E58EB"/>
    <w:rsid w:val="007E5940"/>
    <w:rsid w:val="007E5A76"/>
    <w:rsid w:val="007E5C5D"/>
    <w:rsid w:val="007E5C6E"/>
    <w:rsid w:val="007E5C97"/>
    <w:rsid w:val="007E5DD7"/>
    <w:rsid w:val="007E600E"/>
    <w:rsid w:val="007E6014"/>
    <w:rsid w:val="007E6180"/>
    <w:rsid w:val="007E61D5"/>
    <w:rsid w:val="007E64CE"/>
    <w:rsid w:val="007E6526"/>
    <w:rsid w:val="007E6F6D"/>
    <w:rsid w:val="007E7134"/>
    <w:rsid w:val="007E7225"/>
    <w:rsid w:val="007E7288"/>
    <w:rsid w:val="007E7488"/>
    <w:rsid w:val="007E78B6"/>
    <w:rsid w:val="007E7BEA"/>
    <w:rsid w:val="007E7EAB"/>
    <w:rsid w:val="007F026A"/>
    <w:rsid w:val="007F0483"/>
    <w:rsid w:val="007F067A"/>
    <w:rsid w:val="007F06E6"/>
    <w:rsid w:val="007F08CA"/>
    <w:rsid w:val="007F09B4"/>
    <w:rsid w:val="007F0CE5"/>
    <w:rsid w:val="007F0CFA"/>
    <w:rsid w:val="007F0EFE"/>
    <w:rsid w:val="007F1070"/>
    <w:rsid w:val="007F1318"/>
    <w:rsid w:val="007F1361"/>
    <w:rsid w:val="007F16DD"/>
    <w:rsid w:val="007F1776"/>
    <w:rsid w:val="007F1B82"/>
    <w:rsid w:val="007F21D9"/>
    <w:rsid w:val="007F23DF"/>
    <w:rsid w:val="007F267E"/>
    <w:rsid w:val="007F2C3E"/>
    <w:rsid w:val="007F32BB"/>
    <w:rsid w:val="007F3332"/>
    <w:rsid w:val="007F34EE"/>
    <w:rsid w:val="007F35F5"/>
    <w:rsid w:val="007F36AF"/>
    <w:rsid w:val="007F3755"/>
    <w:rsid w:val="007F39AA"/>
    <w:rsid w:val="007F39DB"/>
    <w:rsid w:val="007F39EA"/>
    <w:rsid w:val="007F3A80"/>
    <w:rsid w:val="007F3B6E"/>
    <w:rsid w:val="007F3C2D"/>
    <w:rsid w:val="007F3E0A"/>
    <w:rsid w:val="007F41A9"/>
    <w:rsid w:val="007F42BA"/>
    <w:rsid w:val="007F4361"/>
    <w:rsid w:val="007F5062"/>
    <w:rsid w:val="007F5275"/>
    <w:rsid w:val="007F5278"/>
    <w:rsid w:val="007F5658"/>
    <w:rsid w:val="007F57B1"/>
    <w:rsid w:val="007F5EBE"/>
    <w:rsid w:val="007F5F7C"/>
    <w:rsid w:val="007F6325"/>
    <w:rsid w:val="007F63CA"/>
    <w:rsid w:val="007F6441"/>
    <w:rsid w:val="007F6600"/>
    <w:rsid w:val="007F66B9"/>
    <w:rsid w:val="007F69DB"/>
    <w:rsid w:val="007F6C81"/>
    <w:rsid w:val="007F6D85"/>
    <w:rsid w:val="007F6F2D"/>
    <w:rsid w:val="007F7158"/>
    <w:rsid w:val="007F746D"/>
    <w:rsid w:val="007F74BC"/>
    <w:rsid w:val="007F75C1"/>
    <w:rsid w:val="007F7AC2"/>
    <w:rsid w:val="007F7C4A"/>
    <w:rsid w:val="007F7F03"/>
    <w:rsid w:val="0080016B"/>
    <w:rsid w:val="00800544"/>
    <w:rsid w:val="00800A90"/>
    <w:rsid w:val="00800BE5"/>
    <w:rsid w:val="00800E99"/>
    <w:rsid w:val="00800ED2"/>
    <w:rsid w:val="008013CD"/>
    <w:rsid w:val="008013FE"/>
    <w:rsid w:val="0080187E"/>
    <w:rsid w:val="00801B87"/>
    <w:rsid w:val="00801C7A"/>
    <w:rsid w:val="00801EC6"/>
    <w:rsid w:val="00802144"/>
    <w:rsid w:val="00802271"/>
    <w:rsid w:val="008023F2"/>
    <w:rsid w:val="00802B63"/>
    <w:rsid w:val="00802ECD"/>
    <w:rsid w:val="00802F73"/>
    <w:rsid w:val="00803156"/>
    <w:rsid w:val="00803540"/>
    <w:rsid w:val="00803552"/>
    <w:rsid w:val="0080365D"/>
    <w:rsid w:val="008036F2"/>
    <w:rsid w:val="008038B6"/>
    <w:rsid w:val="00803973"/>
    <w:rsid w:val="00803D46"/>
    <w:rsid w:val="00803E55"/>
    <w:rsid w:val="00803F38"/>
    <w:rsid w:val="00803FE4"/>
    <w:rsid w:val="00804601"/>
    <w:rsid w:val="008046DB"/>
    <w:rsid w:val="00804997"/>
    <w:rsid w:val="00804C39"/>
    <w:rsid w:val="00804CCC"/>
    <w:rsid w:val="0080501C"/>
    <w:rsid w:val="00805540"/>
    <w:rsid w:val="00805C9F"/>
    <w:rsid w:val="0080638B"/>
    <w:rsid w:val="00806434"/>
    <w:rsid w:val="008069AC"/>
    <w:rsid w:val="00807023"/>
    <w:rsid w:val="0080730A"/>
    <w:rsid w:val="00807528"/>
    <w:rsid w:val="00807559"/>
    <w:rsid w:val="00807643"/>
    <w:rsid w:val="00807655"/>
    <w:rsid w:val="00807791"/>
    <w:rsid w:val="008077A2"/>
    <w:rsid w:val="00807967"/>
    <w:rsid w:val="008079F3"/>
    <w:rsid w:val="00807D3E"/>
    <w:rsid w:val="00807FBC"/>
    <w:rsid w:val="00810184"/>
    <w:rsid w:val="0081027D"/>
    <w:rsid w:val="00810511"/>
    <w:rsid w:val="00810A9B"/>
    <w:rsid w:val="00810B45"/>
    <w:rsid w:val="00810C87"/>
    <w:rsid w:val="0081129F"/>
    <w:rsid w:val="00811421"/>
    <w:rsid w:val="008115C2"/>
    <w:rsid w:val="008116E1"/>
    <w:rsid w:val="008117BF"/>
    <w:rsid w:val="00811BBC"/>
    <w:rsid w:val="008122BE"/>
    <w:rsid w:val="0081235C"/>
    <w:rsid w:val="0081240A"/>
    <w:rsid w:val="008124C0"/>
    <w:rsid w:val="0081274C"/>
    <w:rsid w:val="008127AA"/>
    <w:rsid w:val="00812997"/>
    <w:rsid w:val="00812A79"/>
    <w:rsid w:val="00812C56"/>
    <w:rsid w:val="00813184"/>
    <w:rsid w:val="00813288"/>
    <w:rsid w:val="00813455"/>
    <w:rsid w:val="00813619"/>
    <w:rsid w:val="00813700"/>
    <w:rsid w:val="008138BF"/>
    <w:rsid w:val="00813A20"/>
    <w:rsid w:val="00813FBE"/>
    <w:rsid w:val="00814112"/>
    <w:rsid w:val="00814150"/>
    <w:rsid w:val="008147F2"/>
    <w:rsid w:val="00814BE1"/>
    <w:rsid w:val="00814CA7"/>
    <w:rsid w:val="00814D18"/>
    <w:rsid w:val="008151A2"/>
    <w:rsid w:val="00815488"/>
    <w:rsid w:val="0081578F"/>
    <w:rsid w:val="00815B36"/>
    <w:rsid w:val="0081600B"/>
    <w:rsid w:val="008162E4"/>
    <w:rsid w:val="00816574"/>
    <w:rsid w:val="00816851"/>
    <w:rsid w:val="00816873"/>
    <w:rsid w:val="008169E7"/>
    <w:rsid w:val="00816A1C"/>
    <w:rsid w:val="00817050"/>
    <w:rsid w:val="0081705C"/>
    <w:rsid w:val="008170CC"/>
    <w:rsid w:val="00817447"/>
    <w:rsid w:val="008176D2"/>
    <w:rsid w:val="00817894"/>
    <w:rsid w:val="00817AA9"/>
    <w:rsid w:val="00817B01"/>
    <w:rsid w:val="008201DB"/>
    <w:rsid w:val="0082041E"/>
    <w:rsid w:val="00820C95"/>
    <w:rsid w:val="00821124"/>
    <w:rsid w:val="0082136A"/>
    <w:rsid w:val="00821A29"/>
    <w:rsid w:val="00821D92"/>
    <w:rsid w:val="00821E20"/>
    <w:rsid w:val="0082226C"/>
    <w:rsid w:val="008223F3"/>
    <w:rsid w:val="00822753"/>
    <w:rsid w:val="008229E8"/>
    <w:rsid w:val="00822AE8"/>
    <w:rsid w:val="0082310B"/>
    <w:rsid w:val="00823233"/>
    <w:rsid w:val="008237CE"/>
    <w:rsid w:val="00823B37"/>
    <w:rsid w:val="00823FDA"/>
    <w:rsid w:val="00824415"/>
    <w:rsid w:val="00824426"/>
    <w:rsid w:val="0082468C"/>
    <w:rsid w:val="008246E6"/>
    <w:rsid w:val="00824834"/>
    <w:rsid w:val="00824AEF"/>
    <w:rsid w:val="00824B0E"/>
    <w:rsid w:val="00824BBB"/>
    <w:rsid w:val="00824C28"/>
    <w:rsid w:val="00824C9D"/>
    <w:rsid w:val="0082585C"/>
    <w:rsid w:val="00825883"/>
    <w:rsid w:val="008258C0"/>
    <w:rsid w:val="00825A7D"/>
    <w:rsid w:val="00825DEC"/>
    <w:rsid w:val="00825EC0"/>
    <w:rsid w:val="008260B8"/>
    <w:rsid w:val="0082648C"/>
    <w:rsid w:val="0082675F"/>
    <w:rsid w:val="008269FD"/>
    <w:rsid w:val="0082708F"/>
    <w:rsid w:val="00827126"/>
    <w:rsid w:val="008273ED"/>
    <w:rsid w:val="008276C1"/>
    <w:rsid w:val="008279C3"/>
    <w:rsid w:val="00827A6E"/>
    <w:rsid w:val="00827C1C"/>
    <w:rsid w:val="008300FD"/>
    <w:rsid w:val="0083050A"/>
    <w:rsid w:val="00830597"/>
    <w:rsid w:val="00830648"/>
    <w:rsid w:val="008308C2"/>
    <w:rsid w:val="00830906"/>
    <w:rsid w:val="00830CFA"/>
    <w:rsid w:val="00830DB1"/>
    <w:rsid w:val="00830E52"/>
    <w:rsid w:val="00830FA1"/>
    <w:rsid w:val="00830FEA"/>
    <w:rsid w:val="008315EB"/>
    <w:rsid w:val="00831AFD"/>
    <w:rsid w:val="00831E11"/>
    <w:rsid w:val="00831FAA"/>
    <w:rsid w:val="00831FCC"/>
    <w:rsid w:val="00831FFA"/>
    <w:rsid w:val="0083229D"/>
    <w:rsid w:val="00832313"/>
    <w:rsid w:val="0083233F"/>
    <w:rsid w:val="00832399"/>
    <w:rsid w:val="008323C1"/>
    <w:rsid w:val="008324E3"/>
    <w:rsid w:val="00832642"/>
    <w:rsid w:val="00832F7F"/>
    <w:rsid w:val="00833012"/>
    <w:rsid w:val="0083305B"/>
    <w:rsid w:val="0083328B"/>
    <w:rsid w:val="008333FC"/>
    <w:rsid w:val="0083349E"/>
    <w:rsid w:val="00833668"/>
    <w:rsid w:val="00833A76"/>
    <w:rsid w:val="00833B9F"/>
    <w:rsid w:val="00833E59"/>
    <w:rsid w:val="00833E86"/>
    <w:rsid w:val="0083430A"/>
    <w:rsid w:val="0083443F"/>
    <w:rsid w:val="00834D35"/>
    <w:rsid w:val="00835011"/>
    <w:rsid w:val="008351A2"/>
    <w:rsid w:val="00835280"/>
    <w:rsid w:val="008352C0"/>
    <w:rsid w:val="0083559A"/>
    <w:rsid w:val="00835D6E"/>
    <w:rsid w:val="0083678A"/>
    <w:rsid w:val="0083696A"/>
    <w:rsid w:val="00836E8D"/>
    <w:rsid w:val="00836EC5"/>
    <w:rsid w:val="0083731E"/>
    <w:rsid w:val="00837781"/>
    <w:rsid w:val="008378F0"/>
    <w:rsid w:val="00840083"/>
    <w:rsid w:val="008401CF"/>
    <w:rsid w:val="00840D55"/>
    <w:rsid w:val="00840E96"/>
    <w:rsid w:val="00840F3D"/>
    <w:rsid w:val="008411AD"/>
    <w:rsid w:val="008414A8"/>
    <w:rsid w:val="008414C2"/>
    <w:rsid w:val="0084158F"/>
    <w:rsid w:val="00841655"/>
    <w:rsid w:val="0084168C"/>
    <w:rsid w:val="00841894"/>
    <w:rsid w:val="008418C7"/>
    <w:rsid w:val="008419DC"/>
    <w:rsid w:val="00841BA6"/>
    <w:rsid w:val="00841DDC"/>
    <w:rsid w:val="00841E62"/>
    <w:rsid w:val="008422F8"/>
    <w:rsid w:val="0084286A"/>
    <w:rsid w:val="008428F8"/>
    <w:rsid w:val="00842A82"/>
    <w:rsid w:val="00842C98"/>
    <w:rsid w:val="00842D07"/>
    <w:rsid w:val="008432F9"/>
    <w:rsid w:val="008435B7"/>
    <w:rsid w:val="00843AAD"/>
    <w:rsid w:val="00843ED3"/>
    <w:rsid w:val="00844347"/>
    <w:rsid w:val="0084437F"/>
    <w:rsid w:val="008443A7"/>
    <w:rsid w:val="00844418"/>
    <w:rsid w:val="0084491C"/>
    <w:rsid w:val="008449F2"/>
    <w:rsid w:val="00844EEB"/>
    <w:rsid w:val="00844F94"/>
    <w:rsid w:val="00844FEF"/>
    <w:rsid w:val="0084504F"/>
    <w:rsid w:val="008450B4"/>
    <w:rsid w:val="008450F3"/>
    <w:rsid w:val="008452C5"/>
    <w:rsid w:val="00845389"/>
    <w:rsid w:val="00845534"/>
    <w:rsid w:val="00845659"/>
    <w:rsid w:val="00845844"/>
    <w:rsid w:val="00845946"/>
    <w:rsid w:val="00845C83"/>
    <w:rsid w:val="008462E5"/>
    <w:rsid w:val="00846425"/>
    <w:rsid w:val="0084648A"/>
    <w:rsid w:val="00846522"/>
    <w:rsid w:val="00846567"/>
    <w:rsid w:val="008465A0"/>
    <w:rsid w:val="008465A1"/>
    <w:rsid w:val="008467C2"/>
    <w:rsid w:val="008467E8"/>
    <w:rsid w:val="00846A0A"/>
    <w:rsid w:val="008470D5"/>
    <w:rsid w:val="00847681"/>
    <w:rsid w:val="008476A0"/>
    <w:rsid w:val="008478F6"/>
    <w:rsid w:val="00847D54"/>
    <w:rsid w:val="0085028E"/>
    <w:rsid w:val="0085031A"/>
    <w:rsid w:val="0085035D"/>
    <w:rsid w:val="0085041B"/>
    <w:rsid w:val="0085044B"/>
    <w:rsid w:val="00850612"/>
    <w:rsid w:val="008508D9"/>
    <w:rsid w:val="008509E0"/>
    <w:rsid w:val="00850AAE"/>
    <w:rsid w:val="00850CCD"/>
    <w:rsid w:val="00850EC8"/>
    <w:rsid w:val="00851186"/>
    <w:rsid w:val="00851277"/>
    <w:rsid w:val="0085157C"/>
    <w:rsid w:val="008519BD"/>
    <w:rsid w:val="00851A19"/>
    <w:rsid w:val="00851C5E"/>
    <w:rsid w:val="00851DC4"/>
    <w:rsid w:val="00852124"/>
    <w:rsid w:val="00852411"/>
    <w:rsid w:val="00852466"/>
    <w:rsid w:val="0085292F"/>
    <w:rsid w:val="0085296C"/>
    <w:rsid w:val="00852D90"/>
    <w:rsid w:val="00852DEB"/>
    <w:rsid w:val="00852E61"/>
    <w:rsid w:val="00852E6A"/>
    <w:rsid w:val="00852F38"/>
    <w:rsid w:val="00853051"/>
    <w:rsid w:val="008531A4"/>
    <w:rsid w:val="008531E0"/>
    <w:rsid w:val="00853289"/>
    <w:rsid w:val="008534CD"/>
    <w:rsid w:val="0085358A"/>
    <w:rsid w:val="00853676"/>
    <w:rsid w:val="00853687"/>
    <w:rsid w:val="0085374D"/>
    <w:rsid w:val="0085385A"/>
    <w:rsid w:val="00853998"/>
    <w:rsid w:val="00854217"/>
    <w:rsid w:val="008542CC"/>
    <w:rsid w:val="00854464"/>
    <w:rsid w:val="00854506"/>
    <w:rsid w:val="008545CF"/>
    <w:rsid w:val="00854E58"/>
    <w:rsid w:val="00854EF0"/>
    <w:rsid w:val="008550F6"/>
    <w:rsid w:val="00855275"/>
    <w:rsid w:val="0085551B"/>
    <w:rsid w:val="00855746"/>
    <w:rsid w:val="008557C3"/>
    <w:rsid w:val="00855ABC"/>
    <w:rsid w:val="00855ADE"/>
    <w:rsid w:val="00856193"/>
    <w:rsid w:val="0085655B"/>
    <w:rsid w:val="00856AD8"/>
    <w:rsid w:val="00856B2F"/>
    <w:rsid w:val="00856C34"/>
    <w:rsid w:val="00856C98"/>
    <w:rsid w:val="00856FB3"/>
    <w:rsid w:val="00857067"/>
    <w:rsid w:val="0085711C"/>
    <w:rsid w:val="00857404"/>
    <w:rsid w:val="00857705"/>
    <w:rsid w:val="008578E4"/>
    <w:rsid w:val="008579D8"/>
    <w:rsid w:val="00857A61"/>
    <w:rsid w:val="0086036E"/>
    <w:rsid w:val="00860703"/>
    <w:rsid w:val="00860BE7"/>
    <w:rsid w:val="00860C80"/>
    <w:rsid w:val="00860CE5"/>
    <w:rsid w:val="0086103B"/>
    <w:rsid w:val="00861767"/>
    <w:rsid w:val="00861806"/>
    <w:rsid w:val="00861AD1"/>
    <w:rsid w:val="0086204A"/>
    <w:rsid w:val="008621C6"/>
    <w:rsid w:val="008621D4"/>
    <w:rsid w:val="00862A8A"/>
    <w:rsid w:val="00862B69"/>
    <w:rsid w:val="008630CC"/>
    <w:rsid w:val="008631B5"/>
    <w:rsid w:val="008632FD"/>
    <w:rsid w:val="00863355"/>
    <w:rsid w:val="0086337E"/>
    <w:rsid w:val="0086349C"/>
    <w:rsid w:val="008634D8"/>
    <w:rsid w:val="00863632"/>
    <w:rsid w:val="008636FF"/>
    <w:rsid w:val="00863853"/>
    <w:rsid w:val="008639A0"/>
    <w:rsid w:val="00863A8B"/>
    <w:rsid w:val="00863AAB"/>
    <w:rsid w:val="00863C58"/>
    <w:rsid w:val="00863E95"/>
    <w:rsid w:val="0086406D"/>
    <w:rsid w:val="0086457B"/>
    <w:rsid w:val="00864A52"/>
    <w:rsid w:val="00864A71"/>
    <w:rsid w:val="00864AC7"/>
    <w:rsid w:val="00864C5A"/>
    <w:rsid w:val="00864DA9"/>
    <w:rsid w:val="008653C0"/>
    <w:rsid w:val="00865445"/>
    <w:rsid w:val="00865546"/>
    <w:rsid w:val="008655AF"/>
    <w:rsid w:val="00865627"/>
    <w:rsid w:val="008657B1"/>
    <w:rsid w:val="00865DC1"/>
    <w:rsid w:val="00865E6F"/>
    <w:rsid w:val="00865E9B"/>
    <w:rsid w:val="00866159"/>
    <w:rsid w:val="008662F6"/>
    <w:rsid w:val="0086689F"/>
    <w:rsid w:val="00866C24"/>
    <w:rsid w:val="00866C5E"/>
    <w:rsid w:val="00866EBD"/>
    <w:rsid w:val="008671B8"/>
    <w:rsid w:val="00867264"/>
    <w:rsid w:val="008672A7"/>
    <w:rsid w:val="008672FE"/>
    <w:rsid w:val="00867705"/>
    <w:rsid w:val="008679F8"/>
    <w:rsid w:val="00867B4C"/>
    <w:rsid w:val="00867D61"/>
    <w:rsid w:val="00867E41"/>
    <w:rsid w:val="00867E67"/>
    <w:rsid w:val="00870112"/>
    <w:rsid w:val="008701D0"/>
    <w:rsid w:val="00870554"/>
    <w:rsid w:val="00870BBE"/>
    <w:rsid w:val="00870C8E"/>
    <w:rsid w:val="00870E9E"/>
    <w:rsid w:val="0087105A"/>
    <w:rsid w:val="0087152A"/>
    <w:rsid w:val="0087168C"/>
    <w:rsid w:val="0087168E"/>
    <w:rsid w:val="008719E0"/>
    <w:rsid w:val="00871A38"/>
    <w:rsid w:val="00871A8F"/>
    <w:rsid w:val="00871B70"/>
    <w:rsid w:val="00871F5C"/>
    <w:rsid w:val="0087215D"/>
    <w:rsid w:val="008721AD"/>
    <w:rsid w:val="00872607"/>
    <w:rsid w:val="00872FFD"/>
    <w:rsid w:val="0087365A"/>
    <w:rsid w:val="0087395D"/>
    <w:rsid w:val="00873E5C"/>
    <w:rsid w:val="00873E75"/>
    <w:rsid w:val="00874334"/>
    <w:rsid w:val="008743C7"/>
    <w:rsid w:val="008748B2"/>
    <w:rsid w:val="00874E06"/>
    <w:rsid w:val="00874E07"/>
    <w:rsid w:val="00874EB2"/>
    <w:rsid w:val="0087501B"/>
    <w:rsid w:val="0087508F"/>
    <w:rsid w:val="008750CD"/>
    <w:rsid w:val="008750F9"/>
    <w:rsid w:val="00875341"/>
    <w:rsid w:val="0087536F"/>
    <w:rsid w:val="008754AF"/>
    <w:rsid w:val="00875506"/>
    <w:rsid w:val="00875737"/>
    <w:rsid w:val="0087583F"/>
    <w:rsid w:val="0087588C"/>
    <w:rsid w:val="00875F8B"/>
    <w:rsid w:val="0087643A"/>
    <w:rsid w:val="008764D5"/>
    <w:rsid w:val="008769DA"/>
    <w:rsid w:val="00876BAA"/>
    <w:rsid w:val="00876F26"/>
    <w:rsid w:val="0087704A"/>
    <w:rsid w:val="008773CC"/>
    <w:rsid w:val="00877673"/>
    <w:rsid w:val="00877C12"/>
    <w:rsid w:val="00877ED8"/>
    <w:rsid w:val="00880152"/>
    <w:rsid w:val="008802FE"/>
    <w:rsid w:val="008803CE"/>
    <w:rsid w:val="00880677"/>
    <w:rsid w:val="008806B8"/>
    <w:rsid w:val="00880A40"/>
    <w:rsid w:val="00880A95"/>
    <w:rsid w:val="00880D45"/>
    <w:rsid w:val="00880DE2"/>
    <w:rsid w:val="008810DB"/>
    <w:rsid w:val="008811FE"/>
    <w:rsid w:val="0088122D"/>
    <w:rsid w:val="00881283"/>
    <w:rsid w:val="00881334"/>
    <w:rsid w:val="00881671"/>
    <w:rsid w:val="008817C9"/>
    <w:rsid w:val="00881804"/>
    <w:rsid w:val="00881995"/>
    <w:rsid w:val="00881A5D"/>
    <w:rsid w:val="00881AC4"/>
    <w:rsid w:val="00881BD1"/>
    <w:rsid w:val="00881C2F"/>
    <w:rsid w:val="00881C81"/>
    <w:rsid w:val="00881D8C"/>
    <w:rsid w:val="008825FB"/>
    <w:rsid w:val="00882A31"/>
    <w:rsid w:val="00882AEC"/>
    <w:rsid w:val="00882C06"/>
    <w:rsid w:val="00882CC7"/>
    <w:rsid w:val="00882EBC"/>
    <w:rsid w:val="00882EC5"/>
    <w:rsid w:val="00882F6C"/>
    <w:rsid w:val="00883162"/>
    <w:rsid w:val="0088352B"/>
    <w:rsid w:val="00883644"/>
    <w:rsid w:val="0088381A"/>
    <w:rsid w:val="0088395B"/>
    <w:rsid w:val="00883CC3"/>
    <w:rsid w:val="008840AF"/>
    <w:rsid w:val="0088415D"/>
    <w:rsid w:val="00884421"/>
    <w:rsid w:val="008844C4"/>
    <w:rsid w:val="00884DF4"/>
    <w:rsid w:val="00884F9C"/>
    <w:rsid w:val="00885939"/>
    <w:rsid w:val="00885A72"/>
    <w:rsid w:val="00885BA4"/>
    <w:rsid w:val="00885FF5"/>
    <w:rsid w:val="008862AA"/>
    <w:rsid w:val="00886737"/>
    <w:rsid w:val="008869F4"/>
    <w:rsid w:val="0088712F"/>
    <w:rsid w:val="008878EC"/>
    <w:rsid w:val="008879D3"/>
    <w:rsid w:val="00887A0B"/>
    <w:rsid w:val="00887A72"/>
    <w:rsid w:val="00887D1B"/>
    <w:rsid w:val="00887DB9"/>
    <w:rsid w:val="00890235"/>
    <w:rsid w:val="0089023C"/>
    <w:rsid w:val="00890373"/>
    <w:rsid w:val="00890734"/>
    <w:rsid w:val="0089074C"/>
    <w:rsid w:val="008907D5"/>
    <w:rsid w:val="008908C6"/>
    <w:rsid w:val="00890932"/>
    <w:rsid w:val="00890B3B"/>
    <w:rsid w:val="008911CB"/>
    <w:rsid w:val="00891217"/>
    <w:rsid w:val="0089131F"/>
    <w:rsid w:val="00891471"/>
    <w:rsid w:val="0089156C"/>
    <w:rsid w:val="008915C6"/>
    <w:rsid w:val="0089180C"/>
    <w:rsid w:val="00891A8B"/>
    <w:rsid w:val="00892253"/>
    <w:rsid w:val="0089255D"/>
    <w:rsid w:val="008926DD"/>
    <w:rsid w:val="008928E0"/>
    <w:rsid w:val="00892C1B"/>
    <w:rsid w:val="00892C28"/>
    <w:rsid w:val="00892C3B"/>
    <w:rsid w:val="00893ABE"/>
    <w:rsid w:val="00893C96"/>
    <w:rsid w:val="00893D98"/>
    <w:rsid w:val="00893EEF"/>
    <w:rsid w:val="00894339"/>
    <w:rsid w:val="0089450D"/>
    <w:rsid w:val="0089479B"/>
    <w:rsid w:val="00894828"/>
    <w:rsid w:val="00894979"/>
    <w:rsid w:val="0089591D"/>
    <w:rsid w:val="00895A9B"/>
    <w:rsid w:val="008962E2"/>
    <w:rsid w:val="0089633C"/>
    <w:rsid w:val="00896360"/>
    <w:rsid w:val="008963C0"/>
    <w:rsid w:val="008963FD"/>
    <w:rsid w:val="0089658C"/>
    <w:rsid w:val="00896A24"/>
    <w:rsid w:val="00896E2F"/>
    <w:rsid w:val="0089716F"/>
    <w:rsid w:val="0089722C"/>
    <w:rsid w:val="008975A2"/>
    <w:rsid w:val="00897846"/>
    <w:rsid w:val="00897B51"/>
    <w:rsid w:val="00897F44"/>
    <w:rsid w:val="008A0155"/>
    <w:rsid w:val="008A0638"/>
    <w:rsid w:val="008A06EC"/>
    <w:rsid w:val="008A0774"/>
    <w:rsid w:val="008A0850"/>
    <w:rsid w:val="008A0921"/>
    <w:rsid w:val="008A0AED"/>
    <w:rsid w:val="008A0BF4"/>
    <w:rsid w:val="008A0E55"/>
    <w:rsid w:val="008A12B3"/>
    <w:rsid w:val="008A14CB"/>
    <w:rsid w:val="008A1548"/>
    <w:rsid w:val="008A16E7"/>
    <w:rsid w:val="008A184F"/>
    <w:rsid w:val="008A1A1F"/>
    <w:rsid w:val="008A1AFD"/>
    <w:rsid w:val="008A1B63"/>
    <w:rsid w:val="008A1C84"/>
    <w:rsid w:val="008A1EFB"/>
    <w:rsid w:val="008A232C"/>
    <w:rsid w:val="008A2880"/>
    <w:rsid w:val="008A2A4F"/>
    <w:rsid w:val="008A2BE3"/>
    <w:rsid w:val="008A2C72"/>
    <w:rsid w:val="008A33A5"/>
    <w:rsid w:val="008A33C2"/>
    <w:rsid w:val="008A3425"/>
    <w:rsid w:val="008A3606"/>
    <w:rsid w:val="008A3863"/>
    <w:rsid w:val="008A39F0"/>
    <w:rsid w:val="008A3AC2"/>
    <w:rsid w:val="008A3ADD"/>
    <w:rsid w:val="008A3B10"/>
    <w:rsid w:val="008A3B27"/>
    <w:rsid w:val="008A3D02"/>
    <w:rsid w:val="008A40BC"/>
    <w:rsid w:val="008A40DD"/>
    <w:rsid w:val="008A41CD"/>
    <w:rsid w:val="008A4355"/>
    <w:rsid w:val="008A43DE"/>
    <w:rsid w:val="008A46B5"/>
    <w:rsid w:val="008A4880"/>
    <w:rsid w:val="008A49F4"/>
    <w:rsid w:val="008A4BD1"/>
    <w:rsid w:val="008A5059"/>
    <w:rsid w:val="008A517F"/>
    <w:rsid w:val="008A5184"/>
    <w:rsid w:val="008A52B1"/>
    <w:rsid w:val="008A5486"/>
    <w:rsid w:val="008A5679"/>
    <w:rsid w:val="008A5754"/>
    <w:rsid w:val="008A5B91"/>
    <w:rsid w:val="008A5D9C"/>
    <w:rsid w:val="008A5DE1"/>
    <w:rsid w:val="008A5E0E"/>
    <w:rsid w:val="008A6014"/>
    <w:rsid w:val="008A6363"/>
    <w:rsid w:val="008A6546"/>
    <w:rsid w:val="008A6667"/>
    <w:rsid w:val="008A7171"/>
    <w:rsid w:val="008A73D4"/>
    <w:rsid w:val="008A770D"/>
    <w:rsid w:val="008A7B84"/>
    <w:rsid w:val="008A7BD3"/>
    <w:rsid w:val="008A7E51"/>
    <w:rsid w:val="008A7F9C"/>
    <w:rsid w:val="008B0132"/>
    <w:rsid w:val="008B04DE"/>
    <w:rsid w:val="008B051F"/>
    <w:rsid w:val="008B0520"/>
    <w:rsid w:val="008B052D"/>
    <w:rsid w:val="008B05E2"/>
    <w:rsid w:val="008B07E6"/>
    <w:rsid w:val="008B0913"/>
    <w:rsid w:val="008B0975"/>
    <w:rsid w:val="008B0993"/>
    <w:rsid w:val="008B0C53"/>
    <w:rsid w:val="008B1193"/>
    <w:rsid w:val="008B1230"/>
    <w:rsid w:val="008B1460"/>
    <w:rsid w:val="008B159A"/>
    <w:rsid w:val="008B15F1"/>
    <w:rsid w:val="008B1B63"/>
    <w:rsid w:val="008B1BD1"/>
    <w:rsid w:val="008B1DFD"/>
    <w:rsid w:val="008B1F95"/>
    <w:rsid w:val="008B1FFD"/>
    <w:rsid w:val="008B2100"/>
    <w:rsid w:val="008B21AD"/>
    <w:rsid w:val="008B222D"/>
    <w:rsid w:val="008B2287"/>
    <w:rsid w:val="008B266A"/>
    <w:rsid w:val="008B274F"/>
    <w:rsid w:val="008B2825"/>
    <w:rsid w:val="008B2C31"/>
    <w:rsid w:val="008B2E23"/>
    <w:rsid w:val="008B2E71"/>
    <w:rsid w:val="008B3191"/>
    <w:rsid w:val="008B3508"/>
    <w:rsid w:val="008B382E"/>
    <w:rsid w:val="008B3C2A"/>
    <w:rsid w:val="008B3D7F"/>
    <w:rsid w:val="008B3DD6"/>
    <w:rsid w:val="008B41CB"/>
    <w:rsid w:val="008B41D6"/>
    <w:rsid w:val="008B4228"/>
    <w:rsid w:val="008B4623"/>
    <w:rsid w:val="008B46F0"/>
    <w:rsid w:val="008B487D"/>
    <w:rsid w:val="008B4AFB"/>
    <w:rsid w:val="008B4CD2"/>
    <w:rsid w:val="008B4EA4"/>
    <w:rsid w:val="008B4F90"/>
    <w:rsid w:val="008B5138"/>
    <w:rsid w:val="008B549F"/>
    <w:rsid w:val="008B5B32"/>
    <w:rsid w:val="008B5B98"/>
    <w:rsid w:val="008B5DDB"/>
    <w:rsid w:val="008B6068"/>
    <w:rsid w:val="008B624F"/>
    <w:rsid w:val="008B6286"/>
    <w:rsid w:val="008B64EF"/>
    <w:rsid w:val="008B6528"/>
    <w:rsid w:val="008B67BF"/>
    <w:rsid w:val="008B689C"/>
    <w:rsid w:val="008B6AA7"/>
    <w:rsid w:val="008B6BE2"/>
    <w:rsid w:val="008B6EE7"/>
    <w:rsid w:val="008B70AB"/>
    <w:rsid w:val="008B71D8"/>
    <w:rsid w:val="008B75B1"/>
    <w:rsid w:val="008B76F7"/>
    <w:rsid w:val="008B7F49"/>
    <w:rsid w:val="008C05BF"/>
    <w:rsid w:val="008C09E4"/>
    <w:rsid w:val="008C0B73"/>
    <w:rsid w:val="008C0BA8"/>
    <w:rsid w:val="008C0BF3"/>
    <w:rsid w:val="008C116A"/>
    <w:rsid w:val="008C1513"/>
    <w:rsid w:val="008C1740"/>
    <w:rsid w:val="008C1787"/>
    <w:rsid w:val="008C19D8"/>
    <w:rsid w:val="008C1A00"/>
    <w:rsid w:val="008C1A14"/>
    <w:rsid w:val="008C2069"/>
    <w:rsid w:val="008C2242"/>
    <w:rsid w:val="008C2324"/>
    <w:rsid w:val="008C23A4"/>
    <w:rsid w:val="008C240D"/>
    <w:rsid w:val="008C2989"/>
    <w:rsid w:val="008C2C9D"/>
    <w:rsid w:val="008C304A"/>
    <w:rsid w:val="008C315C"/>
    <w:rsid w:val="008C33FE"/>
    <w:rsid w:val="008C3447"/>
    <w:rsid w:val="008C34E0"/>
    <w:rsid w:val="008C3552"/>
    <w:rsid w:val="008C3A0F"/>
    <w:rsid w:val="008C3B63"/>
    <w:rsid w:val="008C3D0F"/>
    <w:rsid w:val="008C41C3"/>
    <w:rsid w:val="008C421F"/>
    <w:rsid w:val="008C460D"/>
    <w:rsid w:val="008C4858"/>
    <w:rsid w:val="008C4991"/>
    <w:rsid w:val="008C4B2F"/>
    <w:rsid w:val="008C56C3"/>
    <w:rsid w:val="008C57FC"/>
    <w:rsid w:val="008C58A0"/>
    <w:rsid w:val="008C598B"/>
    <w:rsid w:val="008C59D4"/>
    <w:rsid w:val="008C5B6C"/>
    <w:rsid w:val="008C5BBB"/>
    <w:rsid w:val="008C5BE9"/>
    <w:rsid w:val="008C5FA3"/>
    <w:rsid w:val="008C6125"/>
    <w:rsid w:val="008C6339"/>
    <w:rsid w:val="008C65A5"/>
    <w:rsid w:val="008C6733"/>
    <w:rsid w:val="008C67E8"/>
    <w:rsid w:val="008C682B"/>
    <w:rsid w:val="008C69C5"/>
    <w:rsid w:val="008C69F7"/>
    <w:rsid w:val="008C6D62"/>
    <w:rsid w:val="008C6F52"/>
    <w:rsid w:val="008C6FBC"/>
    <w:rsid w:val="008C712E"/>
    <w:rsid w:val="008C7356"/>
    <w:rsid w:val="008C7603"/>
    <w:rsid w:val="008C764A"/>
    <w:rsid w:val="008C76D9"/>
    <w:rsid w:val="008C7D52"/>
    <w:rsid w:val="008C7F9F"/>
    <w:rsid w:val="008D03E2"/>
    <w:rsid w:val="008D083D"/>
    <w:rsid w:val="008D09DD"/>
    <w:rsid w:val="008D102F"/>
    <w:rsid w:val="008D103F"/>
    <w:rsid w:val="008D1491"/>
    <w:rsid w:val="008D1592"/>
    <w:rsid w:val="008D167D"/>
    <w:rsid w:val="008D16B2"/>
    <w:rsid w:val="008D1784"/>
    <w:rsid w:val="008D18C1"/>
    <w:rsid w:val="008D1F5A"/>
    <w:rsid w:val="008D22DF"/>
    <w:rsid w:val="008D231C"/>
    <w:rsid w:val="008D23DB"/>
    <w:rsid w:val="008D249D"/>
    <w:rsid w:val="008D2508"/>
    <w:rsid w:val="008D269A"/>
    <w:rsid w:val="008D2703"/>
    <w:rsid w:val="008D2965"/>
    <w:rsid w:val="008D2B12"/>
    <w:rsid w:val="008D2B66"/>
    <w:rsid w:val="008D3168"/>
    <w:rsid w:val="008D3296"/>
    <w:rsid w:val="008D32E3"/>
    <w:rsid w:val="008D3529"/>
    <w:rsid w:val="008D37F0"/>
    <w:rsid w:val="008D3F6C"/>
    <w:rsid w:val="008D4651"/>
    <w:rsid w:val="008D475B"/>
    <w:rsid w:val="008D4822"/>
    <w:rsid w:val="008D4D73"/>
    <w:rsid w:val="008D4DF5"/>
    <w:rsid w:val="008D52A2"/>
    <w:rsid w:val="008D532B"/>
    <w:rsid w:val="008D53A0"/>
    <w:rsid w:val="008D53AA"/>
    <w:rsid w:val="008D5A13"/>
    <w:rsid w:val="008D5BA3"/>
    <w:rsid w:val="008D62BB"/>
    <w:rsid w:val="008D6464"/>
    <w:rsid w:val="008D65AB"/>
    <w:rsid w:val="008D681E"/>
    <w:rsid w:val="008D6B1C"/>
    <w:rsid w:val="008D6B94"/>
    <w:rsid w:val="008D6C10"/>
    <w:rsid w:val="008D6D3C"/>
    <w:rsid w:val="008D70AA"/>
    <w:rsid w:val="008D7672"/>
    <w:rsid w:val="008D77E4"/>
    <w:rsid w:val="008D78FF"/>
    <w:rsid w:val="008D798F"/>
    <w:rsid w:val="008D79A9"/>
    <w:rsid w:val="008D7BF5"/>
    <w:rsid w:val="008D7F0C"/>
    <w:rsid w:val="008E02C1"/>
    <w:rsid w:val="008E02CD"/>
    <w:rsid w:val="008E094A"/>
    <w:rsid w:val="008E0960"/>
    <w:rsid w:val="008E0969"/>
    <w:rsid w:val="008E09FA"/>
    <w:rsid w:val="008E11B9"/>
    <w:rsid w:val="008E126B"/>
    <w:rsid w:val="008E12AE"/>
    <w:rsid w:val="008E12C7"/>
    <w:rsid w:val="008E1307"/>
    <w:rsid w:val="008E18F0"/>
    <w:rsid w:val="008E1AB2"/>
    <w:rsid w:val="008E1AC9"/>
    <w:rsid w:val="008E1BCF"/>
    <w:rsid w:val="008E1C39"/>
    <w:rsid w:val="008E1F85"/>
    <w:rsid w:val="008E24F3"/>
    <w:rsid w:val="008E27DE"/>
    <w:rsid w:val="008E2DB7"/>
    <w:rsid w:val="008E2E07"/>
    <w:rsid w:val="008E327C"/>
    <w:rsid w:val="008E3DCA"/>
    <w:rsid w:val="008E3F8C"/>
    <w:rsid w:val="008E4368"/>
    <w:rsid w:val="008E4435"/>
    <w:rsid w:val="008E4484"/>
    <w:rsid w:val="008E487A"/>
    <w:rsid w:val="008E4E39"/>
    <w:rsid w:val="008E4E5C"/>
    <w:rsid w:val="008E5062"/>
    <w:rsid w:val="008E5564"/>
    <w:rsid w:val="008E56AF"/>
    <w:rsid w:val="008E5A2B"/>
    <w:rsid w:val="008E5AE3"/>
    <w:rsid w:val="008E5B2A"/>
    <w:rsid w:val="008E5F57"/>
    <w:rsid w:val="008E632B"/>
    <w:rsid w:val="008E6359"/>
    <w:rsid w:val="008E6573"/>
    <w:rsid w:val="008E7096"/>
    <w:rsid w:val="008E7763"/>
    <w:rsid w:val="008E7824"/>
    <w:rsid w:val="008E78DB"/>
    <w:rsid w:val="008E79C6"/>
    <w:rsid w:val="008E7AEF"/>
    <w:rsid w:val="008E7DA9"/>
    <w:rsid w:val="008E7F5B"/>
    <w:rsid w:val="008E7FEC"/>
    <w:rsid w:val="008F0458"/>
    <w:rsid w:val="008F0497"/>
    <w:rsid w:val="008F04C7"/>
    <w:rsid w:val="008F05D8"/>
    <w:rsid w:val="008F0694"/>
    <w:rsid w:val="008F07FC"/>
    <w:rsid w:val="008F090E"/>
    <w:rsid w:val="008F0915"/>
    <w:rsid w:val="008F091C"/>
    <w:rsid w:val="008F0C16"/>
    <w:rsid w:val="008F0D3E"/>
    <w:rsid w:val="008F0D6E"/>
    <w:rsid w:val="008F0FCD"/>
    <w:rsid w:val="008F105B"/>
    <w:rsid w:val="008F120B"/>
    <w:rsid w:val="008F1634"/>
    <w:rsid w:val="008F1A65"/>
    <w:rsid w:val="008F1FCC"/>
    <w:rsid w:val="008F226B"/>
    <w:rsid w:val="008F2695"/>
    <w:rsid w:val="008F2730"/>
    <w:rsid w:val="008F283D"/>
    <w:rsid w:val="008F2D87"/>
    <w:rsid w:val="008F309E"/>
    <w:rsid w:val="008F326A"/>
    <w:rsid w:val="008F3479"/>
    <w:rsid w:val="008F3519"/>
    <w:rsid w:val="008F3634"/>
    <w:rsid w:val="008F3A31"/>
    <w:rsid w:val="008F3AEC"/>
    <w:rsid w:val="008F3D15"/>
    <w:rsid w:val="008F3EE6"/>
    <w:rsid w:val="008F3FDF"/>
    <w:rsid w:val="008F41F0"/>
    <w:rsid w:val="008F4399"/>
    <w:rsid w:val="008F4407"/>
    <w:rsid w:val="008F447E"/>
    <w:rsid w:val="008F44DF"/>
    <w:rsid w:val="008F49DB"/>
    <w:rsid w:val="008F4A7E"/>
    <w:rsid w:val="008F4AB3"/>
    <w:rsid w:val="008F4AD4"/>
    <w:rsid w:val="008F4BF6"/>
    <w:rsid w:val="008F4CF5"/>
    <w:rsid w:val="008F4E44"/>
    <w:rsid w:val="008F4FE4"/>
    <w:rsid w:val="008F51D6"/>
    <w:rsid w:val="008F523C"/>
    <w:rsid w:val="008F5299"/>
    <w:rsid w:val="008F5C34"/>
    <w:rsid w:val="008F5CF7"/>
    <w:rsid w:val="008F5E79"/>
    <w:rsid w:val="008F624C"/>
    <w:rsid w:val="008F6357"/>
    <w:rsid w:val="008F6781"/>
    <w:rsid w:val="008F681C"/>
    <w:rsid w:val="008F6FB7"/>
    <w:rsid w:val="008F703E"/>
    <w:rsid w:val="008F72BF"/>
    <w:rsid w:val="008F7789"/>
    <w:rsid w:val="009000E7"/>
    <w:rsid w:val="00900174"/>
    <w:rsid w:val="009001F4"/>
    <w:rsid w:val="0090020A"/>
    <w:rsid w:val="0090033C"/>
    <w:rsid w:val="009003BE"/>
    <w:rsid w:val="00900715"/>
    <w:rsid w:val="0090083E"/>
    <w:rsid w:val="00900936"/>
    <w:rsid w:val="00900A3F"/>
    <w:rsid w:val="00900C5C"/>
    <w:rsid w:val="00900D47"/>
    <w:rsid w:val="00900FEA"/>
    <w:rsid w:val="009010FB"/>
    <w:rsid w:val="00901343"/>
    <w:rsid w:val="009015F9"/>
    <w:rsid w:val="00901605"/>
    <w:rsid w:val="00901A04"/>
    <w:rsid w:val="00901C26"/>
    <w:rsid w:val="00902199"/>
    <w:rsid w:val="009023B3"/>
    <w:rsid w:val="009025CF"/>
    <w:rsid w:val="009026AA"/>
    <w:rsid w:val="00902922"/>
    <w:rsid w:val="00902A71"/>
    <w:rsid w:val="00902C12"/>
    <w:rsid w:val="00902D2D"/>
    <w:rsid w:val="00902E92"/>
    <w:rsid w:val="00903205"/>
    <w:rsid w:val="00903783"/>
    <w:rsid w:val="009038B4"/>
    <w:rsid w:val="00903F33"/>
    <w:rsid w:val="00903FF4"/>
    <w:rsid w:val="00904121"/>
    <w:rsid w:val="00904204"/>
    <w:rsid w:val="009044F3"/>
    <w:rsid w:val="0090467A"/>
    <w:rsid w:val="00904733"/>
    <w:rsid w:val="00904780"/>
    <w:rsid w:val="00904B0F"/>
    <w:rsid w:val="00904B13"/>
    <w:rsid w:val="00904BE9"/>
    <w:rsid w:val="00904E41"/>
    <w:rsid w:val="00904E8B"/>
    <w:rsid w:val="00905183"/>
    <w:rsid w:val="0090524E"/>
    <w:rsid w:val="009052CB"/>
    <w:rsid w:val="00905716"/>
    <w:rsid w:val="009060EA"/>
    <w:rsid w:val="00906115"/>
    <w:rsid w:val="00906349"/>
    <w:rsid w:val="00906A54"/>
    <w:rsid w:val="00906A5F"/>
    <w:rsid w:val="00906AEA"/>
    <w:rsid w:val="00906C06"/>
    <w:rsid w:val="00906C2F"/>
    <w:rsid w:val="00906C5E"/>
    <w:rsid w:val="00906DEB"/>
    <w:rsid w:val="00906DFB"/>
    <w:rsid w:val="00906E8B"/>
    <w:rsid w:val="00906EE5"/>
    <w:rsid w:val="00906FE3"/>
    <w:rsid w:val="0090719F"/>
    <w:rsid w:val="00907334"/>
    <w:rsid w:val="0090734D"/>
    <w:rsid w:val="00907541"/>
    <w:rsid w:val="009075B4"/>
    <w:rsid w:val="00907801"/>
    <w:rsid w:val="00907899"/>
    <w:rsid w:val="00907B02"/>
    <w:rsid w:val="00907D98"/>
    <w:rsid w:val="00907DE8"/>
    <w:rsid w:val="0091002C"/>
    <w:rsid w:val="00910AE3"/>
    <w:rsid w:val="00910DDF"/>
    <w:rsid w:val="009110DE"/>
    <w:rsid w:val="009115DF"/>
    <w:rsid w:val="0091186D"/>
    <w:rsid w:val="0091189F"/>
    <w:rsid w:val="00911A8A"/>
    <w:rsid w:val="00911CD7"/>
    <w:rsid w:val="00911E47"/>
    <w:rsid w:val="0091238F"/>
    <w:rsid w:val="0091246F"/>
    <w:rsid w:val="009124ED"/>
    <w:rsid w:val="0091278D"/>
    <w:rsid w:val="00912AF0"/>
    <w:rsid w:val="00912D71"/>
    <w:rsid w:val="00912F50"/>
    <w:rsid w:val="00912FF6"/>
    <w:rsid w:val="00913258"/>
    <w:rsid w:val="00913259"/>
    <w:rsid w:val="00913319"/>
    <w:rsid w:val="009136BE"/>
    <w:rsid w:val="00913AE3"/>
    <w:rsid w:val="0091419E"/>
    <w:rsid w:val="009145FF"/>
    <w:rsid w:val="009147C1"/>
    <w:rsid w:val="009149F2"/>
    <w:rsid w:val="00914BD0"/>
    <w:rsid w:val="00914D38"/>
    <w:rsid w:val="00914DA7"/>
    <w:rsid w:val="00915230"/>
    <w:rsid w:val="009155C6"/>
    <w:rsid w:val="00915731"/>
    <w:rsid w:val="009157D7"/>
    <w:rsid w:val="00915BA8"/>
    <w:rsid w:val="00915CCA"/>
    <w:rsid w:val="00915D04"/>
    <w:rsid w:val="00915D51"/>
    <w:rsid w:val="00915D9C"/>
    <w:rsid w:val="00915F41"/>
    <w:rsid w:val="00915F63"/>
    <w:rsid w:val="00916553"/>
    <w:rsid w:val="009165A3"/>
    <w:rsid w:val="009168BA"/>
    <w:rsid w:val="00916AF0"/>
    <w:rsid w:val="00916AFA"/>
    <w:rsid w:val="00916D05"/>
    <w:rsid w:val="00916D2A"/>
    <w:rsid w:val="00916E79"/>
    <w:rsid w:val="00916EA1"/>
    <w:rsid w:val="00917196"/>
    <w:rsid w:val="009171AC"/>
    <w:rsid w:val="009171DD"/>
    <w:rsid w:val="0091721E"/>
    <w:rsid w:val="009175A6"/>
    <w:rsid w:val="009175B2"/>
    <w:rsid w:val="009177E9"/>
    <w:rsid w:val="0091791C"/>
    <w:rsid w:val="00917B28"/>
    <w:rsid w:val="00917D11"/>
    <w:rsid w:val="0092016A"/>
    <w:rsid w:val="00920802"/>
    <w:rsid w:val="0092085C"/>
    <w:rsid w:val="009208B0"/>
    <w:rsid w:val="00920A6B"/>
    <w:rsid w:val="00920B64"/>
    <w:rsid w:val="00921049"/>
    <w:rsid w:val="0092183A"/>
    <w:rsid w:val="0092193A"/>
    <w:rsid w:val="00921D04"/>
    <w:rsid w:val="00921EA1"/>
    <w:rsid w:val="00922180"/>
    <w:rsid w:val="009221AD"/>
    <w:rsid w:val="00922298"/>
    <w:rsid w:val="00922482"/>
    <w:rsid w:val="009227C3"/>
    <w:rsid w:val="00922A16"/>
    <w:rsid w:val="00922BF7"/>
    <w:rsid w:val="00922DA4"/>
    <w:rsid w:val="00922E3D"/>
    <w:rsid w:val="00923366"/>
    <w:rsid w:val="0092361C"/>
    <w:rsid w:val="009236A3"/>
    <w:rsid w:val="00923C2D"/>
    <w:rsid w:val="009240B7"/>
    <w:rsid w:val="00924810"/>
    <w:rsid w:val="009249D5"/>
    <w:rsid w:val="00924D2D"/>
    <w:rsid w:val="00924DCE"/>
    <w:rsid w:val="00924DF7"/>
    <w:rsid w:val="00925115"/>
    <w:rsid w:val="00925165"/>
    <w:rsid w:val="00925166"/>
    <w:rsid w:val="0092525C"/>
    <w:rsid w:val="009252CE"/>
    <w:rsid w:val="0092536F"/>
    <w:rsid w:val="00925491"/>
    <w:rsid w:val="009257C1"/>
    <w:rsid w:val="009258AA"/>
    <w:rsid w:val="009258EA"/>
    <w:rsid w:val="00925A27"/>
    <w:rsid w:val="00925BAF"/>
    <w:rsid w:val="0092600B"/>
    <w:rsid w:val="0092611E"/>
    <w:rsid w:val="00926172"/>
    <w:rsid w:val="009264C0"/>
    <w:rsid w:val="00926572"/>
    <w:rsid w:val="009265C7"/>
    <w:rsid w:val="009266B4"/>
    <w:rsid w:val="00926C42"/>
    <w:rsid w:val="00926C4B"/>
    <w:rsid w:val="00926D45"/>
    <w:rsid w:val="00926D7C"/>
    <w:rsid w:val="009275D3"/>
    <w:rsid w:val="00927668"/>
    <w:rsid w:val="0092766E"/>
    <w:rsid w:val="00927A7A"/>
    <w:rsid w:val="0093012D"/>
    <w:rsid w:val="00930173"/>
    <w:rsid w:val="009302F2"/>
    <w:rsid w:val="00930782"/>
    <w:rsid w:val="0093079D"/>
    <w:rsid w:val="00930988"/>
    <w:rsid w:val="00930B1E"/>
    <w:rsid w:val="00930D09"/>
    <w:rsid w:val="00930DBF"/>
    <w:rsid w:val="00931044"/>
    <w:rsid w:val="0093115B"/>
    <w:rsid w:val="009312E4"/>
    <w:rsid w:val="009313DD"/>
    <w:rsid w:val="0093156C"/>
    <w:rsid w:val="00931788"/>
    <w:rsid w:val="0093178F"/>
    <w:rsid w:val="00931976"/>
    <w:rsid w:val="00931BE1"/>
    <w:rsid w:val="00931ECF"/>
    <w:rsid w:val="0093208C"/>
    <w:rsid w:val="0093212F"/>
    <w:rsid w:val="0093221B"/>
    <w:rsid w:val="00932419"/>
    <w:rsid w:val="00932493"/>
    <w:rsid w:val="009328C9"/>
    <w:rsid w:val="00932CE0"/>
    <w:rsid w:val="00932ED1"/>
    <w:rsid w:val="009331CF"/>
    <w:rsid w:val="009334AC"/>
    <w:rsid w:val="0093358E"/>
    <w:rsid w:val="00933C9A"/>
    <w:rsid w:val="00934056"/>
    <w:rsid w:val="00934060"/>
    <w:rsid w:val="0093424D"/>
    <w:rsid w:val="00934564"/>
    <w:rsid w:val="009345CA"/>
    <w:rsid w:val="0093467D"/>
    <w:rsid w:val="0093493D"/>
    <w:rsid w:val="00934F55"/>
    <w:rsid w:val="00934FEE"/>
    <w:rsid w:val="009351FB"/>
    <w:rsid w:val="00935301"/>
    <w:rsid w:val="009356DA"/>
    <w:rsid w:val="00935A11"/>
    <w:rsid w:val="00935E03"/>
    <w:rsid w:val="00935EBC"/>
    <w:rsid w:val="0093611E"/>
    <w:rsid w:val="009362F7"/>
    <w:rsid w:val="0093632B"/>
    <w:rsid w:val="0093654C"/>
    <w:rsid w:val="00936782"/>
    <w:rsid w:val="009367E2"/>
    <w:rsid w:val="00936A34"/>
    <w:rsid w:val="0093725F"/>
    <w:rsid w:val="009373FE"/>
    <w:rsid w:val="00937426"/>
    <w:rsid w:val="00937466"/>
    <w:rsid w:val="009378D2"/>
    <w:rsid w:val="00937A13"/>
    <w:rsid w:val="00937AE7"/>
    <w:rsid w:val="00937CDA"/>
    <w:rsid w:val="00937D7A"/>
    <w:rsid w:val="00937E3D"/>
    <w:rsid w:val="00937E53"/>
    <w:rsid w:val="00937EA4"/>
    <w:rsid w:val="00940145"/>
    <w:rsid w:val="009403F5"/>
    <w:rsid w:val="009404B8"/>
    <w:rsid w:val="009409AF"/>
    <w:rsid w:val="009409B6"/>
    <w:rsid w:val="00940A9A"/>
    <w:rsid w:val="00940BF4"/>
    <w:rsid w:val="00941012"/>
    <w:rsid w:val="00941195"/>
    <w:rsid w:val="009411EA"/>
    <w:rsid w:val="0094146D"/>
    <w:rsid w:val="00941573"/>
    <w:rsid w:val="009417E6"/>
    <w:rsid w:val="009418CD"/>
    <w:rsid w:val="009418FA"/>
    <w:rsid w:val="00941A22"/>
    <w:rsid w:val="00941ED9"/>
    <w:rsid w:val="00942010"/>
    <w:rsid w:val="00942700"/>
    <w:rsid w:val="0094287E"/>
    <w:rsid w:val="00942922"/>
    <w:rsid w:val="009429A3"/>
    <w:rsid w:val="00942C3C"/>
    <w:rsid w:val="00942D5D"/>
    <w:rsid w:val="0094313F"/>
    <w:rsid w:val="0094320A"/>
    <w:rsid w:val="009435A5"/>
    <w:rsid w:val="0094369D"/>
    <w:rsid w:val="009437C3"/>
    <w:rsid w:val="009438C2"/>
    <w:rsid w:val="009439BE"/>
    <w:rsid w:val="00943A1D"/>
    <w:rsid w:val="00943D72"/>
    <w:rsid w:val="009441B8"/>
    <w:rsid w:val="00944423"/>
    <w:rsid w:val="00944435"/>
    <w:rsid w:val="009445E2"/>
    <w:rsid w:val="00944743"/>
    <w:rsid w:val="009449F3"/>
    <w:rsid w:val="00944A70"/>
    <w:rsid w:val="00944C33"/>
    <w:rsid w:val="00944E46"/>
    <w:rsid w:val="00944E9F"/>
    <w:rsid w:val="009450DA"/>
    <w:rsid w:val="00945311"/>
    <w:rsid w:val="0094554E"/>
    <w:rsid w:val="009455AB"/>
    <w:rsid w:val="009455B7"/>
    <w:rsid w:val="00945A87"/>
    <w:rsid w:val="00945A89"/>
    <w:rsid w:val="00945AD6"/>
    <w:rsid w:val="00945F1C"/>
    <w:rsid w:val="00946161"/>
    <w:rsid w:val="009461A0"/>
    <w:rsid w:val="009464CE"/>
    <w:rsid w:val="00946B78"/>
    <w:rsid w:val="00946D64"/>
    <w:rsid w:val="00946EC8"/>
    <w:rsid w:val="009476FA"/>
    <w:rsid w:val="0094780E"/>
    <w:rsid w:val="00947993"/>
    <w:rsid w:val="00947E55"/>
    <w:rsid w:val="009502AF"/>
    <w:rsid w:val="0095058A"/>
    <w:rsid w:val="00950600"/>
    <w:rsid w:val="00950839"/>
    <w:rsid w:val="009509B4"/>
    <w:rsid w:val="00950CBE"/>
    <w:rsid w:val="00950DE9"/>
    <w:rsid w:val="00950EC8"/>
    <w:rsid w:val="0095170D"/>
    <w:rsid w:val="009517B2"/>
    <w:rsid w:val="00951C6E"/>
    <w:rsid w:val="0095250E"/>
    <w:rsid w:val="00952558"/>
    <w:rsid w:val="0095258A"/>
    <w:rsid w:val="00952632"/>
    <w:rsid w:val="00952826"/>
    <w:rsid w:val="00952AF1"/>
    <w:rsid w:val="00952D55"/>
    <w:rsid w:val="00952FD8"/>
    <w:rsid w:val="0095307F"/>
    <w:rsid w:val="0095326A"/>
    <w:rsid w:val="009532B6"/>
    <w:rsid w:val="00953436"/>
    <w:rsid w:val="0095358F"/>
    <w:rsid w:val="009535EF"/>
    <w:rsid w:val="00953A73"/>
    <w:rsid w:val="00953A7D"/>
    <w:rsid w:val="00953CD1"/>
    <w:rsid w:val="0095403C"/>
    <w:rsid w:val="009540A2"/>
    <w:rsid w:val="009541FF"/>
    <w:rsid w:val="009542E7"/>
    <w:rsid w:val="009548FF"/>
    <w:rsid w:val="00954965"/>
    <w:rsid w:val="00954C7E"/>
    <w:rsid w:val="00955526"/>
    <w:rsid w:val="00955A10"/>
    <w:rsid w:val="00955A7F"/>
    <w:rsid w:val="00955ABF"/>
    <w:rsid w:val="00955D9A"/>
    <w:rsid w:val="009560B0"/>
    <w:rsid w:val="0095647C"/>
    <w:rsid w:val="00956506"/>
    <w:rsid w:val="00956643"/>
    <w:rsid w:val="009566DA"/>
    <w:rsid w:val="00956750"/>
    <w:rsid w:val="00956943"/>
    <w:rsid w:val="00956D96"/>
    <w:rsid w:val="00957009"/>
    <w:rsid w:val="00957080"/>
    <w:rsid w:val="0095717B"/>
    <w:rsid w:val="00957707"/>
    <w:rsid w:val="0095793C"/>
    <w:rsid w:val="00957B11"/>
    <w:rsid w:val="00957B8E"/>
    <w:rsid w:val="00957BC1"/>
    <w:rsid w:val="00957CB3"/>
    <w:rsid w:val="00957F6B"/>
    <w:rsid w:val="00957FD5"/>
    <w:rsid w:val="00960091"/>
    <w:rsid w:val="009600D1"/>
    <w:rsid w:val="00960523"/>
    <w:rsid w:val="00960672"/>
    <w:rsid w:val="009606F5"/>
    <w:rsid w:val="00960A30"/>
    <w:rsid w:val="00960AF4"/>
    <w:rsid w:val="00960C90"/>
    <w:rsid w:val="00960F39"/>
    <w:rsid w:val="009612BB"/>
    <w:rsid w:val="00962108"/>
    <w:rsid w:val="009624EC"/>
    <w:rsid w:val="009624F6"/>
    <w:rsid w:val="00962538"/>
    <w:rsid w:val="00962EEF"/>
    <w:rsid w:val="0096301C"/>
    <w:rsid w:val="009632C5"/>
    <w:rsid w:val="00963329"/>
    <w:rsid w:val="00963484"/>
    <w:rsid w:val="00963511"/>
    <w:rsid w:val="00963620"/>
    <w:rsid w:val="009636B1"/>
    <w:rsid w:val="00963874"/>
    <w:rsid w:val="00963904"/>
    <w:rsid w:val="009639A1"/>
    <w:rsid w:val="009641E9"/>
    <w:rsid w:val="009645C7"/>
    <w:rsid w:val="0096473C"/>
    <w:rsid w:val="00964816"/>
    <w:rsid w:val="00965269"/>
    <w:rsid w:val="009654E4"/>
    <w:rsid w:val="009655DC"/>
    <w:rsid w:val="009655E2"/>
    <w:rsid w:val="00965757"/>
    <w:rsid w:val="00965816"/>
    <w:rsid w:val="00965CB9"/>
    <w:rsid w:val="0096621F"/>
    <w:rsid w:val="00966270"/>
    <w:rsid w:val="009664C3"/>
    <w:rsid w:val="0096675D"/>
    <w:rsid w:val="00966C09"/>
    <w:rsid w:val="00966C2B"/>
    <w:rsid w:val="00966E4F"/>
    <w:rsid w:val="00967196"/>
    <w:rsid w:val="00967209"/>
    <w:rsid w:val="00967385"/>
    <w:rsid w:val="0096751C"/>
    <w:rsid w:val="00967B25"/>
    <w:rsid w:val="00967CE3"/>
    <w:rsid w:val="00967E55"/>
    <w:rsid w:val="009701CC"/>
    <w:rsid w:val="0097049F"/>
    <w:rsid w:val="009704B1"/>
    <w:rsid w:val="00970817"/>
    <w:rsid w:val="00970D2E"/>
    <w:rsid w:val="00970D74"/>
    <w:rsid w:val="00970EEA"/>
    <w:rsid w:val="009712D3"/>
    <w:rsid w:val="009716A9"/>
    <w:rsid w:val="009716FE"/>
    <w:rsid w:val="009717DC"/>
    <w:rsid w:val="0097183E"/>
    <w:rsid w:val="009718D8"/>
    <w:rsid w:val="0097191C"/>
    <w:rsid w:val="00971AE1"/>
    <w:rsid w:val="00971B38"/>
    <w:rsid w:val="00971C2C"/>
    <w:rsid w:val="00971F0E"/>
    <w:rsid w:val="009720FE"/>
    <w:rsid w:val="00972166"/>
    <w:rsid w:val="0097243E"/>
    <w:rsid w:val="00972501"/>
    <w:rsid w:val="00972731"/>
    <w:rsid w:val="00972A45"/>
    <w:rsid w:val="00972E24"/>
    <w:rsid w:val="00972F43"/>
    <w:rsid w:val="00972F8A"/>
    <w:rsid w:val="00973188"/>
    <w:rsid w:val="009731AD"/>
    <w:rsid w:val="009732E6"/>
    <w:rsid w:val="00973419"/>
    <w:rsid w:val="0097369C"/>
    <w:rsid w:val="00973AD8"/>
    <w:rsid w:val="00973BA0"/>
    <w:rsid w:val="00973E9B"/>
    <w:rsid w:val="00974104"/>
    <w:rsid w:val="00974240"/>
    <w:rsid w:val="00974287"/>
    <w:rsid w:val="00974526"/>
    <w:rsid w:val="00974577"/>
    <w:rsid w:val="0097494C"/>
    <w:rsid w:val="0097498C"/>
    <w:rsid w:val="00974A41"/>
    <w:rsid w:val="00974CDA"/>
    <w:rsid w:val="00974E0A"/>
    <w:rsid w:val="00974E66"/>
    <w:rsid w:val="00975811"/>
    <w:rsid w:val="00975907"/>
    <w:rsid w:val="00975920"/>
    <w:rsid w:val="00975A73"/>
    <w:rsid w:val="00975E78"/>
    <w:rsid w:val="0097665A"/>
    <w:rsid w:val="0097670E"/>
    <w:rsid w:val="009769DA"/>
    <w:rsid w:val="009774A9"/>
    <w:rsid w:val="00977869"/>
    <w:rsid w:val="00977872"/>
    <w:rsid w:val="00977A1F"/>
    <w:rsid w:val="00977CB4"/>
    <w:rsid w:val="00977E1A"/>
    <w:rsid w:val="00977EFA"/>
    <w:rsid w:val="0098020D"/>
    <w:rsid w:val="009804BA"/>
    <w:rsid w:val="00980678"/>
    <w:rsid w:val="00980F44"/>
    <w:rsid w:val="00980F87"/>
    <w:rsid w:val="009810BB"/>
    <w:rsid w:val="00981145"/>
    <w:rsid w:val="00981427"/>
    <w:rsid w:val="00981467"/>
    <w:rsid w:val="00981694"/>
    <w:rsid w:val="00981707"/>
    <w:rsid w:val="00981BC3"/>
    <w:rsid w:val="00981E48"/>
    <w:rsid w:val="009827E4"/>
    <w:rsid w:val="00982B5D"/>
    <w:rsid w:val="00982CFB"/>
    <w:rsid w:val="00983489"/>
    <w:rsid w:val="0098385F"/>
    <w:rsid w:val="00983BD2"/>
    <w:rsid w:val="009841E3"/>
    <w:rsid w:val="00984441"/>
    <w:rsid w:val="009844AF"/>
    <w:rsid w:val="009844CF"/>
    <w:rsid w:val="009844FD"/>
    <w:rsid w:val="009848B7"/>
    <w:rsid w:val="00984980"/>
    <w:rsid w:val="00984A16"/>
    <w:rsid w:val="00984CEC"/>
    <w:rsid w:val="00984DD8"/>
    <w:rsid w:val="00984E31"/>
    <w:rsid w:val="009850A1"/>
    <w:rsid w:val="00985186"/>
    <w:rsid w:val="0098518D"/>
    <w:rsid w:val="009851C5"/>
    <w:rsid w:val="00985284"/>
    <w:rsid w:val="009857B6"/>
    <w:rsid w:val="00985E10"/>
    <w:rsid w:val="00986187"/>
    <w:rsid w:val="0098622E"/>
    <w:rsid w:val="00986421"/>
    <w:rsid w:val="0098655E"/>
    <w:rsid w:val="009867AE"/>
    <w:rsid w:val="0098697D"/>
    <w:rsid w:val="0098706F"/>
    <w:rsid w:val="009871B0"/>
    <w:rsid w:val="009873CE"/>
    <w:rsid w:val="00987666"/>
    <w:rsid w:val="00987A22"/>
    <w:rsid w:val="00987A6B"/>
    <w:rsid w:val="00987EFA"/>
    <w:rsid w:val="00990044"/>
    <w:rsid w:val="009900D7"/>
    <w:rsid w:val="009901F1"/>
    <w:rsid w:val="009903F2"/>
    <w:rsid w:val="0099071D"/>
    <w:rsid w:val="0099075B"/>
    <w:rsid w:val="0099085F"/>
    <w:rsid w:val="00990966"/>
    <w:rsid w:val="0099097F"/>
    <w:rsid w:val="00990A4C"/>
    <w:rsid w:val="00990D91"/>
    <w:rsid w:val="00990F42"/>
    <w:rsid w:val="00991080"/>
    <w:rsid w:val="009910F4"/>
    <w:rsid w:val="009911C5"/>
    <w:rsid w:val="00991342"/>
    <w:rsid w:val="00991381"/>
    <w:rsid w:val="00991AAD"/>
    <w:rsid w:val="00991FD5"/>
    <w:rsid w:val="00992175"/>
    <w:rsid w:val="0099242E"/>
    <w:rsid w:val="0099250F"/>
    <w:rsid w:val="009925DB"/>
    <w:rsid w:val="00992920"/>
    <w:rsid w:val="00992923"/>
    <w:rsid w:val="00992F0B"/>
    <w:rsid w:val="00993114"/>
    <w:rsid w:val="0099366B"/>
    <w:rsid w:val="00993900"/>
    <w:rsid w:val="00993916"/>
    <w:rsid w:val="00993A38"/>
    <w:rsid w:val="00993AEF"/>
    <w:rsid w:val="00993B72"/>
    <w:rsid w:val="00993CC9"/>
    <w:rsid w:val="00993E88"/>
    <w:rsid w:val="009940A4"/>
    <w:rsid w:val="00994156"/>
    <w:rsid w:val="009941EB"/>
    <w:rsid w:val="00994327"/>
    <w:rsid w:val="00994768"/>
    <w:rsid w:val="00994774"/>
    <w:rsid w:val="00994D83"/>
    <w:rsid w:val="00994EEB"/>
    <w:rsid w:val="00995069"/>
    <w:rsid w:val="0099508F"/>
    <w:rsid w:val="00995241"/>
    <w:rsid w:val="00995483"/>
    <w:rsid w:val="00995666"/>
    <w:rsid w:val="00995669"/>
    <w:rsid w:val="0099593C"/>
    <w:rsid w:val="00995A2C"/>
    <w:rsid w:val="00995AD7"/>
    <w:rsid w:val="00995E0C"/>
    <w:rsid w:val="00996331"/>
    <w:rsid w:val="00996714"/>
    <w:rsid w:val="0099675D"/>
    <w:rsid w:val="0099677A"/>
    <w:rsid w:val="00996914"/>
    <w:rsid w:val="00996BBB"/>
    <w:rsid w:val="00996DDA"/>
    <w:rsid w:val="00996E6D"/>
    <w:rsid w:val="00996F0F"/>
    <w:rsid w:val="00997206"/>
    <w:rsid w:val="009973EE"/>
    <w:rsid w:val="00997646"/>
    <w:rsid w:val="00997735"/>
    <w:rsid w:val="00997859"/>
    <w:rsid w:val="00997AC5"/>
    <w:rsid w:val="00997B6A"/>
    <w:rsid w:val="00997BCB"/>
    <w:rsid w:val="00997BEC"/>
    <w:rsid w:val="009A0014"/>
    <w:rsid w:val="009A0237"/>
    <w:rsid w:val="009A043C"/>
    <w:rsid w:val="009A04A0"/>
    <w:rsid w:val="009A04EA"/>
    <w:rsid w:val="009A0627"/>
    <w:rsid w:val="009A0650"/>
    <w:rsid w:val="009A089D"/>
    <w:rsid w:val="009A08F5"/>
    <w:rsid w:val="009A0A57"/>
    <w:rsid w:val="009A0C36"/>
    <w:rsid w:val="009A0CFB"/>
    <w:rsid w:val="009A0D27"/>
    <w:rsid w:val="009A0DE8"/>
    <w:rsid w:val="009A1166"/>
    <w:rsid w:val="009A1197"/>
    <w:rsid w:val="009A12EB"/>
    <w:rsid w:val="009A13AB"/>
    <w:rsid w:val="009A13E8"/>
    <w:rsid w:val="009A1472"/>
    <w:rsid w:val="009A166A"/>
    <w:rsid w:val="009A1740"/>
    <w:rsid w:val="009A177D"/>
    <w:rsid w:val="009A17C3"/>
    <w:rsid w:val="009A1927"/>
    <w:rsid w:val="009A1995"/>
    <w:rsid w:val="009A1BEE"/>
    <w:rsid w:val="009A1C88"/>
    <w:rsid w:val="009A1F9D"/>
    <w:rsid w:val="009A1FDE"/>
    <w:rsid w:val="009A2013"/>
    <w:rsid w:val="009A2132"/>
    <w:rsid w:val="009A272F"/>
    <w:rsid w:val="009A2AF0"/>
    <w:rsid w:val="009A2DE3"/>
    <w:rsid w:val="009A2EC7"/>
    <w:rsid w:val="009A313D"/>
    <w:rsid w:val="009A35B4"/>
    <w:rsid w:val="009A3DE1"/>
    <w:rsid w:val="009A3E7C"/>
    <w:rsid w:val="009A3EAA"/>
    <w:rsid w:val="009A4305"/>
    <w:rsid w:val="009A463A"/>
    <w:rsid w:val="009A47D7"/>
    <w:rsid w:val="009A4878"/>
    <w:rsid w:val="009A4F17"/>
    <w:rsid w:val="009A4FB2"/>
    <w:rsid w:val="009A509F"/>
    <w:rsid w:val="009A561E"/>
    <w:rsid w:val="009A580E"/>
    <w:rsid w:val="009A5850"/>
    <w:rsid w:val="009A5979"/>
    <w:rsid w:val="009A5A06"/>
    <w:rsid w:val="009A5D2F"/>
    <w:rsid w:val="009A5D4A"/>
    <w:rsid w:val="009A6A4D"/>
    <w:rsid w:val="009A6E97"/>
    <w:rsid w:val="009A6F74"/>
    <w:rsid w:val="009A6FBE"/>
    <w:rsid w:val="009A700C"/>
    <w:rsid w:val="009A7022"/>
    <w:rsid w:val="009A723D"/>
    <w:rsid w:val="009A7789"/>
    <w:rsid w:val="009A7D5B"/>
    <w:rsid w:val="009A7F39"/>
    <w:rsid w:val="009A7F73"/>
    <w:rsid w:val="009B0075"/>
    <w:rsid w:val="009B0146"/>
    <w:rsid w:val="009B03E9"/>
    <w:rsid w:val="009B064F"/>
    <w:rsid w:val="009B0768"/>
    <w:rsid w:val="009B07A0"/>
    <w:rsid w:val="009B0826"/>
    <w:rsid w:val="009B0A82"/>
    <w:rsid w:val="009B0AF0"/>
    <w:rsid w:val="009B0B63"/>
    <w:rsid w:val="009B0E69"/>
    <w:rsid w:val="009B1240"/>
    <w:rsid w:val="009B1699"/>
    <w:rsid w:val="009B182A"/>
    <w:rsid w:val="009B1A7C"/>
    <w:rsid w:val="009B1BD6"/>
    <w:rsid w:val="009B2138"/>
    <w:rsid w:val="009B2AF5"/>
    <w:rsid w:val="009B2B31"/>
    <w:rsid w:val="009B2D57"/>
    <w:rsid w:val="009B30F8"/>
    <w:rsid w:val="009B38C3"/>
    <w:rsid w:val="009B3AEF"/>
    <w:rsid w:val="009B3D50"/>
    <w:rsid w:val="009B4211"/>
    <w:rsid w:val="009B4294"/>
    <w:rsid w:val="009B42CB"/>
    <w:rsid w:val="009B4441"/>
    <w:rsid w:val="009B47AB"/>
    <w:rsid w:val="009B530B"/>
    <w:rsid w:val="009B54A5"/>
    <w:rsid w:val="009B5591"/>
    <w:rsid w:val="009B567E"/>
    <w:rsid w:val="009B56F6"/>
    <w:rsid w:val="009B5772"/>
    <w:rsid w:val="009B585E"/>
    <w:rsid w:val="009B5AB4"/>
    <w:rsid w:val="009B5ABF"/>
    <w:rsid w:val="009B5AC4"/>
    <w:rsid w:val="009B5BDA"/>
    <w:rsid w:val="009B5C3E"/>
    <w:rsid w:val="009B5E64"/>
    <w:rsid w:val="009B5F75"/>
    <w:rsid w:val="009B62CD"/>
    <w:rsid w:val="009B650D"/>
    <w:rsid w:val="009B6583"/>
    <w:rsid w:val="009B6650"/>
    <w:rsid w:val="009B668F"/>
    <w:rsid w:val="009B67C5"/>
    <w:rsid w:val="009B6BE5"/>
    <w:rsid w:val="009B72DF"/>
    <w:rsid w:val="009B75BD"/>
    <w:rsid w:val="009B78F8"/>
    <w:rsid w:val="009B7F0D"/>
    <w:rsid w:val="009C00FD"/>
    <w:rsid w:val="009C06A7"/>
    <w:rsid w:val="009C08E3"/>
    <w:rsid w:val="009C0CC4"/>
    <w:rsid w:val="009C0E96"/>
    <w:rsid w:val="009C0F03"/>
    <w:rsid w:val="009C0F40"/>
    <w:rsid w:val="009C100C"/>
    <w:rsid w:val="009C12D2"/>
    <w:rsid w:val="009C13B9"/>
    <w:rsid w:val="009C1416"/>
    <w:rsid w:val="009C15AD"/>
    <w:rsid w:val="009C1731"/>
    <w:rsid w:val="009C1987"/>
    <w:rsid w:val="009C1A82"/>
    <w:rsid w:val="009C212C"/>
    <w:rsid w:val="009C2305"/>
    <w:rsid w:val="009C2676"/>
    <w:rsid w:val="009C293A"/>
    <w:rsid w:val="009C2DFD"/>
    <w:rsid w:val="009C2F33"/>
    <w:rsid w:val="009C2F37"/>
    <w:rsid w:val="009C30E2"/>
    <w:rsid w:val="009C33C9"/>
    <w:rsid w:val="009C35AD"/>
    <w:rsid w:val="009C3794"/>
    <w:rsid w:val="009C39AF"/>
    <w:rsid w:val="009C3ABA"/>
    <w:rsid w:val="009C43F0"/>
    <w:rsid w:val="009C474C"/>
    <w:rsid w:val="009C49C0"/>
    <w:rsid w:val="009C4A75"/>
    <w:rsid w:val="009C4AED"/>
    <w:rsid w:val="009C4D08"/>
    <w:rsid w:val="009C4D74"/>
    <w:rsid w:val="009C4F22"/>
    <w:rsid w:val="009C526E"/>
    <w:rsid w:val="009C53FE"/>
    <w:rsid w:val="009C54EC"/>
    <w:rsid w:val="009C54F5"/>
    <w:rsid w:val="009C574F"/>
    <w:rsid w:val="009C580E"/>
    <w:rsid w:val="009C5D14"/>
    <w:rsid w:val="009C5D4E"/>
    <w:rsid w:val="009C5EB1"/>
    <w:rsid w:val="009C60FA"/>
    <w:rsid w:val="009C66A2"/>
    <w:rsid w:val="009C6784"/>
    <w:rsid w:val="009C678F"/>
    <w:rsid w:val="009C6B05"/>
    <w:rsid w:val="009C6BC9"/>
    <w:rsid w:val="009C6BFD"/>
    <w:rsid w:val="009C6D97"/>
    <w:rsid w:val="009C6F5B"/>
    <w:rsid w:val="009C75C7"/>
    <w:rsid w:val="009C7DA1"/>
    <w:rsid w:val="009C7E47"/>
    <w:rsid w:val="009D03AD"/>
    <w:rsid w:val="009D078F"/>
    <w:rsid w:val="009D0A54"/>
    <w:rsid w:val="009D140F"/>
    <w:rsid w:val="009D159D"/>
    <w:rsid w:val="009D166F"/>
    <w:rsid w:val="009D186F"/>
    <w:rsid w:val="009D1ADA"/>
    <w:rsid w:val="009D1B55"/>
    <w:rsid w:val="009D1E57"/>
    <w:rsid w:val="009D2039"/>
    <w:rsid w:val="009D2364"/>
    <w:rsid w:val="009D2499"/>
    <w:rsid w:val="009D253F"/>
    <w:rsid w:val="009D2770"/>
    <w:rsid w:val="009D29E1"/>
    <w:rsid w:val="009D2DB0"/>
    <w:rsid w:val="009D2F28"/>
    <w:rsid w:val="009D31F4"/>
    <w:rsid w:val="009D3237"/>
    <w:rsid w:val="009D35F1"/>
    <w:rsid w:val="009D360C"/>
    <w:rsid w:val="009D3628"/>
    <w:rsid w:val="009D3759"/>
    <w:rsid w:val="009D3A77"/>
    <w:rsid w:val="009D3C6B"/>
    <w:rsid w:val="009D3D51"/>
    <w:rsid w:val="009D3FB9"/>
    <w:rsid w:val="009D4060"/>
    <w:rsid w:val="009D4177"/>
    <w:rsid w:val="009D425D"/>
    <w:rsid w:val="009D48EC"/>
    <w:rsid w:val="009D4A9E"/>
    <w:rsid w:val="009D4C2A"/>
    <w:rsid w:val="009D4D13"/>
    <w:rsid w:val="009D4F2A"/>
    <w:rsid w:val="009D5001"/>
    <w:rsid w:val="009D5260"/>
    <w:rsid w:val="009D5540"/>
    <w:rsid w:val="009D557C"/>
    <w:rsid w:val="009D5598"/>
    <w:rsid w:val="009D590F"/>
    <w:rsid w:val="009D5BB3"/>
    <w:rsid w:val="009D5DDC"/>
    <w:rsid w:val="009D5EE9"/>
    <w:rsid w:val="009D600B"/>
    <w:rsid w:val="009D615A"/>
    <w:rsid w:val="009D61C4"/>
    <w:rsid w:val="009D6257"/>
    <w:rsid w:val="009D62BF"/>
    <w:rsid w:val="009D6305"/>
    <w:rsid w:val="009D637B"/>
    <w:rsid w:val="009D6448"/>
    <w:rsid w:val="009D64B6"/>
    <w:rsid w:val="009D64E6"/>
    <w:rsid w:val="009D6543"/>
    <w:rsid w:val="009D6914"/>
    <w:rsid w:val="009D6D33"/>
    <w:rsid w:val="009D6DE2"/>
    <w:rsid w:val="009D7246"/>
    <w:rsid w:val="009D73AC"/>
    <w:rsid w:val="009D75D9"/>
    <w:rsid w:val="009D7C2B"/>
    <w:rsid w:val="009D7F76"/>
    <w:rsid w:val="009E0041"/>
    <w:rsid w:val="009E03E0"/>
    <w:rsid w:val="009E040B"/>
    <w:rsid w:val="009E040D"/>
    <w:rsid w:val="009E0602"/>
    <w:rsid w:val="009E0A5B"/>
    <w:rsid w:val="009E0B0F"/>
    <w:rsid w:val="009E0B15"/>
    <w:rsid w:val="009E0DDC"/>
    <w:rsid w:val="009E0DEA"/>
    <w:rsid w:val="009E15AF"/>
    <w:rsid w:val="009E1A3C"/>
    <w:rsid w:val="009E1A3F"/>
    <w:rsid w:val="009E1C22"/>
    <w:rsid w:val="009E1E6A"/>
    <w:rsid w:val="009E2481"/>
    <w:rsid w:val="009E2636"/>
    <w:rsid w:val="009E3426"/>
    <w:rsid w:val="009E3509"/>
    <w:rsid w:val="009E35DF"/>
    <w:rsid w:val="009E372C"/>
    <w:rsid w:val="009E37E4"/>
    <w:rsid w:val="009E3C07"/>
    <w:rsid w:val="009E3C7E"/>
    <w:rsid w:val="009E3D66"/>
    <w:rsid w:val="009E3D69"/>
    <w:rsid w:val="009E3E64"/>
    <w:rsid w:val="009E3EC3"/>
    <w:rsid w:val="009E4010"/>
    <w:rsid w:val="009E4095"/>
    <w:rsid w:val="009E43E8"/>
    <w:rsid w:val="009E4783"/>
    <w:rsid w:val="009E49CA"/>
    <w:rsid w:val="009E4A4B"/>
    <w:rsid w:val="009E4AD4"/>
    <w:rsid w:val="009E4C5D"/>
    <w:rsid w:val="009E4C70"/>
    <w:rsid w:val="009E59CC"/>
    <w:rsid w:val="009E5A34"/>
    <w:rsid w:val="009E5CB4"/>
    <w:rsid w:val="009E5D8F"/>
    <w:rsid w:val="009E63A0"/>
    <w:rsid w:val="009E6558"/>
    <w:rsid w:val="009E6E04"/>
    <w:rsid w:val="009E6E5E"/>
    <w:rsid w:val="009E6F7E"/>
    <w:rsid w:val="009E7052"/>
    <w:rsid w:val="009E71FA"/>
    <w:rsid w:val="009E72AD"/>
    <w:rsid w:val="009E7696"/>
    <w:rsid w:val="009E78EC"/>
    <w:rsid w:val="009E7A04"/>
    <w:rsid w:val="009E7D0E"/>
    <w:rsid w:val="009E7E87"/>
    <w:rsid w:val="009F0381"/>
    <w:rsid w:val="009F05D9"/>
    <w:rsid w:val="009F087B"/>
    <w:rsid w:val="009F0922"/>
    <w:rsid w:val="009F0B20"/>
    <w:rsid w:val="009F0B7F"/>
    <w:rsid w:val="009F15A9"/>
    <w:rsid w:val="009F1763"/>
    <w:rsid w:val="009F193A"/>
    <w:rsid w:val="009F1A16"/>
    <w:rsid w:val="009F1A4F"/>
    <w:rsid w:val="009F1A78"/>
    <w:rsid w:val="009F1D3F"/>
    <w:rsid w:val="009F268A"/>
    <w:rsid w:val="009F26B2"/>
    <w:rsid w:val="009F288B"/>
    <w:rsid w:val="009F29D2"/>
    <w:rsid w:val="009F2F96"/>
    <w:rsid w:val="009F3217"/>
    <w:rsid w:val="009F3414"/>
    <w:rsid w:val="009F3631"/>
    <w:rsid w:val="009F363C"/>
    <w:rsid w:val="009F3790"/>
    <w:rsid w:val="009F37F9"/>
    <w:rsid w:val="009F3C68"/>
    <w:rsid w:val="009F3D28"/>
    <w:rsid w:val="009F3D62"/>
    <w:rsid w:val="009F3E79"/>
    <w:rsid w:val="009F4433"/>
    <w:rsid w:val="009F4637"/>
    <w:rsid w:val="009F476C"/>
    <w:rsid w:val="009F495D"/>
    <w:rsid w:val="009F4982"/>
    <w:rsid w:val="009F4A10"/>
    <w:rsid w:val="009F4A2F"/>
    <w:rsid w:val="009F4BE5"/>
    <w:rsid w:val="009F528D"/>
    <w:rsid w:val="009F5610"/>
    <w:rsid w:val="009F586C"/>
    <w:rsid w:val="009F59CE"/>
    <w:rsid w:val="009F5BEE"/>
    <w:rsid w:val="009F5D30"/>
    <w:rsid w:val="009F5FC1"/>
    <w:rsid w:val="009F6020"/>
    <w:rsid w:val="009F605A"/>
    <w:rsid w:val="009F646F"/>
    <w:rsid w:val="009F6668"/>
    <w:rsid w:val="009F6689"/>
    <w:rsid w:val="009F6C6E"/>
    <w:rsid w:val="009F6ED8"/>
    <w:rsid w:val="009F706D"/>
    <w:rsid w:val="009F70CD"/>
    <w:rsid w:val="009F7199"/>
    <w:rsid w:val="009F74E1"/>
    <w:rsid w:val="009F754E"/>
    <w:rsid w:val="009F79E3"/>
    <w:rsid w:val="009F7A90"/>
    <w:rsid w:val="009F7CEB"/>
    <w:rsid w:val="00A00129"/>
    <w:rsid w:val="00A003A1"/>
    <w:rsid w:val="00A00920"/>
    <w:rsid w:val="00A00D01"/>
    <w:rsid w:val="00A00D09"/>
    <w:rsid w:val="00A010FF"/>
    <w:rsid w:val="00A011BE"/>
    <w:rsid w:val="00A012AF"/>
    <w:rsid w:val="00A0130F"/>
    <w:rsid w:val="00A01ED9"/>
    <w:rsid w:val="00A021D3"/>
    <w:rsid w:val="00A0222B"/>
    <w:rsid w:val="00A02614"/>
    <w:rsid w:val="00A02878"/>
    <w:rsid w:val="00A02C23"/>
    <w:rsid w:val="00A02F48"/>
    <w:rsid w:val="00A03118"/>
    <w:rsid w:val="00A03256"/>
    <w:rsid w:val="00A03258"/>
    <w:rsid w:val="00A0332C"/>
    <w:rsid w:val="00A0343E"/>
    <w:rsid w:val="00A037EA"/>
    <w:rsid w:val="00A03B1C"/>
    <w:rsid w:val="00A03C62"/>
    <w:rsid w:val="00A03FCC"/>
    <w:rsid w:val="00A040FD"/>
    <w:rsid w:val="00A0418E"/>
    <w:rsid w:val="00A04207"/>
    <w:rsid w:val="00A0426A"/>
    <w:rsid w:val="00A04418"/>
    <w:rsid w:val="00A04A09"/>
    <w:rsid w:val="00A04A0F"/>
    <w:rsid w:val="00A04BD6"/>
    <w:rsid w:val="00A04C0D"/>
    <w:rsid w:val="00A04D58"/>
    <w:rsid w:val="00A04F86"/>
    <w:rsid w:val="00A05190"/>
    <w:rsid w:val="00A052CD"/>
    <w:rsid w:val="00A0598D"/>
    <w:rsid w:val="00A05CE6"/>
    <w:rsid w:val="00A05DFA"/>
    <w:rsid w:val="00A06005"/>
    <w:rsid w:val="00A0617B"/>
    <w:rsid w:val="00A06253"/>
    <w:rsid w:val="00A062EF"/>
    <w:rsid w:val="00A064B7"/>
    <w:rsid w:val="00A06A40"/>
    <w:rsid w:val="00A06ABB"/>
    <w:rsid w:val="00A06F13"/>
    <w:rsid w:val="00A070A7"/>
    <w:rsid w:val="00A07271"/>
    <w:rsid w:val="00A07327"/>
    <w:rsid w:val="00A07478"/>
    <w:rsid w:val="00A074F6"/>
    <w:rsid w:val="00A07547"/>
    <w:rsid w:val="00A07662"/>
    <w:rsid w:val="00A077D7"/>
    <w:rsid w:val="00A07814"/>
    <w:rsid w:val="00A07828"/>
    <w:rsid w:val="00A07CFE"/>
    <w:rsid w:val="00A07D03"/>
    <w:rsid w:val="00A07F2B"/>
    <w:rsid w:val="00A105C4"/>
    <w:rsid w:val="00A108A6"/>
    <w:rsid w:val="00A10E15"/>
    <w:rsid w:val="00A10FBF"/>
    <w:rsid w:val="00A11178"/>
    <w:rsid w:val="00A1147A"/>
    <w:rsid w:val="00A11591"/>
    <w:rsid w:val="00A116D6"/>
    <w:rsid w:val="00A11778"/>
    <w:rsid w:val="00A11B7A"/>
    <w:rsid w:val="00A11BB6"/>
    <w:rsid w:val="00A11CAA"/>
    <w:rsid w:val="00A126FE"/>
    <w:rsid w:val="00A12A44"/>
    <w:rsid w:val="00A12C7D"/>
    <w:rsid w:val="00A12D02"/>
    <w:rsid w:val="00A12D71"/>
    <w:rsid w:val="00A1311A"/>
    <w:rsid w:val="00A1323D"/>
    <w:rsid w:val="00A134A2"/>
    <w:rsid w:val="00A134C5"/>
    <w:rsid w:val="00A135AE"/>
    <w:rsid w:val="00A137B1"/>
    <w:rsid w:val="00A1390E"/>
    <w:rsid w:val="00A139E3"/>
    <w:rsid w:val="00A13D69"/>
    <w:rsid w:val="00A13F4E"/>
    <w:rsid w:val="00A145E9"/>
    <w:rsid w:val="00A14CF9"/>
    <w:rsid w:val="00A154E3"/>
    <w:rsid w:val="00A15782"/>
    <w:rsid w:val="00A158C9"/>
    <w:rsid w:val="00A159AB"/>
    <w:rsid w:val="00A15EDA"/>
    <w:rsid w:val="00A1610E"/>
    <w:rsid w:val="00A1638A"/>
    <w:rsid w:val="00A16629"/>
    <w:rsid w:val="00A16638"/>
    <w:rsid w:val="00A1664F"/>
    <w:rsid w:val="00A16FFC"/>
    <w:rsid w:val="00A17490"/>
    <w:rsid w:val="00A17614"/>
    <w:rsid w:val="00A17728"/>
    <w:rsid w:val="00A179C8"/>
    <w:rsid w:val="00A17EB5"/>
    <w:rsid w:val="00A17EFE"/>
    <w:rsid w:val="00A17F04"/>
    <w:rsid w:val="00A206F3"/>
    <w:rsid w:val="00A207EB"/>
    <w:rsid w:val="00A20B1A"/>
    <w:rsid w:val="00A20C51"/>
    <w:rsid w:val="00A20DE0"/>
    <w:rsid w:val="00A20FC9"/>
    <w:rsid w:val="00A21337"/>
    <w:rsid w:val="00A216F9"/>
    <w:rsid w:val="00A21B68"/>
    <w:rsid w:val="00A21C9C"/>
    <w:rsid w:val="00A21E48"/>
    <w:rsid w:val="00A21FAC"/>
    <w:rsid w:val="00A22119"/>
    <w:rsid w:val="00A22A39"/>
    <w:rsid w:val="00A22AC8"/>
    <w:rsid w:val="00A22BF9"/>
    <w:rsid w:val="00A22C6B"/>
    <w:rsid w:val="00A22E3D"/>
    <w:rsid w:val="00A22F7E"/>
    <w:rsid w:val="00A22FB3"/>
    <w:rsid w:val="00A23041"/>
    <w:rsid w:val="00A230DD"/>
    <w:rsid w:val="00A2315A"/>
    <w:rsid w:val="00A232C0"/>
    <w:rsid w:val="00A233DA"/>
    <w:rsid w:val="00A2340F"/>
    <w:rsid w:val="00A234F6"/>
    <w:rsid w:val="00A238F0"/>
    <w:rsid w:val="00A23A00"/>
    <w:rsid w:val="00A23E28"/>
    <w:rsid w:val="00A23E64"/>
    <w:rsid w:val="00A2415B"/>
    <w:rsid w:val="00A241E4"/>
    <w:rsid w:val="00A24208"/>
    <w:rsid w:val="00A244FE"/>
    <w:rsid w:val="00A24719"/>
    <w:rsid w:val="00A2486D"/>
    <w:rsid w:val="00A24A48"/>
    <w:rsid w:val="00A24B95"/>
    <w:rsid w:val="00A24C39"/>
    <w:rsid w:val="00A24CB9"/>
    <w:rsid w:val="00A24DE9"/>
    <w:rsid w:val="00A250D0"/>
    <w:rsid w:val="00A2512F"/>
    <w:rsid w:val="00A254FC"/>
    <w:rsid w:val="00A2572D"/>
    <w:rsid w:val="00A25761"/>
    <w:rsid w:val="00A257C8"/>
    <w:rsid w:val="00A25CC0"/>
    <w:rsid w:val="00A260D3"/>
    <w:rsid w:val="00A263BC"/>
    <w:rsid w:val="00A266C1"/>
    <w:rsid w:val="00A266F3"/>
    <w:rsid w:val="00A2672F"/>
    <w:rsid w:val="00A26ABF"/>
    <w:rsid w:val="00A26D49"/>
    <w:rsid w:val="00A26D63"/>
    <w:rsid w:val="00A26E4A"/>
    <w:rsid w:val="00A26F33"/>
    <w:rsid w:val="00A27511"/>
    <w:rsid w:val="00A275F9"/>
    <w:rsid w:val="00A2770A"/>
    <w:rsid w:val="00A27850"/>
    <w:rsid w:val="00A27949"/>
    <w:rsid w:val="00A27A29"/>
    <w:rsid w:val="00A27BEF"/>
    <w:rsid w:val="00A30124"/>
    <w:rsid w:val="00A301EB"/>
    <w:rsid w:val="00A3038D"/>
    <w:rsid w:val="00A3083A"/>
    <w:rsid w:val="00A30B16"/>
    <w:rsid w:val="00A30C28"/>
    <w:rsid w:val="00A30FCE"/>
    <w:rsid w:val="00A31119"/>
    <w:rsid w:val="00A31A43"/>
    <w:rsid w:val="00A31AFC"/>
    <w:rsid w:val="00A31F36"/>
    <w:rsid w:val="00A324BF"/>
    <w:rsid w:val="00A324C8"/>
    <w:rsid w:val="00A329B7"/>
    <w:rsid w:val="00A32A9E"/>
    <w:rsid w:val="00A33296"/>
    <w:rsid w:val="00A3335A"/>
    <w:rsid w:val="00A336A3"/>
    <w:rsid w:val="00A33821"/>
    <w:rsid w:val="00A3383A"/>
    <w:rsid w:val="00A33BF9"/>
    <w:rsid w:val="00A33ECC"/>
    <w:rsid w:val="00A34222"/>
    <w:rsid w:val="00A3424C"/>
    <w:rsid w:val="00A3425F"/>
    <w:rsid w:val="00A343C8"/>
    <w:rsid w:val="00A3442D"/>
    <w:rsid w:val="00A34436"/>
    <w:rsid w:val="00A34655"/>
    <w:rsid w:val="00A34A0F"/>
    <w:rsid w:val="00A34B4B"/>
    <w:rsid w:val="00A35120"/>
    <w:rsid w:val="00A35184"/>
    <w:rsid w:val="00A351B4"/>
    <w:rsid w:val="00A35270"/>
    <w:rsid w:val="00A354BA"/>
    <w:rsid w:val="00A35520"/>
    <w:rsid w:val="00A3552E"/>
    <w:rsid w:val="00A35699"/>
    <w:rsid w:val="00A35929"/>
    <w:rsid w:val="00A35A22"/>
    <w:rsid w:val="00A35A2A"/>
    <w:rsid w:val="00A35ED5"/>
    <w:rsid w:val="00A35F44"/>
    <w:rsid w:val="00A3616C"/>
    <w:rsid w:val="00A362F1"/>
    <w:rsid w:val="00A3665C"/>
    <w:rsid w:val="00A369F2"/>
    <w:rsid w:val="00A36A83"/>
    <w:rsid w:val="00A36F07"/>
    <w:rsid w:val="00A370F3"/>
    <w:rsid w:val="00A37393"/>
    <w:rsid w:val="00A37A19"/>
    <w:rsid w:val="00A4006F"/>
    <w:rsid w:val="00A4019D"/>
    <w:rsid w:val="00A40345"/>
    <w:rsid w:val="00A40350"/>
    <w:rsid w:val="00A404B3"/>
    <w:rsid w:val="00A40599"/>
    <w:rsid w:val="00A40615"/>
    <w:rsid w:val="00A40A63"/>
    <w:rsid w:val="00A40B32"/>
    <w:rsid w:val="00A40BDA"/>
    <w:rsid w:val="00A40E62"/>
    <w:rsid w:val="00A4101F"/>
    <w:rsid w:val="00A41E5D"/>
    <w:rsid w:val="00A42145"/>
    <w:rsid w:val="00A422AE"/>
    <w:rsid w:val="00A424B0"/>
    <w:rsid w:val="00A4277E"/>
    <w:rsid w:val="00A42891"/>
    <w:rsid w:val="00A42CC2"/>
    <w:rsid w:val="00A43549"/>
    <w:rsid w:val="00A436A0"/>
    <w:rsid w:val="00A43854"/>
    <w:rsid w:val="00A43FD2"/>
    <w:rsid w:val="00A44188"/>
    <w:rsid w:val="00A441D0"/>
    <w:rsid w:val="00A443D7"/>
    <w:rsid w:val="00A4449E"/>
    <w:rsid w:val="00A444BA"/>
    <w:rsid w:val="00A445E6"/>
    <w:rsid w:val="00A44E11"/>
    <w:rsid w:val="00A45200"/>
    <w:rsid w:val="00A45378"/>
    <w:rsid w:val="00A45693"/>
    <w:rsid w:val="00A45906"/>
    <w:rsid w:val="00A45B58"/>
    <w:rsid w:val="00A45B7E"/>
    <w:rsid w:val="00A46119"/>
    <w:rsid w:val="00A46250"/>
    <w:rsid w:val="00A462B6"/>
    <w:rsid w:val="00A46680"/>
    <w:rsid w:val="00A46694"/>
    <w:rsid w:val="00A46843"/>
    <w:rsid w:val="00A46D2B"/>
    <w:rsid w:val="00A46D83"/>
    <w:rsid w:val="00A46F30"/>
    <w:rsid w:val="00A47774"/>
    <w:rsid w:val="00A47854"/>
    <w:rsid w:val="00A47862"/>
    <w:rsid w:val="00A479C0"/>
    <w:rsid w:val="00A47CCF"/>
    <w:rsid w:val="00A47FE2"/>
    <w:rsid w:val="00A50365"/>
    <w:rsid w:val="00A5043A"/>
    <w:rsid w:val="00A5057A"/>
    <w:rsid w:val="00A5078A"/>
    <w:rsid w:val="00A50A47"/>
    <w:rsid w:val="00A50BE0"/>
    <w:rsid w:val="00A50D5B"/>
    <w:rsid w:val="00A50D64"/>
    <w:rsid w:val="00A50E8B"/>
    <w:rsid w:val="00A50F63"/>
    <w:rsid w:val="00A512B3"/>
    <w:rsid w:val="00A512D2"/>
    <w:rsid w:val="00A51427"/>
    <w:rsid w:val="00A51793"/>
    <w:rsid w:val="00A51C9A"/>
    <w:rsid w:val="00A51F7C"/>
    <w:rsid w:val="00A51FC3"/>
    <w:rsid w:val="00A520E1"/>
    <w:rsid w:val="00A521E0"/>
    <w:rsid w:val="00A5227E"/>
    <w:rsid w:val="00A52553"/>
    <w:rsid w:val="00A526DA"/>
    <w:rsid w:val="00A527BD"/>
    <w:rsid w:val="00A52A0C"/>
    <w:rsid w:val="00A53556"/>
    <w:rsid w:val="00A53558"/>
    <w:rsid w:val="00A535FB"/>
    <w:rsid w:val="00A53731"/>
    <w:rsid w:val="00A5387C"/>
    <w:rsid w:val="00A53D1E"/>
    <w:rsid w:val="00A53FA8"/>
    <w:rsid w:val="00A5414C"/>
    <w:rsid w:val="00A541D3"/>
    <w:rsid w:val="00A5425B"/>
    <w:rsid w:val="00A5453C"/>
    <w:rsid w:val="00A54572"/>
    <w:rsid w:val="00A54B12"/>
    <w:rsid w:val="00A54BE5"/>
    <w:rsid w:val="00A54C32"/>
    <w:rsid w:val="00A55031"/>
    <w:rsid w:val="00A550AE"/>
    <w:rsid w:val="00A551DD"/>
    <w:rsid w:val="00A55359"/>
    <w:rsid w:val="00A555A0"/>
    <w:rsid w:val="00A55738"/>
    <w:rsid w:val="00A55A22"/>
    <w:rsid w:val="00A55B1B"/>
    <w:rsid w:val="00A55FBD"/>
    <w:rsid w:val="00A56008"/>
    <w:rsid w:val="00A5640D"/>
    <w:rsid w:val="00A56624"/>
    <w:rsid w:val="00A56628"/>
    <w:rsid w:val="00A567F3"/>
    <w:rsid w:val="00A56B04"/>
    <w:rsid w:val="00A56D5A"/>
    <w:rsid w:val="00A570E1"/>
    <w:rsid w:val="00A576EA"/>
    <w:rsid w:val="00A602D5"/>
    <w:rsid w:val="00A603EF"/>
    <w:rsid w:val="00A6060E"/>
    <w:rsid w:val="00A609A9"/>
    <w:rsid w:val="00A60B51"/>
    <w:rsid w:val="00A6112A"/>
    <w:rsid w:val="00A61409"/>
    <w:rsid w:val="00A61626"/>
    <w:rsid w:val="00A61681"/>
    <w:rsid w:val="00A616B4"/>
    <w:rsid w:val="00A61814"/>
    <w:rsid w:val="00A61B06"/>
    <w:rsid w:val="00A61BF1"/>
    <w:rsid w:val="00A61C73"/>
    <w:rsid w:val="00A61F8A"/>
    <w:rsid w:val="00A6229B"/>
    <w:rsid w:val="00A62784"/>
    <w:rsid w:val="00A62942"/>
    <w:rsid w:val="00A62DA0"/>
    <w:rsid w:val="00A62E60"/>
    <w:rsid w:val="00A632C7"/>
    <w:rsid w:val="00A632FF"/>
    <w:rsid w:val="00A63630"/>
    <w:rsid w:val="00A6374D"/>
    <w:rsid w:val="00A639CC"/>
    <w:rsid w:val="00A63A9A"/>
    <w:rsid w:val="00A63B75"/>
    <w:rsid w:val="00A63DC5"/>
    <w:rsid w:val="00A6446D"/>
    <w:rsid w:val="00A646D8"/>
    <w:rsid w:val="00A646F2"/>
    <w:rsid w:val="00A6473D"/>
    <w:rsid w:val="00A6497B"/>
    <w:rsid w:val="00A649FA"/>
    <w:rsid w:val="00A64A08"/>
    <w:rsid w:val="00A64CA6"/>
    <w:rsid w:val="00A64F75"/>
    <w:rsid w:val="00A64FA9"/>
    <w:rsid w:val="00A64FCB"/>
    <w:rsid w:val="00A65169"/>
    <w:rsid w:val="00A6517D"/>
    <w:rsid w:val="00A65211"/>
    <w:rsid w:val="00A65230"/>
    <w:rsid w:val="00A65411"/>
    <w:rsid w:val="00A6545A"/>
    <w:rsid w:val="00A6590E"/>
    <w:rsid w:val="00A65BF6"/>
    <w:rsid w:val="00A65C1F"/>
    <w:rsid w:val="00A65C4C"/>
    <w:rsid w:val="00A65E43"/>
    <w:rsid w:val="00A66379"/>
    <w:rsid w:val="00A668E9"/>
    <w:rsid w:val="00A66A13"/>
    <w:rsid w:val="00A66E19"/>
    <w:rsid w:val="00A66F45"/>
    <w:rsid w:val="00A6714A"/>
    <w:rsid w:val="00A6719E"/>
    <w:rsid w:val="00A6739D"/>
    <w:rsid w:val="00A67510"/>
    <w:rsid w:val="00A67838"/>
    <w:rsid w:val="00A6789D"/>
    <w:rsid w:val="00A67B0C"/>
    <w:rsid w:val="00A70167"/>
    <w:rsid w:val="00A70311"/>
    <w:rsid w:val="00A705CD"/>
    <w:rsid w:val="00A70E52"/>
    <w:rsid w:val="00A70E7B"/>
    <w:rsid w:val="00A70F72"/>
    <w:rsid w:val="00A71351"/>
    <w:rsid w:val="00A718CF"/>
    <w:rsid w:val="00A718D4"/>
    <w:rsid w:val="00A71ABB"/>
    <w:rsid w:val="00A71BEE"/>
    <w:rsid w:val="00A720DE"/>
    <w:rsid w:val="00A720F8"/>
    <w:rsid w:val="00A72ED6"/>
    <w:rsid w:val="00A73042"/>
    <w:rsid w:val="00A73059"/>
    <w:rsid w:val="00A73875"/>
    <w:rsid w:val="00A73A9C"/>
    <w:rsid w:val="00A73E98"/>
    <w:rsid w:val="00A73EEF"/>
    <w:rsid w:val="00A73FC6"/>
    <w:rsid w:val="00A742AE"/>
    <w:rsid w:val="00A7444F"/>
    <w:rsid w:val="00A744FD"/>
    <w:rsid w:val="00A746A0"/>
    <w:rsid w:val="00A74792"/>
    <w:rsid w:val="00A747BE"/>
    <w:rsid w:val="00A74962"/>
    <w:rsid w:val="00A74A31"/>
    <w:rsid w:val="00A74F12"/>
    <w:rsid w:val="00A75112"/>
    <w:rsid w:val="00A75213"/>
    <w:rsid w:val="00A752BE"/>
    <w:rsid w:val="00A75385"/>
    <w:rsid w:val="00A75420"/>
    <w:rsid w:val="00A75524"/>
    <w:rsid w:val="00A7556D"/>
    <w:rsid w:val="00A759D9"/>
    <w:rsid w:val="00A75DA1"/>
    <w:rsid w:val="00A75DD6"/>
    <w:rsid w:val="00A75F84"/>
    <w:rsid w:val="00A763B5"/>
    <w:rsid w:val="00A7660B"/>
    <w:rsid w:val="00A7663E"/>
    <w:rsid w:val="00A769A6"/>
    <w:rsid w:val="00A76B4D"/>
    <w:rsid w:val="00A76C61"/>
    <w:rsid w:val="00A76CD2"/>
    <w:rsid w:val="00A76EA4"/>
    <w:rsid w:val="00A76F4E"/>
    <w:rsid w:val="00A77420"/>
    <w:rsid w:val="00A77BDE"/>
    <w:rsid w:val="00A77CBB"/>
    <w:rsid w:val="00A77D25"/>
    <w:rsid w:val="00A77D27"/>
    <w:rsid w:val="00A77E9B"/>
    <w:rsid w:val="00A77F64"/>
    <w:rsid w:val="00A77FB7"/>
    <w:rsid w:val="00A77FDF"/>
    <w:rsid w:val="00A8014A"/>
    <w:rsid w:val="00A8029C"/>
    <w:rsid w:val="00A804FC"/>
    <w:rsid w:val="00A80529"/>
    <w:rsid w:val="00A807FA"/>
    <w:rsid w:val="00A808AB"/>
    <w:rsid w:val="00A80C9A"/>
    <w:rsid w:val="00A80D33"/>
    <w:rsid w:val="00A81386"/>
    <w:rsid w:val="00A81D06"/>
    <w:rsid w:val="00A81F82"/>
    <w:rsid w:val="00A82437"/>
    <w:rsid w:val="00A8274D"/>
    <w:rsid w:val="00A82913"/>
    <w:rsid w:val="00A82D11"/>
    <w:rsid w:val="00A8351C"/>
    <w:rsid w:val="00A83751"/>
    <w:rsid w:val="00A839EA"/>
    <w:rsid w:val="00A841B0"/>
    <w:rsid w:val="00A842F9"/>
    <w:rsid w:val="00A84481"/>
    <w:rsid w:val="00A846D9"/>
    <w:rsid w:val="00A84770"/>
    <w:rsid w:val="00A8488A"/>
    <w:rsid w:val="00A84BEB"/>
    <w:rsid w:val="00A84C30"/>
    <w:rsid w:val="00A84EAA"/>
    <w:rsid w:val="00A84EED"/>
    <w:rsid w:val="00A84F5C"/>
    <w:rsid w:val="00A84F7B"/>
    <w:rsid w:val="00A8503D"/>
    <w:rsid w:val="00A85099"/>
    <w:rsid w:val="00A853C3"/>
    <w:rsid w:val="00A85406"/>
    <w:rsid w:val="00A857EC"/>
    <w:rsid w:val="00A8599E"/>
    <w:rsid w:val="00A859EA"/>
    <w:rsid w:val="00A85A2B"/>
    <w:rsid w:val="00A85A38"/>
    <w:rsid w:val="00A85B9B"/>
    <w:rsid w:val="00A85E13"/>
    <w:rsid w:val="00A86148"/>
    <w:rsid w:val="00A8619D"/>
    <w:rsid w:val="00A86377"/>
    <w:rsid w:val="00A86B92"/>
    <w:rsid w:val="00A86F75"/>
    <w:rsid w:val="00A87008"/>
    <w:rsid w:val="00A870CC"/>
    <w:rsid w:val="00A8779B"/>
    <w:rsid w:val="00A8781A"/>
    <w:rsid w:val="00A87B10"/>
    <w:rsid w:val="00A87B6A"/>
    <w:rsid w:val="00A87C69"/>
    <w:rsid w:val="00A87CC8"/>
    <w:rsid w:val="00A87E09"/>
    <w:rsid w:val="00A9087C"/>
    <w:rsid w:val="00A90B84"/>
    <w:rsid w:val="00A90F09"/>
    <w:rsid w:val="00A9132E"/>
    <w:rsid w:val="00A91B2E"/>
    <w:rsid w:val="00A91EF2"/>
    <w:rsid w:val="00A91F3F"/>
    <w:rsid w:val="00A92282"/>
    <w:rsid w:val="00A92533"/>
    <w:rsid w:val="00A92541"/>
    <w:rsid w:val="00A9284A"/>
    <w:rsid w:val="00A92992"/>
    <w:rsid w:val="00A92F2C"/>
    <w:rsid w:val="00A92F5B"/>
    <w:rsid w:val="00A92F85"/>
    <w:rsid w:val="00A93320"/>
    <w:rsid w:val="00A93543"/>
    <w:rsid w:val="00A936A5"/>
    <w:rsid w:val="00A93D25"/>
    <w:rsid w:val="00A93E85"/>
    <w:rsid w:val="00A93F16"/>
    <w:rsid w:val="00A93F50"/>
    <w:rsid w:val="00A93F6B"/>
    <w:rsid w:val="00A940D0"/>
    <w:rsid w:val="00A9430D"/>
    <w:rsid w:val="00A9447C"/>
    <w:rsid w:val="00A944F2"/>
    <w:rsid w:val="00A94A13"/>
    <w:rsid w:val="00A94DB3"/>
    <w:rsid w:val="00A94EC9"/>
    <w:rsid w:val="00A94EFC"/>
    <w:rsid w:val="00A9521F"/>
    <w:rsid w:val="00A9546D"/>
    <w:rsid w:val="00A9562F"/>
    <w:rsid w:val="00A95AD5"/>
    <w:rsid w:val="00A95CC8"/>
    <w:rsid w:val="00A95E72"/>
    <w:rsid w:val="00A96196"/>
    <w:rsid w:val="00A9633C"/>
    <w:rsid w:val="00A9639D"/>
    <w:rsid w:val="00A963DD"/>
    <w:rsid w:val="00A9644D"/>
    <w:rsid w:val="00A965D8"/>
    <w:rsid w:val="00A967A1"/>
    <w:rsid w:val="00A96920"/>
    <w:rsid w:val="00A9694E"/>
    <w:rsid w:val="00A96E18"/>
    <w:rsid w:val="00A971EC"/>
    <w:rsid w:val="00A97762"/>
    <w:rsid w:val="00A979AE"/>
    <w:rsid w:val="00A97AD0"/>
    <w:rsid w:val="00A97AD6"/>
    <w:rsid w:val="00A97ADA"/>
    <w:rsid w:val="00A97F91"/>
    <w:rsid w:val="00AA05E3"/>
    <w:rsid w:val="00AA07C1"/>
    <w:rsid w:val="00AA0C73"/>
    <w:rsid w:val="00AA1044"/>
    <w:rsid w:val="00AA1242"/>
    <w:rsid w:val="00AA1494"/>
    <w:rsid w:val="00AA1681"/>
    <w:rsid w:val="00AA1799"/>
    <w:rsid w:val="00AA1989"/>
    <w:rsid w:val="00AA1BA9"/>
    <w:rsid w:val="00AA1BD0"/>
    <w:rsid w:val="00AA1BDE"/>
    <w:rsid w:val="00AA1C91"/>
    <w:rsid w:val="00AA1CEE"/>
    <w:rsid w:val="00AA1CF2"/>
    <w:rsid w:val="00AA1E9F"/>
    <w:rsid w:val="00AA2157"/>
    <w:rsid w:val="00AA2186"/>
    <w:rsid w:val="00AA237F"/>
    <w:rsid w:val="00AA257C"/>
    <w:rsid w:val="00AA2FA1"/>
    <w:rsid w:val="00AA303A"/>
    <w:rsid w:val="00AA3864"/>
    <w:rsid w:val="00AA3973"/>
    <w:rsid w:val="00AA39F3"/>
    <w:rsid w:val="00AA3ABB"/>
    <w:rsid w:val="00AA3C2A"/>
    <w:rsid w:val="00AA3FFB"/>
    <w:rsid w:val="00AA4065"/>
    <w:rsid w:val="00AA4C0E"/>
    <w:rsid w:val="00AA4FB1"/>
    <w:rsid w:val="00AA51C1"/>
    <w:rsid w:val="00AA5345"/>
    <w:rsid w:val="00AA55DF"/>
    <w:rsid w:val="00AA5C9E"/>
    <w:rsid w:val="00AA5DEB"/>
    <w:rsid w:val="00AA5FAC"/>
    <w:rsid w:val="00AA6156"/>
    <w:rsid w:val="00AA6315"/>
    <w:rsid w:val="00AA6377"/>
    <w:rsid w:val="00AA6888"/>
    <w:rsid w:val="00AA6A6C"/>
    <w:rsid w:val="00AA6AFA"/>
    <w:rsid w:val="00AA7210"/>
    <w:rsid w:val="00AA73AC"/>
    <w:rsid w:val="00AA7633"/>
    <w:rsid w:val="00AA7B07"/>
    <w:rsid w:val="00AA7B77"/>
    <w:rsid w:val="00AA7C98"/>
    <w:rsid w:val="00AA7D3E"/>
    <w:rsid w:val="00AA7E1A"/>
    <w:rsid w:val="00AB00C7"/>
    <w:rsid w:val="00AB035B"/>
    <w:rsid w:val="00AB065E"/>
    <w:rsid w:val="00AB06A1"/>
    <w:rsid w:val="00AB074C"/>
    <w:rsid w:val="00AB08E1"/>
    <w:rsid w:val="00AB0982"/>
    <w:rsid w:val="00AB0A73"/>
    <w:rsid w:val="00AB10CF"/>
    <w:rsid w:val="00AB1191"/>
    <w:rsid w:val="00AB1837"/>
    <w:rsid w:val="00AB187A"/>
    <w:rsid w:val="00AB1B73"/>
    <w:rsid w:val="00AB1CF6"/>
    <w:rsid w:val="00AB217E"/>
    <w:rsid w:val="00AB2325"/>
    <w:rsid w:val="00AB2373"/>
    <w:rsid w:val="00AB24D2"/>
    <w:rsid w:val="00AB2754"/>
    <w:rsid w:val="00AB2951"/>
    <w:rsid w:val="00AB2BA3"/>
    <w:rsid w:val="00AB2FA5"/>
    <w:rsid w:val="00AB35A8"/>
    <w:rsid w:val="00AB3A95"/>
    <w:rsid w:val="00AB3CE7"/>
    <w:rsid w:val="00AB3CF1"/>
    <w:rsid w:val="00AB4291"/>
    <w:rsid w:val="00AB4323"/>
    <w:rsid w:val="00AB4C3E"/>
    <w:rsid w:val="00AB514A"/>
    <w:rsid w:val="00AB5155"/>
    <w:rsid w:val="00AB545C"/>
    <w:rsid w:val="00AB5900"/>
    <w:rsid w:val="00AB5A67"/>
    <w:rsid w:val="00AB5B01"/>
    <w:rsid w:val="00AB5C64"/>
    <w:rsid w:val="00AB5D8A"/>
    <w:rsid w:val="00AB5DDC"/>
    <w:rsid w:val="00AB5DFE"/>
    <w:rsid w:val="00AB6013"/>
    <w:rsid w:val="00AB641E"/>
    <w:rsid w:val="00AB65A0"/>
    <w:rsid w:val="00AB65FF"/>
    <w:rsid w:val="00AB68D9"/>
    <w:rsid w:val="00AB6CA7"/>
    <w:rsid w:val="00AB6DAA"/>
    <w:rsid w:val="00AB6EE9"/>
    <w:rsid w:val="00AB6EEF"/>
    <w:rsid w:val="00AB72A6"/>
    <w:rsid w:val="00AB7318"/>
    <w:rsid w:val="00AB7331"/>
    <w:rsid w:val="00AB74A1"/>
    <w:rsid w:val="00AB78CF"/>
    <w:rsid w:val="00AB7A11"/>
    <w:rsid w:val="00AB7A1D"/>
    <w:rsid w:val="00AB7B77"/>
    <w:rsid w:val="00AB7C12"/>
    <w:rsid w:val="00AB7F1B"/>
    <w:rsid w:val="00AC0078"/>
    <w:rsid w:val="00AC027F"/>
    <w:rsid w:val="00AC0367"/>
    <w:rsid w:val="00AC0869"/>
    <w:rsid w:val="00AC0E6E"/>
    <w:rsid w:val="00AC1020"/>
    <w:rsid w:val="00AC1027"/>
    <w:rsid w:val="00AC109C"/>
    <w:rsid w:val="00AC12A8"/>
    <w:rsid w:val="00AC12B7"/>
    <w:rsid w:val="00AC1369"/>
    <w:rsid w:val="00AC1412"/>
    <w:rsid w:val="00AC1568"/>
    <w:rsid w:val="00AC16A1"/>
    <w:rsid w:val="00AC1742"/>
    <w:rsid w:val="00AC1772"/>
    <w:rsid w:val="00AC1A7C"/>
    <w:rsid w:val="00AC1B77"/>
    <w:rsid w:val="00AC1DEF"/>
    <w:rsid w:val="00AC1E12"/>
    <w:rsid w:val="00AC224C"/>
    <w:rsid w:val="00AC232A"/>
    <w:rsid w:val="00AC24BF"/>
    <w:rsid w:val="00AC264F"/>
    <w:rsid w:val="00AC273C"/>
    <w:rsid w:val="00AC295E"/>
    <w:rsid w:val="00AC2A59"/>
    <w:rsid w:val="00AC2A64"/>
    <w:rsid w:val="00AC2D2E"/>
    <w:rsid w:val="00AC2D51"/>
    <w:rsid w:val="00AC2E7F"/>
    <w:rsid w:val="00AC2F0F"/>
    <w:rsid w:val="00AC2F66"/>
    <w:rsid w:val="00AC3064"/>
    <w:rsid w:val="00AC357C"/>
    <w:rsid w:val="00AC37FD"/>
    <w:rsid w:val="00AC3A5B"/>
    <w:rsid w:val="00AC4236"/>
    <w:rsid w:val="00AC4ABD"/>
    <w:rsid w:val="00AC4DD7"/>
    <w:rsid w:val="00AC50E3"/>
    <w:rsid w:val="00AC512D"/>
    <w:rsid w:val="00AC53B2"/>
    <w:rsid w:val="00AC53F1"/>
    <w:rsid w:val="00AC56F2"/>
    <w:rsid w:val="00AC58BE"/>
    <w:rsid w:val="00AC59CF"/>
    <w:rsid w:val="00AC5B34"/>
    <w:rsid w:val="00AC5DB0"/>
    <w:rsid w:val="00AC5E44"/>
    <w:rsid w:val="00AC643F"/>
    <w:rsid w:val="00AC6973"/>
    <w:rsid w:val="00AC6A4C"/>
    <w:rsid w:val="00AC6BCA"/>
    <w:rsid w:val="00AC6E05"/>
    <w:rsid w:val="00AC6E3B"/>
    <w:rsid w:val="00AC6F9B"/>
    <w:rsid w:val="00AC6FEA"/>
    <w:rsid w:val="00AC7157"/>
    <w:rsid w:val="00AC754E"/>
    <w:rsid w:val="00AC763F"/>
    <w:rsid w:val="00AC76A6"/>
    <w:rsid w:val="00AC7875"/>
    <w:rsid w:val="00AC79D7"/>
    <w:rsid w:val="00AC7C82"/>
    <w:rsid w:val="00AD01D0"/>
    <w:rsid w:val="00AD0327"/>
    <w:rsid w:val="00AD0333"/>
    <w:rsid w:val="00AD073A"/>
    <w:rsid w:val="00AD08DC"/>
    <w:rsid w:val="00AD0929"/>
    <w:rsid w:val="00AD0A8B"/>
    <w:rsid w:val="00AD0D5D"/>
    <w:rsid w:val="00AD0EC3"/>
    <w:rsid w:val="00AD0F25"/>
    <w:rsid w:val="00AD0FE3"/>
    <w:rsid w:val="00AD111F"/>
    <w:rsid w:val="00AD11F1"/>
    <w:rsid w:val="00AD14AF"/>
    <w:rsid w:val="00AD161A"/>
    <w:rsid w:val="00AD22B2"/>
    <w:rsid w:val="00AD22FA"/>
    <w:rsid w:val="00AD24DD"/>
    <w:rsid w:val="00AD2A4C"/>
    <w:rsid w:val="00AD2DA6"/>
    <w:rsid w:val="00AD2E6D"/>
    <w:rsid w:val="00AD2FA5"/>
    <w:rsid w:val="00AD34AA"/>
    <w:rsid w:val="00AD356A"/>
    <w:rsid w:val="00AD35BC"/>
    <w:rsid w:val="00AD3734"/>
    <w:rsid w:val="00AD3777"/>
    <w:rsid w:val="00AD39B2"/>
    <w:rsid w:val="00AD3D42"/>
    <w:rsid w:val="00AD4001"/>
    <w:rsid w:val="00AD4062"/>
    <w:rsid w:val="00AD40CD"/>
    <w:rsid w:val="00AD4199"/>
    <w:rsid w:val="00AD422C"/>
    <w:rsid w:val="00AD423F"/>
    <w:rsid w:val="00AD4388"/>
    <w:rsid w:val="00AD4613"/>
    <w:rsid w:val="00AD4871"/>
    <w:rsid w:val="00AD4986"/>
    <w:rsid w:val="00AD51C9"/>
    <w:rsid w:val="00AD51DA"/>
    <w:rsid w:val="00AD53B9"/>
    <w:rsid w:val="00AD542F"/>
    <w:rsid w:val="00AD5972"/>
    <w:rsid w:val="00AD5CF3"/>
    <w:rsid w:val="00AD5D7F"/>
    <w:rsid w:val="00AD5DB2"/>
    <w:rsid w:val="00AD61CE"/>
    <w:rsid w:val="00AD6253"/>
    <w:rsid w:val="00AD6304"/>
    <w:rsid w:val="00AD648B"/>
    <w:rsid w:val="00AD64CD"/>
    <w:rsid w:val="00AD6570"/>
    <w:rsid w:val="00AD65E4"/>
    <w:rsid w:val="00AD6938"/>
    <w:rsid w:val="00AD6BC4"/>
    <w:rsid w:val="00AD6F5C"/>
    <w:rsid w:val="00AD7097"/>
    <w:rsid w:val="00AD71D7"/>
    <w:rsid w:val="00AD7518"/>
    <w:rsid w:val="00AD7553"/>
    <w:rsid w:val="00AD75D5"/>
    <w:rsid w:val="00AD760C"/>
    <w:rsid w:val="00AD7698"/>
    <w:rsid w:val="00AD7B35"/>
    <w:rsid w:val="00AD7FFD"/>
    <w:rsid w:val="00AE01B1"/>
    <w:rsid w:val="00AE021F"/>
    <w:rsid w:val="00AE07C0"/>
    <w:rsid w:val="00AE0931"/>
    <w:rsid w:val="00AE09D1"/>
    <w:rsid w:val="00AE0C10"/>
    <w:rsid w:val="00AE0C1E"/>
    <w:rsid w:val="00AE0DD1"/>
    <w:rsid w:val="00AE121F"/>
    <w:rsid w:val="00AE1299"/>
    <w:rsid w:val="00AE144C"/>
    <w:rsid w:val="00AE14F5"/>
    <w:rsid w:val="00AE15A8"/>
    <w:rsid w:val="00AE1AF7"/>
    <w:rsid w:val="00AE1CDE"/>
    <w:rsid w:val="00AE1D47"/>
    <w:rsid w:val="00AE1E48"/>
    <w:rsid w:val="00AE223F"/>
    <w:rsid w:val="00AE2489"/>
    <w:rsid w:val="00AE2652"/>
    <w:rsid w:val="00AE2A68"/>
    <w:rsid w:val="00AE2AE8"/>
    <w:rsid w:val="00AE2B4D"/>
    <w:rsid w:val="00AE2F9C"/>
    <w:rsid w:val="00AE3422"/>
    <w:rsid w:val="00AE36AC"/>
    <w:rsid w:val="00AE3798"/>
    <w:rsid w:val="00AE38B2"/>
    <w:rsid w:val="00AE3A5A"/>
    <w:rsid w:val="00AE3B19"/>
    <w:rsid w:val="00AE4381"/>
    <w:rsid w:val="00AE4915"/>
    <w:rsid w:val="00AE4CD5"/>
    <w:rsid w:val="00AE4E65"/>
    <w:rsid w:val="00AE4F15"/>
    <w:rsid w:val="00AE543F"/>
    <w:rsid w:val="00AE5A14"/>
    <w:rsid w:val="00AE602A"/>
    <w:rsid w:val="00AE635E"/>
    <w:rsid w:val="00AE6424"/>
    <w:rsid w:val="00AE6885"/>
    <w:rsid w:val="00AE6892"/>
    <w:rsid w:val="00AE6961"/>
    <w:rsid w:val="00AE6963"/>
    <w:rsid w:val="00AE6B43"/>
    <w:rsid w:val="00AE6B7A"/>
    <w:rsid w:val="00AE6D7E"/>
    <w:rsid w:val="00AE724F"/>
    <w:rsid w:val="00AE7600"/>
    <w:rsid w:val="00AE760A"/>
    <w:rsid w:val="00AE772D"/>
    <w:rsid w:val="00AE7A54"/>
    <w:rsid w:val="00AE7BB5"/>
    <w:rsid w:val="00AE7C7A"/>
    <w:rsid w:val="00AF0099"/>
    <w:rsid w:val="00AF03A8"/>
    <w:rsid w:val="00AF03A9"/>
    <w:rsid w:val="00AF04D1"/>
    <w:rsid w:val="00AF04E2"/>
    <w:rsid w:val="00AF05A8"/>
    <w:rsid w:val="00AF06CA"/>
    <w:rsid w:val="00AF0843"/>
    <w:rsid w:val="00AF08FA"/>
    <w:rsid w:val="00AF0C0A"/>
    <w:rsid w:val="00AF0D76"/>
    <w:rsid w:val="00AF0DF9"/>
    <w:rsid w:val="00AF0F19"/>
    <w:rsid w:val="00AF12EF"/>
    <w:rsid w:val="00AF1A7D"/>
    <w:rsid w:val="00AF1A88"/>
    <w:rsid w:val="00AF1B37"/>
    <w:rsid w:val="00AF1C7C"/>
    <w:rsid w:val="00AF1D95"/>
    <w:rsid w:val="00AF1F0B"/>
    <w:rsid w:val="00AF1F21"/>
    <w:rsid w:val="00AF1F79"/>
    <w:rsid w:val="00AF20D9"/>
    <w:rsid w:val="00AF2304"/>
    <w:rsid w:val="00AF23DB"/>
    <w:rsid w:val="00AF24F1"/>
    <w:rsid w:val="00AF260E"/>
    <w:rsid w:val="00AF2721"/>
    <w:rsid w:val="00AF28E4"/>
    <w:rsid w:val="00AF2CD4"/>
    <w:rsid w:val="00AF2EC2"/>
    <w:rsid w:val="00AF2F1E"/>
    <w:rsid w:val="00AF30A9"/>
    <w:rsid w:val="00AF33C4"/>
    <w:rsid w:val="00AF33D3"/>
    <w:rsid w:val="00AF3528"/>
    <w:rsid w:val="00AF356B"/>
    <w:rsid w:val="00AF38FD"/>
    <w:rsid w:val="00AF3C7B"/>
    <w:rsid w:val="00AF3E3D"/>
    <w:rsid w:val="00AF41DD"/>
    <w:rsid w:val="00AF423A"/>
    <w:rsid w:val="00AF4309"/>
    <w:rsid w:val="00AF46AC"/>
    <w:rsid w:val="00AF4A60"/>
    <w:rsid w:val="00AF4B1A"/>
    <w:rsid w:val="00AF4BE4"/>
    <w:rsid w:val="00AF4C16"/>
    <w:rsid w:val="00AF4C6A"/>
    <w:rsid w:val="00AF4DD9"/>
    <w:rsid w:val="00AF4FF2"/>
    <w:rsid w:val="00AF510C"/>
    <w:rsid w:val="00AF51BC"/>
    <w:rsid w:val="00AF51BF"/>
    <w:rsid w:val="00AF5755"/>
    <w:rsid w:val="00AF57BF"/>
    <w:rsid w:val="00AF585F"/>
    <w:rsid w:val="00AF5FEB"/>
    <w:rsid w:val="00AF608E"/>
    <w:rsid w:val="00AF6424"/>
    <w:rsid w:val="00AF6436"/>
    <w:rsid w:val="00AF64B0"/>
    <w:rsid w:val="00AF65B2"/>
    <w:rsid w:val="00AF6780"/>
    <w:rsid w:val="00AF68A3"/>
    <w:rsid w:val="00AF6988"/>
    <w:rsid w:val="00AF6B8E"/>
    <w:rsid w:val="00AF6D4D"/>
    <w:rsid w:val="00AF7033"/>
    <w:rsid w:val="00AF7050"/>
    <w:rsid w:val="00AF715C"/>
    <w:rsid w:val="00AF7178"/>
    <w:rsid w:val="00AF7443"/>
    <w:rsid w:val="00AF7588"/>
    <w:rsid w:val="00AF75D7"/>
    <w:rsid w:val="00AF768C"/>
    <w:rsid w:val="00AF76B3"/>
    <w:rsid w:val="00AF77E2"/>
    <w:rsid w:val="00AF790F"/>
    <w:rsid w:val="00AF7B27"/>
    <w:rsid w:val="00AF7B9C"/>
    <w:rsid w:val="00AF7C70"/>
    <w:rsid w:val="00AF7DDD"/>
    <w:rsid w:val="00B00046"/>
    <w:rsid w:val="00B000DF"/>
    <w:rsid w:val="00B0033C"/>
    <w:rsid w:val="00B0053C"/>
    <w:rsid w:val="00B0065B"/>
    <w:rsid w:val="00B00DC9"/>
    <w:rsid w:val="00B0129F"/>
    <w:rsid w:val="00B01333"/>
    <w:rsid w:val="00B01614"/>
    <w:rsid w:val="00B01BB3"/>
    <w:rsid w:val="00B02173"/>
    <w:rsid w:val="00B02281"/>
    <w:rsid w:val="00B0230D"/>
    <w:rsid w:val="00B023FA"/>
    <w:rsid w:val="00B0243A"/>
    <w:rsid w:val="00B025DD"/>
    <w:rsid w:val="00B026A2"/>
    <w:rsid w:val="00B02B26"/>
    <w:rsid w:val="00B02D76"/>
    <w:rsid w:val="00B02F41"/>
    <w:rsid w:val="00B033AE"/>
    <w:rsid w:val="00B034F8"/>
    <w:rsid w:val="00B0357C"/>
    <w:rsid w:val="00B038DD"/>
    <w:rsid w:val="00B03989"/>
    <w:rsid w:val="00B03DDE"/>
    <w:rsid w:val="00B03F23"/>
    <w:rsid w:val="00B042A4"/>
    <w:rsid w:val="00B04492"/>
    <w:rsid w:val="00B04533"/>
    <w:rsid w:val="00B045A3"/>
    <w:rsid w:val="00B04CCE"/>
    <w:rsid w:val="00B04F75"/>
    <w:rsid w:val="00B0502B"/>
    <w:rsid w:val="00B05154"/>
    <w:rsid w:val="00B0529B"/>
    <w:rsid w:val="00B052A7"/>
    <w:rsid w:val="00B05569"/>
    <w:rsid w:val="00B0557D"/>
    <w:rsid w:val="00B05653"/>
    <w:rsid w:val="00B05A6C"/>
    <w:rsid w:val="00B05BB5"/>
    <w:rsid w:val="00B05BF5"/>
    <w:rsid w:val="00B05CD6"/>
    <w:rsid w:val="00B05E21"/>
    <w:rsid w:val="00B05FD4"/>
    <w:rsid w:val="00B060D6"/>
    <w:rsid w:val="00B0644E"/>
    <w:rsid w:val="00B06461"/>
    <w:rsid w:val="00B06643"/>
    <w:rsid w:val="00B067C4"/>
    <w:rsid w:val="00B0681B"/>
    <w:rsid w:val="00B06827"/>
    <w:rsid w:val="00B0682B"/>
    <w:rsid w:val="00B06A0D"/>
    <w:rsid w:val="00B0715A"/>
    <w:rsid w:val="00B07553"/>
    <w:rsid w:val="00B07F42"/>
    <w:rsid w:val="00B07F6A"/>
    <w:rsid w:val="00B10163"/>
    <w:rsid w:val="00B10316"/>
    <w:rsid w:val="00B10A73"/>
    <w:rsid w:val="00B10E98"/>
    <w:rsid w:val="00B114BF"/>
    <w:rsid w:val="00B116C4"/>
    <w:rsid w:val="00B117F3"/>
    <w:rsid w:val="00B11C4F"/>
    <w:rsid w:val="00B11EA0"/>
    <w:rsid w:val="00B1212D"/>
    <w:rsid w:val="00B12264"/>
    <w:rsid w:val="00B1236A"/>
    <w:rsid w:val="00B123A3"/>
    <w:rsid w:val="00B123BF"/>
    <w:rsid w:val="00B127BC"/>
    <w:rsid w:val="00B12B39"/>
    <w:rsid w:val="00B12CAA"/>
    <w:rsid w:val="00B12D4F"/>
    <w:rsid w:val="00B12DCF"/>
    <w:rsid w:val="00B1312C"/>
    <w:rsid w:val="00B1315A"/>
    <w:rsid w:val="00B1331D"/>
    <w:rsid w:val="00B13338"/>
    <w:rsid w:val="00B1362C"/>
    <w:rsid w:val="00B1374C"/>
    <w:rsid w:val="00B13949"/>
    <w:rsid w:val="00B13C59"/>
    <w:rsid w:val="00B13CAC"/>
    <w:rsid w:val="00B14099"/>
    <w:rsid w:val="00B14139"/>
    <w:rsid w:val="00B141A7"/>
    <w:rsid w:val="00B141F7"/>
    <w:rsid w:val="00B14232"/>
    <w:rsid w:val="00B142F4"/>
    <w:rsid w:val="00B144F7"/>
    <w:rsid w:val="00B1494D"/>
    <w:rsid w:val="00B14CB8"/>
    <w:rsid w:val="00B1530F"/>
    <w:rsid w:val="00B1542E"/>
    <w:rsid w:val="00B15787"/>
    <w:rsid w:val="00B15B98"/>
    <w:rsid w:val="00B167AE"/>
    <w:rsid w:val="00B16C23"/>
    <w:rsid w:val="00B16EEC"/>
    <w:rsid w:val="00B16FA1"/>
    <w:rsid w:val="00B17615"/>
    <w:rsid w:val="00B17740"/>
    <w:rsid w:val="00B17772"/>
    <w:rsid w:val="00B1789A"/>
    <w:rsid w:val="00B1796C"/>
    <w:rsid w:val="00B17F97"/>
    <w:rsid w:val="00B17FD4"/>
    <w:rsid w:val="00B17FDB"/>
    <w:rsid w:val="00B20AF0"/>
    <w:rsid w:val="00B20F72"/>
    <w:rsid w:val="00B2138A"/>
    <w:rsid w:val="00B21411"/>
    <w:rsid w:val="00B214CF"/>
    <w:rsid w:val="00B216C3"/>
    <w:rsid w:val="00B21BB1"/>
    <w:rsid w:val="00B21C7C"/>
    <w:rsid w:val="00B21D8E"/>
    <w:rsid w:val="00B21DC0"/>
    <w:rsid w:val="00B21E4F"/>
    <w:rsid w:val="00B220D5"/>
    <w:rsid w:val="00B22169"/>
    <w:rsid w:val="00B221A6"/>
    <w:rsid w:val="00B22247"/>
    <w:rsid w:val="00B22266"/>
    <w:rsid w:val="00B22275"/>
    <w:rsid w:val="00B2228E"/>
    <w:rsid w:val="00B223A0"/>
    <w:rsid w:val="00B223AD"/>
    <w:rsid w:val="00B2243B"/>
    <w:rsid w:val="00B225D0"/>
    <w:rsid w:val="00B22651"/>
    <w:rsid w:val="00B22C58"/>
    <w:rsid w:val="00B22F7F"/>
    <w:rsid w:val="00B235C9"/>
    <w:rsid w:val="00B2362F"/>
    <w:rsid w:val="00B23667"/>
    <w:rsid w:val="00B23940"/>
    <w:rsid w:val="00B23944"/>
    <w:rsid w:val="00B23A04"/>
    <w:rsid w:val="00B23A10"/>
    <w:rsid w:val="00B23AF6"/>
    <w:rsid w:val="00B23B4B"/>
    <w:rsid w:val="00B23D55"/>
    <w:rsid w:val="00B24007"/>
    <w:rsid w:val="00B24190"/>
    <w:rsid w:val="00B2426A"/>
    <w:rsid w:val="00B24969"/>
    <w:rsid w:val="00B24AA0"/>
    <w:rsid w:val="00B24F1B"/>
    <w:rsid w:val="00B2518D"/>
    <w:rsid w:val="00B252D5"/>
    <w:rsid w:val="00B254E2"/>
    <w:rsid w:val="00B259DF"/>
    <w:rsid w:val="00B259FC"/>
    <w:rsid w:val="00B25D68"/>
    <w:rsid w:val="00B262F3"/>
    <w:rsid w:val="00B263B7"/>
    <w:rsid w:val="00B26450"/>
    <w:rsid w:val="00B264BE"/>
    <w:rsid w:val="00B26D8A"/>
    <w:rsid w:val="00B270A7"/>
    <w:rsid w:val="00B275A0"/>
    <w:rsid w:val="00B2777B"/>
    <w:rsid w:val="00B27832"/>
    <w:rsid w:val="00B27838"/>
    <w:rsid w:val="00B27D3E"/>
    <w:rsid w:val="00B27FEF"/>
    <w:rsid w:val="00B30120"/>
    <w:rsid w:val="00B30267"/>
    <w:rsid w:val="00B303A1"/>
    <w:rsid w:val="00B303E5"/>
    <w:rsid w:val="00B304A9"/>
    <w:rsid w:val="00B30733"/>
    <w:rsid w:val="00B30AA3"/>
    <w:rsid w:val="00B30D73"/>
    <w:rsid w:val="00B31163"/>
    <w:rsid w:val="00B3155F"/>
    <w:rsid w:val="00B316C6"/>
    <w:rsid w:val="00B31A72"/>
    <w:rsid w:val="00B31A89"/>
    <w:rsid w:val="00B31ACD"/>
    <w:rsid w:val="00B31DAA"/>
    <w:rsid w:val="00B32169"/>
    <w:rsid w:val="00B321AB"/>
    <w:rsid w:val="00B3257C"/>
    <w:rsid w:val="00B325B7"/>
    <w:rsid w:val="00B32686"/>
    <w:rsid w:val="00B3276A"/>
    <w:rsid w:val="00B32872"/>
    <w:rsid w:val="00B32B36"/>
    <w:rsid w:val="00B32B77"/>
    <w:rsid w:val="00B32CF5"/>
    <w:rsid w:val="00B32CFB"/>
    <w:rsid w:val="00B32F0B"/>
    <w:rsid w:val="00B3319C"/>
    <w:rsid w:val="00B33621"/>
    <w:rsid w:val="00B337C5"/>
    <w:rsid w:val="00B33914"/>
    <w:rsid w:val="00B33A60"/>
    <w:rsid w:val="00B33EFF"/>
    <w:rsid w:val="00B341F2"/>
    <w:rsid w:val="00B3468F"/>
    <w:rsid w:val="00B3491D"/>
    <w:rsid w:val="00B34940"/>
    <w:rsid w:val="00B34AA2"/>
    <w:rsid w:val="00B34E32"/>
    <w:rsid w:val="00B34FB6"/>
    <w:rsid w:val="00B35023"/>
    <w:rsid w:val="00B35078"/>
    <w:rsid w:val="00B350BD"/>
    <w:rsid w:val="00B3563C"/>
    <w:rsid w:val="00B35DB9"/>
    <w:rsid w:val="00B35E39"/>
    <w:rsid w:val="00B3600A"/>
    <w:rsid w:val="00B36059"/>
    <w:rsid w:val="00B3619A"/>
    <w:rsid w:val="00B363CF"/>
    <w:rsid w:val="00B36785"/>
    <w:rsid w:val="00B367E2"/>
    <w:rsid w:val="00B371D4"/>
    <w:rsid w:val="00B3790D"/>
    <w:rsid w:val="00B37929"/>
    <w:rsid w:val="00B37FD7"/>
    <w:rsid w:val="00B4027B"/>
    <w:rsid w:val="00B40B57"/>
    <w:rsid w:val="00B40D08"/>
    <w:rsid w:val="00B41021"/>
    <w:rsid w:val="00B41086"/>
    <w:rsid w:val="00B41293"/>
    <w:rsid w:val="00B41650"/>
    <w:rsid w:val="00B41D41"/>
    <w:rsid w:val="00B4207A"/>
    <w:rsid w:val="00B4220C"/>
    <w:rsid w:val="00B42662"/>
    <w:rsid w:val="00B42821"/>
    <w:rsid w:val="00B4282C"/>
    <w:rsid w:val="00B42F07"/>
    <w:rsid w:val="00B42F23"/>
    <w:rsid w:val="00B42F8E"/>
    <w:rsid w:val="00B42FB0"/>
    <w:rsid w:val="00B43074"/>
    <w:rsid w:val="00B43312"/>
    <w:rsid w:val="00B43379"/>
    <w:rsid w:val="00B43A35"/>
    <w:rsid w:val="00B43B4E"/>
    <w:rsid w:val="00B44263"/>
    <w:rsid w:val="00B446C2"/>
    <w:rsid w:val="00B44892"/>
    <w:rsid w:val="00B448CE"/>
    <w:rsid w:val="00B45043"/>
    <w:rsid w:val="00B451B1"/>
    <w:rsid w:val="00B452DB"/>
    <w:rsid w:val="00B454EA"/>
    <w:rsid w:val="00B45975"/>
    <w:rsid w:val="00B45A56"/>
    <w:rsid w:val="00B45E92"/>
    <w:rsid w:val="00B45F4C"/>
    <w:rsid w:val="00B45F6F"/>
    <w:rsid w:val="00B46238"/>
    <w:rsid w:val="00B4656A"/>
    <w:rsid w:val="00B46A2A"/>
    <w:rsid w:val="00B46B05"/>
    <w:rsid w:val="00B46BE8"/>
    <w:rsid w:val="00B46E10"/>
    <w:rsid w:val="00B46E31"/>
    <w:rsid w:val="00B470ED"/>
    <w:rsid w:val="00B47262"/>
    <w:rsid w:val="00B475B7"/>
    <w:rsid w:val="00B47746"/>
    <w:rsid w:val="00B479D1"/>
    <w:rsid w:val="00B50312"/>
    <w:rsid w:val="00B50C3F"/>
    <w:rsid w:val="00B50F6A"/>
    <w:rsid w:val="00B510CE"/>
    <w:rsid w:val="00B51310"/>
    <w:rsid w:val="00B514EC"/>
    <w:rsid w:val="00B51529"/>
    <w:rsid w:val="00B51654"/>
    <w:rsid w:val="00B51A55"/>
    <w:rsid w:val="00B51C4B"/>
    <w:rsid w:val="00B51D51"/>
    <w:rsid w:val="00B51F7B"/>
    <w:rsid w:val="00B51FBB"/>
    <w:rsid w:val="00B5202F"/>
    <w:rsid w:val="00B52163"/>
    <w:rsid w:val="00B527D6"/>
    <w:rsid w:val="00B52992"/>
    <w:rsid w:val="00B529A4"/>
    <w:rsid w:val="00B52A43"/>
    <w:rsid w:val="00B52AD0"/>
    <w:rsid w:val="00B52DAE"/>
    <w:rsid w:val="00B531F4"/>
    <w:rsid w:val="00B534C1"/>
    <w:rsid w:val="00B5355A"/>
    <w:rsid w:val="00B5394D"/>
    <w:rsid w:val="00B539B7"/>
    <w:rsid w:val="00B53AA8"/>
    <w:rsid w:val="00B53BA4"/>
    <w:rsid w:val="00B53D4C"/>
    <w:rsid w:val="00B54370"/>
    <w:rsid w:val="00B547BB"/>
    <w:rsid w:val="00B54964"/>
    <w:rsid w:val="00B54C37"/>
    <w:rsid w:val="00B5503F"/>
    <w:rsid w:val="00B55108"/>
    <w:rsid w:val="00B553AF"/>
    <w:rsid w:val="00B555E1"/>
    <w:rsid w:val="00B55600"/>
    <w:rsid w:val="00B556CD"/>
    <w:rsid w:val="00B559D6"/>
    <w:rsid w:val="00B55BB1"/>
    <w:rsid w:val="00B55CAC"/>
    <w:rsid w:val="00B55E75"/>
    <w:rsid w:val="00B55E98"/>
    <w:rsid w:val="00B55FB7"/>
    <w:rsid w:val="00B56195"/>
    <w:rsid w:val="00B56518"/>
    <w:rsid w:val="00B5685B"/>
    <w:rsid w:val="00B568C7"/>
    <w:rsid w:val="00B56B1D"/>
    <w:rsid w:val="00B56C09"/>
    <w:rsid w:val="00B56D6A"/>
    <w:rsid w:val="00B5707D"/>
    <w:rsid w:val="00B571EB"/>
    <w:rsid w:val="00B57219"/>
    <w:rsid w:val="00B5721C"/>
    <w:rsid w:val="00B57967"/>
    <w:rsid w:val="00B57FB1"/>
    <w:rsid w:val="00B6010A"/>
    <w:rsid w:val="00B60F0A"/>
    <w:rsid w:val="00B61342"/>
    <w:rsid w:val="00B615D2"/>
    <w:rsid w:val="00B6171A"/>
    <w:rsid w:val="00B61AC2"/>
    <w:rsid w:val="00B61D07"/>
    <w:rsid w:val="00B6201E"/>
    <w:rsid w:val="00B6210F"/>
    <w:rsid w:val="00B6216B"/>
    <w:rsid w:val="00B624B0"/>
    <w:rsid w:val="00B628DC"/>
    <w:rsid w:val="00B630C9"/>
    <w:rsid w:val="00B632A5"/>
    <w:rsid w:val="00B63416"/>
    <w:rsid w:val="00B63460"/>
    <w:rsid w:val="00B63976"/>
    <w:rsid w:val="00B63F32"/>
    <w:rsid w:val="00B6424D"/>
    <w:rsid w:val="00B64569"/>
    <w:rsid w:val="00B6494B"/>
    <w:rsid w:val="00B6498B"/>
    <w:rsid w:val="00B64AD6"/>
    <w:rsid w:val="00B64CF6"/>
    <w:rsid w:val="00B64CFF"/>
    <w:rsid w:val="00B64EE6"/>
    <w:rsid w:val="00B65313"/>
    <w:rsid w:val="00B65447"/>
    <w:rsid w:val="00B657C8"/>
    <w:rsid w:val="00B65B3F"/>
    <w:rsid w:val="00B65F1B"/>
    <w:rsid w:val="00B65FE7"/>
    <w:rsid w:val="00B66194"/>
    <w:rsid w:val="00B6628A"/>
    <w:rsid w:val="00B662A1"/>
    <w:rsid w:val="00B66639"/>
    <w:rsid w:val="00B66726"/>
    <w:rsid w:val="00B66B31"/>
    <w:rsid w:val="00B66C04"/>
    <w:rsid w:val="00B66C37"/>
    <w:rsid w:val="00B66E7B"/>
    <w:rsid w:val="00B6706D"/>
    <w:rsid w:val="00B6709D"/>
    <w:rsid w:val="00B67119"/>
    <w:rsid w:val="00B67267"/>
    <w:rsid w:val="00B673F6"/>
    <w:rsid w:val="00B67B86"/>
    <w:rsid w:val="00B70297"/>
    <w:rsid w:val="00B704C3"/>
    <w:rsid w:val="00B70522"/>
    <w:rsid w:val="00B7056E"/>
    <w:rsid w:val="00B7059C"/>
    <w:rsid w:val="00B705A8"/>
    <w:rsid w:val="00B70695"/>
    <w:rsid w:val="00B70706"/>
    <w:rsid w:val="00B70B26"/>
    <w:rsid w:val="00B70F1B"/>
    <w:rsid w:val="00B70F9B"/>
    <w:rsid w:val="00B71098"/>
    <w:rsid w:val="00B71552"/>
    <w:rsid w:val="00B715F8"/>
    <w:rsid w:val="00B71675"/>
    <w:rsid w:val="00B7192C"/>
    <w:rsid w:val="00B71AC2"/>
    <w:rsid w:val="00B71B62"/>
    <w:rsid w:val="00B71E99"/>
    <w:rsid w:val="00B721CA"/>
    <w:rsid w:val="00B7286C"/>
    <w:rsid w:val="00B7299A"/>
    <w:rsid w:val="00B72BD0"/>
    <w:rsid w:val="00B72FFA"/>
    <w:rsid w:val="00B7317A"/>
    <w:rsid w:val="00B73181"/>
    <w:rsid w:val="00B735E7"/>
    <w:rsid w:val="00B7376E"/>
    <w:rsid w:val="00B739EE"/>
    <w:rsid w:val="00B73CE4"/>
    <w:rsid w:val="00B743E7"/>
    <w:rsid w:val="00B74430"/>
    <w:rsid w:val="00B7459F"/>
    <w:rsid w:val="00B745B0"/>
    <w:rsid w:val="00B7486C"/>
    <w:rsid w:val="00B7489A"/>
    <w:rsid w:val="00B74990"/>
    <w:rsid w:val="00B749FF"/>
    <w:rsid w:val="00B74C85"/>
    <w:rsid w:val="00B74CB6"/>
    <w:rsid w:val="00B75BC0"/>
    <w:rsid w:val="00B75F1C"/>
    <w:rsid w:val="00B7636B"/>
    <w:rsid w:val="00B76492"/>
    <w:rsid w:val="00B767D7"/>
    <w:rsid w:val="00B76887"/>
    <w:rsid w:val="00B768AA"/>
    <w:rsid w:val="00B769A2"/>
    <w:rsid w:val="00B76DF3"/>
    <w:rsid w:val="00B771B9"/>
    <w:rsid w:val="00B775C4"/>
    <w:rsid w:val="00B775F2"/>
    <w:rsid w:val="00B77793"/>
    <w:rsid w:val="00B77835"/>
    <w:rsid w:val="00B7796D"/>
    <w:rsid w:val="00B77CCA"/>
    <w:rsid w:val="00B77D9F"/>
    <w:rsid w:val="00B77DFC"/>
    <w:rsid w:val="00B77FD8"/>
    <w:rsid w:val="00B8080B"/>
    <w:rsid w:val="00B809C1"/>
    <w:rsid w:val="00B80B83"/>
    <w:rsid w:val="00B80E69"/>
    <w:rsid w:val="00B81108"/>
    <w:rsid w:val="00B81711"/>
    <w:rsid w:val="00B81837"/>
    <w:rsid w:val="00B82171"/>
    <w:rsid w:val="00B8254D"/>
    <w:rsid w:val="00B82869"/>
    <w:rsid w:val="00B8291A"/>
    <w:rsid w:val="00B82980"/>
    <w:rsid w:val="00B82DA2"/>
    <w:rsid w:val="00B82FDF"/>
    <w:rsid w:val="00B8310F"/>
    <w:rsid w:val="00B83199"/>
    <w:rsid w:val="00B83297"/>
    <w:rsid w:val="00B83300"/>
    <w:rsid w:val="00B8361F"/>
    <w:rsid w:val="00B83640"/>
    <w:rsid w:val="00B8371F"/>
    <w:rsid w:val="00B8395F"/>
    <w:rsid w:val="00B83B6E"/>
    <w:rsid w:val="00B83ED2"/>
    <w:rsid w:val="00B83F54"/>
    <w:rsid w:val="00B84150"/>
    <w:rsid w:val="00B8440E"/>
    <w:rsid w:val="00B846A2"/>
    <w:rsid w:val="00B84B5D"/>
    <w:rsid w:val="00B84C0B"/>
    <w:rsid w:val="00B84D99"/>
    <w:rsid w:val="00B84EBB"/>
    <w:rsid w:val="00B84F84"/>
    <w:rsid w:val="00B85354"/>
    <w:rsid w:val="00B854D1"/>
    <w:rsid w:val="00B8560C"/>
    <w:rsid w:val="00B859E2"/>
    <w:rsid w:val="00B85AE0"/>
    <w:rsid w:val="00B85B33"/>
    <w:rsid w:val="00B85C16"/>
    <w:rsid w:val="00B85DBB"/>
    <w:rsid w:val="00B85E52"/>
    <w:rsid w:val="00B85E8D"/>
    <w:rsid w:val="00B863A0"/>
    <w:rsid w:val="00B864E2"/>
    <w:rsid w:val="00B86625"/>
    <w:rsid w:val="00B868E8"/>
    <w:rsid w:val="00B8721D"/>
    <w:rsid w:val="00B8745A"/>
    <w:rsid w:val="00B874E3"/>
    <w:rsid w:val="00B878B0"/>
    <w:rsid w:val="00B904A1"/>
    <w:rsid w:val="00B904C5"/>
    <w:rsid w:val="00B9055D"/>
    <w:rsid w:val="00B90684"/>
    <w:rsid w:val="00B908E5"/>
    <w:rsid w:val="00B90959"/>
    <w:rsid w:val="00B913CB"/>
    <w:rsid w:val="00B917DA"/>
    <w:rsid w:val="00B91937"/>
    <w:rsid w:val="00B91A99"/>
    <w:rsid w:val="00B91B88"/>
    <w:rsid w:val="00B91CE2"/>
    <w:rsid w:val="00B91D97"/>
    <w:rsid w:val="00B91E98"/>
    <w:rsid w:val="00B92354"/>
    <w:rsid w:val="00B9248B"/>
    <w:rsid w:val="00B924F8"/>
    <w:rsid w:val="00B92808"/>
    <w:rsid w:val="00B929EB"/>
    <w:rsid w:val="00B92CA9"/>
    <w:rsid w:val="00B92DE8"/>
    <w:rsid w:val="00B92F9C"/>
    <w:rsid w:val="00B937B6"/>
    <w:rsid w:val="00B937D4"/>
    <w:rsid w:val="00B9392F"/>
    <w:rsid w:val="00B93BF9"/>
    <w:rsid w:val="00B93C89"/>
    <w:rsid w:val="00B93CCD"/>
    <w:rsid w:val="00B9434E"/>
    <w:rsid w:val="00B94394"/>
    <w:rsid w:val="00B943C6"/>
    <w:rsid w:val="00B944A9"/>
    <w:rsid w:val="00B94592"/>
    <w:rsid w:val="00B9461A"/>
    <w:rsid w:val="00B94634"/>
    <w:rsid w:val="00B946BE"/>
    <w:rsid w:val="00B9477F"/>
    <w:rsid w:val="00B94BB7"/>
    <w:rsid w:val="00B94CBD"/>
    <w:rsid w:val="00B94F71"/>
    <w:rsid w:val="00B9507F"/>
    <w:rsid w:val="00B9536D"/>
    <w:rsid w:val="00B95672"/>
    <w:rsid w:val="00B95744"/>
    <w:rsid w:val="00B95883"/>
    <w:rsid w:val="00B95E69"/>
    <w:rsid w:val="00B95E72"/>
    <w:rsid w:val="00B96004"/>
    <w:rsid w:val="00B963CB"/>
    <w:rsid w:val="00B9650F"/>
    <w:rsid w:val="00B965C5"/>
    <w:rsid w:val="00B96695"/>
    <w:rsid w:val="00B96796"/>
    <w:rsid w:val="00B96D40"/>
    <w:rsid w:val="00B96DCB"/>
    <w:rsid w:val="00B96EF9"/>
    <w:rsid w:val="00B9707C"/>
    <w:rsid w:val="00B973CE"/>
    <w:rsid w:val="00B9752C"/>
    <w:rsid w:val="00B97748"/>
    <w:rsid w:val="00B97A09"/>
    <w:rsid w:val="00B97A30"/>
    <w:rsid w:val="00B97B24"/>
    <w:rsid w:val="00B97EA4"/>
    <w:rsid w:val="00BA01AB"/>
    <w:rsid w:val="00BA0200"/>
    <w:rsid w:val="00BA09F7"/>
    <w:rsid w:val="00BA0B16"/>
    <w:rsid w:val="00BA0B21"/>
    <w:rsid w:val="00BA0D18"/>
    <w:rsid w:val="00BA1091"/>
    <w:rsid w:val="00BA1895"/>
    <w:rsid w:val="00BA1929"/>
    <w:rsid w:val="00BA1E15"/>
    <w:rsid w:val="00BA1F1A"/>
    <w:rsid w:val="00BA1F24"/>
    <w:rsid w:val="00BA21DD"/>
    <w:rsid w:val="00BA22A8"/>
    <w:rsid w:val="00BA2370"/>
    <w:rsid w:val="00BA2828"/>
    <w:rsid w:val="00BA2B91"/>
    <w:rsid w:val="00BA2FC7"/>
    <w:rsid w:val="00BA3154"/>
    <w:rsid w:val="00BA3306"/>
    <w:rsid w:val="00BA3518"/>
    <w:rsid w:val="00BA3643"/>
    <w:rsid w:val="00BA3865"/>
    <w:rsid w:val="00BA392F"/>
    <w:rsid w:val="00BA3950"/>
    <w:rsid w:val="00BA3971"/>
    <w:rsid w:val="00BA3A7A"/>
    <w:rsid w:val="00BA3AD5"/>
    <w:rsid w:val="00BA3D70"/>
    <w:rsid w:val="00BA40F6"/>
    <w:rsid w:val="00BA424B"/>
    <w:rsid w:val="00BA42A0"/>
    <w:rsid w:val="00BA44A1"/>
    <w:rsid w:val="00BA4A33"/>
    <w:rsid w:val="00BA4B00"/>
    <w:rsid w:val="00BA5326"/>
    <w:rsid w:val="00BA5501"/>
    <w:rsid w:val="00BA5618"/>
    <w:rsid w:val="00BA5724"/>
    <w:rsid w:val="00BA5F27"/>
    <w:rsid w:val="00BA6662"/>
    <w:rsid w:val="00BA6704"/>
    <w:rsid w:val="00BA68DA"/>
    <w:rsid w:val="00BA6A4E"/>
    <w:rsid w:val="00BA6B5C"/>
    <w:rsid w:val="00BA6D42"/>
    <w:rsid w:val="00BA6EA6"/>
    <w:rsid w:val="00BA6F97"/>
    <w:rsid w:val="00BA724E"/>
    <w:rsid w:val="00BA7278"/>
    <w:rsid w:val="00BA739E"/>
    <w:rsid w:val="00BA73EE"/>
    <w:rsid w:val="00BA7699"/>
    <w:rsid w:val="00BA76D8"/>
    <w:rsid w:val="00BA77E6"/>
    <w:rsid w:val="00BA78DE"/>
    <w:rsid w:val="00BA7EE8"/>
    <w:rsid w:val="00BB01DE"/>
    <w:rsid w:val="00BB0418"/>
    <w:rsid w:val="00BB0C3E"/>
    <w:rsid w:val="00BB0E85"/>
    <w:rsid w:val="00BB1129"/>
    <w:rsid w:val="00BB1C25"/>
    <w:rsid w:val="00BB1CC0"/>
    <w:rsid w:val="00BB1CFF"/>
    <w:rsid w:val="00BB1D20"/>
    <w:rsid w:val="00BB221D"/>
    <w:rsid w:val="00BB22A9"/>
    <w:rsid w:val="00BB2329"/>
    <w:rsid w:val="00BB23F5"/>
    <w:rsid w:val="00BB27B2"/>
    <w:rsid w:val="00BB2A48"/>
    <w:rsid w:val="00BB2F45"/>
    <w:rsid w:val="00BB3021"/>
    <w:rsid w:val="00BB3110"/>
    <w:rsid w:val="00BB3288"/>
    <w:rsid w:val="00BB3328"/>
    <w:rsid w:val="00BB361C"/>
    <w:rsid w:val="00BB3951"/>
    <w:rsid w:val="00BB3A38"/>
    <w:rsid w:val="00BB43E0"/>
    <w:rsid w:val="00BB45A2"/>
    <w:rsid w:val="00BB46A6"/>
    <w:rsid w:val="00BB46D3"/>
    <w:rsid w:val="00BB49F2"/>
    <w:rsid w:val="00BB4A84"/>
    <w:rsid w:val="00BB4C2B"/>
    <w:rsid w:val="00BB4D08"/>
    <w:rsid w:val="00BB4DFF"/>
    <w:rsid w:val="00BB4E48"/>
    <w:rsid w:val="00BB50D1"/>
    <w:rsid w:val="00BB5358"/>
    <w:rsid w:val="00BB54A6"/>
    <w:rsid w:val="00BB5CA8"/>
    <w:rsid w:val="00BB5E52"/>
    <w:rsid w:val="00BB5FF9"/>
    <w:rsid w:val="00BB60A7"/>
    <w:rsid w:val="00BB618E"/>
    <w:rsid w:val="00BB648F"/>
    <w:rsid w:val="00BB6626"/>
    <w:rsid w:val="00BB67F2"/>
    <w:rsid w:val="00BB6875"/>
    <w:rsid w:val="00BB69E1"/>
    <w:rsid w:val="00BB69F5"/>
    <w:rsid w:val="00BB6AA8"/>
    <w:rsid w:val="00BB6B13"/>
    <w:rsid w:val="00BB6EA0"/>
    <w:rsid w:val="00BB7062"/>
    <w:rsid w:val="00BB71F8"/>
    <w:rsid w:val="00BB7407"/>
    <w:rsid w:val="00BB75C1"/>
    <w:rsid w:val="00BB785E"/>
    <w:rsid w:val="00BB78A3"/>
    <w:rsid w:val="00BB7A7B"/>
    <w:rsid w:val="00BB7F0C"/>
    <w:rsid w:val="00BC0682"/>
    <w:rsid w:val="00BC0C60"/>
    <w:rsid w:val="00BC1015"/>
    <w:rsid w:val="00BC1106"/>
    <w:rsid w:val="00BC1189"/>
    <w:rsid w:val="00BC11DE"/>
    <w:rsid w:val="00BC1360"/>
    <w:rsid w:val="00BC136F"/>
    <w:rsid w:val="00BC16F1"/>
    <w:rsid w:val="00BC1852"/>
    <w:rsid w:val="00BC19B1"/>
    <w:rsid w:val="00BC1C9D"/>
    <w:rsid w:val="00BC1CAF"/>
    <w:rsid w:val="00BC1D07"/>
    <w:rsid w:val="00BC1D73"/>
    <w:rsid w:val="00BC1DCF"/>
    <w:rsid w:val="00BC1ECD"/>
    <w:rsid w:val="00BC23B9"/>
    <w:rsid w:val="00BC268D"/>
    <w:rsid w:val="00BC284D"/>
    <w:rsid w:val="00BC28B3"/>
    <w:rsid w:val="00BC2918"/>
    <w:rsid w:val="00BC2AB1"/>
    <w:rsid w:val="00BC3595"/>
    <w:rsid w:val="00BC3791"/>
    <w:rsid w:val="00BC3975"/>
    <w:rsid w:val="00BC3A43"/>
    <w:rsid w:val="00BC3E97"/>
    <w:rsid w:val="00BC4308"/>
    <w:rsid w:val="00BC443E"/>
    <w:rsid w:val="00BC446D"/>
    <w:rsid w:val="00BC4C83"/>
    <w:rsid w:val="00BC4DF3"/>
    <w:rsid w:val="00BC4FE1"/>
    <w:rsid w:val="00BC5185"/>
    <w:rsid w:val="00BC5847"/>
    <w:rsid w:val="00BC5965"/>
    <w:rsid w:val="00BC59C9"/>
    <w:rsid w:val="00BC5D46"/>
    <w:rsid w:val="00BC65B6"/>
    <w:rsid w:val="00BC6720"/>
    <w:rsid w:val="00BC6CB4"/>
    <w:rsid w:val="00BC6EED"/>
    <w:rsid w:val="00BC72E7"/>
    <w:rsid w:val="00BC751A"/>
    <w:rsid w:val="00BC771F"/>
    <w:rsid w:val="00BC7BA0"/>
    <w:rsid w:val="00BD0116"/>
    <w:rsid w:val="00BD01CB"/>
    <w:rsid w:val="00BD03EC"/>
    <w:rsid w:val="00BD0680"/>
    <w:rsid w:val="00BD0683"/>
    <w:rsid w:val="00BD0CB6"/>
    <w:rsid w:val="00BD0D90"/>
    <w:rsid w:val="00BD0D93"/>
    <w:rsid w:val="00BD110C"/>
    <w:rsid w:val="00BD12F9"/>
    <w:rsid w:val="00BD1540"/>
    <w:rsid w:val="00BD1809"/>
    <w:rsid w:val="00BD1994"/>
    <w:rsid w:val="00BD19DC"/>
    <w:rsid w:val="00BD1AA1"/>
    <w:rsid w:val="00BD1B35"/>
    <w:rsid w:val="00BD1B90"/>
    <w:rsid w:val="00BD1C05"/>
    <w:rsid w:val="00BD1C6F"/>
    <w:rsid w:val="00BD1E8D"/>
    <w:rsid w:val="00BD1F7D"/>
    <w:rsid w:val="00BD1FFB"/>
    <w:rsid w:val="00BD2348"/>
    <w:rsid w:val="00BD26DE"/>
    <w:rsid w:val="00BD2C11"/>
    <w:rsid w:val="00BD35F2"/>
    <w:rsid w:val="00BD3A6C"/>
    <w:rsid w:val="00BD3DAC"/>
    <w:rsid w:val="00BD3E9E"/>
    <w:rsid w:val="00BD413A"/>
    <w:rsid w:val="00BD414C"/>
    <w:rsid w:val="00BD473B"/>
    <w:rsid w:val="00BD48C6"/>
    <w:rsid w:val="00BD4A72"/>
    <w:rsid w:val="00BD4A85"/>
    <w:rsid w:val="00BD4EDB"/>
    <w:rsid w:val="00BD4F53"/>
    <w:rsid w:val="00BD4FC5"/>
    <w:rsid w:val="00BD525F"/>
    <w:rsid w:val="00BD53BE"/>
    <w:rsid w:val="00BD5418"/>
    <w:rsid w:val="00BD5654"/>
    <w:rsid w:val="00BD590A"/>
    <w:rsid w:val="00BD63F1"/>
    <w:rsid w:val="00BD686D"/>
    <w:rsid w:val="00BD6AA4"/>
    <w:rsid w:val="00BD6E9C"/>
    <w:rsid w:val="00BD6F4D"/>
    <w:rsid w:val="00BD6F82"/>
    <w:rsid w:val="00BD72D1"/>
    <w:rsid w:val="00BD77AA"/>
    <w:rsid w:val="00BD77C8"/>
    <w:rsid w:val="00BD7813"/>
    <w:rsid w:val="00BD78B7"/>
    <w:rsid w:val="00BD797F"/>
    <w:rsid w:val="00BD79AD"/>
    <w:rsid w:val="00BD7B37"/>
    <w:rsid w:val="00BD7B57"/>
    <w:rsid w:val="00BD7BFF"/>
    <w:rsid w:val="00BD7FB0"/>
    <w:rsid w:val="00BE0285"/>
    <w:rsid w:val="00BE02CF"/>
    <w:rsid w:val="00BE03A6"/>
    <w:rsid w:val="00BE03C7"/>
    <w:rsid w:val="00BE07C5"/>
    <w:rsid w:val="00BE0AFD"/>
    <w:rsid w:val="00BE1055"/>
    <w:rsid w:val="00BE10AC"/>
    <w:rsid w:val="00BE113E"/>
    <w:rsid w:val="00BE1550"/>
    <w:rsid w:val="00BE165D"/>
    <w:rsid w:val="00BE1722"/>
    <w:rsid w:val="00BE1857"/>
    <w:rsid w:val="00BE1A2C"/>
    <w:rsid w:val="00BE1F44"/>
    <w:rsid w:val="00BE2208"/>
    <w:rsid w:val="00BE262B"/>
    <w:rsid w:val="00BE2686"/>
    <w:rsid w:val="00BE27D3"/>
    <w:rsid w:val="00BE2802"/>
    <w:rsid w:val="00BE28ED"/>
    <w:rsid w:val="00BE2BC3"/>
    <w:rsid w:val="00BE2D28"/>
    <w:rsid w:val="00BE2FEA"/>
    <w:rsid w:val="00BE3301"/>
    <w:rsid w:val="00BE35D7"/>
    <w:rsid w:val="00BE3756"/>
    <w:rsid w:val="00BE376D"/>
    <w:rsid w:val="00BE37E9"/>
    <w:rsid w:val="00BE389C"/>
    <w:rsid w:val="00BE3A6B"/>
    <w:rsid w:val="00BE3A74"/>
    <w:rsid w:val="00BE3CAA"/>
    <w:rsid w:val="00BE3D49"/>
    <w:rsid w:val="00BE3E5F"/>
    <w:rsid w:val="00BE4015"/>
    <w:rsid w:val="00BE41B0"/>
    <w:rsid w:val="00BE4215"/>
    <w:rsid w:val="00BE45C3"/>
    <w:rsid w:val="00BE47B6"/>
    <w:rsid w:val="00BE494F"/>
    <w:rsid w:val="00BE4BB2"/>
    <w:rsid w:val="00BE4DA7"/>
    <w:rsid w:val="00BE5337"/>
    <w:rsid w:val="00BE537D"/>
    <w:rsid w:val="00BE53A1"/>
    <w:rsid w:val="00BE54F1"/>
    <w:rsid w:val="00BE55AF"/>
    <w:rsid w:val="00BE5791"/>
    <w:rsid w:val="00BE583A"/>
    <w:rsid w:val="00BE58FE"/>
    <w:rsid w:val="00BE5DD1"/>
    <w:rsid w:val="00BE5FD0"/>
    <w:rsid w:val="00BE6075"/>
    <w:rsid w:val="00BE61CF"/>
    <w:rsid w:val="00BE623A"/>
    <w:rsid w:val="00BE629D"/>
    <w:rsid w:val="00BE6506"/>
    <w:rsid w:val="00BE6679"/>
    <w:rsid w:val="00BE6B86"/>
    <w:rsid w:val="00BE6D3B"/>
    <w:rsid w:val="00BE6EDA"/>
    <w:rsid w:val="00BE6FF1"/>
    <w:rsid w:val="00BE747D"/>
    <w:rsid w:val="00BE7560"/>
    <w:rsid w:val="00BE762F"/>
    <w:rsid w:val="00BE765C"/>
    <w:rsid w:val="00BE77B5"/>
    <w:rsid w:val="00BE7BFD"/>
    <w:rsid w:val="00BE7DB0"/>
    <w:rsid w:val="00BE7E89"/>
    <w:rsid w:val="00BE7FF9"/>
    <w:rsid w:val="00BF0113"/>
    <w:rsid w:val="00BF0337"/>
    <w:rsid w:val="00BF039A"/>
    <w:rsid w:val="00BF041F"/>
    <w:rsid w:val="00BF04DA"/>
    <w:rsid w:val="00BF084D"/>
    <w:rsid w:val="00BF0D6A"/>
    <w:rsid w:val="00BF0E7F"/>
    <w:rsid w:val="00BF0F21"/>
    <w:rsid w:val="00BF104B"/>
    <w:rsid w:val="00BF10F5"/>
    <w:rsid w:val="00BF141F"/>
    <w:rsid w:val="00BF18E1"/>
    <w:rsid w:val="00BF1B23"/>
    <w:rsid w:val="00BF1C6A"/>
    <w:rsid w:val="00BF1CDF"/>
    <w:rsid w:val="00BF1FE4"/>
    <w:rsid w:val="00BF2261"/>
    <w:rsid w:val="00BF2443"/>
    <w:rsid w:val="00BF28C0"/>
    <w:rsid w:val="00BF29FC"/>
    <w:rsid w:val="00BF2A7D"/>
    <w:rsid w:val="00BF2C25"/>
    <w:rsid w:val="00BF2C7C"/>
    <w:rsid w:val="00BF2D48"/>
    <w:rsid w:val="00BF2DE5"/>
    <w:rsid w:val="00BF2EE2"/>
    <w:rsid w:val="00BF2EF4"/>
    <w:rsid w:val="00BF2F25"/>
    <w:rsid w:val="00BF2F4D"/>
    <w:rsid w:val="00BF2F88"/>
    <w:rsid w:val="00BF2FF5"/>
    <w:rsid w:val="00BF31D3"/>
    <w:rsid w:val="00BF3497"/>
    <w:rsid w:val="00BF35E6"/>
    <w:rsid w:val="00BF3AD9"/>
    <w:rsid w:val="00BF3C8A"/>
    <w:rsid w:val="00BF4010"/>
    <w:rsid w:val="00BF44F0"/>
    <w:rsid w:val="00BF451B"/>
    <w:rsid w:val="00BF455D"/>
    <w:rsid w:val="00BF4728"/>
    <w:rsid w:val="00BF481F"/>
    <w:rsid w:val="00BF48E9"/>
    <w:rsid w:val="00BF49E5"/>
    <w:rsid w:val="00BF4B48"/>
    <w:rsid w:val="00BF4B98"/>
    <w:rsid w:val="00BF4C84"/>
    <w:rsid w:val="00BF4CAF"/>
    <w:rsid w:val="00BF4F2B"/>
    <w:rsid w:val="00BF5414"/>
    <w:rsid w:val="00BF5482"/>
    <w:rsid w:val="00BF5820"/>
    <w:rsid w:val="00BF5A82"/>
    <w:rsid w:val="00BF5C52"/>
    <w:rsid w:val="00BF5DFD"/>
    <w:rsid w:val="00BF5E2E"/>
    <w:rsid w:val="00BF5F3D"/>
    <w:rsid w:val="00BF60E4"/>
    <w:rsid w:val="00BF60FE"/>
    <w:rsid w:val="00BF6475"/>
    <w:rsid w:val="00BF6677"/>
    <w:rsid w:val="00BF67BF"/>
    <w:rsid w:val="00BF6942"/>
    <w:rsid w:val="00BF698F"/>
    <w:rsid w:val="00BF69AF"/>
    <w:rsid w:val="00BF6D0E"/>
    <w:rsid w:val="00BF75C5"/>
    <w:rsid w:val="00BF781E"/>
    <w:rsid w:val="00BF7A17"/>
    <w:rsid w:val="00BF7B3A"/>
    <w:rsid w:val="00BF7D18"/>
    <w:rsid w:val="00BF7E30"/>
    <w:rsid w:val="00BF7FDB"/>
    <w:rsid w:val="00C0000E"/>
    <w:rsid w:val="00C0026C"/>
    <w:rsid w:val="00C002ED"/>
    <w:rsid w:val="00C00456"/>
    <w:rsid w:val="00C005D1"/>
    <w:rsid w:val="00C006E3"/>
    <w:rsid w:val="00C009FA"/>
    <w:rsid w:val="00C00A80"/>
    <w:rsid w:val="00C00D1D"/>
    <w:rsid w:val="00C00EEC"/>
    <w:rsid w:val="00C00F68"/>
    <w:rsid w:val="00C01011"/>
    <w:rsid w:val="00C01224"/>
    <w:rsid w:val="00C01387"/>
    <w:rsid w:val="00C0139C"/>
    <w:rsid w:val="00C016C6"/>
    <w:rsid w:val="00C01AB8"/>
    <w:rsid w:val="00C01B65"/>
    <w:rsid w:val="00C01B7D"/>
    <w:rsid w:val="00C01B94"/>
    <w:rsid w:val="00C01DEB"/>
    <w:rsid w:val="00C0241D"/>
    <w:rsid w:val="00C02438"/>
    <w:rsid w:val="00C02568"/>
    <w:rsid w:val="00C0258A"/>
    <w:rsid w:val="00C025B2"/>
    <w:rsid w:val="00C02A0D"/>
    <w:rsid w:val="00C02A15"/>
    <w:rsid w:val="00C02B23"/>
    <w:rsid w:val="00C02DE1"/>
    <w:rsid w:val="00C02DED"/>
    <w:rsid w:val="00C02DF5"/>
    <w:rsid w:val="00C0319B"/>
    <w:rsid w:val="00C031FA"/>
    <w:rsid w:val="00C03E59"/>
    <w:rsid w:val="00C03EBD"/>
    <w:rsid w:val="00C04024"/>
    <w:rsid w:val="00C0408D"/>
    <w:rsid w:val="00C0429B"/>
    <w:rsid w:val="00C0445F"/>
    <w:rsid w:val="00C04DE4"/>
    <w:rsid w:val="00C05142"/>
    <w:rsid w:val="00C05183"/>
    <w:rsid w:val="00C05305"/>
    <w:rsid w:val="00C053AF"/>
    <w:rsid w:val="00C053BC"/>
    <w:rsid w:val="00C05782"/>
    <w:rsid w:val="00C05B75"/>
    <w:rsid w:val="00C05C57"/>
    <w:rsid w:val="00C05CA6"/>
    <w:rsid w:val="00C05DB1"/>
    <w:rsid w:val="00C05E69"/>
    <w:rsid w:val="00C05EB4"/>
    <w:rsid w:val="00C05F15"/>
    <w:rsid w:val="00C0602E"/>
    <w:rsid w:val="00C0610A"/>
    <w:rsid w:val="00C06306"/>
    <w:rsid w:val="00C06438"/>
    <w:rsid w:val="00C0644A"/>
    <w:rsid w:val="00C06459"/>
    <w:rsid w:val="00C06712"/>
    <w:rsid w:val="00C06A2A"/>
    <w:rsid w:val="00C06CBA"/>
    <w:rsid w:val="00C06E86"/>
    <w:rsid w:val="00C07417"/>
    <w:rsid w:val="00C076FE"/>
    <w:rsid w:val="00C0791A"/>
    <w:rsid w:val="00C07BBA"/>
    <w:rsid w:val="00C07BE6"/>
    <w:rsid w:val="00C07C0A"/>
    <w:rsid w:val="00C07DD7"/>
    <w:rsid w:val="00C07EF7"/>
    <w:rsid w:val="00C10407"/>
    <w:rsid w:val="00C105AC"/>
    <w:rsid w:val="00C105F7"/>
    <w:rsid w:val="00C105FC"/>
    <w:rsid w:val="00C106E8"/>
    <w:rsid w:val="00C108BF"/>
    <w:rsid w:val="00C10B20"/>
    <w:rsid w:val="00C10B79"/>
    <w:rsid w:val="00C10EAB"/>
    <w:rsid w:val="00C115F0"/>
    <w:rsid w:val="00C116B5"/>
    <w:rsid w:val="00C118CF"/>
    <w:rsid w:val="00C11A01"/>
    <w:rsid w:val="00C11A09"/>
    <w:rsid w:val="00C11B2B"/>
    <w:rsid w:val="00C11C68"/>
    <w:rsid w:val="00C1212D"/>
    <w:rsid w:val="00C12397"/>
    <w:rsid w:val="00C125F0"/>
    <w:rsid w:val="00C12681"/>
    <w:rsid w:val="00C128F3"/>
    <w:rsid w:val="00C12D92"/>
    <w:rsid w:val="00C12E6E"/>
    <w:rsid w:val="00C131C9"/>
    <w:rsid w:val="00C131D3"/>
    <w:rsid w:val="00C1325E"/>
    <w:rsid w:val="00C138F9"/>
    <w:rsid w:val="00C14272"/>
    <w:rsid w:val="00C144DE"/>
    <w:rsid w:val="00C147A6"/>
    <w:rsid w:val="00C148DC"/>
    <w:rsid w:val="00C14C9A"/>
    <w:rsid w:val="00C15865"/>
    <w:rsid w:val="00C158CC"/>
    <w:rsid w:val="00C15AEB"/>
    <w:rsid w:val="00C15E26"/>
    <w:rsid w:val="00C15EDC"/>
    <w:rsid w:val="00C161FD"/>
    <w:rsid w:val="00C164A4"/>
    <w:rsid w:val="00C165FD"/>
    <w:rsid w:val="00C168F4"/>
    <w:rsid w:val="00C16968"/>
    <w:rsid w:val="00C169AE"/>
    <w:rsid w:val="00C16ACC"/>
    <w:rsid w:val="00C16B7F"/>
    <w:rsid w:val="00C17105"/>
    <w:rsid w:val="00C1734E"/>
    <w:rsid w:val="00C17516"/>
    <w:rsid w:val="00C1755F"/>
    <w:rsid w:val="00C1774D"/>
    <w:rsid w:val="00C17948"/>
    <w:rsid w:val="00C17F60"/>
    <w:rsid w:val="00C20092"/>
    <w:rsid w:val="00C20277"/>
    <w:rsid w:val="00C2030D"/>
    <w:rsid w:val="00C20582"/>
    <w:rsid w:val="00C2060D"/>
    <w:rsid w:val="00C20738"/>
    <w:rsid w:val="00C209D3"/>
    <w:rsid w:val="00C2106D"/>
    <w:rsid w:val="00C21241"/>
    <w:rsid w:val="00C2162A"/>
    <w:rsid w:val="00C21726"/>
    <w:rsid w:val="00C21784"/>
    <w:rsid w:val="00C21785"/>
    <w:rsid w:val="00C217A9"/>
    <w:rsid w:val="00C21A97"/>
    <w:rsid w:val="00C21F5A"/>
    <w:rsid w:val="00C22052"/>
    <w:rsid w:val="00C221BF"/>
    <w:rsid w:val="00C222A8"/>
    <w:rsid w:val="00C22320"/>
    <w:rsid w:val="00C2255C"/>
    <w:rsid w:val="00C226EA"/>
    <w:rsid w:val="00C2288A"/>
    <w:rsid w:val="00C22CEC"/>
    <w:rsid w:val="00C2304E"/>
    <w:rsid w:val="00C23130"/>
    <w:rsid w:val="00C2333C"/>
    <w:rsid w:val="00C23FEA"/>
    <w:rsid w:val="00C24003"/>
    <w:rsid w:val="00C2468E"/>
    <w:rsid w:val="00C247CA"/>
    <w:rsid w:val="00C247F7"/>
    <w:rsid w:val="00C24961"/>
    <w:rsid w:val="00C249B7"/>
    <w:rsid w:val="00C24BD8"/>
    <w:rsid w:val="00C24C86"/>
    <w:rsid w:val="00C24E13"/>
    <w:rsid w:val="00C25014"/>
    <w:rsid w:val="00C253B3"/>
    <w:rsid w:val="00C2552C"/>
    <w:rsid w:val="00C25583"/>
    <w:rsid w:val="00C256DD"/>
    <w:rsid w:val="00C262DC"/>
    <w:rsid w:val="00C26869"/>
    <w:rsid w:val="00C268CF"/>
    <w:rsid w:val="00C26EB7"/>
    <w:rsid w:val="00C27265"/>
    <w:rsid w:val="00C2726E"/>
    <w:rsid w:val="00C275C4"/>
    <w:rsid w:val="00C27AB4"/>
    <w:rsid w:val="00C27CFA"/>
    <w:rsid w:val="00C30C03"/>
    <w:rsid w:val="00C30D55"/>
    <w:rsid w:val="00C3132B"/>
    <w:rsid w:val="00C317B2"/>
    <w:rsid w:val="00C317F3"/>
    <w:rsid w:val="00C3182C"/>
    <w:rsid w:val="00C31A1A"/>
    <w:rsid w:val="00C31EE8"/>
    <w:rsid w:val="00C31FFB"/>
    <w:rsid w:val="00C32157"/>
    <w:rsid w:val="00C325FD"/>
    <w:rsid w:val="00C326A9"/>
    <w:rsid w:val="00C326EC"/>
    <w:rsid w:val="00C327B4"/>
    <w:rsid w:val="00C32E6E"/>
    <w:rsid w:val="00C32ED1"/>
    <w:rsid w:val="00C32F5A"/>
    <w:rsid w:val="00C32FC6"/>
    <w:rsid w:val="00C332F1"/>
    <w:rsid w:val="00C3369C"/>
    <w:rsid w:val="00C3376A"/>
    <w:rsid w:val="00C339CC"/>
    <w:rsid w:val="00C33A9B"/>
    <w:rsid w:val="00C33AE9"/>
    <w:rsid w:val="00C33D56"/>
    <w:rsid w:val="00C33EEC"/>
    <w:rsid w:val="00C341E1"/>
    <w:rsid w:val="00C34250"/>
    <w:rsid w:val="00C342CF"/>
    <w:rsid w:val="00C344F9"/>
    <w:rsid w:val="00C34975"/>
    <w:rsid w:val="00C349C2"/>
    <w:rsid w:val="00C349C5"/>
    <w:rsid w:val="00C34C32"/>
    <w:rsid w:val="00C34D57"/>
    <w:rsid w:val="00C34E08"/>
    <w:rsid w:val="00C34E85"/>
    <w:rsid w:val="00C351B5"/>
    <w:rsid w:val="00C35295"/>
    <w:rsid w:val="00C3539C"/>
    <w:rsid w:val="00C35D0C"/>
    <w:rsid w:val="00C35D53"/>
    <w:rsid w:val="00C35ED8"/>
    <w:rsid w:val="00C35F29"/>
    <w:rsid w:val="00C35F3C"/>
    <w:rsid w:val="00C35FD9"/>
    <w:rsid w:val="00C361F4"/>
    <w:rsid w:val="00C36355"/>
    <w:rsid w:val="00C36900"/>
    <w:rsid w:val="00C3701D"/>
    <w:rsid w:val="00C37087"/>
    <w:rsid w:val="00C3717F"/>
    <w:rsid w:val="00C373FA"/>
    <w:rsid w:val="00C37472"/>
    <w:rsid w:val="00C3748C"/>
    <w:rsid w:val="00C3771C"/>
    <w:rsid w:val="00C377C0"/>
    <w:rsid w:val="00C37B14"/>
    <w:rsid w:val="00C37C07"/>
    <w:rsid w:val="00C37DEA"/>
    <w:rsid w:val="00C37EB9"/>
    <w:rsid w:val="00C401BA"/>
    <w:rsid w:val="00C4044A"/>
    <w:rsid w:val="00C406C8"/>
    <w:rsid w:val="00C40A69"/>
    <w:rsid w:val="00C40B89"/>
    <w:rsid w:val="00C40DC9"/>
    <w:rsid w:val="00C412C4"/>
    <w:rsid w:val="00C41402"/>
    <w:rsid w:val="00C4161E"/>
    <w:rsid w:val="00C4166E"/>
    <w:rsid w:val="00C41817"/>
    <w:rsid w:val="00C4191C"/>
    <w:rsid w:val="00C4194E"/>
    <w:rsid w:val="00C41B69"/>
    <w:rsid w:val="00C41CCA"/>
    <w:rsid w:val="00C41CD5"/>
    <w:rsid w:val="00C42422"/>
    <w:rsid w:val="00C42495"/>
    <w:rsid w:val="00C428A0"/>
    <w:rsid w:val="00C429C6"/>
    <w:rsid w:val="00C42C4B"/>
    <w:rsid w:val="00C42CA6"/>
    <w:rsid w:val="00C42F7F"/>
    <w:rsid w:val="00C43476"/>
    <w:rsid w:val="00C434D1"/>
    <w:rsid w:val="00C435A6"/>
    <w:rsid w:val="00C439EF"/>
    <w:rsid w:val="00C439FA"/>
    <w:rsid w:val="00C43AD7"/>
    <w:rsid w:val="00C43D01"/>
    <w:rsid w:val="00C43FD2"/>
    <w:rsid w:val="00C44568"/>
    <w:rsid w:val="00C44C37"/>
    <w:rsid w:val="00C44F93"/>
    <w:rsid w:val="00C45116"/>
    <w:rsid w:val="00C4519A"/>
    <w:rsid w:val="00C45290"/>
    <w:rsid w:val="00C45296"/>
    <w:rsid w:val="00C45459"/>
    <w:rsid w:val="00C455B5"/>
    <w:rsid w:val="00C45844"/>
    <w:rsid w:val="00C45E09"/>
    <w:rsid w:val="00C463A1"/>
    <w:rsid w:val="00C464D2"/>
    <w:rsid w:val="00C46525"/>
    <w:rsid w:val="00C465F0"/>
    <w:rsid w:val="00C465F9"/>
    <w:rsid w:val="00C4662A"/>
    <w:rsid w:val="00C46643"/>
    <w:rsid w:val="00C46AE5"/>
    <w:rsid w:val="00C46F64"/>
    <w:rsid w:val="00C46FCD"/>
    <w:rsid w:val="00C46FDF"/>
    <w:rsid w:val="00C473D6"/>
    <w:rsid w:val="00C47457"/>
    <w:rsid w:val="00C4748A"/>
    <w:rsid w:val="00C47654"/>
    <w:rsid w:val="00C47A5F"/>
    <w:rsid w:val="00C47B92"/>
    <w:rsid w:val="00C47E70"/>
    <w:rsid w:val="00C47F44"/>
    <w:rsid w:val="00C505C9"/>
    <w:rsid w:val="00C505E2"/>
    <w:rsid w:val="00C50639"/>
    <w:rsid w:val="00C508D3"/>
    <w:rsid w:val="00C50B62"/>
    <w:rsid w:val="00C50C0C"/>
    <w:rsid w:val="00C50D31"/>
    <w:rsid w:val="00C50EDB"/>
    <w:rsid w:val="00C51148"/>
    <w:rsid w:val="00C512AD"/>
    <w:rsid w:val="00C513DB"/>
    <w:rsid w:val="00C5142B"/>
    <w:rsid w:val="00C515BF"/>
    <w:rsid w:val="00C51EB3"/>
    <w:rsid w:val="00C5202E"/>
    <w:rsid w:val="00C524EB"/>
    <w:rsid w:val="00C52827"/>
    <w:rsid w:val="00C52874"/>
    <w:rsid w:val="00C52BE0"/>
    <w:rsid w:val="00C53101"/>
    <w:rsid w:val="00C5310F"/>
    <w:rsid w:val="00C5351C"/>
    <w:rsid w:val="00C535AC"/>
    <w:rsid w:val="00C53975"/>
    <w:rsid w:val="00C53E48"/>
    <w:rsid w:val="00C54A5F"/>
    <w:rsid w:val="00C54D00"/>
    <w:rsid w:val="00C550E6"/>
    <w:rsid w:val="00C55182"/>
    <w:rsid w:val="00C5533C"/>
    <w:rsid w:val="00C554E2"/>
    <w:rsid w:val="00C55913"/>
    <w:rsid w:val="00C55AE9"/>
    <w:rsid w:val="00C55BED"/>
    <w:rsid w:val="00C55F28"/>
    <w:rsid w:val="00C56093"/>
    <w:rsid w:val="00C5636D"/>
    <w:rsid w:val="00C5645D"/>
    <w:rsid w:val="00C564DB"/>
    <w:rsid w:val="00C5697B"/>
    <w:rsid w:val="00C56B59"/>
    <w:rsid w:val="00C56BD4"/>
    <w:rsid w:val="00C56C2D"/>
    <w:rsid w:val="00C56CF1"/>
    <w:rsid w:val="00C56E76"/>
    <w:rsid w:val="00C56F0C"/>
    <w:rsid w:val="00C57064"/>
    <w:rsid w:val="00C571AE"/>
    <w:rsid w:val="00C573A5"/>
    <w:rsid w:val="00C575BE"/>
    <w:rsid w:val="00C57C3E"/>
    <w:rsid w:val="00C57E4D"/>
    <w:rsid w:val="00C60036"/>
    <w:rsid w:val="00C60286"/>
    <w:rsid w:val="00C608BA"/>
    <w:rsid w:val="00C60B50"/>
    <w:rsid w:val="00C60D47"/>
    <w:rsid w:val="00C60DDB"/>
    <w:rsid w:val="00C60EB8"/>
    <w:rsid w:val="00C60EDC"/>
    <w:rsid w:val="00C61B1A"/>
    <w:rsid w:val="00C61BA3"/>
    <w:rsid w:val="00C61C38"/>
    <w:rsid w:val="00C61C59"/>
    <w:rsid w:val="00C622A3"/>
    <w:rsid w:val="00C62571"/>
    <w:rsid w:val="00C625B4"/>
    <w:rsid w:val="00C626E2"/>
    <w:rsid w:val="00C628C8"/>
    <w:rsid w:val="00C62BAB"/>
    <w:rsid w:val="00C62C40"/>
    <w:rsid w:val="00C62D11"/>
    <w:rsid w:val="00C62D6E"/>
    <w:rsid w:val="00C62D8C"/>
    <w:rsid w:val="00C62DF5"/>
    <w:rsid w:val="00C62F51"/>
    <w:rsid w:val="00C632AA"/>
    <w:rsid w:val="00C63354"/>
    <w:rsid w:val="00C633FA"/>
    <w:rsid w:val="00C6361B"/>
    <w:rsid w:val="00C63F05"/>
    <w:rsid w:val="00C641F4"/>
    <w:rsid w:val="00C642E0"/>
    <w:rsid w:val="00C6499E"/>
    <w:rsid w:val="00C64A47"/>
    <w:rsid w:val="00C64EF0"/>
    <w:rsid w:val="00C652F3"/>
    <w:rsid w:val="00C65340"/>
    <w:rsid w:val="00C659F2"/>
    <w:rsid w:val="00C65B07"/>
    <w:rsid w:val="00C65B7B"/>
    <w:rsid w:val="00C65BDF"/>
    <w:rsid w:val="00C65C0A"/>
    <w:rsid w:val="00C65C31"/>
    <w:rsid w:val="00C6609F"/>
    <w:rsid w:val="00C6634D"/>
    <w:rsid w:val="00C668AA"/>
    <w:rsid w:val="00C66B81"/>
    <w:rsid w:val="00C66ECD"/>
    <w:rsid w:val="00C672F3"/>
    <w:rsid w:val="00C673F8"/>
    <w:rsid w:val="00C67544"/>
    <w:rsid w:val="00C67809"/>
    <w:rsid w:val="00C67B05"/>
    <w:rsid w:val="00C67E43"/>
    <w:rsid w:val="00C70150"/>
    <w:rsid w:val="00C70215"/>
    <w:rsid w:val="00C702F9"/>
    <w:rsid w:val="00C70466"/>
    <w:rsid w:val="00C704A5"/>
    <w:rsid w:val="00C70D93"/>
    <w:rsid w:val="00C70E94"/>
    <w:rsid w:val="00C7116D"/>
    <w:rsid w:val="00C71655"/>
    <w:rsid w:val="00C719CA"/>
    <w:rsid w:val="00C71A17"/>
    <w:rsid w:val="00C71A5D"/>
    <w:rsid w:val="00C71B1D"/>
    <w:rsid w:val="00C71D53"/>
    <w:rsid w:val="00C71DDE"/>
    <w:rsid w:val="00C71F4A"/>
    <w:rsid w:val="00C721CC"/>
    <w:rsid w:val="00C7239E"/>
    <w:rsid w:val="00C72644"/>
    <w:rsid w:val="00C7268B"/>
    <w:rsid w:val="00C726A9"/>
    <w:rsid w:val="00C727EE"/>
    <w:rsid w:val="00C729E5"/>
    <w:rsid w:val="00C72AB1"/>
    <w:rsid w:val="00C73340"/>
    <w:rsid w:val="00C73561"/>
    <w:rsid w:val="00C736E7"/>
    <w:rsid w:val="00C73BC3"/>
    <w:rsid w:val="00C73CE6"/>
    <w:rsid w:val="00C73F75"/>
    <w:rsid w:val="00C74096"/>
    <w:rsid w:val="00C74268"/>
    <w:rsid w:val="00C74732"/>
    <w:rsid w:val="00C74754"/>
    <w:rsid w:val="00C74A3D"/>
    <w:rsid w:val="00C74C22"/>
    <w:rsid w:val="00C74C43"/>
    <w:rsid w:val="00C74EEE"/>
    <w:rsid w:val="00C75000"/>
    <w:rsid w:val="00C7519E"/>
    <w:rsid w:val="00C75589"/>
    <w:rsid w:val="00C756C0"/>
    <w:rsid w:val="00C759A2"/>
    <w:rsid w:val="00C75BA2"/>
    <w:rsid w:val="00C75EE4"/>
    <w:rsid w:val="00C75F00"/>
    <w:rsid w:val="00C76281"/>
    <w:rsid w:val="00C76943"/>
    <w:rsid w:val="00C76A89"/>
    <w:rsid w:val="00C76C4D"/>
    <w:rsid w:val="00C7702B"/>
    <w:rsid w:val="00C77994"/>
    <w:rsid w:val="00C77B81"/>
    <w:rsid w:val="00C77BF4"/>
    <w:rsid w:val="00C77C8E"/>
    <w:rsid w:val="00C77CE3"/>
    <w:rsid w:val="00C77FAC"/>
    <w:rsid w:val="00C8017D"/>
    <w:rsid w:val="00C80246"/>
    <w:rsid w:val="00C8066E"/>
    <w:rsid w:val="00C806D0"/>
    <w:rsid w:val="00C8074F"/>
    <w:rsid w:val="00C8131C"/>
    <w:rsid w:val="00C8147F"/>
    <w:rsid w:val="00C81833"/>
    <w:rsid w:val="00C8183E"/>
    <w:rsid w:val="00C81A12"/>
    <w:rsid w:val="00C81FD8"/>
    <w:rsid w:val="00C82261"/>
    <w:rsid w:val="00C824E4"/>
    <w:rsid w:val="00C8256C"/>
    <w:rsid w:val="00C82579"/>
    <w:rsid w:val="00C82636"/>
    <w:rsid w:val="00C826E7"/>
    <w:rsid w:val="00C82910"/>
    <w:rsid w:val="00C8296F"/>
    <w:rsid w:val="00C82976"/>
    <w:rsid w:val="00C82C92"/>
    <w:rsid w:val="00C82DFC"/>
    <w:rsid w:val="00C82EBD"/>
    <w:rsid w:val="00C82F79"/>
    <w:rsid w:val="00C8303A"/>
    <w:rsid w:val="00C831E5"/>
    <w:rsid w:val="00C8367E"/>
    <w:rsid w:val="00C8369D"/>
    <w:rsid w:val="00C8373E"/>
    <w:rsid w:val="00C83873"/>
    <w:rsid w:val="00C83A9B"/>
    <w:rsid w:val="00C83AF0"/>
    <w:rsid w:val="00C83DF5"/>
    <w:rsid w:val="00C83E9A"/>
    <w:rsid w:val="00C8401D"/>
    <w:rsid w:val="00C84173"/>
    <w:rsid w:val="00C842BA"/>
    <w:rsid w:val="00C8434B"/>
    <w:rsid w:val="00C8436F"/>
    <w:rsid w:val="00C844AB"/>
    <w:rsid w:val="00C84504"/>
    <w:rsid w:val="00C84531"/>
    <w:rsid w:val="00C845B2"/>
    <w:rsid w:val="00C8468D"/>
    <w:rsid w:val="00C846BE"/>
    <w:rsid w:val="00C84736"/>
    <w:rsid w:val="00C8490F"/>
    <w:rsid w:val="00C84C02"/>
    <w:rsid w:val="00C84EF9"/>
    <w:rsid w:val="00C84F93"/>
    <w:rsid w:val="00C84FEC"/>
    <w:rsid w:val="00C853C1"/>
    <w:rsid w:val="00C85468"/>
    <w:rsid w:val="00C8590D"/>
    <w:rsid w:val="00C85B69"/>
    <w:rsid w:val="00C85EC9"/>
    <w:rsid w:val="00C85EF1"/>
    <w:rsid w:val="00C860BD"/>
    <w:rsid w:val="00C8651F"/>
    <w:rsid w:val="00C86BF7"/>
    <w:rsid w:val="00C87120"/>
    <w:rsid w:val="00C873D7"/>
    <w:rsid w:val="00C87442"/>
    <w:rsid w:val="00C87806"/>
    <w:rsid w:val="00C87F5E"/>
    <w:rsid w:val="00C9000E"/>
    <w:rsid w:val="00C90129"/>
    <w:rsid w:val="00C90E0D"/>
    <w:rsid w:val="00C91392"/>
    <w:rsid w:val="00C9161F"/>
    <w:rsid w:val="00C918A6"/>
    <w:rsid w:val="00C9193A"/>
    <w:rsid w:val="00C91F5E"/>
    <w:rsid w:val="00C92083"/>
    <w:rsid w:val="00C920A1"/>
    <w:rsid w:val="00C92195"/>
    <w:rsid w:val="00C922DE"/>
    <w:rsid w:val="00C92771"/>
    <w:rsid w:val="00C92A37"/>
    <w:rsid w:val="00C92B94"/>
    <w:rsid w:val="00C92B97"/>
    <w:rsid w:val="00C93089"/>
    <w:rsid w:val="00C93187"/>
    <w:rsid w:val="00C931DE"/>
    <w:rsid w:val="00C934A5"/>
    <w:rsid w:val="00C934DC"/>
    <w:rsid w:val="00C93538"/>
    <w:rsid w:val="00C93787"/>
    <w:rsid w:val="00C937ED"/>
    <w:rsid w:val="00C93973"/>
    <w:rsid w:val="00C93F64"/>
    <w:rsid w:val="00C9422F"/>
    <w:rsid w:val="00C9484E"/>
    <w:rsid w:val="00C94F86"/>
    <w:rsid w:val="00C9560D"/>
    <w:rsid w:val="00C957C6"/>
    <w:rsid w:val="00C96094"/>
    <w:rsid w:val="00C963DE"/>
    <w:rsid w:val="00C9679F"/>
    <w:rsid w:val="00C967DD"/>
    <w:rsid w:val="00C968EB"/>
    <w:rsid w:val="00C96AF7"/>
    <w:rsid w:val="00C96B4A"/>
    <w:rsid w:val="00C96E98"/>
    <w:rsid w:val="00C972D0"/>
    <w:rsid w:val="00C973C6"/>
    <w:rsid w:val="00C97801"/>
    <w:rsid w:val="00C97E9D"/>
    <w:rsid w:val="00C97EC7"/>
    <w:rsid w:val="00CA00ED"/>
    <w:rsid w:val="00CA06E7"/>
    <w:rsid w:val="00CA0C26"/>
    <w:rsid w:val="00CA0E75"/>
    <w:rsid w:val="00CA121F"/>
    <w:rsid w:val="00CA1A8B"/>
    <w:rsid w:val="00CA1B15"/>
    <w:rsid w:val="00CA1D57"/>
    <w:rsid w:val="00CA21A2"/>
    <w:rsid w:val="00CA23C5"/>
    <w:rsid w:val="00CA2621"/>
    <w:rsid w:val="00CA2B44"/>
    <w:rsid w:val="00CA2CFF"/>
    <w:rsid w:val="00CA2D66"/>
    <w:rsid w:val="00CA2F08"/>
    <w:rsid w:val="00CA315B"/>
    <w:rsid w:val="00CA33CC"/>
    <w:rsid w:val="00CA3580"/>
    <w:rsid w:val="00CA378D"/>
    <w:rsid w:val="00CA37F5"/>
    <w:rsid w:val="00CA3888"/>
    <w:rsid w:val="00CA3C15"/>
    <w:rsid w:val="00CA3F55"/>
    <w:rsid w:val="00CA4062"/>
    <w:rsid w:val="00CA4303"/>
    <w:rsid w:val="00CA4A53"/>
    <w:rsid w:val="00CA4BBF"/>
    <w:rsid w:val="00CA4F73"/>
    <w:rsid w:val="00CA5048"/>
    <w:rsid w:val="00CA50B2"/>
    <w:rsid w:val="00CA510B"/>
    <w:rsid w:val="00CA539D"/>
    <w:rsid w:val="00CA53A0"/>
    <w:rsid w:val="00CA54D2"/>
    <w:rsid w:val="00CA565A"/>
    <w:rsid w:val="00CA5753"/>
    <w:rsid w:val="00CA58C2"/>
    <w:rsid w:val="00CA5A24"/>
    <w:rsid w:val="00CA5AD1"/>
    <w:rsid w:val="00CA5BB3"/>
    <w:rsid w:val="00CA5C99"/>
    <w:rsid w:val="00CA5FD4"/>
    <w:rsid w:val="00CA6222"/>
    <w:rsid w:val="00CA63CB"/>
    <w:rsid w:val="00CA645D"/>
    <w:rsid w:val="00CA6693"/>
    <w:rsid w:val="00CA6841"/>
    <w:rsid w:val="00CA6875"/>
    <w:rsid w:val="00CA69AC"/>
    <w:rsid w:val="00CA75B3"/>
    <w:rsid w:val="00CA7884"/>
    <w:rsid w:val="00CA7A8C"/>
    <w:rsid w:val="00CA7A9F"/>
    <w:rsid w:val="00CA7C38"/>
    <w:rsid w:val="00CA7CB6"/>
    <w:rsid w:val="00CB00D1"/>
    <w:rsid w:val="00CB0679"/>
    <w:rsid w:val="00CB07A8"/>
    <w:rsid w:val="00CB0CFF"/>
    <w:rsid w:val="00CB0E06"/>
    <w:rsid w:val="00CB0FCF"/>
    <w:rsid w:val="00CB1024"/>
    <w:rsid w:val="00CB10AA"/>
    <w:rsid w:val="00CB11B4"/>
    <w:rsid w:val="00CB1BC2"/>
    <w:rsid w:val="00CB1BE3"/>
    <w:rsid w:val="00CB1D52"/>
    <w:rsid w:val="00CB1DB8"/>
    <w:rsid w:val="00CB2072"/>
    <w:rsid w:val="00CB21AF"/>
    <w:rsid w:val="00CB2405"/>
    <w:rsid w:val="00CB2BB6"/>
    <w:rsid w:val="00CB2F9A"/>
    <w:rsid w:val="00CB318F"/>
    <w:rsid w:val="00CB39FD"/>
    <w:rsid w:val="00CB3C27"/>
    <w:rsid w:val="00CB3CFF"/>
    <w:rsid w:val="00CB3F33"/>
    <w:rsid w:val="00CB4623"/>
    <w:rsid w:val="00CB47B3"/>
    <w:rsid w:val="00CB48FB"/>
    <w:rsid w:val="00CB49A5"/>
    <w:rsid w:val="00CB4AA0"/>
    <w:rsid w:val="00CB4E60"/>
    <w:rsid w:val="00CB5389"/>
    <w:rsid w:val="00CB5627"/>
    <w:rsid w:val="00CB5644"/>
    <w:rsid w:val="00CB5920"/>
    <w:rsid w:val="00CB5A19"/>
    <w:rsid w:val="00CB5D88"/>
    <w:rsid w:val="00CB5EAB"/>
    <w:rsid w:val="00CB61E5"/>
    <w:rsid w:val="00CB6BEE"/>
    <w:rsid w:val="00CB6C20"/>
    <w:rsid w:val="00CB6E5C"/>
    <w:rsid w:val="00CB6E86"/>
    <w:rsid w:val="00CB70CD"/>
    <w:rsid w:val="00CB70E2"/>
    <w:rsid w:val="00CB71A2"/>
    <w:rsid w:val="00CB7246"/>
    <w:rsid w:val="00CB73FE"/>
    <w:rsid w:val="00CB7544"/>
    <w:rsid w:val="00CB7754"/>
    <w:rsid w:val="00CB79C8"/>
    <w:rsid w:val="00CC0015"/>
    <w:rsid w:val="00CC00CB"/>
    <w:rsid w:val="00CC034A"/>
    <w:rsid w:val="00CC097E"/>
    <w:rsid w:val="00CC0B3B"/>
    <w:rsid w:val="00CC0B3F"/>
    <w:rsid w:val="00CC0BCF"/>
    <w:rsid w:val="00CC109D"/>
    <w:rsid w:val="00CC10E1"/>
    <w:rsid w:val="00CC1141"/>
    <w:rsid w:val="00CC14F1"/>
    <w:rsid w:val="00CC172A"/>
    <w:rsid w:val="00CC1AED"/>
    <w:rsid w:val="00CC1B02"/>
    <w:rsid w:val="00CC1C10"/>
    <w:rsid w:val="00CC1CEB"/>
    <w:rsid w:val="00CC215C"/>
    <w:rsid w:val="00CC21D0"/>
    <w:rsid w:val="00CC2458"/>
    <w:rsid w:val="00CC27FA"/>
    <w:rsid w:val="00CC2A53"/>
    <w:rsid w:val="00CC30C6"/>
    <w:rsid w:val="00CC313E"/>
    <w:rsid w:val="00CC3373"/>
    <w:rsid w:val="00CC350F"/>
    <w:rsid w:val="00CC3520"/>
    <w:rsid w:val="00CC3540"/>
    <w:rsid w:val="00CC3543"/>
    <w:rsid w:val="00CC371B"/>
    <w:rsid w:val="00CC3A1D"/>
    <w:rsid w:val="00CC3A29"/>
    <w:rsid w:val="00CC3A64"/>
    <w:rsid w:val="00CC3DBA"/>
    <w:rsid w:val="00CC3DC4"/>
    <w:rsid w:val="00CC3EBF"/>
    <w:rsid w:val="00CC3FC0"/>
    <w:rsid w:val="00CC4D7C"/>
    <w:rsid w:val="00CC4F76"/>
    <w:rsid w:val="00CC51E9"/>
    <w:rsid w:val="00CC5294"/>
    <w:rsid w:val="00CC56C8"/>
    <w:rsid w:val="00CC5CAD"/>
    <w:rsid w:val="00CC62D1"/>
    <w:rsid w:val="00CC62E5"/>
    <w:rsid w:val="00CC62FB"/>
    <w:rsid w:val="00CC6667"/>
    <w:rsid w:val="00CC6968"/>
    <w:rsid w:val="00CC6AAB"/>
    <w:rsid w:val="00CC6B46"/>
    <w:rsid w:val="00CC6DC8"/>
    <w:rsid w:val="00CC720F"/>
    <w:rsid w:val="00CC7321"/>
    <w:rsid w:val="00CC76D0"/>
    <w:rsid w:val="00CC76E5"/>
    <w:rsid w:val="00CC76E7"/>
    <w:rsid w:val="00CC79A7"/>
    <w:rsid w:val="00CC7BEC"/>
    <w:rsid w:val="00CC7FF2"/>
    <w:rsid w:val="00CD009B"/>
    <w:rsid w:val="00CD0262"/>
    <w:rsid w:val="00CD0277"/>
    <w:rsid w:val="00CD02DA"/>
    <w:rsid w:val="00CD0661"/>
    <w:rsid w:val="00CD06EC"/>
    <w:rsid w:val="00CD09AC"/>
    <w:rsid w:val="00CD0A1B"/>
    <w:rsid w:val="00CD0E20"/>
    <w:rsid w:val="00CD1023"/>
    <w:rsid w:val="00CD11B4"/>
    <w:rsid w:val="00CD12B8"/>
    <w:rsid w:val="00CD12E3"/>
    <w:rsid w:val="00CD1557"/>
    <w:rsid w:val="00CD201B"/>
    <w:rsid w:val="00CD23E5"/>
    <w:rsid w:val="00CD247D"/>
    <w:rsid w:val="00CD2593"/>
    <w:rsid w:val="00CD2C8A"/>
    <w:rsid w:val="00CD2F6A"/>
    <w:rsid w:val="00CD3399"/>
    <w:rsid w:val="00CD3597"/>
    <w:rsid w:val="00CD35D6"/>
    <w:rsid w:val="00CD37F3"/>
    <w:rsid w:val="00CD382D"/>
    <w:rsid w:val="00CD3934"/>
    <w:rsid w:val="00CD3944"/>
    <w:rsid w:val="00CD3FFA"/>
    <w:rsid w:val="00CD4049"/>
    <w:rsid w:val="00CD44D5"/>
    <w:rsid w:val="00CD466B"/>
    <w:rsid w:val="00CD4E39"/>
    <w:rsid w:val="00CD4F46"/>
    <w:rsid w:val="00CD4FA8"/>
    <w:rsid w:val="00CD4FFE"/>
    <w:rsid w:val="00CD5000"/>
    <w:rsid w:val="00CD5101"/>
    <w:rsid w:val="00CD51EF"/>
    <w:rsid w:val="00CD5A06"/>
    <w:rsid w:val="00CD5BEE"/>
    <w:rsid w:val="00CD5C9E"/>
    <w:rsid w:val="00CD5D1E"/>
    <w:rsid w:val="00CD5ED3"/>
    <w:rsid w:val="00CD5FAC"/>
    <w:rsid w:val="00CD6327"/>
    <w:rsid w:val="00CD6359"/>
    <w:rsid w:val="00CD65C2"/>
    <w:rsid w:val="00CD6882"/>
    <w:rsid w:val="00CD720A"/>
    <w:rsid w:val="00CD7445"/>
    <w:rsid w:val="00CD78EA"/>
    <w:rsid w:val="00CD7A48"/>
    <w:rsid w:val="00CD7B48"/>
    <w:rsid w:val="00CE00FD"/>
    <w:rsid w:val="00CE0226"/>
    <w:rsid w:val="00CE030E"/>
    <w:rsid w:val="00CE03B7"/>
    <w:rsid w:val="00CE04D8"/>
    <w:rsid w:val="00CE0539"/>
    <w:rsid w:val="00CE05BB"/>
    <w:rsid w:val="00CE068E"/>
    <w:rsid w:val="00CE086B"/>
    <w:rsid w:val="00CE0952"/>
    <w:rsid w:val="00CE0A4A"/>
    <w:rsid w:val="00CE0BA8"/>
    <w:rsid w:val="00CE0EA4"/>
    <w:rsid w:val="00CE0F29"/>
    <w:rsid w:val="00CE0F6C"/>
    <w:rsid w:val="00CE0FF4"/>
    <w:rsid w:val="00CE10CE"/>
    <w:rsid w:val="00CE1170"/>
    <w:rsid w:val="00CE119E"/>
    <w:rsid w:val="00CE12B3"/>
    <w:rsid w:val="00CE1374"/>
    <w:rsid w:val="00CE19DF"/>
    <w:rsid w:val="00CE1C2C"/>
    <w:rsid w:val="00CE1FE2"/>
    <w:rsid w:val="00CE2174"/>
    <w:rsid w:val="00CE2337"/>
    <w:rsid w:val="00CE27D2"/>
    <w:rsid w:val="00CE28F4"/>
    <w:rsid w:val="00CE2ADA"/>
    <w:rsid w:val="00CE2B78"/>
    <w:rsid w:val="00CE2C3A"/>
    <w:rsid w:val="00CE2C7E"/>
    <w:rsid w:val="00CE2FB8"/>
    <w:rsid w:val="00CE3011"/>
    <w:rsid w:val="00CE353B"/>
    <w:rsid w:val="00CE37AF"/>
    <w:rsid w:val="00CE37C4"/>
    <w:rsid w:val="00CE3957"/>
    <w:rsid w:val="00CE3A87"/>
    <w:rsid w:val="00CE3A8B"/>
    <w:rsid w:val="00CE3B08"/>
    <w:rsid w:val="00CE3C83"/>
    <w:rsid w:val="00CE3F42"/>
    <w:rsid w:val="00CE3FBC"/>
    <w:rsid w:val="00CE41C8"/>
    <w:rsid w:val="00CE42D5"/>
    <w:rsid w:val="00CE47CD"/>
    <w:rsid w:val="00CE4842"/>
    <w:rsid w:val="00CE4867"/>
    <w:rsid w:val="00CE4885"/>
    <w:rsid w:val="00CE488A"/>
    <w:rsid w:val="00CE5013"/>
    <w:rsid w:val="00CE5126"/>
    <w:rsid w:val="00CE53A2"/>
    <w:rsid w:val="00CE54F9"/>
    <w:rsid w:val="00CE55BA"/>
    <w:rsid w:val="00CE55D7"/>
    <w:rsid w:val="00CE57E9"/>
    <w:rsid w:val="00CE5848"/>
    <w:rsid w:val="00CE592F"/>
    <w:rsid w:val="00CE5997"/>
    <w:rsid w:val="00CE5B02"/>
    <w:rsid w:val="00CE5B0E"/>
    <w:rsid w:val="00CE5F20"/>
    <w:rsid w:val="00CE6461"/>
    <w:rsid w:val="00CE65C5"/>
    <w:rsid w:val="00CE6E45"/>
    <w:rsid w:val="00CE6E7C"/>
    <w:rsid w:val="00CE6E7F"/>
    <w:rsid w:val="00CE702F"/>
    <w:rsid w:val="00CE7094"/>
    <w:rsid w:val="00CE7179"/>
    <w:rsid w:val="00CE74A3"/>
    <w:rsid w:val="00CE76D5"/>
    <w:rsid w:val="00CE7779"/>
    <w:rsid w:val="00CE7A3F"/>
    <w:rsid w:val="00CE7A52"/>
    <w:rsid w:val="00CE7ACB"/>
    <w:rsid w:val="00CE7CAE"/>
    <w:rsid w:val="00CE7CF6"/>
    <w:rsid w:val="00CE7FA7"/>
    <w:rsid w:val="00CF00D6"/>
    <w:rsid w:val="00CF02BD"/>
    <w:rsid w:val="00CF0370"/>
    <w:rsid w:val="00CF090F"/>
    <w:rsid w:val="00CF0B2B"/>
    <w:rsid w:val="00CF0B34"/>
    <w:rsid w:val="00CF1140"/>
    <w:rsid w:val="00CF12F2"/>
    <w:rsid w:val="00CF1824"/>
    <w:rsid w:val="00CF18D0"/>
    <w:rsid w:val="00CF21C6"/>
    <w:rsid w:val="00CF250D"/>
    <w:rsid w:val="00CF25C1"/>
    <w:rsid w:val="00CF26D3"/>
    <w:rsid w:val="00CF2A15"/>
    <w:rsid w:val="00CF2B76"/>
    <w:rsid w:val="00CF2FBA"/>
    <w:rsid w:val="00CF3052"/>
    <w:rsid w:val="00CF3367"/>
    <w:rsid w:val="00CF33C7"/>
    <w:rsid w:val="00CF34CF"/>
    <w:rsid w:val="00CF376C"/>
    <w:rsid w:val="00CF37CA"/>
    <w:rsid w:val="00CF3D4A"/>
    <w:rsid w:val="00CF3DB4"/>
    <w:rsid w:val="00CF3F5E"/>
    <w:rsid w:val="00CF40AD"/>
    <w:rsid w:val="00CF4240"/>
    <w:rsid w:val="00CF434A"/>
    <w:rsid w:val="00CF437B"/>
    <w:rsid w:val="00CF4D6D"/>
    <w:rsid w:val="00CF51AF"/>
    <w:rsid w:val="00CF530D"/>
    <w:rsid w:val="00CF53AF"/>
    <w:rsid w:val="00CF56DC"/>
    <w:rsid w:val="00CF5700"/>
    <w:rsid w:val="00CF5720"/>
    <w:rsid w:val="00CF573A"/>
    <w:rsid w:val="00CF59C2"/>
    <w:rsid w:val="00CF5D2D"/>
    <w:rsid w:val="00CF667C"/>
    <w:rsid w:val="00CF69EA"/>
    <w:rsid w:val="00CF6B69"/>
    <w:rsid w:val="00CF6E6C"/>
    <w:rsid w:val="00CF71DA"/>
    <w:rsid w:val="00CF7716"/>
    <w:rsid w:val="00CF775D"/>
    <w:rsid w:val="00CF7C11"/>
    <w:rsid w:val="00CF7DB9"/>
    <w:rsid w:val="00CF7F2B"/>
    <w:rsid w:val="00D000F9"/>
    <w:rsid w:val="00D008B6"/>
    <w:rsid w:val="00D00AB3"/>
    <w:rsid w:val="00D00F9C"/>
    <w:rsid w:val="00D01027"/>
    <w:rsid w:val="00D01042"/>
    <w:rsid w:val="00D01123"/>
    <w:rsid w:val="00D01461"/>
    <w:rsid w:val="00D0152E"/>
    <w:rsid w:val="00D015DF"/>
    <w:rsid w:val="00D0196F"/>
    <w:rsid w:val="00D019DB"/>
    <w:rsid w:val="00D01E54"/>
    <w:rsid w:val="00D01EF8"/>
    <w:rsid w:val="00D01F14"/>
    <w:rsid w:val="00D022B4"/>
    <w:rsid w:val="00D022DC"/>
    <w:rsid w:val="00D023BF"/>
    <w:rsid w:val="00D023C3"/>
    <w:rsid w:val="00D026F7"/>
    <w:rsid w:val="00D02A12"/>
    <w:rsid w:val="00D02A50"/>
    <w:rsid w:val="00D02BA5"/>
    <w:rsid w:val="00D02C44"/>
    <w:rsid w:val="00D02CB4"/>
    <w:rsid w:val="00D02F9E"/>
    <w:rsid w:val="00D034DD"/>
    <w:rsid w:val="00D039D2"/>
    <w:rsid w:val="00D039F5"/>
    <w:rsid w:val="00D03E01"/>
    <w:rsid w:val="00D03E89"/>
    <w:rsid w:val="00D041AD"/>
    <w:rsid w:val="00D04675"/>
    <w:rsid w:val="00D0468F"/>
    <w:rsid w:val="00D04716"/>
    <w:rsid w:val="00D04952"/>
    <w:rsid w:val="00D04A26"/>
    <w:rsid w:val="00D04A87"/>
    <w:rsid w:val="00D04ACD"/>
    <w:rsid w:val="00D05288"/>
    <w:rsid w:val="00D05BB9"/>
    <w:rsid w:val="00D05BCB"/>
    <w:rsid w:val="00D060B1"/>
    <w:rsid w:val="00D06460"/>
    <w:rsid w:val="00D066F8"/>
    <w:rsid w:val="00D06A16"/>
    <w:rsid w:val="00D06B89"/>
    <w:rsid w:val="00D06EEA"/>
    <w:rsid w:val="00D07115"/>
    <w:rsid w:val="00D075AF"/>
    <w:rsid w:val="00D07706"/>
    <w:rsid w:val="00D07973"/>
    <w:rsid w:val="00D07A6E"/>
    <w:rsid w:val="00D07B2B"/>
    <w:rsid w:val="00D07F31"/>
    <w:rsid w:val="00D1077D"/>
    <w:rsid w:val="00D1078F"/>
    <w:rsid w:val="00D109F5"/>
    <w:rsid w:val="00D10A4E"/>
    <w:rsid w:val="00D10B72"/>
    <w:rsid w:val="00D10C0E"/>
    <w:rsid w:val="00D10DF6"/>
    <w:rsid w:val="00D10E26"/>
    <w:rsid w:val="00D10E60"/>
    <w:rsid w:val="00D10ECD"/>
    <w:rsid w:val="00D10FAF"/>
    <w:rsid w:val="00D110BF"/>
    <w:rsid w:val="00D111F6"/>
    <w:rsid w:val="00D11382"/>
    <w:rsid w:val="00D113AC"/>
    <w:rsid w:val="00D11500"/>
    <w:rsid w:val="00D11684"/>
    <w:rsid w:val="00D11759"/>
    <w:rsid w:val="00D11AB9"/>
    <w:rsid w:val="00D11F3A"/>
    <w:rsid w:val="00D12139"/>
    <w:rsid w:val="00D12550"/>
    <w:rsid w:val="00D12939"/>
    <w:rsid w:val="00D12CD2"/>
    <w:rsid w:val="00D12D5A"/>
    <w:rsid w:val="00D12FD6"/>
    <w:rsid w:val="00D13254"/>
    <w:rsid w:val="00D136A4"/>
    <w:rsid w:val="00D13ABB"/>
    <w:rsid w:val="00D13D0D"/>
    <w:rsid w:val="00D13D6A"/>
    <w:rsid w:val="00D13E10"/>
    <w:rsid w:val="00D13EB5"/>
    <w:rsid w:val="00D13F4E"/>
    <w:rsid w:val="00D13FA6"/>
    <w:rsid w:val="00D1410A"/>
    <w:rsid w:val="00D14164"/>
    <w:rsid w:val="00D14577"/>
    <w:rsid w:val="00D14860"/>
    <w:rsid w:val="00D14D23"/>
    <w:rsid w:val="00D14DEE"/>
    <w:rsid w:val="00D14F49"/>
    <w:rsid w:val="00D15002"/>
    <w:rsid w:val="00D15492"/>
    <w:rsid w:val="00D15755"/>
    <w:rsid w:val="00D15C26"/>
    <w:rsid w:val="00D15D6D"/>
    <w:rsid w:val="00D15D8B"/>
    <w:rsid w:val="00D15F1B"/>
    <w:rsid w:val="00D16289"/>
    <w:rsid w:val="00D165C4"/>
    <w:rsid w:val="00D16719"/>
    <w:rsid w:val="00D1694F"/>
    <w:rsid w:val="00D16DF9"/>
    <w:rsid w:val="00D16E4D"/>
    <w:rsid w:val="00D16EA2"/>
    <w:rsid w:val="00D1718E"/>
    <w:rsid w:val="00D17303"/>
    <w:rsid w:val="00D17689"/>
    <w:rsid w:val="00D176F0"/>
    <w:rsid w:val="00D17764"/>
    <w:rsid w:val="00D1777D"/>
    <w:rsid w:val="00D1785C"/>
    <w:rsid w:val="00D17886"/>
    <w:rsid w:val="00D17984"/>
    <w:rsid w:val="00D17A75"/>
    <w:rsid w:val="00D17AAD"/>
    <w:rsid w:val="00D17B43"/>
    <w:rsid w:val="00D17C22"/>
    <w:rsid w:val="00D17CDF"/>
    <w:rsid w:val="00D17E2A"/>
    <w:rsid w:val="00D17F46"/>
    <w:rsid w:val="00D17F6B"/>
    <w:rsid w:val="00D17F8C"/>
    <w:rsid w:val="00D202A2"/>
    <w:rsid w:val="00D203D0"/>
    <w:rsid w:val="00D208A6"/>
    <w:rsid w:val="00D208D2"/>
    <w:rsid w:val="00D20D07"/>
    <w:rsid w:val="00D21044"/>
    <w:rsid w:val="00D210E9"/>
    <w:rsid w:val="00D21818"/>
    <w:rsid w:val="00D219CB"/>
    <w:rsid w:val="00D21B9B"/>
    <w:rsid w:val="00D21CF3"/>
    <w:rsid w:val="00D22127"/>
    <w:rsid w:val="00D2216E"/>
    <w:rsid w:val="00D2224B"/>
    <w:rsid w:val="00D22632"/>
    <w:rsid w:val="00D2272E"/>
    <w:rsid w:val="00D228DF"/>
    <w:rsid w:val="00D22B5A"/>
    <w:rsid w:val="00D22F5A"/>
    <w:rsid w:val="00D22F94"/>
    <w:rsid w:val="00D23207"/>
    <w:rsid w:val="00D2360A"/>
    <w:rsid w:val="00D239DB"/>
    <w:rsid w:val="00D23ADA"/>
    <w:rsid w:val="00D242F1"/>
    <w:rsid w:val="00D24478"/>
    <w:rsid w:val="00D244C2"/>
    <w:rsid w:val="00D24886"/>
    <w:rsid w:val="00D24AA6"/>
    <w:rsid w:val="00D24D4B"/>
    <w:rsid w:val="00D24DAD"/>
    <w:rsid w:val="00D251A0"/>
    <w:rsid w:val="00D25682"/>
    <w:rsid w:val="00D257EC"/>
    <w:rsid w:val="00D25916"/>
    <w:rsid w:val="00D25ADE"/>
    <w:rsid w:val="00D25B7D"/>
    <w:rsid w:val="00D25D83"/>
    <w:rsid w:val="00D25E9A"/>
    <w:rsid w:val="00D25F89"/>
    <w:rsid w:val="00D26251"/>
    <w:rsid w:val="00D2626E"/>
    <w:rsid w:val="00D26405"/>
    <w:rsid w:val="00D2640E"/>
    <w:rsid w:val="00D2665E"/>
    <w:rsid w:val="00D26691"/>
    <w:rsid w:val="00D26B89"/>
    <w:rsid w:val="00D26C07"/>
    <w:rsid w:val="00D26C45"/>
    <w:rsid w:val="00D26D42"/>
    <w:rsid w:val="00D26D97"/>
    <w:rsid w:val="00D27082"/>
    <w:rsid w:val="00D271B6"/>
    <w:rsid w:val="00D27E1F"/>
    <w:rsid w:val="00D27F3C"/>
    <w:rsid w:val="00D30130"/>
    <w:rsid w:val="00D301F6"/>
    <w:rsid w:val="00D30AA5"/>
    <w:rsid w:val="00D30C73"/>
    <w:rsid w:val="00D30CC3"/>
    <w:rsid w:val="00D3107D"/>
    <w:rsid w:val="00D3114B"/>
    <w:rsid w:val="00D3167B"/>
    <w:rsid w:val="00D318FE"/>
    <w:rsid w:val="00D3194C"/>
    <w:rsid w:val="00D3196C"/>
    <w:rsid w:val="00D31D2A"/>
    <w:rsid w:val="00D31D8B"/>
    <w:rsid w:val="00D32002"/>
    <w:rsid w:val="00D3233D"/>
    <w:rsid w:val="00D325FA"/>
    <w:rsid w:val="00D32855"/>
    <w:rsid w:val="00D329E6"/>
    <w:rsid w:val="00D329E8"/>
    <w:rsid w:val="00D32CC0"/>
    <w:rsid w:val="00D32EF0"/>
    <w:rsid w:val="00D332BE"/>
    <w:rsid w:val="00D333FF"/>
    <w:rsid w:val="00D33597"/>
    <w:rsid w:val="00D3367E"/>
    <w:rsid w:val="00D3395E"/>
    <w:rsid w:val="00D339A7"/>
    <w:rsid w:val="00D33CA6"/>
    <w:rsid w:val="00D33DFD"/>
    <w:rsid w:val="00D340C0"/>
    <w:rsid w:val="00D3476E"/>
    <w:rsid w:val="00D3498E"/>
    <w:rsid w:val="00D3524D"/>
    <w:rsid w:val="00D359AD"/>
    <w:rsid w:val="00D35FF2"/>
    <w:rsid w:val="00D36314"/>
    <w:rsid w:val="00D36619"/>
    <w:rsid w:val="00D368CD"/>
    <w:rsid w:val="00D368F1"/>
    <w:rsid w:val="00D3696A"/>
    <w:rsid w:val="00D3697C"/>
    <w:rsid w:val="00D36E4D"/>
    <w:rsid w:val="00D37014"/>
    <w:rsid w:val="00D37050"/>
    <w:rsid w:val="00D37463"/>
    <w:rsid w:val="00D3788E"/>
    <w:rsid w:val="00D37972"/>
    <w:rsid w:val="00D4027F"/>
    <w:rsid w:val="00D40544"/>
    <w:rsid w:val="00D40896"/>
    <w:rsid w:val="00D408F7"/>
    <w:rsid w:val="00D40D5D"/>
    <w:rsid w:val="00D4110C"/>
    <w:rsid w:val="00D41534"/>
    <w:rsid w:val="00D4155F"/>
    <w:rsid w:val="00D4177A"/>
    <w:rsid w:val="00D41905"/>
    <w:rsid w:val="00D41949"/>
    <w:rsid w:val="00D419E8"/>
    <w:rsid w:val="00D422FF"/>
    <w:rsid w:val="00D42431"/>
    <w:rsid w:val="00D42453"/>
    <w:rsid w:val="00D42518"/>
    <w:rsid w:val="00D425B6"/>
    <w:rsid w:val="00D4265F"/>
    <w:rsid w:val="00D4284F"/>
    <w:rsid w:val="00D42B02"/>
    <w:rsid w:val="00D42CE3"/>
    <w:rsid w:val="00D42FA3"/>
    <w:rsid w:val="00D431B2"/>
    <w:rsid w:val="00D43243"/>
    <w:rsid w:val="00D43282"/>
    <w:rsid w:val="00D4331B"/>
    <w:rsid w:val="00D43456"/>
    <w:rsid w:val="00D435C6"/>
    <w:rsid w:val="00D4390F"/>
    <w:rsid w:val="00D43B0C"/>
    <w:rsid w:val="00D43E13"/>
    <w:rsid w:val="00D43E54"/>
    <w:rsid w:val="00D43F47"/>
    <w:rsid w:val="00D4433A"/>
    <w:rsid w:val="00D44509"/>
    <w:rsid w:val="00D44980"/>
    <w:rsid w:val="00D44D3D"/>
    <w:rsid w:val="00D44F9D"/>
    <w:rsid w:val="00D45045"/>
    <w:rsid w:val="00D4509F"/>
    <w:rsid w:val="00D451FC"/>
    <w:rsid w:val="00D45215"/>
    <w:rsid w:val="00D45338"/>
    <w:rsid w:val="00D4579E"/>
    <w:rsid w:val="00D458A9"/>
    <w:rsid w:val="00D45FE4"/>
    <w:rsid w:val="00D46DDD"/>
    <w:rsid w:val="00D46F08"/>
    <w:rsid w:val="00D4767F"/>
    <w:rsid w:val="00D47C1B"/>
    <w:rsid w:val="00D47CDD"/>
    <w:rsid w:val="00D50797"/>
    <w:rsid w:val="00D50958"/>
    <w:rsid w:val="00D50CDE"/>
    <w:rsid w:val="00D50DD0"/>
    <w:rsid w:val="00D50E1F"/>
    <w:rsid w:val="00D50F47"/>
    <w:rsid w:val="00D512C8"/>
    <w:rsid w:val="00D512DE"/>
    <w:rsid w:val="00D51418"/>
    <w:rsid w:val="00D51996"/>
    <w:rsid w:val="00D51E81"/>
    <w:rsid w:val="00D51EB4"/>
    <w:rsid w:val="00D51FD5"/>
    <w:rsid w:val="00D5238F"/>
    <w:rsid w:val="00D5278C"/>
    <w:rsid w:val="00D52BF7"/>
    <w:rsid w:val="00D52DE7"/>
    <w:rsid w:val="00D535C7"/>
    <w:rsid w:val="00D538C8"/>
    <w:rsid w:val="00D53AAC"/>
    <w:rsid w:val="00D53B02"/>
    <w:rsid w:val="00D53D03"/>
    <w:rsid w:val="00D53DA0"/>
    <w:rsid w:val="00D53F67"/>
    <w:rsid w:val="00D53F99"/>
    <w:rsid w:val="00D545EE"/>
    <w:rsid w:val="00D54694"/>
    <w:rsid w:val="00D54732"/>
    <w:rsid w:val="00D5485D"/>
    <w:rsid w:val="00D5492F"/>
    <w:rsid w:val="00D54BB8"/>
    <w:rsid w:val="00D550F2"/>
    <w:rsid w:val="00D55249"/>
    <w:rsid w:val="00D5525B"/>
    <w:rsid w:val="00D5532F"/>
    <w:rsid w:val="00D55490"/>
    <w:rsid w:val="00D55639"/>
    <w:rsid w:val="00D55770"/>
    <w:rsid w:val="00D55874"/>
    <w:rsid w:val="00D559C8"/>
    <w:rsid w:val="00D55E0F"/>
    <w:rsid w:val="00D55EDD"/>
    <w:rsid w:val="00D56130"/>
    <w:rsid w:val="00D56D44"/>
    <w:rsid w:val="00D5706A"/>
    <w:rsid w:val="00D5711D"/>
    <w:rsid w:val="00D571B5"/>
    <w:rsid w:val="00D573DE"/>
    <w:rsid w:val="00D57673"/>
    <w:rsid w:val="00D57842"/>
    <w:rsid w:val="00D57886"/>
    <w:rsid w:val="00D579FE"/>
    <w:rsid w:val="00D57A05"/>
    <w:rsid w:val="00D57A90"/>
    <w:rsid w:val="00D57D57"/>
    <w:rsid w:val="00D57D71"/>
    <w:rsid w:val="00D57EAA"/>
    <w:rsid w:val="00D60164"/>
    <w:rsid w:val="00D6016B"/>
    <w:rsid w:val="00D6023F"/>
    <w:rsid w:val="00D6052C"/>
    <w:rsid w:val="00D6060D"/>
    <w:rsid w:val="00D60C39"/>
    <w:rsid w:val="00D60CFE"/>
    <w:rsid w:val="00D60DC5"/>
    <w:rsid w:val="00D60FF9"/>
    <w:rsid w:val="00D610BC"/>
    <w:rsid w:val="00D610D5"/>
    <w:rsid w:val="00D610FF"/>
    <w:rsid w:val="00D61236"/>
    <w:rsid w:val="00D61373"/>
    <w:rsid w:val="00D615E7"/>
    <w:rsid w:val="00D6175B"/>
    <w:rsid w:val="00D61AEC"/>
    <w:rsid w:val="00D61C0C"/>
    <w:rsid w:val="00D61C5F"/>
    <w:rsid w:val="00D61F15"/>
    <w:rsid w:val="00D61F74"/>
    <w:rsid w:val="00D62319"/>
    <w:rsid w:val="00D6290A"/>
    <w:rsid w:val="00D62984"/>
    <w:rsid w:val="00D62A07"/>
    <w:rsid w:val="00D62AA3"/>
    <w:rsid w:val="00D62BA1"/>
    <w:rsid w:val="00D62BCD"/>
    <w:rsid w:val="00D62EC8"/>
    <w:rsid w:val="00D62EE3"/>
    <w:rsid w:val="00D62EEB"/>
    <w:rsid w:val="00D63311"/>
    <w:rsid w:val="00D63345"/>
    <w:rsid w:val="00D63499"/>
    <w:rsid w:val="00D6350A"/>
    <w:rsid w:val="00D637A4"/>
    <w:rsid w:val="00D6394B"/>
    <w:rsid w:val="00D63A1E"/>
    <w:rsid w:val="00D63C48"/>
    <w:rsid w:val="00D63EE8"/>
    <w:rsid w:val="00D63FDB"/>
    <w:rsid w:val="00D64289"/>
    <w:rsid w:val="00D64762"/>
    <w:rsid w:val="00D648D8"/>
    <w:rsid w:val="00D64B85"/>
    <w:rsid w:val="00D64E3D"/>
    <w:rsid w:val="00D64E9D"/>
    <w:rsid w:val="00D64F44"/>
    <w:rsid w:val="00D64FA6"/>
    <w:rsid w:val="00D65016"/>
    <w:rsid w:val="00D65130"/>
    <w:rsid w:val="00D65178"/>
    <w:rsid w:val="00D651D7"/>
    <w:rsid w:val="00D65266"/>
    <w:rsid w:val="00D653E6"/>
    <w:rsid w:val="00D65BA3"/>
    <w:rsid w:val="00D65FBC"/>
    <w:rsid w:val="00D66092"/>
    <w:rsid w:val="00D6667B"/>
    <w:rsid w:val="00D667F3"/>
    <w:rsid w:val="00D66AF7"/>
    <w:rsid w:val="00D66B29"/>
    <w:rsid w:val="00D66D33"/>
    <w:rsid w:val="00D66D79"/>
    <w:rsid w:val="00D66DD5"/>
    <w:rsid w:val="00D67031"/>
    <w:rsid w:val="00D67299"/>
    <w:rsid w:val="00D6739D"/>
    <w:rsid w:val="00D6743A"/>
    <w:rsid w:val="00D67644"/>
    <w:rsid w:val="00D676BA"/>
    <w:rsid w:val="00D6782C"/>
    <w:rsid w:val="00D6798E"/>
    <w:rsid w:val="00D67A77"/>
    <w:rsid w:val="00D70497"/>
    <w:rsid w:val="00D705B4"/>
    <w:rsid w:val="00D70831"/>
    <w:rsid w:val="00D70AA5"/>
    <w:rsid w:val="00D70DD2"/>
    <w:rsid w:val="00D70E1A"/>
    <w:rsid w:val="00D71194"/>
    <w:rsid w:val="00D71323"/>
    <w:rsid w:val="00D713C8"/>
    <w:rsid w:val="00D71400"/>
    <w:rsid w:val="00D715DE"/>
    <w:rsid w:val="00D7174E"/>
    <w:rsid w:val="00D717A2"/>
    <w:rsid w:val="00D71888"/>
    <w:rsid w:val="00D719C5"/>
    <w:rsid w:val="00D719E1"/>
    <w:rsid w:val="00D71B71"/>
    <w:rsid w:val="00D71BA2"/>
    <w:rsid w:val="00D71C8B"/>
    <w:rsid w:val="00D7203C"/>
    <w:rsid w:val="00D7280D"/>
    <w:rsid w:val="00D7296B"/>
    <w:rsid w:val="00D73055"/>
    <w:rsid w:val="00D731F6"/>
    <w:rsid w:val="00D7337A"/>
    <w:rsid w:val="00D73385"/>
    <w:rsid w:val="00D735D4"/>
    <w:rsid w:val="00D7374F"/>
    <w:rsid w:val="00D73B45"/>
    <w:rsid w:val="00D741B2"/>
    <w:rsid w:val="00D7452E"/>
    <w:rsid w:val="00D74A49"/>
    <w:rsid w:val="00D74B57"/>
    <w:rsid w:val="00D74ECD"/>
    <w:rsid w:val="00D753AC"/>
    <w:rsid w:val="00D756E3"/>
    <w:rsid w:val="00D75763"/>
    <w:rsid w:val="00D758C9"/>
    <w:rsid w:val="00D75A7A"/>
    <w:rsid w:val="00D75B23"/>
    <w:rsid w:val="00D75CF0"/>
    <w:rsid w:val="00D7625F"/>
    <w:rsid w:val="00D764AD"/>
    <w:rsid w:val="00D766C1"/>
    <w:rsid w:val="00D76EF6"/>
    <w:rsid w:val="00D76F6C"/>
    <w:rsid w:val="00D77028"/>
    <w:rsid w:val="00D77168"/>
    <w:rsid w:val="00D77468"/>
    <w:rsid w:val="00D77637"/>
    <w:rsid w:val="00D77A0A"/>
    <w:rsid w:val="00D77A98"/>
    <w:rsid w:val="00D77B52"/>
    <w:rsid w:val="00D77E95"/>
    <w:rsid w:val="00D77FA6"/>
    <w:rsid w:val="00D800FE"/>
    <w:rsid w:val="00D801B0"/>
    <w:rsid w:val="00D8024E"/>
    <w:rsid w:val="00D80521"/>
    <w:rsid w:val="00D8069A"/>
    <w:rsid w:val="00D806BD"/>
    <w:rsid w:val="00D80D8D"/>
    <w:rsid w:val="00D80E2C"/>
    <w:rsid w:val="00D80F94"/>
    <w:rsid w:val="00D8111F"/>
    <w:rsid w:val="00D812A1"/>
    <w:rsid w:val="00D813B5"/>
    <w:rsid w:val="00D814FE"/>
    <w:rsid w:val="00D816B6"/>
    <w:rsid w:val="00D818F3"/>
    <w:rsid w:val="00D8207B"/>
    <w:rsid w:val="00D82317"/>
    <w:rsid w:val="00D82394"/>
    <w:rsid w:val="00D824DF"/>
    <w:rsid w:val="00D827D0"/>
    <w:rsid w:val="00D82CC5"/>
    <w:rsid w:val="00D82CE6"/>
    <w:rsid w:val="00D82D12"/>
    <w:rsid w:val="00D82D74"/>
    <w:rsid w:val="00D82D9C"/>
    <w:rsid w:val="00D82F4C"/>
    <w:rsid w:val="00D83580"/>
    <w:rsid w:val="00D83633"/>
    <w:rsid w:val="00D8366C"/>
    <w:rsid w:val="00D83B9D"/>
    <w:rsid w:val="00D83CE3"/>
    <w:rsid w:val="00D83CFA"/>
    <w:rsid w:val="00D83DF1"/>
    <w:rsid w:val="00D83F84"/>
    <w:rsid w:val="00D8412D"/>
    <w:rsid w:val="00D84385"/>
    <w:rsid w:val="00D8441F"/>
    <w:rsid w:val="00D844E7"/>
    <w:rsid w:val="00D84846"/>
    <w:rsid w:val="00D849DF"/>
    <w:rsid w:val="00D84B6C"/>
    <w:rsid w:val="00D84E54"/>
    <w:rsid w:val="00D8516F"/>
    <w:rsid w:val="00D85A1B"/>
    <w:rsid w:val="00D85BD4"/>
    <w:rsid w:val="00D85C12"/>
    <w:rsid w:val="00D85C64"/>
    <w:rsid w:val="00D86529"/>
    <w:rsid w:val="00D872D9"/>
    <w:rsid w:val="00D874C9"/>
    <w:rsid w:val="00D875B2"/>
    <w:rsid w:val="00D87698"/>
    <w:rsid w:val="00D87C28"/>
    <w:rsid w:val="00D87D38"/>
    <w:rsid w:val="00D900A3"/>
    <w:rsid w:val="00D901E1"/>
    <w:rsid w:val="00D9051B"/>
    <w:rsid w:val="00D90908"/>
    <w:rsid w:val="00D90A15"/>
    <w:rsid w:val="00D90CD7"/>
    <w:rsid w:val="00D90D1F"/>
    <w:rsid w:val="00D90DA7"/>
    <w:rsid w:val="00D911BA"/>
    <w:rsid w:val="00D91382"/>
    <w:rsid w:val="00D91848"/>
    <w:rsid w:val="00D91C77"/>
    <w:rsid w:val="00D91CDF"/>
    <w:rsid w:val="00D91E9E"/>
    <w:rsid w:val="00D91F04"/>
    <w:rsid w:val="00D9210E"/>
    <w:rsid w:val="00D92430"/>
    <w:rsid w:val="00D92494"/>
    <w:rsid w:val="00D929DD"/>
    <w:rsid w:val="00D92A5A"/>
    <w:rsid w:val="00D92A60"/>
    <w:rsid w:val="00D92BD6"/>
    <w:rsid w:val="00D92D4E"/>
    <w:rsid w:val="00D930CB"/>
    <w:rsid w:val="00D930D0"/>
    <w:rsid w:val="00D93345"/>
    <w:rsid w:val="00D933BD"/>
    <w:rsid w:val="00D93937"/>
    <w:rsid w:val="00D93D75"/>
    <w:rsid w:val="00D93D97"/>
    <w:rsid w:val="00D94219"/>
    <w:rsid w:val="00D9473D"/>
    <w:rsid w:val="00D94AD7"/>
    <w:rsid w:val="00D94B37"/>
    <w:rsid w:val="00D94DCA"/>
    <w:rsid w:val="00D94E39"/>
    <w:rsid w:val="00D94FCB"/>
    <w:rsid w:val="00D95394"/>
    <w:rsid w:val="00D9540F"/>
    <w:rsid w:val="00D95814"/>
    <w:rsid w:val="00D9589D"/>
    <w:rsid w:val="00D95CFC"/>
    <w:rsid w:val="00D95F36"/>
    <w:rsid w:val="00D9627D"/>
    <w:rsid w:val="00D96A4F"/>
    <w:rsid w:val="00D96E38"/>
    <w:rsid w:val="00D96E4B"/>
    <w:rsid w:val="00D970B9"/>
    <w:rsid w:val="00D970E7"/>
    <w:rsid w:val="00D970E8"/>
    <w:rsid w:val="00D97335"/>
    <w:rsid w:val="00D976E3"/>
    <w:rsid w:val="00DA0144"/>
    <w:rsid w:val="00DA01E5"/>
    <w:rsid w:val="00DA032B"/>
    <w:rsid w:val="00DA0456"/>
    <w:rsid w:val="00DA05A4"/>
    <w:rsid w:val="00DA063E"/>
    <w:rsid w:val="00DA0ADB"/>
    <w:rsid w:val="00DA0AE2"/>
    <w:rsid w:val="00DA0BE1"/>
    <w:rsid w:val="00DA0BF0"/>
    <w:rsid w:val="00DA0F96"/>
    <w:rsid w:val="00DA15B7"/>
    <w:rsid w:val="00DA168A"/>
    <w:rsid w:val="00DA1DE8"/>
    <w:rsid w:val="00DA27D7"/>
    <w:rsid w:val="00DA29F4"/>
    <w:rsid w:val="00DA2A29"/>
    <w:rsid w:val="00DA3025"/>
    <w:rsid w:val="00DA373A"/>
    <w:rsid w:val="00DA3B63"/>
    <w:rsid w:val="00DA3BB7"/>
    <w:rsid w:val="00DA3CA2"/>
    <w:rsid w:val="00DA45AC"/>
    <w:rsid w:val="00DA488E"/>
    <w:rsid w:val="00DA4B67"/>
    <w:rsid w:val="00DA4BB1"/>
    <w:rsid w:val="00DA4D17"/>
    <w:rsid w:val="00DA4DC6"/>
    <w:rsid w:val="00DA50C7"/>
    <w:rsid w:val="00DA51C1"/>
    <w:rsid w:val="00DA541B"/>
    <w:rsid w:val="00DA55BB"/>
    <w:rsid w:val="00DA55C3"/>
    <w:rsid w:val="00DA59E8"/>
    <w:rsid w:val="00DA5C45"/>
    <w:rsid w:val="00DA5CCF"/>
    <w:rsid w:val="00DA5E5C"/>
    <w:rsid w:val="00DA6118"/>
    <w:rsid w:val="00DA639D"/>
    <w:rsid w:val="00DA641A"/>
    <w:rsid w:val="00DA6498"/>
    <w:rsid w:val="00DA6868"/>
    <w:rsid w:val="00DA6AEE"/>
    <w:rsid w:val="00DA73EE"/>
    <w:rsid w:val="00DA7416"/>
    <w:rsid w:val="00DA7817"/>
    <w:rsid w:val="00DA7AF1"/>
    <w:rsid w:val="00DA7BBA"/>
    <w:rsid w:val="00DB059C"/>
    <w:rsid w:val="00DB06C2"/>
    <w:rsid w:val="00DB0861"/>
    <w:rsid w:val="00DB161C"/>
    <w:rsid w:val="00DB1A5A"/>
    <w:rsid w:val="00DB230E"/>
    <w:rsid w:val="00DB245F"/>
    <w:rsid w:val="00DB24E9"/>
    <w:rsid w:val="00DB2594"/>
    <w:rsid w:val="00DB25BF"/>
    <w:rsid w:val="00DB2A46"/>
    <w:rsid w:val="00DB2F1D"/>
    <w:rsid w:val="00DB3399"/>
    <w:rsid w:val="00DB363F"/>
    <w:rsid w:val="00DB381A"/>
    <w:rsid w:val="00DB396F"/>
    <w:rsid w:val="00DB3ED1"/>
    <w:rsid w:val="00DB404F"/>
    <w:rsid w:val="00DB41E7"/>
    <w:rsid w:val="00DB4273"/>
    <w:rsid w:val="00DB42AD"/>
    <w:rsid w:val="00DB4357"/>
    <w:rsid w:val="00DB44F4"/>
    <w:rsid w:val="00DB451F"/>
    <w:rsid w:val="00DB45EA"/>
    <w:rsid w:val="00DB47A6"/>
    <w:rsid w:val="00DB49A1"/>
    <w:rsid w:val="00DB4D21"/>
    <w:rsid w:val="00DB4EC8"/>
    <w:rsid w:val="00DB50A5"/>
    <w:rsid w:val="00DB5214"/>
    <w:rsid w:val="00DB5348"/>
    <w:rsid w:val="00DB56E2"/>
    <w:rsid w:val="00DB574F"/>
    <w:rsid w:val="00DB5830"/>
    <w:rsid w:val="00DB59BF"/>
    <w:rsid w:val="00DB5F62"/>
    <w:rsid w:val="00DB5FEE"/>
    <w:rsid w:val="00DB6127"/>
    <w:rsid w:val="00DB64BA"/>
    <w:rsid w:val="00DB64C2"/>
    <w:rsid w:val="00DB6687"/>
    <w:rsid w:val="00DB6C11"/>
    <w:rsid w:val="00DB6CAC"/>
    <w:rsid w:val="00DB6D30"/>
    <w:rsid w:val="00DB6D8C"/>
    <w:rsid w:val="00DB6EE6"/>
    <w:rsid w:val="00DB6F47"/>
    <w:rsid w:val="00DB722D"/>
    <w:rsid w:val="00DB72E3"/>
    <w:rsid w:val="00DB75DF"/>
    <w:rsid w:val="00DB774D"/>
    <w:rsid w:val="00DB789A"/>
    <w:rsid w:val="00DB78FA"/>
    <w:rsid w:val="00DB7CC0"/>
    <w:rsid w:val="00DB7EF1"/>
    <w:rsid w:val="00DB7F14"/>
    <w:rsid w:val="00DB7F65"/>
    <w:rsid w:val="00DC008C"/>
    <w:rsid w:val="00DC0560"/>
    <w:rsid w:val="00DC0793"/>
    <w:rsid w:val="00DC09BB"/>
    <w:rsid w:val="00DC09FD"/>
    <w:rsid w:val="00DC0AF0"/>
    <w:rsid w:val="00DC0C0B"/>
    <w:rsid w:val="00DC0CB8"/>
    <w:rsid w:val="00DC133C"/>
    <w:rsid w:val="00DC13CB"/>
    <w:rsid w:val="00DC1743"/>
    <w:rsid w:val="00DC18F1"/>
    <w:rsid w:val="00DC1929"/>
    <w:rsid w:val="00DC197E"/>
    <w:rsid w:val="00DC1BFD"/>
    <w:rsid w:val="00DC2057"/>
    <w:rsid w:val="00DC2098"/>
    <w:rsid w:val="00DC219C"/>
    <w:rsid w:val="00DC23A0"/>
    <w:rsid w:val="00DC273B"/>
    <w:rsid w:val="00DC2E72"/>
    <w:rsid w:val="00DC303C"/>
    <w:rsid w:val="00DC3047"/>
    <w:rsid w:val="00DC3304"/>
    <w:rsid w:val="00DC379E"/>
    <w:rsid w:val="00DC3940"/>
    <w:rsid w:val="00DC3A41"/>
    <w:rsid w:val="00DC3BCB"/>
    <w:rsid w:val="00DC3CCD"/>
    <w:rsid w:val="00DC3F3E"/>
    <w:rsid w:val="00DC41A3"/>
    <w:rsid w:val="00DC478D"/>
    <w:rsid w:val="00DC4827"/>
    <w:rsid w:val="00DC4B55"/>
    <w:rsid w:val="00DC4CC9"/>
    <w:rsid w:val="00DC4D65"/>
    <w:rsid w:val="00DC523D"/>
    <w:rsid w:val="00DC555D"/>
    <w:rsid w:val="00DC557C"/>
    <w:rsid w:val="00DC56E2"/>
    <w:rsid w:val="00DC5754"/>
    <w:rsid w:val="00DC5B2D"/>
    <w:rsid w:val="00DC5BC0"/>
    <w:rsid w:val="00DC63C2"/>
    <w:rsid w:val="00DC6434"/>
    <w:rsid w:val="00DC6596"/>
    <w:rsid w:val="00DC660C"/>
    <w:rsid w:val="00DC66A2"/>
    <w:rsid w:val="00DC6AA1"/>
    <w:rsid w:val="00DC6C72"/>
    <w:rsid w:val="00DC6E98"/>
    <w:rsid w:val="00DC6F32"/>
    <w:rsid w:val="00DC73E9"/>
    <w:rsid w:val="00DC7472"/>
    <w:rsid w:val="00DC7746"/>
    <w:rsid w:val="00DC78B3"/>
    <w:rsid w:val="00DC79C5"/>
    <w:rsid w:val="00DD03C5"/>
    <w:rsid w:val="00DD0616"/>
    <w:rsid w:val="00DD095F"/>
    <w:rsid w:val="00DD0AA7"/>
    <w:rsid w:val="00DD0C55"/>
    <w:rsid w:val="00DD1137"/>
    <w:rsid w:val="00DD1397"/>
    <w:rsid w:val="00DD145A"/>
    <w:rsid w:val="00DD17E2"/>
    <w:rsid w:val="00DD1885"/>
    <w:rsid w:val="00DD18E4"/>
    <w:rsid w:val="00DD1BDA"/>
    <w:rsid w:val="00DD1E95"/>
    <w:rsid w:val="00DD1F97"/>
    <w:rsid w:val="00DD1FDC"/>
    <w:rsid w:val="00DD225F"/>
    <w:rsid w:val="00DD2365"/>
    <w:rsid w:val="00DD2409"/>
    <w:rsid w:val="00DD25D9"/>
    <w:rsid w:val="00DD2A5F"/>
    <w:rsid w:val="00DD2ABB"/>
    <w:rsid w:val="00DD2CE9"/>
    <w:rsid w:val="00DD2D0C"/>
    <w:rsid w:val="00DD2D6F"/>
    <w:rsid w:val="00DD2DAF"/>
    <w:rsid w:val="00DD2E42"/>
    <w:rsid w:val="00DD2FA0"/>
    <w:rsid w:val="00DD3049"/>
    <w:rsid w:val="00DD30CC"/>
    <w:rsid w:val="00DD3356"/>
    <w:rsid w:val="00DD373C"/>
    <w:rsid w:val="00DD3974"/>
    <w:rsid w:val="00DD39D6"/>
    <w:rsid w:val="00DD3D89"/>
    <w:rsid w:val="00DD3F7E"/>
    <w:rsid w:val="00DD458A"/>
    <w:rsid w:val="00DD472B"/>
    <w:rsid w:val="00DD4887"/>
    <w:rsid w:val="00DD489B"/>
    <w:rsid w:val="00DD48CD"/>
    <w:rsid w:val="00DD48F9"/>
    <w:rsid w:val="00DD495A"/>
    <w:rsid w:val="00DD4AB8"/>
    <w:rsid w:val="00DD4CB2"/>
    <w:rsid w:val="00DD4E47"/>
    <w:rsid w:val="00DD4F04"/>
    <w:rsid w:val="00DD5714"/>
    <w:rsid w:val="00DD5A2D"/>
    <w:rsid w:val="00DD5D2C"/>
    <w:rsid w:val="00DD5F09"/>
    <w:rsid w:val="00DD624A"/>
    <w:rsid w:val="00DD62DD"/>
    <w:rsid w:val="00DD64F6"/>
    <w:rsid w:val="00DD65EF"/>
    <w:rsid w:val="00DD6B21"/>
    <w:rsid w:val="00DD71C5"/>
    <w:rsid w:val="00DD72FB"/>
    <w:rsid w:val="00DD7561"/>
    <w:rsid w:val="00DD7812"/>
    <w:rsid w:val="00DD7B9B"/>
    <w:rsid w:val="00DD7D81"/>
    <w:rsid w:val="00DD7E4F"/>
    <w:rsid w:val="00DD7F9F"/>
    <w:rsid w:val="00DE0002"/>
    <w:rsid w:val="00DE00B9"/>
    <w:rsid w:val="00DE010F"/>
    <w:rsid w:val="00DE0406"/>
    <w:rsid w:val="00DE0681"/>
    <w:rsid w:val="00DE0971"/>
    <w:rsid w:val="00DE09D7"/>
    <w:rsid w:val="00DE0B42"/>
    <w:rsid w:val="00DE0CD0"/>
    <w:rsid w:val="00DE0E7E"/>
    <w:rsid w:val="00DE1840"/>
    <w:rsid w:val="00DE18CE"/>
    <w:rsid w:val="00DE1B16"/>
    <w:rsid w:val="00DE1CDF"/>
    <w:rsid w:val="00DE1DBB"/>
    <w:rsid w:val="00DE1ED4"/>
    <w:rsid w:val="00DE1EDB"/>
    <w:rsid w:val="00DE1F52"/>
    <w:rsid w:val="00DE1FB5"/>
    <w:rsid w:val="00DE230F"/>
    <w:rsid w:val="00DE2368"/>
    <w:rsid w:val="00DE26E0"/>
    <w:rsid w:val="00DE285A"/>
    <w:rsid w:val="00DE2EDD"/>
    <w:rsid w:val="00DE2F07"/>
    <w:rsid w:val="00DE30E2"/>
    <w:rsid w:val="00DE3158"/>
    <w:rsid w:val="00DE31D7"/>
    <w:rsid w:val="00DE3337"/>
    <w:rsid w:val="00DE342C"/>
    <w:rsid w:val="00DE37E8"/>
    <w:rsid w:val="00DE380B"/>
    <w:rsid w:val="00DE393B"/>
    <w:rsid w:val="00DE3A9A"/>
    <w:rsid w:val="00DE3B37"/>
    <w:rsid w:val="00DE3C7C"/>
    <w:rsid w:val="00DE4222"/>
    <w:rsid w:val="00DE4894"/>
    <w:rsid w:val="00DE494D"/>
    <w:rsid w:val="00DE49B4"/>
    <w:rsid w:val="00DE4A03"/>
    <w:rsid w:val="00DE4D19"/>
    <w:rsid w:val="00DE4FD3"/>
    <w:rsid w:val="00DE510D"/>
    <w:rsid w:val="00DE58E7"/>
    <w:rsid w:val="00DE59FD"/>
    <w:rsid w:val="00DE5A5C"/>
    <w:rsid w:val="00DE5B09"/>
    <w:rsid w:val="00DE5D95"/>
    <w:rsid w:val="00DE6421"/>
    <w:rsid w:val="00DE6753"/>
    <w:rsid w:val="00DE6F57"/>
    <w:rsid w:val="00DE6FD7"/>
    <w:rsid w:val="00DE706B"/>
    <w:rsid w:val="00DE7291"/>
    <w:rsid w:val="00DE73F7"/>
    <w:rsid w:val="00DE74A7"/>
    <w:rsid w:val="00DE7A9B"/>
    <w:rsid w:val="00DE7B02"/>
    <w:rsid w:val="00DE7BB9"/>
    <w:rsid w:val="00DE7DB9"/>
    <w:rsid w:val="00DE7FCA"/>
    <w:rsid w:val="00DF0217"/>
    <w:rsid w:val="00DF024A"/>
    <w:rsid w:val="00DF028C"/>
    <w:rsid w:val="00DF041D"/>
    <w:rsid w:val="00DF0689"/>
    <w:rsid w:val="00DF06C0"/>
    <w:rsid w:val="00DF0B4B"/>
    <w:rsid w:val="00DF0B4C"/>
    <w:rsid w:val="00DF0C4D"/>
    <w:rsid w:val="00DF0DEB"/>
    <w:rsid w:val="00DF0E05"/>
    <w:rsid w:val="00DF0F10"/>
    <w:rsid w:val="00DF0FDF"/>
    <w:rsid w:val="00DF1141"/>
    <w:rsid w:val="00DF116B"/>
    <w:rsid w:val="00DF1250"/>
    <w:rsid w:val="00DF16C0"/>
    <w:rsid w:val="00DF1A90"/>
    <w:rsid w:val="00DF1AF9"/>
    <w:rsid w:val="00DF1B19"/>
    <w:rsid w:val="00DF1BE3"/>
    <w:rsid w:val="00DF1E6C"/>
    <w:rsid w:val="00DF1F59"/>
    <w:rsid w:val="00DF1F72"/>
    <w:rsid w:val="00DF2087"/>
    <w:rsid w:val="00DF216F"/>
    <w:rsid w:val="00DF25A4"/>
    <w:rsid w:val="00DF25DA"/>
    <w:rsid w:val="00DF28C0"/>
    <w:rsid w:val="00DF28C3"/>
    <w:rsid w:val="00DF29FB"/>
    <w:rsid w:val="00DF2D1A"/>
    <w:rsid w:val="00DF2D46"/>
    <w:rsid w:val="00DF2F4F"/>
    <w:rsid w:val="00DF2F91"/>
    <w:rsid w:val="00DF3305"/>
    <w:rsid w:val="00DF3638"/>
    <w:rsid w:val="00DF38A7"/>
    <w:rsid w:val="00DF3A42"/>
    <w:rsid w:val="00DF3B71"/>
    <w:rsid w:val="00DF3CC8"/>
    <w:rsid w:val="00DF4741"/>
    <w:rsid w:val="00DF4811"/>
    <w:rsid w:val="00DF49A9"/>
    <w:rsid w:val="00DF4B2D"/>
    <w:rsid w:val="00DF4C43"/>
    <w:rsid w:val="00DF4E27"/>
    <w:rsid w:val="00DF5068"/>
    <w:rsid w:val="00DF508A"/>
    <w:rsid w:val="00DF5362"/>
    <w:rsid w:val="00DF548B"/>
    <w:rsid w:val="00DF56A0"/>
    <w:rsid w:val="00DF5861"/>
    <w:rsid w:val="00DF5894"/>
    <w:rsid w:val="00DF58BB"/>
    <w:rsid w:val="00DF5A0A"/>
    <w:rsid w:val="00DF5AAF"/>
    <w:rsid w:val="00DF5B64"/>
    <w:rsid w:val="00DF5C13"/>
    <w:rsid w:val="00DF5CB4"/>
    <w:rsid w:val="00DF5CBF"/>
    <w:rsid w:val="00DF5E37"/>
    <w:rsid w:val="00DF5F72"/>
    <w:rsid w:val="00DF5FCA"/>
    <w:rsid w:val="00DF68F0"/>
    <w:rsid w:val="00DF6982"/>
    <w:rsid w:val="00DF69EC"/>
    <w:rsid w:val="00DF6BF1"/>
    <w:rsid w:val="00DF6D7A"/>
    <w:rsid w:val="00DF6F74"/>
    <w:rsid w:val="00DF708E"/>
    <w:rsid w:val="00DF7094"/>
    <w:rsid w:val="00DF70CC"/>
    <w:rsid w:val="00DF70FE"/>
    <w:rsid w:val="00DF715C"/>
    <w:rsid w:val="00DF73CB"/>
    <w:rsid w:val="00DF74D8"/>
    <w:rsid w:val="00DF7538"/>
    <w:rsid w:val="00DF770A"/>
    <w:rsid w:val="00DF7A83"/>
    <w:rsid w:val="00DF7C1E"/>
    <w:rsid w:val="00DF7E2E"/>
    <w:rsid w:val="00DF7EB1"/>
    <w:rsid w:val="00E001F3"/>
    <w:rsid w:val="00E00307"/>
    <w:rsid w:val="00E006CC"/>
    <w:rsid w:val="00E00B58"/>
    <w:rsid w:val="00E00BBF"/>
    <w:rsid w:val="00E00DEF"/>
    <w:rsid w:val="00E01465"/>
    <w:rsid w:val="00E016A7"/>
    <w:rsid w:val="00E01B8D"/>
    <w:rsid w:val="00E01D22"/>
    <w:rsid w:val="00E01E6C"/>
    <w:rsid w:val="00E0202F"/>
    <w:rsid w:val="00E020A1"/>
    <w:rsid w:val="00E02234"/>
    <w:rsid w:val="00E0271E"/>
    <w:rsid w:val="00E03120"/>
    <w:rsid w:val="00E034A5"/>
    <w:rsid w:val="00E0357B"/>
    <w:rsid w:val="00E03718"/>
    <w:rsid w:val="00E03769"/>
    <w:rsid w:val="00E03C4F"/>
    <w:rsid w:val="00E03F03"/>
    <w:rsid w:val="00E03FF8"/>
    <w:rsid w:val="00E041E4"/>
    <w:rsid w:val="00E043FD"/>
    <w:rsid w:val="00E0460A"/>
    <w:rsid w:val="00E04A90"/>
    <w:rsid w:val="00E04D37"/>
    <w:rsid w:val="00E052C2"/>
    <w:rsid w:val="00E05527"/>
    <w:rsid w:val="00E05A38"/>
    <w:rsid w:val="00E05D37"/>
    <w:rsid w:val="00E05FBC"/>
    <w:rsid w:val="00E06067"/>
    <w:rsid w:val="00E06864"/>
    <w:rsid w:val="00E06AD4"/>
    <w:rsid w:val="00E06C7A"/>
    <w:rsid w:val="00E06EF2"/>
    <w:rsid w:val="00E0702F"/>
    <w:rsid w:val="00E0735E"/>
    <w:rsid w:val="00E0779A"/>
    <w:rsid w:val="00E07B17"/>
    <w:rsid w:val="00E07E1F"/>
    <w:rsid w:val="00E07EE9"/>
    <w:rsid w:val="00E100B6"/>
    <w:rsid w:val="00E100EC"/>
    <w:rsid w:val="00E10139"/>
    <w:rsid w:val="00E1027B"/>
    <w:rsid w:val="00E10435"/>
    <w:rsid w:val="00E1081A"/>
    <w:rsid w:val="00E1086A"/>
    <w:rsid w:val="00E10ACB"/>
    <w:rsid w:val="00E10B48"/>
    <w:rsid w:val="00E10B7D"/>
    <w:rsid w:val="00E1164C"/>
    <w:rsid w:val="00E1165C"/>
    <w:rsid w:val="00E1183A"/>
    <w:rsid w:val="00E1185D"/>
    <w:rsid w:val="00E11897"/>
    <w:rsid w:val="00E11A41"/>
    <w:rsid w:val="00E11BF7"/>
    <w:rsid w:val="00E11C93"/>
    <w:rsid w:val="00E11D4F"/>
    <w:rsid w:val="00E124EE"/>
    <w:rsid w:val="00E12748"/>
    <w:rsid w:val="00E12829"/>
    <w:rsid w:val="00E1292C"/>
    <w:rsid w:val="00E12A0D"/>
    <w:rsid w:val="00E12C22"/>
    <w:rsid w:val="00E13005"/>
    <w:rsid w:val="00E130B1"/>
    <w:rsid w:val="00E135B5"/>
    <w:rsid w:val="00E13681"/>
    <w:rsid w:val="00E136D7"/>
    <w:rsid w:val="00E1375C"/>
    <w:rsid w:val="00E13C46"/>
    <w:rsid w:val="00E13FB3"/>
    <w:rsid w:val="00E14367"/>
    <w:rsid w:val="00E1448C"/>
    <w:rsid w:val="00E147EC"/>
    <w:rsid w:val="00E14821"/>
    <w:rsid w:val="00E14EB5"/>
    <w:rsid w:val="00E14F09"/>
    <w:rsid w:val="00E14F34"/>
    <w:rsid w:val="00E15383"/>
    <w:rsid w:val="00E153A9"/>
    <w:rsid w:val="00E154E0"/>
    <w:rsid w:val="00E15DA1"/>
    <w:rsid w:val="00E15ED1"/>
    <w:rsid w:val="00E15ED3"/>
    <w:rsid w:val="00E15F0B"/>
    <w:rsid w:val="00E160D4"/>
    <w:rsid w:val="00E16F96"/>
    <w:rsid w:val="00E1712D"/>
    <w:rsid w:val="00E171FD"/>
    <w:rsid w:val="00E173F8"/>
    <w:rsid w:val="00E17557"/>
    <w:rsid w:val="00E177EA"/>
    <w:rsid w:val="00E202E4"/>
    <w:rsid w:val="00E203E0"/>
    <w:rsid w:val="00E20705"/>
    <w:rsid w:val="00E2085B"/>
    <w:rsid w:val="00E20D4E"/>
    <w:rsid w:val="00E20FC1"/>
    <w:rsid w:val="00E20FF1"/>
    <w:rsid w:val="00E21008"/>
    <w:rsid w:val="00E2148A"/>
    <w:rsid w:val="00E214BF"/>
    <w:rsid w:val="00E215DB"/>
    <w:rsid w:val="00E21622"/>
    <w:rsid w:val="00E21B19"/>
    <w:rsid w:val="00E21EB4"/>
    <w:rsid w:val="00E2223F"/>
    <w:rsid w:val="00E2267B"/>
    <w:rsid w:val="00E22728"/>
    <w:rsid w:val="00E227EA"/>
    <w:rsid w:val="00E22B0D"/>
    <w:rsid w:val="00E22B58"/>
    <w:rsid w:val="00E22D10"/>
    <w:rsid w:val="00E22E32"/>
    <w:rsid w:val="00E22F28"/>
    <w:rsid w:val="00E22FCD"/>
    <w:rsid w:val="00E2329C"/>
    <w:rsid w:val="00E23351"/>
    <w:rsid w:val="00E23377"/>
    <w:rsid w:val="00E23426"/>
    <w:rsid w:val="00E23660"/>
    <w:rsid w:val="00E236E3"/>
    <w:rsid w:val="00E23A74"/>
    <w:rsid w:val="00E23D6C"/>
    <w:rsid w:val="00E244B5"/>
    <w:rsid w:val="00E246B1"/>
    <w:rsid w:val="00E24881"/>
    <w:rsid w:val="00E24A45"/>
    <w:rsid w:val="00E24B68"/>
    <w:rsid w:val="00E24BAA"/>
    <w:rsid w:val="00E252AB"/>
    <w:rsid w:val="00E25439"/>
    <w:rsid w:val="00E255F5"/>
    <w:rsid w:val="00E25816"/>
    <w:rsid w:val="00E25A81"/>
    <w:rsid w:val="00E25B8A"/>
    <w:rsid w:val="00E25C83"/>
    <w:rsid w:val="00E25EFA"/>
    <w:rsid w:val="00E25F34"/>
    <w:rsid w:val="00E2613D"/>
    <w:rsid w:val="00E264A6"/>
    <w:rsid w:val="00E26541"/>
    <w:rsid w:val="00E265A5"/>
    <w:rsid w:val="00E266D7"/>
    <w:rsid w:val="00E26743"/>
    <w:rsid w:val="00E267CC"/>
    <w:rsid w:val="00E2685D"/>
    <w:rsid w:val="00E269D0"/>
    <w:rsid w:val="00E269E8"/>
    <w:rsid w:val="00E26A41"/>
    <w:rsid w:val="00E270D0"/>
    <w:rsid w:val="00E271B3"/>
    <w:rsid w:val="00E275D4"/>
    <w:rsid w:val="00E275DF"/>
    <w:rsid w:val="00E2761D"/>
    <w:rsid w:val="00E27703"/>
    <w:rsid w:val="00E2779A"/>
    <w:rsid w:val="00E27BA2"/>
    <w:rsid w:val="00E27C0E"/>
    <w:rsid w:val="00E27D07"/>
    <w:rsid w:val="00E27F24"/>
    <w:rsid w:val="00E3002A"/>
    <w:rsid w:val="00E3019A"/>
    <w:rsid w:val="00E3047F"/>
    <w:rsid w:val="00E30723"/>
    <w:rsid w:val="00E30774"/>
    <w:rsid w:val="00E307FE"/>
    <w:rsid w:val="00E308BC"/>
    <w:rsid w:val="00E30D5A"/>
    <w:rsid w:val="00E30E76"/>
    <w:rsid w:val="00E30FED"/>
    <w:rsid w:val="00E312DC"/>
    <w:rsid w:val="00E31326"/>
    <w:rsid w:val="00E3136F"/>
    <w:rsid w:val="00E3147E"/>
    <w:rsid w:val="00E31790"/>
    <w:rsid w:val="00E318A1"/>
    <w:rsid w:val="00E31A1E"/>
    <w:rsid w:val="00E31B9C"/>
    <w:rsid w:val="00E31DB7"/>
    <w:rsid w:val="00E320AD"/>
    <w:rsid w:val="00E32406"/>
    <w:rsid w:val="00E32867"/>
    <w:rsid w:val="00E32869"/>
    <w:rsid w:val="00E32A57"/>
    <w:rsid w:val="00E32B79"/>
    <w:rsid w:val="00E32C18"/>
    <w:rsid w:val="00E32CCA"/>
    <w:rsid w:val="00E32D1E"/>
    <w:rsid w:val="00E32DA5"/>
    <w:rsid w:val="00E32F5C"/>
    <w:rsid w:val="00E330F9"/>
    <w:rsid w:val="00E3310F"/>
    <w:rsid w:val="00E33187"/>
    <w:rsid w:val="00E33877"/>
    <w:rsid w:val="00E34484"/>
    <w:rsid w:val="00E3449B"/>
    <w:rsid w:val="00E345C1"/>
    <w:rsid w:val="00E34908"/>
    <w:rsid w:val="00E349CE"/>
    <w:rsid w:val="00E34CB2"/>
    <w:rsid w:val="00E350EF"/>
    <w:rsid w:val="00E3544E"/>
    <w:rsid w:val="00E3554A"/>
    <w:rsid w:val="00E35670"/>
    <w:rsid w:val="00E356BC"/>
    <w:rsid w:val="00E35916"/>
    <w:rsid w:val="00E35C8C"/>
    <w:rsid w:val="00E35CA7"/>
    <w:rsid w:val="00E35E6E"/>
    <w:rsid w:val="00E35F6A"/>
    <w:rsid w:val="00E3614B"/>
    <w:rsid w:val="00E36373"/>
    <w:rsid w:val="00E363D7"/>
    <w:rsid w:val="00E367E8"/>
    <w:rsid w:val="00E3681C"/>
    <w:rsid w:val="00E36882"/>
    <w:rsid w:val="00E36C7D"/>
    <w:rsid w:val="00E37424"/>
    <w:rsid w:val="00E37EC8"/>
    <w:rsid w:val="00E400BB"/>
    <w:rsid w:val="00E402D7"/>
    <w:rsid w:val="00E40541"/>
    <w:rsid w:val="00E409B4"/>
    <w:rsid w:val="00E40AD6"/>
    <w:rsid w:val="00E40EB2"/>
    <w:rsid w:val="00E411AD"/>
    <w:rsid w:val="00E4146E"/>
    <w:rsid w:val="00E415E2"/>
    <w:rsid w:val="00E4188D"/>
    <w:rsid w:val="00E41B58"/>
    <w:rsid w:val="00E41D3E"/>
    <w:rsid w:val="00E41D4C"/>
    <w:rsid w:val="00E41DB8"/>
    <w:rsid w:val="00E41E23"/>
    <w:rsid w:val="00E41F50"/>
    <w:rsid w:val="00E42093"/>
    <w:rsid w:val="00E421A9"/>
    <w:rsid w:val="00E42B7D"/>
    <w:rsid w:val="00E42D76"/>
    <w:rsid w:val="00E42F54"/>
    <w:rsid w:val="00E43036"/>
    <w:rsid w:val="00E43182"/>
    <w:rsid w:val="00E4324C"/>
    <w:rsid w:val="00E432B4"/>
    <w:rsid w:val="00E436D1"/>
    <w:rsid w:val="00E43AEA"/>
    <w:rsid w:val="00E43B8B"/>
    <w:rsid w:val="00E43E00"/>
    <w:rsid w:val="00E43ED4"/>
    <w:rsid w:val="00E43F14"/>
    <w:rsid w:val="00E441C8"/>
    <w:rsid w:val="00E445E6"/>
    <w:rsid w:val="00E445FE"/>
    <w:rsid w:val="00E44BC5"/>
    <w:rsid w:val="00E44C0B"/>
    <w:rsid w:val="00E45016"/>
    <w:rsid w:val="00E4516D"/>
    <w:rsid w:val="00E45180"/>
    <w:rsid w:val="00E45272"/>
    <w:rsid w:val="00E45305"/>
    <w:rsid w:val="00E45337"/>
    <w:rsid w:val="00E454F7"/>
    <w:rsid w:val="00E4559B"/>
    <w:rsid w:val="00E45714"/>
    <w:rsid w:val="00E457E9"/>
    <w:rsid w:val="00E45903"/>
    <w:rsid w:val="00E45AFF"/>
    <w:rsid w:val="00E45CD9"/>
    <w:rsid w:val="00E45E7E"/>
    <w:rsid w:val="00E4601B"/>
    <w:rsid w:val="00E4603E"/>
    <w:rsid w:val="00E4608D"/>
    <w:rsid w:val="00E4636B"/>
    <w:rsid w:val="00E463D3"/>
    <w:rsid w:val="00E466B5"/>
    <w:rsid w:val="00E4683C"/>
    <w:rsid w:val="00E46847"/>
    <w:rsid w:val="00E469E8"/>
    <w:rsid w:val="00E46AC9"/>
    <w:rsid w:val="00E46C0F"/>
    <w:rsid w:val="00E46D98"/>
    <w:rsid w:val="00E46DC9"/>
    <w:rsid w:val="00E46E11"/>
    <w:rsid w:val="00E46FF2"/>
    <w:rsid w:val="00E4703E"/>
    <w:rsid w:val="00E472A0"/>
    <w:rsid w:val="00E47466"/>
    <w:rsid w:val="00E47805"/>
    <w:rsid w:val="00E50025"/>
    <w:rsid w:val="00E5020D"/>
    <w:rsid w:val="00E50327"/>
    <w:rsid w:val="00E509FF"/>
    <w:rsid w:val="00E50E98"/>
    <w:rsid w:val="00E51288"/>
    <w:rsid w:val="00E51294"/>
    <w:rsid w:val="00E51414"/>
    <w:rsid w:val="00E515E2"/>
    <w:rsid w:val="00E517FA"/>
    <w:rsid w:val="00E51F8A"/>
    <w:rsid w:val="00E5230A"/>
    <w:rsid w:val="00E52327"/>
    <w:rsid w:val="00E52368"/>
    <w:rsid w:val="00E52629"/>
    <w:rsid w:val="00E52DDE"/>
    <w:rsid w:val="00E53269"/>
    <w:rsid w:val="00E53407"/>
    <w:rsid w:val="00E53482"/>
    <w:rsid w:val="00E53733"/>
    <w:rsid w:val="00E53804"/>
    <w:rsid w:val="00E53813"/>
    <w:rsid w:val="00E539F6"/>
    <w:rsid w:val="00E53A7E"/>
    <w:rsid w:val="00E53D66"/>
    <w:rsid w:val="00E53DB6"/>
    <w:rsid w:val="00E53E47"/>
    <w:rsid w:val="00E54090"/>
    <w:rsid w:val="00E54575"/>
    <w:rsid w:val="00E54ACA"/>
    <w:rsid w:val="00E54B61"/>
    <w:rsid w:val="00E54BF2"/>
    <w:rsid w:val="00E54F6C"/>
    <w:rsid w:val="00E54FB3"/>
    <w:rsid w:val="00E54FF5"/>
    <w:rsid w:val="00E55152"/>
    <w:rsid w:val="00E552B6"/>
    <w:rsid w:val="00E55904"/>
    <w:rsid w:val="00E55E72"/>
    <w:rsid w:val="00E56250"/>
    <w:rsid w:val="00E562E5"/>
    <w:rsid w:val="00E5639C"/>
    <w:rsid w:val="00E564D0"/>
    <w:rsid w:val="00E56543"/>
    <w:rsid w:val="00E569BD"/>
    <w:rsid w:val="00E56B64"/>
    <w:rsid w:val="00E56BBF"/>
    <w:rsid w:val="00E56F6B"/>
    <w:rsid w:val="00E57138"/>
    <w:rsid w:val="00E57156"/>
    <w:rsid w:val="00E571C4"/>
    <w:rsid w:val="00E573F1"/>
    <w:rsid w:val="00E5746F"/>
    <w:rsid w:val="00E57482"/>
    <w:rsid w:val="00E57521"/>
    <w:rsid w:val="00E5759B"/>
    <w:rsid w:val="00E578AD"/>
    <w:rsid w:val="00E579A4"/>
    <w:rsid w:val="00E57A3B"/>
    <w:rsid w:val="00E57AF7"/>
    <w:rsid w:val="00E57B49"/>
    <w:rsid w:val="00E57CF4"/>
    <w:rsid w:val="00E57D6F"/>
    <w:rsid w:val="00E57F0A"/>
    <w:rsid w:val="00E57F33"/>
    <w:rsid w:val="00E60005"/>
    <w:rsid w:val="00E602B2"/>
    <w:rsid w:val="00E602BF"/>
    <w:rsid w:val="00E6034E"/>
    <w:rsid w:val="00E60616"/>
    <w:rsid w:val="00E60754"/>
    <w:rsid w:val="00E60EB2"/>
    <w:rsid w:val="00E60F8D"/>
    <w:rsid w:val="00E612F9"/>
    <w:rsid w:val="00E61521"/>
    <w:rsid w:val="00E61532"/>
    <w:rsid w:val="00E6157A"/>
    <w:rsid w:val="00E616FB"/>
    <w:rsid w:val="00E6183F"/>
    <w:rsid w:val="00E61BF4"/>
    <w:rsid w:val="00E623ED"/>
    <w:rsid w:val="00E62875"/>
    <w:rsid w:val="00E628DC"/>
    <w:rsid w:val="00E62AB5"/>
    <w:rsid w:val="00E62F3D"/>
    <w:rsid w:val="00E63097"/>
    <w:rsid w:val="00E630E9"/>
    <w:rsid w:val="00E63104"/>
    <w:rsid w:val="00E6346D"/>
    <w:rsid w:val="00E63963"/>
    <w:rsid w:val="00E64002"/>
    <w:rsid w:val="00E64158"/>
    <w:rsid w:val="00E643E8"/>
    <w:rsid w:val="00E644AB"/>
    <w:rsid w:val="00E64686"/>
    <w:rsid w:val="00E64CFA"/>
    <w:rsid w:val="00E6577D"/>
    <w:rsid w:val="00E6578A"/>
    <w:rsid w:val="00E65B52"/>
    <w:rsid w:val="00E65BAF"/>
    <w:rsid w:val="00E660FD"/>
    <w:rsid w:val="00E66574"/>
    <w:rsid w:val="00E66614"/>
    <w:rsid w:val="00E66924"/>
    <w:rsid w:val="00E6697B"/>
    <w:rsid w:val="00E66B8E"/>
    <w:rsid w:val="00E66C75"/>
    <w:rsid w:val="00E66D40"/>
    <w:rsid w:val="00E66FE1"/>
    <w:rsid w:val="00E672AE"/>
    <w:rsid w:val="00E673A3"/>
    <w:rsid w:val="00E673F1"/>
    <w:rsid w:val="00E67512"/>
    <w:rsid w:val="00E675C1"/>
    <w:rsid w:val="00E67AA7"/>
    <w:rsid w:val="00E67BBE"/>
    <w:rsid w:val="00E67BE2"/>
    <w:rsid w:val="00E67E79"/>
    <w:rsid w:val="00E67E96"/>
    <w:rsid w:val="00E67EEA"/>
    <w:rsid w:val="00E700B6"/>
    <w:rsid w:val="00E70208"/>
    <w:rsid w:val="00E703A1"/>
    <w:rsid w:val="00E70729"/>
    <w:rsid w:val="00E70A10"/>
    <w:rsid w:val="00E70ADD"/>
    <w:rsid w:val="00E70B68"/>
    <w:rsid w:val="00E70B83"/>
    <w:rsid w:val="00E70C01"/>
    <w:rsid w:val="00E70EAF"/>
    <w:rsid w:val="00E70F79"/>
    <w:rsid w:val="00E71019"/>
    <w:rsid w:val="00E71601"/>
    <w:rsid w:val="00E716C5"/>
    <w:rsid w:val="00E7176C"/>
    <w:rsid w:val="00E71774"/>
    <w:rsid w:val="00E71CEB"/>
    <w:rsid w:val="00E71DAA"/>
    <w:rsid w:val="00E72122"/>
    <w:rsid w:val="00E72193"/>
    <w:rsid w:val="00E722C9"/>
    <w:rsid w:val="00E722D0"/>
    <w:rsid w:val="00E7231E"/>
    <w:rsid w:val="00E724A0"/>
    <w:rsid w:val="00E72531"/>
    <w:rsid w:val="00E726E6"/>
    <w:rsid w:val="00E72A79"/>
    <w:rsid w:val="00E72B84"/>
    <w:rsid w:val="00E733EB"/>
    <w:rsid w:val="00E73464"/>
    <w:rsid w:val="00E73466"/>
    <w:rsid w:val="00E735A1"/>
    <w:rsid w:val="00E735A2"/>
    <w:rsid w:val="00E737E5"/>
    <w:rsid w:val="00E7398B"/>
    <w:rsid w:val="00E73A5E"/>
    <w:rsid w:val="00E73CAC"/>
    <w:rsid w:val="00E74137"/>
    <w:rsid w:val="00E74154"/>
    <w:rsid w:val="00E7431D"/>
    <w:rsid w:val="00E74741"/>
    <w:rsid w:val="00E74C47"/>
    <w:rsid w:val="00E750DE"/>
    <w:rsid w:val="00E753B0"/>
    <w:rsid w:val="00E755FF"/>
    <w:rsid w:val="00E75607"/>
    <w:rsid w:val="00E758B4"/>
    <w:rsid w:val="00E7599A"/>
    <w:rsid w:val="00E75A49"/>
    <w:rsid w:val="00E75D28"/>
    <w:rsid w:val="00E75D50"/>
    <w:rsid w:val="00E75FCC"/>
    <w:rsid w:val="00E76076"/>
    <w:rsid w:val="00E76312"/>
    <w:rsid w:val="00E7650B"/>
    <w:rsid w:val="00E76675"/>
    <w:rsid w:val="00E76692"/>
    <w:rsid w:val="00E76A74"/>
    <w:rsid w:val="00E776EA"/>
    <w:rsid w:val="00E77C41"/>
    <w:rsid w:val="00E77C94"/>
    <w:rsid w:val="00E80035"/>
    <w:rsid w:val="00E8013B"/>
    <w:rsid w:val="00E80246"/>
    <w:rsid w:val="00E8049C"/>
    <w:rsid w:val="00E806A4"/>
    <w:rsid w:val="00E8093B"/>
    <w:rsid w:val="00E80B08"/>
    <w:rsid w:val="00E8145C"/>
    <w:rsid w:val="00E81791"/>
    <w:rsid w:val="00E81806"/>
    <w:rsid w:val="00E8193E"/>
    <w:rsid w:val="00E81BE8"/>
    <w:rsid w:val="00E81C47"/>
    <w:rsid w:val="00E81C98"/>
    <w:rsid w:val="00E81E23"/>
    <w:rsid w:val="00E81FAA"/>
    <w:rsid w:val="00E8210F"/>
    <w:rsid w:val="00E8232F"/>
    <w:rsid w:val="00E825A9"/>
    <w:rsid w:val="00E8269B"/>
    <w:rsid w:val="00E826E8"/>
    <w:rsid w:val="00E82CF3"/>
    <w:rsid w:val="00E82F05"/>
    <w:rsid w:val="00E834C9"/>
    <w:rsid w:val="00E83785"/>
    <w:rsid w:val="00E83840"/>
    <w:rsid w:val="00E838D9"/>
    <w:rsid w:val="00E841C9"/>
    <w:rsid w:val="00E8434B"/>
    <w:rsid w:val="00E8466E"/>
    <w:rsid w:val="00E848CA"/>
    <w:rsid w:val="00E84ECC"/>
    <w:rsid w:val="00E84F30"/>
    <w:rsid w:val="00E85178"/>
    <w:rsid w:val="00E851A5"/>
    <w:rsid w:val="00E85496"/>
    <w:rsid w:val="00E85860"/>
    <w:rsid w:val="00E85ADB"/>
    <w:rsid w:val="00E85B48"/>
    <w:rsid w:val="00E85B85"/>
    <w:rsid w:val="00E85E44"/>
    <w:rsid w:val="00E86451"/>
    <w:rsid w:val="00E86DE2"/>
    <w:rsid w:val="00E86F7F"/>
    <w:rsid w:val="00E86FD0"/>
    <w:rsid w:val="00E872DB"/>
    <w:rsid w:val="00E8747B"/>
    <w:rsid w:val="00E87A28"/>
    <w:rsid w:val="00E87B5D"/>
    <w:rsid w:val="00E87EA9"/>
    <w:rsid w:val="00E87EDE"/>
    <w:rsid w:val="00E9021C"/>
    <w:rsid w:val="00E90632"/>
    <w:rsid w:val="00E906DE"/>
    <w:rsid w:val="00E90783"/>
    <w:rsid w:val="00E90CDD"/>
    <w:rsid w:val="00E90CF1"/>
    <w:rsid w:val="00E90D05"/>
    <w:rsid w:val="00E90E18"/>
    <w:rsid w:val="00E90ECB"/>
    <w:rsid w:val="00E9103F"/>
    <w:rsid w:val="00E91983"/>
    <w:rsid w:val="00E91A9C"/>
    <w:rsid w:val="00E91ACA"/>
    <w:rsid w:val="00E91D0B"/>
    <w:rsid w:val="00E91D80"/>
    <w:rsid w:val="00E91F9D"/>
    <w:rsid w:val="00E920E9"/>
    <w:rsid w:val="00E9263E"/>
    <w:rsid w:val="00E92ABA"/>
    <w:rsid w:val="00E92B14"/>
    <w:rsid w:val="00E92B30"/>
    <w:rsid w:val="00E92CA8"/>
    <w:rsid w:val="00E92F15"/>
    <w:rsid w:val="00E93071"/>
    <w:rsid w:val="00E93098"/>
    <w:rsid w:val="00E930FA"/>
    <w:rsid w:val="00E93202"/>
    <w:rsid w:val="00E93435"/>
    <w:rsid w:val="00E93455"/>
    <w:rsid w:val="00E937F2"/>
    <w:rsid w:val="00E938EF"/>
    <w:rsid w:val="00E93D46"/>
    <w:rsid w:val="00E93EAA"/>
    <w:rsid w:val="00E93EBF"/>
    <w:rsid w:val="00E9437D"/>
    <w:rsid w:val="00E946B0"/>
    <w:rsid w:val="00E9476D"/>
    <w:rsid w:val="00E94954"/>
    <w:rsid w:val="00E94D07"/>
    <w:rsid w:val="00E95486"/>
    <w:rsid w:val="00E95585"/>
    <w:rsid w:val="00E957AF"/>
    <w:rsid w:val="00E957D0"/>
    <w:rsid w:val="00E9582B"/>
    <w:rsid w:val="00E9595C"/>
    <w:rsid w:val="00E95AD5"/>
    <w:rsid w:val="00E960E3"/>
    <w:rsid w:val="00E961E1"/>
    <w:rsid w:val="00E963A9"/>
    <w:rsid w:val="00E963B3"/>
    <w:rsid w:val="00E96475"/>
    <w:rsid w:val="00E96544"/>
    <w:rsid w:val="00E96899"/>
    <w:rsid w:val="00E96913"/>
    <w:rsid w:val="00E96E01"/>
    <w:rsid w:val="00E971AA"/>
    <w:rsid w:val="00E9733E"/>
    <w:rsid w:val="00E9742B"/>
    <w:rsid w:val="00E976DF"/>
    <w:rsid w:val="00E978BB"/>
    <w:rsid w:val="00E979AE"/>
    <w:rsid w:val="00E97D19"/>
    <w:rsid w:val="00E97E3C"/>
    <w:rsid w:val="00EA025E"/>
    <w:rsid w:val="00EA0272"/>
    <w:rsid w:val="00EA034F"/>
    <w:rsid w:val="00EA03D4"/>
    <w:rsid w:val="00EA06F4"/>
    <w:rsid w:val="00EA08C9"/>
    <w:rsid w:val="00EA08D9"/>
    <w:rsid w:val="00EA0D28"/>
    <w:rsid w:val="00EA0D41"/>
    <w:rsid w:val="00EA0D78"/>
    <w:rsid w:val="00EA0D94"/>
    <w:rsid w:val="00EA1235"/>
    <w:rsid w:val="00EA1417"/>
    <w:rsid w:val="00EA1617"/>
    <w:rsid w:val="00EA161D"/>
    <w:rsid w:val="00EA17B9"/>
    <w:rsid w:val="00EA1952"/>
    <w:rsid w:val="00EA1B29"/>
    <w:rsid w:val="00EA20E3"/>
    <w:rsid w:val="00EA2233"/>
    <w:rsid w:val="00EA2567"/>
    <w:rsid w:val="00EA273F"/>
    <w:rsid w:val="00EA279D"/>
    <w:rsid w:val="00EA29F1"/>
    <w:rsid w:val="00EA2B07"/>
    <w:rsid w:val="00EA2E9C"/>
    <w:rsid w:val="00EA2F13"/>
    <w:rsid w:val="00EA344A"/>
    <w:rsid w:val="00EA3535"/>
    <w:rsid w:val="00EA36BA"/>
    <w:rsid w:val="00EA3756"/>
    <w:rsid w:val="00EA38D2"/>
    <w:rsid w:val="00EA3FB5"/>
    <w:rsid w:val="00EA4214"/>
    <w:rsid w:val="00EA43C2"/>
    <w:rsid w:val="00EA4478"/>
    <w:rsid w:val="00EA4751"/>
    <w:rsid w:val="00EA489D"/>
    <w:rsid w:val="00EA48CB"/>
    <w:rsid w:val="00EA4956"/>
    <w:rsid w:val="00EA4BD6"/>
    <w:rsid w:val="00EA4CA6"/>
    <w:rsid w:val="00EA4CAB"/>
    <w:rsid w:val="00EA4D2A"/>
    <w:rsid w:val="00EA4D45"/>
    <w:rsid w:val="00EA4DF9"/>
    <w:rsid w:val="00EA5363"/>
    <w:rsid w:val="00EA53E8"/>
    <w:rsid w:val="00EA5552"/>
    <w:rsid w:val="00EA60A5"/>
    <w:rsid w:val="00EA62F1"/>
    <w:rsid w:val="00EA655D"/>
    <w:rsid w:val="00EA66E6"/>
    <w:rsid w:val="00EA6B8F"/>
    <w:rsid w:val="00EA6E92"/>
    <w:rsid w:val="00EA6F21"/>
    <w:rsid w:val="00EA701D"/>
    <w:rsid w:val="00EA70FB"/>
    <w:rsid w:val="00EA72AE"/>
    <w:rsid w:val="00EA72D0"/>
    <w:rsid w:val="00EA75D9"/>
    <w:rsid w:val="00EA7961"/>
    <w:rsid w:val="00EA7D51"/>
    <w:rsid w:val="00EA7FE9"/>
    <w:rsid w:val="00EB0449"/>
    <w:rsid w:val="00EB09E3"/>
    <w:rsid w:val="00EB0AD9"/>
    <w:rsid w:val="00EB0E2A"/>
    <w:rsid w:val="00EB0ECE"/>
    <w:rsid w:val="00EB12D1"/>
    <w:rsid w:val="00EB1598"/>
    <w:rsid w:val="00EB182F"/>
    <w:rsid w:val="00EB1983"/>
    <w:rsid w:val="00EB1A25"/>
    <w:rsid w:val="00EB1A7A"/>
    <w:rsid w:val="00EB1AE5"/>
    <w:rsid w:val="00EB20A4"/>
    <w:rsid w:val="00EB21E8"/>
    <w:rsid w:val="00EB22A4"/>
    <w:rsid w:val="00EB250B"/>
    <w:rsid w:val="00EB27D6"/>
    <w:rsid w:val="00EB2816"/>
    <w:rsid w:val="00EB295A"/>
    <w:rsid w:val="00EB2B28"/>
    <w:rsid w:val="00EB2B5E"/>
    <w:rsid w:val="00EB2F82"/>
    <w:rsid w:val="00EB2FB3"/>
    <w:rsid w:val="00EB360C"/>
    <w:rsid w:val="00EB36AD"/>
    <w:rsid w:val="00EB36C9"/>
    <w:rsid w:val="00EB3ADA"/>
    <w:rsid w:val="00EB3D36"/>
    <w:rsid w:val="00EB3E23"/>
    <w:rsid w:val="00EB3F09"/>
    <w:rsid w:val="00EB3F80"/>
    <w:rsid w:val="00EB403E"/>
    <w:rsid w:val="00EB426B"/>
    <w:rsid w:val="00EB42B1"/>
    <w:rsid w:val="00EB4325"/>
    <w:rsid w:val="00EB4403"/>
    <w:rsid w:val="00EB44BF"/>
    <w:rsid w:val="00EB4710"/>
    <w:rsid w:val="00EB47B0"/>
    <w:rsid w:val="00EB49AF"/>
    <w:rsid w:val="00EB4B2B"/>
    <w:rsid w:val="00EB4C85"/>
    <w:rsid w:val="00EB4E02"/>
    <w:rsid w:val="00EB4F9F"/>
    <w:rsid w:val="00EB5038"/>
    <w:rsid w:val="00EB5095"/>
    <w:rsid w:val="00EB5242"/>
    <w:rsid w:val="00EB524E"/>
    <w:rsid w:val="00EB54A1"/>
    <w:rsid w:val="00EB55DC"/>
    <w:rsid w:val="00EB577A"/>
    <w:rsid w:val="00EB57F1"/>
    <w:rsid w:val="00EB5844"/>
    <w:rsid w:val="00EB5862"/>
    <w:rsid w:val="00EB592E"/>
    <w:rsid w:val="00EB59C5"/>
    <w:rsid w:val="00EB5E6D"/>
    <w:rsid w:val="00EB5FB3"/>
    <w:rsid w:val="00EB6224"/>
    <w:rsid w:val="00EB627E"/>
    <w:rsid w:val="00EB66EB"/>
    <w:rsid w:val="00EB6897"/>
    <w:rsid w:val="00EB6A05"/>
    <w:rsid w:val="00EB73E5"/>
    <w:rsid w:val="00EB7480"/>
    <w:rsid w:val="00EB7513"/>
    <w:rsid w:val="00EB7D02"/>
    <w:rsid w:val="00EC0174"/>
    <w:rsid w:val="00EC0509"/>
    <w:rsid w:val="00EC055F"/>
    <w:rsid w:val="00EC080B"/>
    <w:rsid w:val="00EC087E"/>
    <w:rsid w:val="00EC0971"/>
    <w:rsid w:val="00EC09D8"/>
    <w:rsid w:val="00EC0A36"/>
    <w:rsid w:val="00EC0DE1"/>
    <w:rsid w:val="00EC131B"/>
    <w:rsid w:val="00EC160D"/>
    <w:rsid w:val="00EC1886"/>
    <w:rsid w:val="00EC2014"/>
    <w:rsid w:val="00EC23D0"/>
    <w:rsid w:val="00EC277E"/>
    <w:rsid w:val="00EC28C2"/>
    <w:rsid w:val="00EC29CF"/>
    <w:rsid w:val="00EC2A30"/>
    <w:rsid w:val="00EC2ED1"/>
    <w:rsid w:val="00EC300D"/>
    <w:rsid w:val="00EC31AD"/>
    <w:rsid w:val="00EC32A5"/>
    <w:rsid w:val="00EC35A6"/>
    <w:rsid w:val="00EC36DC"/>
    <w:rsid w:val="00EC3A5B"/>
    <w:rsid w:val="00EC3B5B"/>
    <w:rsid w:val="00EC3C67"/>
    <w:rsid w:val="00EC4281"/>
    <w:rsid w:val="00EC449D"/>
    <w:rsid w:val="00EC4758"/>
    <w:rsid w:val="00EC4826"/>
    <w:rsid w:val="00EC51CF"/>
    <w:rsid w:val="00EC5365"/>
    <w:rsid w:val="00EC538A"/>
    <w:rsid w:val="00EC54CF"/>
    <w:rsid w:val="00EC56C6"/>
    <w:rsid w:val="00EC57D3"/>
    <w:rsid w:val="00EC5B68"/>
    <w:rsid w:val="00EC5DF8"/>
    <w:rsid w:val="00EC5E37"/>
    <w:rsid w:val="00EC5EB6"/>
    <w:rsid w:val="00EC5EE1"/>
    <w:rsid w:val="00EC5F83"/>
    <w:rsid w:val="00EC618E"/>
    <w:rsid w:val="00EC620A"/>
    <w:rsid w:val="00EC62FB"/>
    <w:rsid w:val="00EC6449"/>
    <w:rsid w:val="00EC653E"/>
    <w:rsid w:val="00EC6696"/>
    <w:rsid w:val="00EC66A6"/>
    <w:rsid w:val="00EC66AC"/>
    <w:rsid w:val="00EC6710"/>
    <w:rsid w:val="00EC6741"/>
    <w:rsid w:val="00EC6814"/>
    <w:rsid w:val="00EC6A3E"/>
    <w:rsid w:val="00EC6B53"/>
    <w:rsid w:val="00EC6C47"/>
    <w:rsid w:val="00EC6F0E"/>
    <w:rsid w:val="00EC7120"/>
    <w:rsid w:val="00EC7189"/>
    <w:rsid w:val="00EC757D"/>
    <w:rsid w:val="00EC7593"/>
    <w:rsid w:val="00EC7658"/>
    <w:rsid w:val="00EC7AD6"/>
    <w:rsid w:val="00EC7AE5"/>
    <w:rsid w:val="00EC7C78"/>
    <w:rsid w:val="00EC7E7E"/>
    <w:rsid w:val="00ED0186"/>
    <w:rsid w:val="00ED0659"/>
    <w:rsid w:val="00ED0721"/>
    <w:rsid w:val="00ED0767"/>
    <w:rsid w:val="00ED0770"/>
    <w:rsid w:val="00ED0A4A"/>
    <w:rsid w:val="00ED0A4D"/>
    <w:rsid w:val="00ED0B42"/>
    <w:rsid w:val="00ED0D57"/>
    <w:rsid w:val="00ED0D5F"/>
    <w:rsid w:val="00ED0E1D"/>
    <w:rsid w:val="00ED0EF9"/>
    <w:rsid w:val="00ED11D5"/>
    <w:rsid w:val="00ED1229"/>
    <w:rsid w:val="00ED13F4"/>
    <w:rsid w:val="00ED196F"/>
    <w:rsid w:val="00ED1AAA"/>
    <w:rsid w:val="00ED20AE"/>
    <w:rsid w:val="00ED24E5"/>
    <w:rsid w:val="00ED29A2"/>
    <w:rsid w:val="00ED2C33"/>
    <w:rsid w:val="00ED3123"/>
    <w:rsid w:val="00ED3283"/>
    <w:rsid w:val="00ED348C"/>
    <w:rsid w:val="00ED3761"/>
    <w:rsid w:val="00ED3FE1"/>
    <w:rsid w:val="00ED42AA"/>
    <w:rsid w:val="00ED43F1"/>
    <w:rsid w:val="00ED4CCF"/>
    <w:rsid w:val="00ED4D64"/>
    <w:rsid w:val="00ED4E8C"/>
    <w:rsid w:val="00ED5042"/>
    <w:rsid w:val="00ED506D"/>
    <w:rsid w:val="00ED50F3"/>
    <w:rsid w:val="00ED5448"/>
    <w:rsid w:val="00ED5870"/>
    <w:rsid w:val="00ED5932"/>
    <w:rsid w:val="00ED5BB3"/>
    <w:rsid w:val="00ED5BDD"/>
    <w:rsid w:val="00ED5C38"/>
    <w:rsid w:val="00ED5FEC"/>
    <w:rsid w:val="00ED6020"/>
    <w:rsid w:val="00ED630B"/>
    <w:rsid w:val="00ED636F"/>
    <w:rsid w:val="00ED65F9"/>
    <w:rsid w:val="00ED694A"/>
    <w:rsid w:val="00ED69E5"/>
    <w:rsid w:val="00ED6B5F"/>
    <w:rsid w:val="00ED6E2C"/>
    <w:rsid w:val="00ED7509"/>
    <w:rsid w:val="00ED7550"/>
    <w:rsid w:val="00ED7797"/>
    <w:rsid w:val="00ED7915"/>
    <w:rsid w:val="00ED7997"/>
    <w:rsid w:val="00ED7F01"/>
    <w:rsid w:val="00EE003E"/>
    <w:rsid w:val="00EE00B5"/>
    <w:rsid w:val="00EE04B9"/>
    <w:rsid w:val="00EE054D"/>
    <w:rsid w:val="00EE07D2"/>
    <w:rsid w:val="00EE07EC"/>
    <w:rsid w:val="00EE08D6"/>
    <w:rsid w:val="00EE0977"/>
    <w:rsid w:val="00EE0E40"/>
    <w:rsid w:val="00EE0FE9"/>
    <w:rsid w:val="00EE1072"/>
    <w:rsid w:val="00EE1383"/>
    <w:rsid w:val="00EE1492"/>
    <w:rsid w:val="00EE162D"/>
    <w:rsid w:val="00EE19EC"/>
    <w:rsid w:val="00EE1BE1"/>
    <w:rsid w:val="00EE1BEE"/>
    <w:rsid w:val="00EE2193"/>
    <w:rsid w:val="00EE21D6"/>
    <w:rsid w:val="00EE264F"/>
    <w:rsid w:val="00EE280F"/>
    <w:rsid w:val="00EE2852"/>
    <w:rsid w:val="00EE289C"/>
    <w:rsid w:val="00EE2A78"/>
    <w:rsid w:val="00EE31E7"/>
    <w:rsid w:val="00EE3477"/>
    <w:rsid w:val="00EE3969"/>
    <w:rsid w:val="00EE3D86"/>
    <w:rsid w:val="00EE40E3"/>
    <w:rsid w:val="00EE41D1"/>
    <w:rsid w:val="00EE4230"/>
    <w:rsid w:val="00EE4383"/>
    <w:rsid w:val="00EE4568"/>
    <w:rsid w:val="00EE4AB0"/>
    <w:rsid w:val="00EE4D57"/>
    <w:rsid w:val="00EE5014"/>
    <w:rsid w:val="00EE502B"/>
    <w:rsid w:val="00EE53A6"/>
    <w:rsid w:val="00EE53B6"/>
    <w:rsid w:val="00EE5690"/>
    <w:rsid w:val="00EE5E5C"/>
    <w:rsid w:val="00EE5EAB"/>
    <w:rsid w:val="00EE5ECE"/>
    <w:rsid w:val="00EE603E"/>
    <w:rsid w:val="00EE65F2"/>
    <w:rsid w:val="00EE6ABA"/>
    <w:rsid w:val="00EE6C38"/>
    <w:rsid w:val="00EE7208"/>
    <w:rsid w:val="00EE7712"/>
    <w:rsid w:val="00EE7ED2"/>
    <w:rsid w:val="00EE7F14"/>
    <w:rsid w:val="00EF018F"/>
    <w:rsid w:val="00EF03FA"/>
    <w:rsid w:val="00EF06D4"/>
    <w:rsid w:val="00EF08D8"/>
    <w:rsid w:val="00EF0A83"/>
    <w:rsid w:val="00EF10B2"/>
    <w:rsid w:val="00EF143F"/>
    <w:rsid w:val="00EF149F"/>
    <w:rsid w:val="00EF157A"/>
    <w:rsid w:val="00EF167C"/>
    <w:rsid w:val="00EF18D0"/>
    <w:rsid w:val="00EF18E2"/>
    <w:rsid w:val="00EF19FD"/>
    <w:rsid w:val="00EF1BB7"/>
    <w:rsid w:val="00EF1DCC"/>
    <w:rsid w:val="00EF1F1A"/>
    <w:rsid w:val="00EF2009"/>
    <w:rsid w:val="00EF2404"/>
    <w:rsid w:val="00EF2573"/>
    <w:rsid w:val="00EF264F"/>
    <w:rsid w:val="00EF26B3"/>
    <w:rsid w:val="00EF279A"/>
    <w:rsid w:val="00EF2868"/>
    <w:rsid w:val="00EF2B99"/>
    <w:rsid w:val="00EF2BC3"/>
    <w:rsid w:val="00EF2E8A"/>
    <w:rsid w:val="00EF3278"/>
    <w:rsid w:val="00EF333A"/>
    <w:rsid w:val="00EF3354"/>
    <w:rsid w:val="00EF3357"/>
    <w:rsid w:val="00EF33E2"/>
    <w:rsid w:val="00EF3417"/>
    <w:rsid w:val="00EF3590"/>
    <w:rsid w:val="00EF38D6"/>
    <w:rsid w:val="00EF3A1A"/>
    <w:rsid w:val="00EF3E23"/>
    <w:rsid w:val="00EF3E8B"/>
    <w:rsid w:val="00EF3F85"/>
    <w:rsid w:val="00EF4178"/>
    <w:rsid w:val="00EF4330"/>
    <w:rsid w:val="00EF45B8"/>
    <w:rsid w:val="00EF4B6A"/>
    <w:rsid w:val="00EF4F9F"/>
    <w:rsid w:val="00EF51DB"/>
    <w:rsid w:val="00EF528D"/>
    <w:rsid w:val="00EF54C6"/>
    <w:rsid w:val="00EF58D9"/>
    <w:rsid w:val="00EF5A36"/>
    <w:rsid w:val="00EF5B2E"/>
    <w:rsid w:val="00EF60D1"/>
    <w:rsid w:val="00EF60F2"/>
    <w:rsid w:val="00EF6416"/>
    <w:rsid w:val="00EF64BF"/>
    <w:rsid w:val="00EF6B1C"/>
    <w:rsid w:val="00EF6B40"/>
    <w:rsid w:val="00EF6E31"/>
    <w:rsid w:val="00EF6E37"/>
    <w:rsid w:val="00EF6F55"/>
    <w:rsid w:val="00EF76D4"/>
    <w:rsid w:val="00EF7BB3"/>
    <w:rsid w:val="00F002B8"/>
    <w:rsid w:val="00F002DA"/>
    <w:rsid w:val="00F0056A"/>
    <w:rsid w:val="00F00678"/>
    <w:rsid w:val="00F007B1"/>
    <w:rsid w:val="00F00C5A"/>
    <w:rsid w:val="00F00C74"/>
    <w:rsid w:val="00F00CC8"/>
    <w:rsid w:val="00F00DA9"/>
    <w:rsid w:val="00F00F4A"/>
    <w:rsid w:val="00F01471"/>
    <w:rsid w:val="00F014CE"/>
    <w:rsid w:val="00F0152D"/>
    <w:rsid w:val="00F015DD"/>
    <w:rsid w:val="00F01723"/>
    <w:rsid w:val="00F01911"/>
    <w:rsid w:val="00F01D3E"/>
    <w:rsid w:val="00F01E1F"/>
    <w:rsid w:val="00F02262"/>
    <w:rsid w:val="00F02576"/>
    <w:rsid w:val="00F0261C"/>
    <w:rsid w:val="00F02AD9"/>
    <w:rsid w:val="00F02BC2"/>
    <w:rsid w:val="00F03596"/>
    <w:rsid w:val="00F03771"/>
    <w:rsid w:val="00F0456C"/>
    <w:rsid w:val="00F049EC"/>
    <w:rsid w:val="00F04AC7"/>
    <w:rsid w:val="00F04F1F"/>
    <w:rsid w:val="00F05131"/>
    <w:rsid w:val="00F052DF"/>
    <w:rsid w:val="00F0542E"/>
    <w:rsid w:val="00F054A0"/>
    <w:rsid w:val="00F05665"/>
    <w:rsid w:val="00F05B9D"/>
    <w:rsid w:val="00F06320"/>
    <w:rsid w:val="00F0645B"/>
    <w:rsid w:val="00F064EC"/>
    <w:rsid w:val="00F0650C"/>
    <w:rsid w:val="00F06545"/>
    <w:rsid w:val="00F06691"/>
    <w:rsid w:val="00F06905"/>
    <w:rsid w:val="00F07087"/>
    <w:rsid w:val="00F070FD"/>
    <w:rsid w:val="00F072F2"/>
    <w:rsid w:val="00F075A6"/>
    <w:rsid w:val="00F075D9"/>
    <w:rsid w:val="00F07823"/>
    <w:rsid w:val="00F078DD"/>
    <w:rsid w:val="00F07D1D"/>
    <w:rsid w:val="00F07DF2"/>
    <w:rsid w:val="00F1002D"/>
    <w:rsid w:val="00F10639"/>
    <w:rsid w:val="00F106C0"/>
    <w:rsid w:val="00F10780"/>
    <w:rsid w:val="00F10893"/>
    <w:rsid w:val="00F108D5"/>
    <w:rsid w:val="00F10E3B"/>
    <w:rsid w:val="00F10E5F"/>
    <w:rsid w:val="00F10EAA"/>
    <w:rsid w:val="00F10EC4"/>
    <w:rsid w:val="00F11186"/>
    <w:rsid w:val="00F11187"/>
    <w:rsid w:val="00F11276"/>
    <w:rsid w:val="00F1131A"/>
    <w:rsid w:val="00F115E7"/>
    <w:rsid w:val="00F11621"/>
    <w:rsid w:val="00F11905"/>
    <w:rsid w:val="00F11E4F"/>
    <w:rsid w:val="00F11F1E"/>
    <w:rsid w:val="00F11F91"/>
    <w:rsid w:val="00F12425"/>
    <w:rsid w:val="00F1265E"/>
    <w:rsid w:val="00F12668"/>
    <w:rsid w:val="00F12945"/>
    <w:rsid w:val="00F12B86"/>
    <w:rsid w:val="00F12ED0"/>
    <w:rsid w:val="00F13B24"/>
    <w:rsid w:val="00F13CFE"/>
    <w:rsid w:val="00F13DD1"/>
    <w:rsid w:val="00F13EDC"/>
    <w:rsid w:val="00F13F8E"/>
    <w:rsid w:val="00F142B6"/>
    <w:rsid w:val="00F1437C"/>
    <w:rsid w:val="00F14450"/>
    <w:rsid w:val="00F145A6"/>
    <w:rsid w:val="00F147BC"/>
    <w:rsid w:val="00F14BBA"/>
    <w:rsid w:val="00F150AB"/>
    <w:rsid w:val="00F153FF"/>
    <w:rsid w:val="00F1546C"/>
    <w:rsid w:val="00F1549F"/>
    <w:rsid w:val="00F15A83"/>
    <w:rsid w:val="00F15A89"/>
    <w:rsid w:val="00F15B99"/>
    <w:rsid w:val="00F15E67"/>
    <w:rsid w:val="00F15F85"/>
    <w:rsid w:val="00F15F8C"/>
    <w:rsid w:val="00F16036"/>
    <w:rsid w:val="00F16494"/>
    <w:rsid w:val="00F16853"/>
    <w:rsid w:val="00F16A37"/>
    <w:rsid w:val="00F16BBA"/>
    <w:rsid w:val="00F16FC5"/>
    <w:rsid w:val="00F1702E"/>
    <w:rsid w:val="00F17383"/>
    <w:rsid w:val="00F1755A"/>
    <w:rsid w:val="00F1759B"/>
    <w:rsid w:val="00F1761D"/>
    <w:rsid w:val="00F17671"/>
    <w:rsid w:val="00F17770"/>
    <w:rsid w:val="00F1783A"/>
    <w:rsid w:val="00F17850"/>
    <w:rsid w:val="00F178DE"/>
    <w:rsid w:val="00F17A3F"/>
    <w:rsid w:val="00F201DA"/>
    <w:rsid w:val="00F202E3"/>
    <w:rsid w:val="00F203A6"/>
    <w:rsid w:val="00F20655"/>
    <w:rsid w:val="00F20716"/>
    <w:rsid w:val="00F207AB"/>
    <w:rsid w:val="00F208E6"/>
    <w:rsid w:val="00F20B5B"/>
    <w:rsid w:val="00F20DCE"/>
    <w:rsid w:val="00F20E44"/>
    <w:rsid w:val="00F214DE"/>
    <w:rsid w:val="00F223F4"/>
    <w:rsid w:val="00F226A1"/>
    <w:rsid w:val="00F22C87"/>
    <w:rsid w:val="00F22DE3"/>
    <w:rsid w:val="00F23075"/>
    <w:rsid w:val="00F231EF"/>
    <w:rsid w:val="00F23220"/>
    <w:rsid w:val="00F232F2"/>
    <w:rsid w:val="00F233E2"/>
    <w:rsid w:val="00F234AA"/>
    <w:rsid w:val="00F235BB"/>
    <w:rsid w:val="00F237EB"/>
    <w:rsid w:val="00F23AF2"/>
    <w:rsid w:val="00F23B06"/>
    <w:rsid w:val="00F23CBE"/>
    <w:rsid w:val="00F23D5C"/>
    <w:rsid w:val="00F23F90"/>
    <w:rsid w:val="00F24267"/>
    <w:rsid w:val="00F2474C"/>
    <w:rsid w:val="00F24D38"/>
    <w:rsid w:val="00F24F34"/>
    <w:rsid w:val="00F24F7A"/>
    <w:rsid w:val="00F25088"/>
    <w:rsid w:val="00F2593A"/>
    <w:rsid w:val="00F26024"/>
    <w:rsid w:val="00F2651D"/>
    <w:rsid w:val="00F26A00"/>
    <w:rsid w:val="00F26B49"/>
    <w:rsid w:val="00F26B4B"/>
    <w:rsid w:val="00F26DFE"/>
    <w:rsid w:val="00F26F21"/>
    <w:rsid w:val="00F2701A"/>
    <w:rsid w:val="00F2706C"/>
    <w:rsid w:val="00F27116"/>
    <w:rsid w:val="00F27226"/>
    <w:rsid w:val="00F274DF"/>
    <w:rsid w:val="00F27593"/>
    <w:rsid w:val="00F276E8"/>
    <w:rsid w:val="00F276FE"/>
    <w:rsid w:val="00F2771A"/>
    <w:rsid w:val="00F277AE"/>
    <w:rsid w:val="00F278DC"/>
    <w:rsid w:val="00F27923"/>
    <w:rsid w:val="00F279EB"/>
    <w:rsid w:val="00F27A25"/>
    <w:rsid w:val="00F27A3D"/>
    <w:rsid w:val="00F27A6F"/>
    <w:rsid w:val="00F27D90"/>
    <w:rsid w:val="00F27E24"/>
    <w:rsid w:val="00F27E66"/>
    <w:rsid w:val="00F30020"/>
    <w:rsid w:val="00F300F0"/>
    <w:rsid w:val="00F30113"/>
    <w:rsid w:val="00F30372"/>
    <w:rsid w:val="00F304C8"/>
    <w:rsid w:val="00F3094A"/>
    <w:rsid w:val="00F30B10"/>
    <w:rsid w:val="00F314D6"/>
    <w:rsid w:val="00F315A3"/>
    <w:rsid w:val="00F316AD"/>
    <w:rsid w:val="00F316BF"/>
    <w:rsid w:val="00F319B3"/>
    <w:rsid w:val="00F31A3D"/>
    <w:rsid w:val="00F31C95"/>
    <w:rsid w:val="00F31DC3"/>
    <w:rsid w:val="00F31FEB"/>
    <w:rsid w:val="00F320CB"/>
    <w:rsid w:val="00F324CB"/>
    <w:rsid w:val="00F325DD"/>
    <w:rsid w:val="00F32755"/>
    <w:rsid w:val="00F3283C"/>
    <w:rsid w:val="00F32FF6"/>
    <w:rsid w:val="00F33020"/>
    <w:rsid w:val="00F33320"/>
    <w:rsid w:val="00F334EE"/>
    <w:rsid w:val="00F33660"/>
    <w:rsid w:val="00F33812"/>
    <w:rsid w:val="00F33EEA"/>
    <w:rsid w:val="00F3451D"/>
    <w:rsid w:val="00F345F9"/>
    <w:rsid w:val="00F3492F"/>
    <w:rsid w:val="00F34B72"/>
    <w:rsid w:val="00F34BB0"/>
    <w:rsid w:val="00F34DF3"/>
    <w:rsid w:val="00F34F56"/>
    <w:rsid w:val="00F35259"/>
    <w:rsid w:val="00F35459"/>
    <w:rsid w:val="00F359A3"/>
    <w:rsid w:val="00F35B37"/>
    <w:rsid w:val="00F35C7E"/>
    <w:rsid w:val="00F35C84"/>
    <w:rsid w:val="00F35DB5"/>
    <w:rsid w:val="00F35E4C"/>
    <w:rsid w:val="00F3609B"/>
    <w:rsid w:val="00F36331"/>
    <w:rsid w:val="00F36555"/>
    <w:rsid w:val="00F368AC"/>
    <w:rsid w:val="00F369E9"/>
    <w:rsid w:val="00F36D7D"/>
    <w:rsid w:val="00F36DDB"/>
    <w:rsid w:val="00F36F24"/>
    <w:rsid w:val="00F37405"/>
    <w:rsid w:val="00F3767C"/>
    <w:rsid w:val="00F3774E"/>
    <w:rsid w:val="00F37864"/>
    <w:rsid w:val="00F37935"/>
    <w:rsid w:val="00F37A01"/>
    <w:rsid w:val="00F40148"/>
    <w:rsid w:val="00F40188"/>
    <w:rsid w:val="00F402AC"/>
    <w:rsid w:val="00F4031A"/>
    <w:rsid w:val="00F40731"/>
    <w:rsid w:val="00F4094E"/>
    <w:rsid w:val="00F409F5"/>
    <w:rsid w:val="00F40A1A"/>
    <w:rsid w:val="00F40C06"/>
    <w:rsid w:val="00F40E37"/>
    <w:rsid w:val="00F40EEF"/>
    <w:rsid w:val="00F40F7C"/>
    <w:rsid w:val="00F40FFE"/>
    <w:rsid w:val="00F4125C"/>
    <w:rsid w:val="00F416D8"/>
    <w:rsid w:val="00F4204A"/>
    <w:rsid w:val="00F42095"/>
    <w:rsid w:val="00F420C0"/>
    <w:rsid w:val="00F423F3"/>
    <w:rsid w:val="00F4241C"/>
    <w:rsid w:val="00F429E3"/>
    <w:rsid w:val="00F42D4E"/>
    <w:rsid w:val="00F42E71"/>
    <w:rsid w:val="00F4309C"/>
    <w:rsid w:val="00F43144"/>
    <w:rsid w:val="00F43226"/>
    <w:rsid w:val="00F432FC"/>
    <w:rsid w:val="00F43364"/>
    <w:rsid w:val="00F433B6"/>
    <w:rsid w:val="00F435BA"/>
    <w:rsid w:val="00F436DF"/>
    <w:rsid w:val="00F4381C"/>
    <w:rsid w:val="00F43C38"/>
    <w:rsid w:val="00F43FD2"/>
    <w:rsid w:val="00F442B2"/>
    <w:rsid w:val="00F4445A"/>
    <w:rsid w:val="00F44DA3"/>
    <w:rsid w:val="00F44DA8"/>
    <w:rsid w:val="00F45654"/>
    <w:rsid w:val="00F4577F"/>
    <w:rsid w:val="00F45B79"/>
    <w:rsid w:val="00F45C2E"/>
    <w:rsid w:val="00F45ED5"/>
    <w:rsid w:val="00F46112"/>
    <w:rsid w:val="00F46127"/>
    <w:rsid w:val="00F46357"/>
    <w:rsid w:val="00F4643A"/>
    <w:rsid w:val="00F4691D"/>
    <w:rsid w:val="00F4699F"/>
    <w:rsid w:val="00F46DFE"/>
    <w:rsid w:val="00F46E10"/>
    <w:rsid w:val="00F46FCD"/>
    <w:rsid w:val="00F471A5"/>
    <w:rsid w:val="00F473E4"/>
    <w:rsid w:val="00F478DF"/>
    <w:rsid w:val="00F4798C"/>
    <w:rsid w:val="00F479E8"/>
    <w:rsid w:val="00F47C40"/>
    <w:rsid w:val="00F47D3D"/>
    <w:rsid w:val="00F47D9F"/>
    <w:rsid w:val="00F47F89"/>
    <w:rsid w:val="00F500CC"/>
    <w:rsid w:val="00F50391"/>
    <w:rsid w:val="00F50A34"/>
    <w:rsid w:val="00F50B69"/>
    <w:rsid w:val="00F50E0E"/>
    <w:rsid w:val="00F50E11"/>
    <w:rsid w:val="00F50EA8"/>
    <w:rsid w:val="00F50F3C"/>
    <w:rsid w:val="00F50F4D"/>
    <w:rsid w:val="00F512F7"/>
    <w:rsid w:val="00F513CB"/>
    <w:rsid w:val="00F5156F"/>
    <w:rsid w:val="00F51BC8"/>
    <w:rsid w:val="00F51F46"/>
    <w:rsid w:val="00F5208F"/>
    <w:rsid w:val="00F52225"/>
    <w:rsid w:val="00F52355"/>
    <w:rsid w:val="00F52576"/>
    <w:rsid w:val="00F52C12"/>
    <w:rsid w:val="00F52FAD"/>
    <w:rsid w:val="00F53029"/>
    <w:rsid w:val="00F5304B"/>
    <w:rsid w:val="00F538D3"/>
    <w:rsid w:val="00F53A37"/>
    <w:rsid w:val="00F53FCC"/>
    <w:rsid w:val="00F5401F"/>
    <w:rsid w:val="00F5452F"/>
    <w:rsid w:val="00F54FA4"/>
    <w:rsid w:val="00F552EB"/>
    <w:rsid w:val="00F553E3"/>
    <w:rsid w:val="00F5576D"/>
    <w:rsid w:val="00F559A5"/>
    <w:rsid w:val="00F55BAD"/>
    <w:rsid w:val="00F56314"/>
    <w:rsid w:val="00F56539"/>
    <w:rsid w:val="00F568B7"/>
    <w:rsid w:val="00F57356"/>
    <w:rsid w:val="00F57382"/>
    <w:rsid w:val="00F573E3"/>
    <w:rsid w:val="00F57CA2"/>
    <w:rsid w:val="00F60040"/>
    <w:rsid w:val="00F601BE"/>
    <w:rsid w:val="00F60591"/>
    <w:rsid w:val="00F60666"/>
    <w:rsid w:val="00F6098A"/>
    <w:rsid w:val="00F60B74"/>
    <w:rsid w:val="00F60C35"/>
    <w:rsid w:val="00F613BD"/>
    <w:rsid w:val="00F6165C"/>
    <w:rsid w:val="00F61661"/>
    <w:rsid w:val="00F6177B"/>
    <w:rsid w:val="00F6182D"/>
    <w:rsid w:val="00F61A80"/>
    <w:rsid w:val="00F61B18"/>
    <w:rsid w:val="00F61C06"/>
    <w:rsid w:val="00F61E38"/>
    <w:rsid w:val="00F62297"/>
    <w:rsid w:val="00F625F2"/>
    <w:rsid w:val="00F626F4"/>
    <w:rsid w:val="00F62AA7"/>
    <w:rsid w:val="00F62B40"/>
    <w:rsid w:val="00F62CB9"/>
    <w:rsid w:val="00F62DD1"/>
    <w:rsid w:val="00F62F90"/>
    <w:rsid w:val="00F630C9"/>
    <w:rsid w:val="00F6317F"/>
    <w:rsid w:val="00F636B4"/>
    <w:rsid w:val="00F637B4"/>
    <w:rsid w:val="00F63A11"/>
    <w:rsid w:val="00F63AB2"/>
    <w:rsid w:val="00F640F3"/>
    <w:rsid w:val="00F64271"/>
    <w:rsid w:val="00F6432F"/>
    <w:rsid w:val="00F644D1"/>
    <w:rsid w:val="00F645F0"/>
    <w:rsid w:val="00F64643"/>
    <w:rsid w:val="00F649A4"/>
    <w:rsid w:val="00F64D23"/>
    <w:rsid w:val="00F64DE1"/>
    <w:rsid w:val="00F64F05"/>
    <w:rsid w:val="00F6505E"/>
    <w:rsid w:val="00F6524F"/>
    <w:rsid w:val="00F655B9"/>
    <w:rsid w:val="00F65692"/>
    <w:rsid w:val="00F65914"/>
    <w:rsid w:val="00F65975"/>
    <w:rsid w:val="00F65A47"/>
    <w:rsid w:val="00F6639F"/>
    <w:rsid w:val="00F663F9"/>
    <w:rsid w:val="00F66C0D"/>
    <w:rsid w:val="00F66CF1"/>
    <w:rsid w:val="00F66D92"/>
    <w:rsid w:val="00F67736"/>
    <w:rsid w:val="00F6795F"/>
    <w:rsid w:val="00F7026E"/>
    <w:rsid w:val="00F7036A"/>
    <w:rsid w:val="00F70370"/>
    <w:rsid w:val="00F70528"/>
    <w:rsid w:val="00F708B1"/>
    <w:rsid w:val="00F70A70"/>
    <w:rsid w:val="00F70EE2"/>
    <w:rsid w:val="00F70EF3"/>
    <w:rsid w:val="00F71170"/>
    <w:rsid w:val="00F713B7"/>
    <w:rsid w:val="00F71444"/>
    <w:rsid w:val="00F71507"/>
    <w:rsid w:val="00F71695"/>
    <w:rsid w:val="00F718A4"/>
    <w:rsid w:val="00F719C5"/>
    <w:rsid w:val="00F71B01"/>
    <w:rsid w:val="00F71E29"/>
    <w:rsid w:val="00F72181"/>
    <w:rsid w:val="00F72234"/>
    <w:rsid w:val="00F7224F"/>
    <w:rsid w:val="00F722A6"/>
    <w:rsid w:val="00F7260B"/>
    <w:rsid w:val="00F72808"/>
    <w:rsid w:val="00F72842"/>
    <w:rsid w:val="00F72A70"/>
    <w:rsid w:val="00F72ACB"/>
    <w:rsid w:val="00F72B42"/>
    <w:rsid w:val="00F72BB2"/>
    <w:rsid w:val="00F72BF2"/>
    <w:rsid w:val="00F72F03"/>
    <w:rsid w:val="00F730C9"/>
    <w:rsid w:val="00F731A9"/>
    <w:rsid w:val="00F733F3"/>
    <w:rsid w:val="00F73409"/>
    <w:rsid w:val="00F734F4"/>
    <w:rsid w:val="00F73A39"/>
    <w:rsid w:val="00F73C0E"/>
    <w:rsid w:val="00F73C98"/>
    <w:rsid w:val="00F73E47"/>
    <w:rsid w:val="00F743F3"/>
    <w:rsid w:val="00F745D2"/>
    <w:rsid w:val="00F7460B"/>
    <w:rsid w:val="00F74736"/>
    <w:rsid w:val="00F747D6"/>
    <w:rsid w:val="00F748EC"/>
    <w:rsid w:val="00F74BBE"/>
    <w:rsid w:val="00F74BD2"/>
    <w:rsid w:val="00F758FF"/>
    <w:rsid w:val="00F759CA"/>
    <w:rsid w:val="00F75A20"/>
    <w:rsid w:val="00F75D3A"/>
    <w:rsid w:val="00F75DFC"/>
    <w:rsid w:val="00F75F45"/>
    <w:rsid w:val="00F76378"/>
    <w:rsid w:val="00F768C9"/>
    <w:rsid w:val="00F76980"/>
    <w:rsid w:val="00F76B68"/>
    <w:rsid w:val="00F76CBF"/>
    <w:rsid w:val="00F7707C"/>
    <w:rsid w:val="00F773D9"/>
    <w:rsid w:val="00F77515"/>
    <w:rsid w:val="00F77577"/>
    <w:rsid w:val="00F7772F"/>
    <w:rsid w:val="00F777A5"/>
    <w:rsid w:val="00F77A6D"/>
    <w:rsid w:val="00F80139"/>
    <w:rsid w:val="00F8013A"/>
    <w:rsid w:val="00F80325"/>
    <w:rsid w:val="00F80466"/>
    <w:rsid w:val="00F80585"/>
    <w:rsid w:val="00F80627"/>
    <w:rsid w:val="00F8071E"/>
    <w:rsid w:val="00F80DAA"/>
    <w:rsid w:val="00F80E41"/>
    <w:rsid w:val="00F81005"/>
    <w:rsid w:val="00F811DB"/>
    <w:rsid w:val="00F812E3"/>
    <w:rsid w:val="00F813CE"/>
    <w:rsid w:val="00F816EE"/>
    <w:rsid w:val="00F81C14"/>
    <w:rsid w:val="00F81C3C"/>
    <w:rsid w:val="00F81DEC"/>
    <w:rsid w:val="00F82072"/>
    <w:rsid w:val="00F82090"/>
    <w:rsid w:val="00F82093"/>
    <w:rsid w:val="00F82346"/>
    <w:rsid w:val="00F825B5"/>
    <w:rsid w:val="00F82679"/>
    <w:rsid w:val="00F8283D"/>
    <w:rsid w:val="00F828FC"/>
    <w:rsid w:val="00F82B08"/>
    <w:rsid w:val="00F82C26"/>
    <w:rsid w:val="00F82C8B"/>
    <w:rsid w:val="00F82CB1"/>
    <w:rsid w:val="00F82EA5"/>
    <w:rsid w:val="00F82FB9"/>
    <w:rsid w:val="00F831C4"/>
    <w:rsid w:val="00F83606"/>
    <w:rsid w:val="00F841CA"/>
    <w:rsid w:val="00F84573"/>
    <w:rsid w:val="00F845D4"/>
    <w:rsid w:val="00F84B2B"/>
    <w:rsid w:val="00F84BB2"/>
    <w:rsid w:val="00F84C68"/>
    <w:rsid w:val="00F84C84"/>
    <w:rsid w:val="00F84D25"/>
    <w:rsid w:val="00F850E1"/>
    <w:rsid w:val="00F851A2"/>
    <w:rsid w:val="00F85374"/>
    <w:rsid w:val="00F85546"/>
    <w:rsid w:val="00F85800"/>
    <w:rsid w:val="00F85802"/>
    <w:rsid w:val="00F85C43"/>
    <w:rsid w:val="00F85D06"/>
    <w:rsid w:val="00F86151"/>
    <w:rsid w:val="00F861FD"/>
    <w:rsid w:val="00F865D4"/>
    <w:rsid w:val="00F86807"/>
    <w:rsid w:val="00F86D3C"/>
    <w:rsid w:val="00F86F6C"/>
    <w:rsid w:val="00F8752B"/>
    <w:rsid w:val="00F879A7"/>
    <w:rsid w:val="00F87A14"/>
    <w:rsid w:val="00F87B06"/>
    <w:rsid w:val="00F87C31"/>
    <w:rsid w:val="00F87E0C"/>
    <w:rsid w:val="00F902B7"/>
    <w:rsid w:val="00F905BE"/>
    <w:rsid w:val="00F90894"/>
    <w:rsid w:val="00F9097F"/>
    <w:rsid w:val="00F90DF5"/>
    <w:rsid w:val="00F91014"/>
    <w:rsid w:val="00F910A0"/>
    <w:rsid w:val="00F91244"/>
    <w:rsid w:val="00F91B71"/>
    <w:rsid w:val="00F91ED2"/>
    <w:rsid w:val="00F91F5B"/>
    <w:rsid w:val="00F92044"/>
    <w:rsid w:val="00F9212E"/>
    <w:rsid w:val="00F92133"/>
    <w:rsid w:val="00F92550"/>
    <w:rsid w:val="00F92657"/>
    <w:rsid w:val="00F92826"/>
    <w:rsid w:val="00F92901"/>
    <w:rsid w:val="00F92A5F"/>
    <w:rsid w:val="00F92C19"/>
    <w:rsid w:val="00F93145"/>
    <w:rsid w:val="00F93498"/>
    <w:rsid w:val="00F935BB"/>
    <w:rsid w:val="00F93650"/>
    <w:rsid w:val="00F936C6"/>
    <w:rsid w:val="00F93732"/>
    <w:rsid w:val="00F93CD2"/>
    <w:rsid w:val="00F93DC9"/>
    <w:rsid w:val="00F94089"/>
    <w:rsid w:val="00F9445F"/>
    <w:rsid w:val="00F94BAD"/>
    <w:rsid w:val="00F94BCA"/>
    <w:rsid w:val="00F950BE"/>
    <w:rsid w:val="00F9510E"/>
    <w:rsid w:val="00F951EB"/>
    <w:rsid w:val="00F9523C"/>
    <w:rsid w:val="00F9542D"/>
    <w:rsid w:val="00F95675"/>
    <w:rsid w:val="00F95687"/>
    <w:rsid w:val="00F95F0A"/>
    <w:rsid w:val="00F95F43"/>
    <w:rsid w:val="00F962C6"/>
    <w:rsid w:val="00F96334"/>
    <w:rsid w:val="00F96839"/>
    <w:rsid w:val="00F969C4"/>
    <w:rsid w:val="00F96AD5"/>
    <w:rsid w:val="00F96B96"/>
    <w:rsid w:val="00F96BFD"/>
    <w:rsid w:val="00F96E21"/>
    <w:rsid w:val="00F97408"/>
    <w:rsid w:val="00F9753B"/>
    <w:rsid w:val="00F975B8"/>
    <w:rsid w:val="00F977E5"/>
    <w:rsid w:val="00F9786F"/>
    <w:rsid w:val="00F97B42"/>
    <w:rsid w:val="00F97E5F"/>
    <w:rsid w:val="00FA0329"/>
    <w:rsid w:val="00FA06E7"/>
    <w:rsid w:val="00FA06F0"/>
    <w:rsid w:val="00FA0AEE"/>
    <w:rsid w:val="00FA0C34"/>
    <w:rsid w:val="00FA0CD1"/>
    <w:rsid w:val="00FA0EB2"/>
    <w:rsid w:val="00FA143E"/>
    <w:rsid w:val="00FA15DB"/>
    <w:rsid w:val="00FA1681"/>
    <w:rsid w:val="00FA1A77"/>
    <w:rsid w:val="00FA1C2D"/>
    <w:rsid w:val="00FA1FB3"/>
    <w:rsid w:val="00FA2242"/>
    <w:rsid w:val="00FA24D3"/>
    <w:rsid w:val="00FA26A7"/>
    <w:rsid w:val="00FA2ACC"/>
    <w:rsid w:val="00FA2C51"/>
    <w:rsid w:val="00FA2EB6"/>
    <w:rsid w:val="00FA3467"/>
    <w:rsid w:val="00FA35B2"/>
    <w:rsid w:val="00FA3706"/>
    <w:rsid w:val="00FA3738"/>
    <w:rsid w:val="00FA396E"/>
    <w:rsid w:val="00FA39F2"/>
    <w:rsid w:val="00FA3ED4"/>
    <w:rsid w:val="00FA4879"/>
    <w:rsid w:val="00FA48E0"/>
    <w:rsid w:val="00FA4BA7"/>
    <w:rsid w:val="00FA51B7"/>
    <w:rsid w:val="00FA5263"/>
    <w:rsid w:val="00FA5270"/>
    <w:rsid w:val="00FA530E"/>
    <w:rsid w:val="00FA53D8"/>
    <w:rsid w:val="00FA5458"/>
    <w:rsid w:val="00FA5504"/>
    <w:rsid w:val="00FA5ABD"/>
    <w:rsid w:val="00FA5D5D"/>
    <w:rsid w:val="00FA600F"/>
    <w:rsid w:val="00FA6080"/>
    <w:rsid w:val="00FA6093"/>
    <w:rsid w:val="00FA60DE"/>
    <w:rsid w:val="00FA61CB"/>
    <w:rsid w:val="00FA6469"/>
    <w:rsid w:val="00FA647B"/>
    <w:rsid w:val="00FA679F"/>
    <w:rsid w:val="00FA68C1"/>
    <w:rsid w:val="00FA6913"/>
    <w:rsid w:val="00FA6A3D"/>
    <w:rsid w:val="00FA6B13"/>
    <w:rsid w:val="00FA6B7E"/>
    <w:rsid w:val="00FA6BC1"/>
    <w:rsid w:val="00FA6D9D"/>
    <w:rsid w:val="00FA6E49"/>
    <w:rsid w:val="00FA6FF0"/>
    <w:rsid w:val="00FA7279"/>
    <w:rsid w:val="00FA7531"/>
    <w:rsid w:val="00FA7560"/>
    <w:rsid w:val="00FA76E7"/>
    <w:rsid w:val="00FA7F45"/>
    <w:rsid w:val="00FB03AC"/>
    <w:rsid w:val="00FB0A91"/>
    <w:rsid w:val="00FB0ECA"/>
    <w:rsid w:val="00FB1147"/>
    <w:rsid w:val="00FB13AE"/>
    <w:rsid w:val="00FB14D0"/>
    <w:rsid w:val="00FB1A4C"/>
    <w:rsid w:val="00FB22DD"/>
    <w:rsid w:val="00FB2412"/>
    <w:rsid w:val="00FB265B"/>
    <w:rsid w:val="00FB2AD8"/>
    <w:rsid w:val="00FB2BD6"/>
    <w:rsid w:val="00FB2C96"/>
    <w:rsid w:val="00FB2EA9"/>
    <w:rsid w:val="00FB2F88"/>
    <w:rsid w:val="00FB318F"/>
    <w:rsid w:val="00FB38E0"/>
    <w:rsid w:val="00FB41EE"/>
    <w:rsid w:val="00FB4485"/>
    <w:rsid w:val="00FB46A3"/>
    <w:rsid w:val="00FB4803"/>
    <w:rsid w:val="00FB494B"/>
    <w:rsid w:val="00FB495B"/>
    <w:rsid w:val="00FB495E"/>
    <w:rsid w:val="00FB4DEE"/>
    <w:rsid w:val="00FB4F11"/>
    <w:rsid w:val="00FB4F93"/>
    <w:rsid w:val="00FB523B"/>
    <w:rsid w:val="00FB52C4"/>
    <w:rsid w:val="00FB56F2"/>
    <w:rsid w:val="00FB57DB"/>
    <w:rsid w:val="00FB5823"/>
    <w:rsid w:val="00FB5B26"/>
    <w:rsid w:val="00FB6039"/>
    <w:rsid w:val="00FB6372"/>
    <w:rsid w:val="00FB6524"/>
    <w:rsid w:val="00FB6669"/>
    <w:rsid w:val="00FB6AAD"/>
    <w:rsid w:val="00FB6B73"/>
    <w:rsid w:val="00FB6CDB"/>
    <w:rsid w:val="00FB6D8C"/>
    <w:rsid w:val="00FB7487"/>
    <w:rsid w:val="00FB76B2"/>
    <w:rsid w:val="00FB77EB"/>
    <w:rsid w:val="00FB7864"/>
    <w:rsid w:val="00FB7DC2"/>
    <w:rsid w:val="00FB7DD9"/>
    <w:rsid w:val="00FC01CE"/>
    <w:rsid w:val="00FC02B4"/>
    <w:rsid w:val="00FC036D"/>
    <w:rsid w:val="00FC06E3"/>
    <w:rsid w:val="00FC0890"/>
    <w:rsid w:val="00FC092C"/>
    <w:rsid w:val="00FC09FE"/>
    <w:rsid w:val="00FC12AC"/>
    <w:rsid w:val="00FC13D5"/>
    <w:rsid w:val="00FC146A"/>
    <w:rsid w:val="00FC1C09"/>
    <w:rsid w:val="00FC20CE"/>
    <w:rsid w:val="00FC219D"/>
    <w:rsid w:val="00FC2250"/>
    <w:rsid w:val="00FC22AB"/>
    <w:rsid w:val="00FC22AF"/>
    <w:rsid w:val="00FC23DE"/>
    <w:rsid w:val="00FC2478"/>
    <w:rsid w:val="00FC2504"/>
    <w:rsid w:val="00FC25FA"/>
    <w:rsid w:val="00FC272E"/>
    <w:rsid w:val="00FC294A"/>
    <w:rsid w:val="00FC2A1D"/>
    <w:rsid w:val="00FC2ABD"/>
    <w:rsid w:val="00FC2AFB"/>
    <w:rsid w:val="00FC2F0A"/>
    <w:rsid w:val="00FC3053"/>
    <w:rsid w:val="00FC30F3"/>
    <w:rsid w:val="00FC31E5"/>
    <w:rsid w:val="00FC329C"/>
    <w:rsid w:val="00FC3530"/>
    <w:rsid w:val="00FC35EF"/>
    <w:rsid w:val="00FC37E2"/>
    <w:rsid w:val="00FC3899"/>
    <w:rsid w:val="00FC3930"/>
    <w:rsid w:val="00FC395A"/>
    <w:rsid w:val="00FC39C2"/>
    <w:rsid w:val="00FC3A0F"/>
    <w:rsid w:val="00FC3CD6"/>
    <w:rsid w:val="00FC3CEC"/>
    <w:rsid w:val="00FC3D48"/>
    <w:rsid w:val="00FC3D49"/>
    <w:rsid w:val="00FC4277"/>
    <w:rsid w:val="00FC42C3"/>
    <w:rsid w:val="00FC464B"/>
    <w:rsid w:val="00FC4674"/>
    <w:rsid w:val="00FC4D58"/>
    <w:rsid w:val="00FC4DBD"/>
    <w:rsid w:val="00FC4F65"/>
    <w:rsid w:val="00FC518F"/>
    <w:rsid w:val="00FC51C5"/>
    <w:rsid w:val="00FC5354"/>
    <w:rsid w:val="00FC58D5"/>
    <w:rsid w:val="00FC594B"/>
    <w:rsid w:val="00FC59EB"/>
    <w:rsid w:val="00FC5A27"/>
    <w:rsid w:val="00FC5E16"/>
    <w:rsid w:val="00FC6139"/>
    <w:rsid w:val="00FC6327"/>
    <w:rsid w:val="00FC63B9"/>
    <w:rsid w:val="00FC64E2"/>
    <w:rsid w:val="00FC6638"/>
    <w:rsid w:val="00FC66E6"/>
    <w:rsid w:val="00FC6AED"/>
    <w:rsid w:val="00FC6DF4"/>
    <w:rsid w:val="00FC6E63"/>
    <w:rsid w:val="00FC6E7E"/>
    <w:rsid w:val="00FC6E91"/>
    <w:rsid w:val="00FC72B0"/>
    <w:rsid w:val="00FC72C0"/>
    <w:rsid w:val="00FC73AF"/>
    <w:rsid w:val="00FC75B0"/>
    <w:rsid w:val="00FC764C"/>
    <w:rsid w:val="00FC7715"/>
    <w:rsid w:val="00FC7727"/>
    <w:rsid w:val="00FC7C50"/>
    <w:rsid w:val="00FC7D07"/>
    <w:rsid w:val="00FC7DDB"/>
    <w:rsid w:val="00FC7EF4"/>
    <w:rsid w:val="00FC7F62"/>
    <w:rsid w:val="00FD03F7"/>
    <w:rsid w:val="00FD0454"/>
    <w:rsid w:val="00FD046E"/>
    <w:rsid w:val="00FD07C6"/>
    <w:rsid w:val="00FD0DA5"/>
    <w:rsid w:val="00FD0ED2"/>
    <w:rsid w:val="00FD1014"/>
    <w:rsid w:val="00FD1088"/>
    <w:rsid w:val="00FD11F2"/>
    <w:rsid w:val="00FD1927"/>
    <w:rsid w:val="00FD1A0C"/>
    <w:rsid w:val="00FD1A96"/>
    <w:rsid w:val="00FD1B66"/>
    <w:rsid w:val="00FD1C3C"/>
    <w:rsid w:val="00FD1FB5"/>
    <w:rsid w:val="00FD1FEE"/>
    <w:rsid w:val="00FD217D"/>
    <w:rsid w:val="00FD2247"/>
    <w:rsid w:val="00FD22BC"/>
    <w:rsid w:val="00FD2394"/>
    <w:rsid w:val="00FD245E"/>
    <w:rsid w:val="00FD2694"/>
    <w:rsid w:val="00FD27C3"/>
    <w:rsid w:val="00FD2A92"/>
    <w:rsid w:val="00FD2B94"/>
    <w:rsid w:val="00FD2DD7"/>
    <w:rsid w:val="00FD2E62"/>
    <w:rsid w:val="00FD31F5"/>
    <w:rsid w:val="00FD37CD"/>
    <w:rsid w:val="00FD3B9E"/>
    <w:rsid w:val="00FD3EC8"/>
    <w:rsid w:val="00FD4211"/>
    <w:rsid w:val="00FD42E7"/>
    <w:rsid w:val="00FD45E5"/>
    <w:rsid w:val="00FD4958"/>
    <w:rsid w:val="00FD49BF"/>
    <w:rsid w:val="00FD4D0B"/>
    <w:rsid w:val="00FD5096"/>
    <w:rsid w:val="00FD5726"/>
    <w:rsid w:val="00FD5FAA"/>
    <w:rsid w:val="00FD67D9"/>
    <w:rsid w:val="00FD6867"/>
    <w:rsid w:val="00FD6929"/>
    <w:rsid w:val="00FD69F3"/>
    <w:rsid w:val="00FD6BF1"/>
    <w:rsid w:val="00FD6DFA"/>
    <w:rsid w:val="00FD6F51"/>
    <w:rsid w:val="00FD6FEA"/>
    <w:rsid w:val="00FD71BC"/>
    <w:rsid w:val="00FD7319"/>
    <w:rsid w:val="00FD762D"/>
    <w:rsid w:val="00FD7841"/>
    <w:rsid w:val="00FD7881"/>
    <w:rsid w:val="00FD7963"/>
    <w:rsid w:val="00FD7C1D"/>
    <w:rsid w:val="00FD7D0E"/>
    <w:rsid w:val="00FD7D50"/>
    <w:rsid w:val="00FE00EF"/>
    <w:rsid w:val="00FE01C5"/>
    <w:rsid w:val="00FE06E8"/>
    <w:rsid w:val="00FE0C90"/>
    <w:rsid w:val="00FE0CC1"/>
    <w:rsid w:val="00FE0FBF"/>
    <w:rsid w:val="00FE104B"/>
    <w:rsid w:val="00FE11A5"/>
    <w:rsid w:val="00FE1291"/>
    <w:rsid w:val="00FE1606"/>
    <w:rsid w:val="00FE1B08"/>
    <w:rsid w:val="00FE1C68"/>
    <w:rsid w:val="00FE1D8A"/>
    <w:rsid w:val="00FE2274"/>
    <w:rsid w:val="00FE229A"/>
    <w:rsid w:val="00FE2431"/>
    <w:rsid w:val="00FE245C"/>
    <w:rsid w:val="00FE261D"/>
    <w:rsid w:val="00FE26B7"/>
    <w:rsid w:val="00FE28DE"/>
    <w:rsid w:val="00FE29FA"/>
    <w:rsid w:val="00FE342E"/>
    <w:rsid w:val="00FE374F"/>
    <w:rsid w:val="00FE3888"/>
    <w:rsid w:val="00FE3906"/>
    <w:rsid w:val="00FE3970"/>
    <w:rsid w:val="00FE3CAD"/>
    <w:rsid w:val="00FE40AD"/>
    <w:rsid w:val="00FE43EA"/>
    <w:rsid w:val="00FE47AC"/>
    <w:rsid w:val="00FE482B"/>
    <w:rsid w:val="00FE4C00"/>
    <w:rsid w:val="00FE4C58"/>
    <w:rsid w:val="00FE4FDF"/>
    <w:rsid w:val="00FE5075"/>
    <w:rsid w:val="00FE50ED"/>
    <w:rsid w:val="00FE59CB"/>
    <w:rsid w:val="00FE600C"/>
    <w:rsid w:val="00FE649C"/>
    <w:rsid w:val="00FE6536"/>
    <w:rsid w:val="00FE65CC"/>
    <w:rsid w:val="00FE6746"/>
    <w:rsid w:val="00FE6993"/>
    <w:rsid w:val="00FE6E46"/>
    <w:rsid w:val="00FE712A"/>
    <w:rsid w:val="00FE7A46"/>
    <w:rsid w:val="00FE7AFB"/>
    <w:rsid w:val="00FE7B95"/>
    <w:rsid w:val="00FE7BF6"/>
    <w:rsid w:val="00FE7C90"/>
    <w:rsid w:val="00FE7EE9"/>
    <w:rsid w:val="00FE7F38"/>
    <w:rsid w:val="00FE7F90"/>
    <w:rsid w:val="00FF03FF"/>
    <w:rsid w:val="00FF077D"/>
    <w:rsid w:val="00FF0B31"/>
    <w:rsid w:val="00FF0DFF"/>
    <w:rsid w:val="00FF0E20"/>
    <w:rsid w:val="00FF0FE7"/>
    <w:rsid w:val="00FF10FE"/>
    <w:rsid w:val="00FF1110"/>
    <w:rsid w:val="00FF1433"/>
    <w:rsid w:val="00FF194A"/>
    <w:rsid w:val="00FF1A64"/>
    <w:rsid w:val="00FF1F70"/>
    <w:rsid w:val="00FF210E"/>
    <w:rsid w:val="00FF2125"/>
    <w:rsid w:val="00FF2224"/>
    <w:rsid w:val="00FF2293"/>
    <w:rsid w:val="00FF24D0"/>
    <w:rsid w:val="00FF2550"/>
    <w:rsid w:val="00FF277B"/>
    <w:rsid w:val="00FF2829"/>
    <w:rsid w:val="00FF28E9"/>
    <w:rsid w:val="00FF2ABB"/>
    <w:rsid w:val="00FF2D71"/>
    <w:rsid w:val="00FF2E2C"/>
    <w:rsid w:val="00FF30D5"/>
    <w:rsid w:val="00FF31C3"/>
    <w:rsid w:val="00FF321A"/>
    <w:rsid w:val="00FF3503"/>
    <w:rsid w:val="00FF3592"/>
    <w:rsid w:val="00FF36EE"/>
    <w:rsid w:val="00FF376A"/>
    <w:rsid w:val="00FF4979"/>
    <w:rsid w:val="00FF4BFF"/>
    <w:rsid w:val="00FF4C68"/>
    <w:rsid w:val="00FF4D25"/>
    <w:rsid w:val="00FF4FF4"/>
    <w:rsid w:val="00FF51B6"/>
    <w:rsid w:val="00FF5299"/>
    <w:rsid w:val="00FF541D"/>
    <w:rsid w:val="00FF5474"/>
    <w:rsid w:val="00FF5B86"/>
    <w:rsid w:val="00FF5E65"/>
    <w:rsid w:val="00FF5F7F"/>
    <w:rsid w:val="00FF60EA"/>
    <w:rsid w:val="00FF610D"/>
    <w:rsid w:val="00FF6173"/>
    <w:rsid w:val="00FF6508"/>
    <w:rsid w:val="00FF6709"/>
    <w:rsid w:val="00FF67F5"/>
    <w:rsid w:val="00FF6BFD"/>
    <w:rsid w:val="00FF6CFB"/>
    <w:rsid w:val="00FF6F8B"/>
    <w:rsid w:val="00FF6FAA"/>
    <w:rsid w:val="00FF7453"/>
    <w:rsid w:val="00FF7503"/>
    <w:rsid w:val="00FF75D4"/>
    <w:rsid w:val="00FF7618"/>
    <w:rsid w:val="00FF7E64"/>
    <w:rsid w:val="01526D13"/>
    <w:rsid w:val="029E09EB"/>
    <w:rsid w:val="02F8BC85"/>
    <w:rsid w:val="036F9091"/>
    <w:rsid w:val="0458A690"/>
    <w:rsid w:val="0476391B"/>
    <w:rsid w:val="077F5F68"/>
    <w:rsid w:val="084C4A1E"/>
    <w:rsid w:val="087648BC"/>
    <w:rsid w:val="0A104100"/>
    <w:rsid w:val="0B583D24"/>
    <w:rsid w:val="0C633C18"/>
    <w:rsid w:val="0F58F03D"/>
    <w:rsid w:val="10AC2613"/>
    <w:rsid w:val="143EAA7D"/>
    <w:rsid w:val="1471DEBE"/>
    <w:rsid w:val="16AE549E"/>
    <w:rsid w:val="16AFE1F4"/>
    <w:rsid w:val="182471E2"/>
    <w:rsid w:val="1833C35E"/>
    <w:rsid w:val="18739D89"/>
    <w:rsid w:val="1A52B82B"/>
    <w:rsid w:val="1AABA9FA"/>
    <w:rsid w:val="1C780CE5"/>
    <w:rsid w:val="1F1BA6FD"/>
    <w:rsid w:val="1F7BB45B"/>
    <w:rsid w:val="2479860A"/>
    <w:rsid w:val="2762043C"/>
    <w:rsid w:val="27EA552C"/>
    <w:rsid w:val="29FCBEEE"/>
    <w:rsid w:val="2A23BF27"/>
    <w:rsid w:val="2B165B09"/>
    <w:rsid w:val="2B4F972A"/>
    <w:rsid w:val="2BFBF792"/>
    <w:rsid w:val="2C13A460"/>
    <w:rsid w:val="2D5C079B"/>
    <w:rsid w:val="2F0C9384"/>
    <w:rsid w:val="2F608568"/>
    <w:rsid w:val="30C0C86D"/>
    <w:rsid w:val="31405FFC"/>
    <w:rsid w:val="34F5211D"/>
    <w:rsid w:val="35638EF2"/>
    <w:rsid w:val="362F7389"/>
    <w:rsid w:val="37ACD9F2"/>
    <w:rsid w:val="37DB2B3A"/>
    <w:rsid w:val="39D54472"/>
    <w:rsid w:val="3C575421"/>
    <w:rsid w:val="3EC7A49E"/>
    <w:rsid w:val="3EDE6942"/>
    <w:rsid w:val="421C33DD"/>
    <w:rsid w:val="43725C0A"/>
    <w:rsid w:val="44855AB8"/>
    <w:rsid w:val="46BFB115"/>
    <w:rsid w:val="47E8217A"/>
    <w:rsid w:val="484D24CC"/>
    <w:rsid w:val="4BC55D81"/>
    <w:rsid w:val="4CA90461"/>
    <w:rsid w:val="4CD7E53E"/>
    <w:rsid w:val="4CD8772F"/>
    <w:rsid w:val="4E10F3C2"/>
    <w:rsid w:val="50900BA3"/>
    <w:rsid w:val="52AC8D4A"/>
    <w:rsid w:val="5316504B"/>
    <w:rsid w:val="56AD3E3E"/>
    <w:rsid w:val="56C669E3"/>
    <w:rsid w:val="5731B752"/>
    <w:rsid w:val="57A33E0A"/>
    <w:rsid w:val="5C0B1371"/>
    <w:rsid w:val="5DF89702"/>
    <w:rsid w:val="5FAA688B"/>
    <w:rsid w:val="6000BEC5"/>
    <w:rsid w:val="606DB3DB"/>
    <w:rsid w:val="6098816B"/>
    <w:rsid w:val="6281B18D"/>
    <w:rsid w:val="6B6EBAC7"/>
    <w:rsid w:val="6C8CABB4"/>
    <w:rsid w:val="6CA9B686"/>
    <w:rsid w:val="6E347183"/>
    <w:rsid w:val="6E57F9E7"/>
    <w:rsid w:val="6F390A64"/>
    <w:rsid w:val="716DE039"/>
    <w:rsid w:val="71D2C57F"/>
    <w:rsid w:val="71D306AB"/>
    <w:rsid w:val="72DD23C1"/>
    <w:rsid w:val="73675965"/>
    <w:rsid w:val="7691CE24"/>
    <w:rsid w:val="78316AEC"/>
    <w:rsid w:val="7E314D3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F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4" w:unhideWhenUsed="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2"/>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5"/>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C04"/>
    <w:pPr>
      <w:spacing w:before="120" w:line="240" w:lineRule="auto"/>
      <w:jc w:val="both"/>
    </w:pPr>
    <w:rPr>
      <w:sz w:val="24"/>
    </w:rPr>
  </w:style>
  <w:style w:type="paragraph" w:styleId="Heading1">
    <w:name w:val="heading 1"/>
    <w:next w:val="MSACESParagraph"/>
    <w:link w:val="Heading1Char"/>
    <w:uiPriority w:val="2"/>
    <w:qFormat/>
    <w:rsid w:val="00593787"/>
    <w:pPr>
      <w:keepNext/>
      <w:keepLines/>
      <w:spacing w:before="400" w:after="120"/>
      <w:ind w:left="720" w:hanging="360"/>
      <w:outlineLvl w:val="0"/>
    </w:pPr>
    <w:rPr>
      <w:rFonts w:eastAsiaTheme="majorEastAsia" w:cstheme="majorBidi"/>
      <w:b/>
      <w:sz w:val="32"/>
      <w:szCs w:val="28"/>
    </w:rPr>
  </w:style>
  <w:style w:type="paragraph" w:styleId="Heading2">
    <w:name w:val="heading 2"/>
    <w:basedOn w:val="Normal"/>
    <w:next w:val="Normal"/>
    <w:link w:val="Heading2Char"/>
    <w:uiPriority w:val="3"/>
    <w:qFormat/>
    <w:rsid w:val="004A5746"/>
    <w:pPr>
      <w:keepNext/>
      <w:keepLines/>
      <w:spacing w:before="360" w:after="120"/>
      <w:ind w:left="2880" w:hanging="36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3"/>
    <w:qFormat/>
    <w:rsid w:val="00186307"/>
    <w:pPr>
      <w:keepNext/>
      <w:keepLines/>
      <w:spacing w:after="120"/>
      <w:ind w:left="4320" w:hanging="360"/>
      <w:outlineLvl w:val="2"/>
    </w:pPr>
    <w:rPr>
      <w:rFonts w:eastAsiaTheme="majorEastAsia" w:cstheme="majorBidi"/>
      <w:b/>
      <w:sz w:val="28"/>
      <w:szCs w:val="28"/>
    </w:rPr>
  </w:style>
  <w:style w:type="paragraph" w:styleId="Heading4">
    <w:name w:val="heading 4"/>
    <w:basedOn w:val="Heading1"/>
    <w:next w:val="Normal"/>
    <w:link w:val="Heading4Char"/>
    <w:uiPriority w:val="3"/>
    <w:qFormat/>
    <w:rsid w:val="001A6C90"/>
    <w:pPr>
      <w:spacing w:before="240" w:after="0"/>
      <w:ind w:left="0" w:firstLine="0"/>
      <w:outlineLvl w:val="3"/>
    </w:pPr>
    <w:rPr>
      <w:color w:val="000000" w:themeColor="text1"/>
      <w:sz w:val="24"/>
    </w:rPr>
  </w:style>
  <w:style w:type="paragraph" w:styleId="Heading5">
    <w:name w:val="heading 5"/>
    <w:aliases w:val="Heading 2 - Body"/>
    <w:basedOn w:val="Heading2"/>
    <w:next w:val="Normal"/>
    <w:link w:val="Heading5Char"/>
    <w:uiPriority w:val="10"/>
    <w:semiHidden/>
    <w:rsid w:val="003B095E"/>
    <w:pPr>
      <w:ind w:left="0" w:firstLine="0"/>
      <w:outlineLvl w:val="4"/>
    </w:pPr>
  </w:style>
  <w:style w:type="paragraph" w:styleId="Heading6">
    <w:name w:val="heading 6"/>
    <w:aliases w:val="Heading 3 - Body"/>
    <w:basedOn w:val="Heading3"/>
    <w:next w:val="Normal"/>
    <w:link w:val="Heading6Char"/>
    <w:uiPriority w:val="12"/>
    <w:semiHidden/>
    <w:rsid w:val="00624315"/>
    <w:pPr>
      <w:outlineLvl w:val="5"/>
    </w:pPr>
    <w:rPr>
      <w:sz w:val="24"/>
    </w:rPr>
  </w:style>
  <w:style w:type="paragraph" w:styleId="Heading7">
    <w:name w:val="heading 7"/>
    <w:basedOn w:val="Heading1"/>
    <w:next w:val="Normal"/>
    <w:link w:val="Heading7Char"/>
    <w:uiPriority w:val="12"/>
    <w:semiHidden/>
    <w:rsid w:val="00472D4D"/>
    <w:pPr>
      <w:spacing w:before="120"/>
      <w:ind w:left="1296" w:hanging="1296"/>
      <w:outlineLvl w:val="6"/>
    </w:pPr>
    <w:rPr>
      <w:i/>
      <w:sz w:val="24"/>
      <w:szCs w:val="24"/>
    </w:rPr>
  </w:style>
  <w:style w:type="paragraph" w:styleId="Heading8">
    <w:name w:val="heading 8"/>
    <w:basedOn w:val="Normal"/>
    <w:next w:val="Normal"/>
    <w:link w:val="Heading8Char"/>
    <w:uiPriority w:val="7"/>
    <w:semiHidden/>
    <w:qFormat/>
    <w:rsid w:val="002B5D74"/>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rsid w:val="002A4503"/>
    <w:pPr>
      <w:ind w:left="6480"/>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94C83"/>
    <w:rPr>
      <w:rFonts w:eastAsiaTheme="majorEastAsia" w:cstheme="majorBidi"/>
      <w:b/>
      <w:sz w:val="32"/>
      <w:szCs w:val="28"/>
    </w:rPr>
  </w:style>
  <w:style w:type="character" w:customStyle="1" w:styleId="Heading2Char">
    <w:name w:val="Heading 2 Char"/>
    <w:basedOn w:val="DefaultParagraphFont"/>
    <w:link w:val="Heading2"/>
    <w:uiPriority w:val="3"/>
    <w:rsid w:val="00245AD1"/>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3"/>
    <w:rsid w:val="00245AD1"/>
    <w:rPr>
      <w:rFonts w:eastAsiaTheme="majorEastAsia" w:cstheme="majorBidi"/>
      <w:b/>
      <w:sz w:val="28"/>
      <w:szCs w:val="28"/>
    </w:rPr>
  </w:style>
  <w:style w:type="paragraph" w:styleId="ListParagraph">
    <w:name w:val="List Paragraph"/>
    <w:aliases w:val="PBAC ES Paragraph,Body Text Bullet Points,Numbered para,BulletPoints,List Paragraph1,Bullet point,List Paragraph11,Recommendation,Section heading,Footnote,Figure_name,Numbered Indented Text,Bullet- First level,List NUmber,Listenabsatz1,lp"/>
    <w:basedOn w:val="Normal"/>
    <w:link w:val="ListParagraphChar"/>
    <w:uiPriority w:val="34"/>
    <w:qFormat/>
    <w:rsid w:val="004908B7"/>
    <w:pPr>
      <w:numPr>
        <w:ilvl w:val="4"/>
        <w:numId w:val="3"/>
      </w:numPr>
    </w:pPr>
    <w:rPr>
      <w:color w:val="000000" w:themeColor="text1"/>
    </w:rPr>
  </w:style>
  <w:style w:type="paragraph" w:styleId="BalloonText">
    <w:name w:val="Balloon Text"/>
    <w:basedOn w:val="Normal"/>
    <w:link w:val="BalloonTextChar"/>
    <w:uiPriority w:val="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MSACESParagraph"/>
    <w:link w:val="InstructionalTextChar"/>
    <w:uiPriority w:val="3"/>
    <w:qFormat/>
    <w:rsid w:val="00DD373C"/>
    <w:pPr>
      <w:jc w:val="both"/>
    </w:pPr>
    <w:rPr>
      <w:rFonts w:asciiTheme="minorHAnsi" w:hAnsiTheme="minorHAnsi" w:cstheme="minorHAnsi"/>
      <w:color w:val="3366FF"/>
    </w:rPr>
  </w:style>
  <w:style w:type="character" w:customStyle="1" w:styleId="Heading4Char">
    <w:name w:val="Heading 4 Char"/>
    <w:basedOn w:val="DefaultParagraphFont"/>
    <w:link w:val="Heading4"/>
    <w:uiPriority w:val="3"/>
    <w:rsid w:val="00245AD1"/>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645AB3"/>
    <w:rPr>
      <w:rFonts w:eastAsiaTheme="majorEastAsia" w:cstheme="majorBidi"/>
      <w:b/>
      <w:sz w:val="36"/>
      <w:szCs w:val="28"/>
    </w:rPr>
  </w:style>
  <w:style w:type="character" w:customStyle="1" w:styleId="BalloonTextChar">
    <w:name w:val="Balloon Text Char"/>
    <w:basedOn w:val="DefaultParagraphFont"/>
    <w:link w:val="BalloonText"/>
    <w:uiPriority w:val="9"/>
    <w:semiHidden/>
    <w:rsid w:val="00F0542E"/>
    <w:rPr>
      <w:rFonts w:ascii="Segoe UI" w:hAnsi="Segoe UI" w:cs="Segoe UI"/>
      <w:sz w:val="18"/>
      <w:szCs w:val="18"/>
    </w:rPr>
  </w:style>
  <w:style w:type="table" w:styleId="TableGrid">
    <w:name w:val="Table Grid"/>
    <w:aliases w:val="Summary box,Table Gridbeth,CMA Table Template,ASD Table,MSD Table Grid,RTI AMCP Table,new style,PBAC table,HTAtableplain,YHEC table,Lash Style Table,HealthConsult,Dossier table,Summary Table,PHE Table Grid,Section 3- footnotes"/>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table,!"/>
    <w:next w:val="Tabletitle"/>
    <w:link w:val="CaptionChar"/>
    <w:autoRedefine/>
    <w:qFormat/>
    <w:rsid w:val="00B24F1B"/>
    <w:pPr>
      <w:keepNext/>
      <w:tabs>
        <w:tab w:val="left" w:pos="1418"/>
      </w:tabs>
      <w:spacing w:before="240" w:after="0"/>
      <w:contextualSpacing/>
    </w:pPr>
    <w:rPr>
      <w:rFonts w:ascii="Arial Narrow" w:hAnsi="Arial Narrow"/>
      <w:b/>
      <w:bCs/>
      <w:iCs/>
      <w:sz w:val="20"/>
      <w:szCs w:val="18"/>
    </w:rPr>
  </w:style>
  <w:style w:type="paragraph" w:customStyle="1" w:styleId="TableText">
    <w:name w:val="Table Text"/>
    <w:basedOn w:val="Normal"/>
    <w:link w:val="TableTextChar"/>
    <w:qFormat/>
    <w:rsid w:val="007D3BFB"/>
    <w:pPr>
      <w:widowControl w:val="0"/>
      <w:spacing w:before="0" w:after="0"/>
      <w:jc w:val="left"/>
    </w:pPr>
    <w:rPr>
      <w:rFonts w:ascii="Arial Narrow" w:hAnsi="Arial Narrow"/>
      <w:sz w:val="20"/>
    </w:rPr>
  </w:style>
  <w:style w:type="character" w:styleId="Hyperlink">
    <w:name w:val="Hyperlink"/>
    <w:basedOn w:val="DefaultParagraphFont"/>
    <w:uiPriority w:val="99"/>
    <w:semiHidden/>
    <w:rsid w:val="00BA3306"/>
    <w:rPr>
      <w:color w:val="00B0F0"/>
      <w:u w:val="single"/>
    </w:rPr>
  </w:style>
  <w:style w:type="paragraph" w:styleId="FootnoteText">
    <w:name w:val="footnote text"/>
    <w:basedOn w:val="Normal"/>
    <w:link w:val="FootnoteTextChar"/>
    <w:uiPriority w:val="99"/>
    <w:semiHidden/>
    <w:rsid w:val="00BA3306"/>
    <w:pPr>
      <w:spacing w:before="0" w:after="0"/>
    </w:pPr>
    <w:rPr>
      <w:sz w:val="18"/>
      <w:szCs w:val="20"/>
    </w:rPr>
  </w:style>
  <w:style w:type="character" w:customStyle="1" w:styleId="FootnoteTextChar">
    <w:name w:val="Footnote Text Char"/>
    <w:basedOn w:val="DefaultParagraphFont"/>
    <w:link w:val="FootnoteText"/>
    <w:uiPriority w:val="99"/>
    <w:semiHidden/>
    <w:rsid w:val="00481549"/>
    <w:rPr>
      <w:sz w:val="18"/>
      <w:szCs w:val="20"/>
    </w:rPr>
  </w:style>
  <w:style w:type="character" w:styleId="FootnoteReference">
    <w:name w:val="footnote reference"/>
    <w:basedOn w:val="DefaultParagraphFont"/>
    <w:uiPriority w:val="99"/>
    <w:semiHidden/>
    <w:rsid w:val="00BA3306"/>
    <w:rPr>
      <w:vertAlign w:val="superscript"/>
    </w:rPr>
  </w:style>
  <w:style w:type="character" w:styleId="CommentReference">
    <w:name w:val="annotation reference"/>
    <w:aliases w:val="Table Title,-H18"/>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DD373C"/>
    <w:rPr>
      <w:rFonts w:cstheme="minorHAnsi"/>
      <w:color w:val="3366FF"/>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table Char"/>
    <w:link w:val="Caption"/>
    <w:rsid w:val="00B24F1B"/>
    <w:rPr>
      <w:rFonts w:ascii="Arial Narrow" w:hAnsi="Arial Narrow"/>
      <w:b/>
      <w:bCs/>
      <w:iCs/>
      <w:sz w:val="20"/>
      <w:szCs w:val="18"/>
    </w:rPr>
  </w:style>
  <w:style w:type="paragraph" w:customStyle="1" w:styleId="TableFooter">
    <w:name w:val="Table Footer"/>
    <w:basedOn w:val="Normal"/>
    <w:link w:val="TableFooterChar"/>
    <w:qFormat/>
    <w:rsid w:val="00EA0D94"/>
    <w:pPr>
      <w:widowControl w:val="0"/>
      <w:spacing w:before="0" w:after="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EA0D94"/>
    <w:rPr>
      <w:rFonts w:ascii="Arial Narrow" w:eastAsia="Times New Roman" w:hAnsi="Arial Narrow" w:cs="Arial"/>
      <w:snapToGrid w:val="0"/>
      <w:sz w:val="18"/>
      <w:szCs w:val="20"/>
    </w:rPr>
  </w:style>
  <w:style w:type="paragraph" w:styleId="Header">
    <w:name w:val="header"/>
    <w:aliases w:val="Page Header,Header title,he=header,cntr/bld,AG Header"/>
    <w:basedOn w:val="Normal"/>
    <w:link w:val="HeaderChar"/>
    <w:uiPriority w:val="99"/>
    <w:rsid w:val="00C317F3"/>
    <w:pPr>
      <w:tabs>
        <w:tab w:val="center" w:pos="4513"/>
        <w:tab w:val="right" w:pos="9026"/>
      </w:tabs>
      <w:spacing w:before="0" w:after="0"/>
    </w:pPr>
  </w:style>
  <w:style w:type="character" w:customStyle="1" w:styleId="HeaderChar">
    <w:name w:val="Header Char"/>
    <w:aliases w:val="Page Header Char,Header title Char,he=header Char,cntr/bld Char,AG Header Char"/>
    <w:basedOn w:val="DefaultParagraphFont"/>
    <w:link w:val="Header"/>
    <w:uiPriority w:val="99"/>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semiHidden/>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semiHidden/>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semiHidden/>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semiHidden/>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semiHidden/>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semiHidden/>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semiHidden/>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Body Text Bullet Points Char,Numbered para Char,BulletPoints Char,List Paragraph1 Char,Bullet point Char,List Paragraph11 Char,Recommendation Char,Section heading Char,Footnote Char,Figure_name Char,lp Char"/>
    <w:basedOn w:val="DefaultParagraphFont"/>
    <w:link w:val="ListParagraph"/>
    <w:uiPriority w:val="34"/>
    <w:qFormat/>
    <w:locked/>
    <w:rsid w:val="00F12ED0"/>
    <w:rPr>
      <w:color w:val="000000" w:themeColor="text1"/>
      <w:sz w:val="24"/>
    </w:rPr>
  </w:style>
  <w:style w:type="numbering" w:customStyle="1" w:styleId="Headings">
    <w:name w:val="Headings"/>
    <w:uiPriority w:val="99"/>
    <w:rsid w:val="00C317F3"/>
    <w:pPr>
      <w:numPr>
        <w:numId w:val="1"/>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3"/>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ind w:left="1905" w:hanging="374"/>
    </w:pPr>
    <w:rPr>
      <w:caps/>
    </w:rPr>
  </w:style>
  <w:style w:type="paragraph" w:customStyle="1" w:styleId="Heading2SECTION2">
    <w:name w:val="Heading 2 SECTION 2"/>
    <w:basedOn w:val="Heading2"/>
    <w:next w:val="Normal"/>
    <w:link w:val="Heading2SECTION2Char"/>
    <w:uiPriority w:val="3"/>
    <w:qFormat/>
    <w:rsid w:val="00C934DC"/>
    <w:pPr>
      <w:tabs>
        <w:tab w:val="left" w:pos="1134"/>
      </w:tabs>
      <w:ind w:left="2302" w:hanging="374"/>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7D3BFB"/>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ind w:left="0" w:firstLine="0"/>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val="en-US"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Times" w:hAnsi="Times"/>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Times" w:hAnsi="Times"/>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Times" w:hAnsi="Times"/>
        <w:i/>
        <w:iCs/>
        <w:sz w:val="20"/>
      </w:rPr>
      <w:tblPr/>
      <w:tcPr>
        <w:tcBorders>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u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2532B4"/>
    <w:pPr>
      <w:numPr>
        <w:numId w:val="5"/>
      </w:numPr>
      <w:spacing w:after="120"/>
      <w:jc w:val="left"/>
    </w:pPr>
    <w:rPr>
      <w:rFonts w:ascii="Calibri" w:hAnsi="Calibri"/>
    </w:rPr>
  </w:style>
  <w:style w:type="paragraph" w:customStyle="1" w:styleId="PBACESHeading2">
    <w:name w:val="PBAC ES Heading 2"/>
    <w:basedOn w:val="Heading2"/>
    <w:link w:val="PBACESHeading2Char"/>
    <w:uiPriority w:val="1"/>
    <w:qFormat/>
    <w:rsid w:val="00E54ACA"/>
    <w:pPr>
      <w:numPr>
        <w:ilvl w:val="2"/>
        <w:numId w:val="3"/>
      </w:numPr>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2532B4"/>
    <w:rPr>
      <w:rFonts w:ascii="Calibri" w:hAnsi="Calibri" w:cstheme="minorHAnsi"/>
      <w:color w:val="3366FF"/>
      <w:sz w:val="24"/>
    </w:rPr>
  </w:style>
  <w:style w:type="character" w:customStyle="1" w:styleId="PBACESHeading2Char">
    <w:name w:val="PBAC ES Heading 2 Char"/>
    <w:basedOn w:val="Heading2Char"/>
    <w:link w:val="PBACESHeading2"/>
    <w:uiPriority w:val="1"/>
    <w:rsid w:val="00245AD1"/>
    <w:rPr>
      <w:rFonts w:asciiTheme="majorHAnsi" w:eastAsiaTheme="majorEastAsia" w:hAnsiTheme="majorHAnsi" w:cstheme="majorBidi"/>
      <w:b/>
      <w:i/>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pPr>
      <w:numPr>
        <w:ilvl w:val="1"/>
      </w:numPr>
    </w:pPr>
    <w:rPr>
      <w:i w:val="0"/>
      <w:smallCaps/>
      <w:sz w:val="32"/>
    </w:rPr>
  </w:style>
  <w:style w:type="paragraph" w:customStyle="1" w:styleId="PBACESHeading3">
    <w:name w:val="PBAC ES Heading 3"/>
    <w:basedOn w:val="PBACESHeading2"/>
    <w:link w:val="PBACESHeading3Char"/>
    <w:uiPriority w:val="1"/>
    <w:qFormat/>
    <w:rsid w:val="00396339"/>
    <w:pPr>
      <w:numPr>
        <w:ilvl w:val="3"/>
      </w:numPr>
    </w:pPr>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ilvl w:val="0"/>
        <w:numId w:val="0"/>
      </w:numPr>
      <w:spacing w:after="120"/>
      <w:ind w:left="432" w:hanging="432"/>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Heading2"/>
    <w:link w:val="OutlineHeading2Char"/>
    <w:uiPriority w:val="3"/>
    <w:qFormat/>
    <w:rsid w:val="007109D8"/>
    <w:pPr>
      <w:ind w:left="0" w:firstLine="0"/>
    </w:pPr>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tabs>
        <w:tab w:val="left" w:pos="1418"/>
      </w:tabs>
      <w:ind w:left="3600"/>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rsid w:val="001E1827"/>
    <w:pPr>
      <w:numPr>
        <w:ilvl w:val="5"/>
        <w:numId w:val="3"/>
      </w:numPr>
      <w:spacing w:before="160" w:after="240"/>
    </w:pPr>
    <w:rPr>
      <w:rFonts w:ascii="Arial" w:hAnsi="Arial"/>
      <w:sz w:val="24"/>
    </w:rPr>
  </w:style>
  <w:style w:type="paragraph" w:customStyle="1" w:styleId="MSACESParagraph">
    <w:name w:val="MSAC ES Paragraph"/>
    <w:link w:val="MSACESParagraphChar"/>
    <w:uiPriority w:val="1"/>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rsid w:val="001E1827"/>
    <w:pPr>
      <w:numPr>
        <w:ilvl w:val="6"/>
        <w:numId w:val="3"/>
      </w:numPr>
    </w:pPr>
    <w:rPr>
      <w:rFonts w:ascii="Cambria" w:hAnsi="Cambria"/>
      <w:i w:val="0"/>
      <w:sz w:val="24"/>
    </w:rPr>
  </w:style>
  <w:style w:type="paragraph" w:customStyle="1" w:styleId="MSACESBulletPoint">
    <w:name w:val="MSAC ES Bullet Point"/>
    <w:basedOn w:val="MSACESParagraph"/>
    <w:link w:val="MSACESBulletPointChar"/>
    <w:uiPriority w:val="1"/>
    <w:rsid w:val="002532B4"/>
    <w:pPr>
      <w:numPr>
        <w:numId w:val="7"/>
      </w:numPr>
      <w:spacing w:before="120" w:after="120"/>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spacing w:before="240" w:line="240" w:lineRule="auto"/>
      <w:ind w:hanging="720"/>
    </w:pPr>
    <w:rPr>
      <w:rFonts w:eastAsia="Times New Roman" w:cs="Arial"/>
      <w:snapToGrid w:val="0"/>
      <w:szCs w:val="32"/>
    </w:rPr>
  </w:style>
  <w:style w:type="paragraph" w:customStyle="1" w:styleId="ESHeading2">
    <w:name w:val="ES Heading 2"/>
    <w:basedOn w:val="Heading2"/>
    <w:uiPriority w:val="8"/>
    <w:semiHidden/>
    <w:rsid w:val="00703418"/>
    <w:p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2"/>
      </w:numPr>
    </w:pPr>
  </w:style>
  <w:style w:type="paragraph" w:customStyle="1" w:styleId="MainBodyBulletPoint">
    <w:name w:val="MainBody Bullet Point"/>
    <w:basedOn w:val="InstructionBulletpoint"/>
    <w:link w:val="MainBodyBulletPointChar"/>
    <w:uiPriority w:val="1"/>
    <w:qFormat/>
    <w:rsid w:val="002532B4"/>
    <w:pPr>
      <w:numPr>
        <w:numId w:val="0"/>
      </w:numPr>
      <w:ind w:left="720" w:hanging="360"/>
    </w:pPr>
    <w:rPr>
      <w:color w:val="auto"/>
    </w:rPr>
  </w:style>
  <w:style w:type="character" w:customStyle="1" w:styleId="MainBodyBulletPointChar">
    <w:name w:val="MainBody Bullet Point Char"/>
    <w:basedOn w:val="InstructionBulletpointChar"/>
    <w:link w:val="MainBodyBulletPoint"/>
    <w:uiPriority w:val="1"/>
    <w:rsid w:val="00F61E38"/>
    <w:rPr>
      <w:rFonts w:ascii="Calibri" w:hAnsi="Calibri" w:cstheme="minorHAnsi"/>
      <w:color w:val="3366FF"/>
      <w:sz w:val="24"/>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style>
  <w:style w:type="numbering" w:customStyle="1" w:styleId="Style2">
    <w:name w:val="Style2"/>
    <w:uiPriority w:val="99"/>
    <w:rsid w:val="002A391F"/>
    <w:pPr>
      <w:numPr>
        <w:numId w:val="6"/>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semiHidden/>
    <w:rsid w:val="003D1FB3"/>
    <w:rPr>
      <w:i/>
      <w:iCs/>
    </w:rPr>
  </w:style>
  <w:style w:type="numbering" w:customStyle="1" w:styleId="Style3">
    <w:name w:val="Style3"/>
    <w:uiPriority w:val="99"/>
    <w:rsid w:val="0076446C"/>
    <w:pPr>
      <w:numPr>
        <w:numId w:val="4"/>
      </w:numPr>
    </w:pPr>
  </w:style>
  <w:style w:type="character" w:customStyle="1" w:styleId="TableRowHeaderChar">
    <w:name w:val="Table Row Header Char"/>
    <w:basedOn w:val="TableTextChar"/>
    <w:link w:val="TableRowHeader"/>
    <w:rsid w:val="0015150F"/>
    <w:rPr>
      <w:rFonts w:ascii="Arial Narrow" w:hAnsi="Arial Narrow"/>
      <w:b/>
      <w:sz w:val="20"/>
    </w:rPr>
  </w:style>
  <w:style w:type="paragraph" w:styleId="CommentText">
    <w:name w:val="annotation text"/>
    <w:aliases w:val="Comment Text Char Char Char,Comment Text Char Char,- H19,Commentaire,Comment Text Char1 Char Char,Comment Text Char Char1"/>
    <w:basedOn w:val="Normal"/>
    <w:link w:val="CommentTextChar"/>
    <w:uiPriority w:val="99"/>
    <w:unhideWhenUsed/>
    <w:qFormat/>
    <w:rsid w:val="001952BB"/>
    <w:rPr>
      <w:sz w:val="20"/>
      <w:szCs w:val="20"/>
    </w:rPr>
  </w:style>
  <w:style w:type="character" w:customStyle="1" w:styleId="CommentTextChar">
    <w:name w:val="Comment Text Char"/>
    <w:aliases w:val="Comment Text Char Char Char Char,Comment Text Char Char Char1,- H19 Char,Commentaire Char,Comment Text Char1 Char Char Char,Comment Text Char Char1 Char"/>
    <w:basedOn w:val="DefaultParagraphFont"/>
    <w:link w:val="CommentText"/>
    <w:uiPriority w:val="99"/>
    <w:rsid w:val="001952BB"/>
    <w:rPr>
      <w:sz w:val="20"/>
      <w:szCs w:val="20"/>
    </w:rPr>
  </w:style>
  <w:style w:type="paragraph" w:customStyle="1" w:styleId="Guidelinescross-ref">
    <w:name w:val="Guidelines cross-ref"/>
    <w:basedOn w:val="Normal"/>
    <w:rsid w:val="001952BB"/>
    <w:pPr>
      <w:spacing w:before="240" w:after="240" w:line="259" w:lineRule="auto"/>
      <w:jc w:val="left"/>
    </w:pPr>
    <w:rPr>
      <w:rFonts w:ascii="Franklin Gothic Book" w:hAnsi="Franklin Gothic Book"/>
      <w:b/>
      <w:color w:val="0070C0"/>
    </w:rPr>
  </w:style>
  <w:style w:type="paragraph" w:customStyle="1" w:styleId="Instructionaltext0">
    <w:name w:val="Instructional text"/>
    <w:basedOn w:val="Normal"/>
    <w:link w:val="InstructionaltextChar0"/>
    <w:rsid w:val="001952BB"/>
    <w:pPr>
      <w:spacing w:line="259" w:lineRule="auto"/>
      <w:jc w:val="left"/>
    </w:pPr>
    <w:rPr>
      <w:rFonts w:ascii="Franklin Gothic Book" w:hAnsi="Franklin Gothic Book"/>
      <w:color w:val="258221"/>
      <w:sz w:val="22"/>
    </w:rPr>
  </w:style>
  <w:style w:type="character" w:customStyle="1" w:styleId="InstructionaltextChar0">
    <w:name w:val="Instructional text Char"/>
    <w:basedOn w:val="DefaultParagraphFont"/>
    <w:link w:val="Instructionaltext0"/>
    <w:rsid w:val="001952BB"/>
    <w:rPr>
      <w:rFonts w:ascii="Franklin Gothic Book" w:hAnsi="Franklin Gothic Book"/>
      <w:color w:val="258221"/>
    </w:rPr>
  </w:style>
  <w:style w:type="paragraph" w:customStyle="1" w:styleId="Instructionaltext-afterfiguretable">
    <w:name w:val="Instructional text - after figure/table"/>
    <w:basedOn w:val="Instructionaltext0"/>
    <w:rsid w:val="008A41CD"/>
    <w:pPr>
      <w:spacing w:before="360"/>
    </w:pPr>
  </w:style>
  <w:style w:type="paragraph" w:customStyle="1" w:styleId="Instructionaltext-bullet">
    <w:name w:val="Instructional text - bullet"/>
    <w:basedOn w:val="Instructionaltext0"/>
    <w:rsid w:val="00FD07C6"/>
    <w:pPr>
      <w:numPr>
        <w:numId w:val="9"/>
      </w:numPr>
      <w:spacing w:before="0" w:after="0"/>
    </w:pPr>
  </w:style>
  <w:style w:type="paragraph" w:customStyle="1" w:styleId="TableFigureFooter">
    <w:name w:val="Table/Figure Footer"/>
    <w:basedOn w:val="Normal"/>
    <w:link w:val="TableFigureFooterChar"/>
    <w:qFormat/>
    <w:rsid w:val="00817447"/>
    <w:pPr>
      <w:tabs>
        <w:tab w:val="left" w:pos="284"/>
      </w:tabs>
      <w:spacing w:before="0" w:after="0"/>
      <w:jc w:val="left"/>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817447"/>
    <w:rPr>
      <w:rFonts w:ascii="Arial Narrow" w:eastAsia="Times New Roman" w:hAnsi="Arial Narrow" w:cs="Arial"/>
      <w:snapToGrid w:val="0"/>
      <w:sz w:val="18"/>
      <w:lang w:eastAsia="en-AU"/>
    </w:rPr>
  </w:style>
  <w:style w:type="paragraph" w:customStyle="1" w:styleId="Bullet">
    <w:name w:val="Bullet"/>
    <w:basedOn w:val="Normal"/>
    <w:qFormat/>
    <w:rsid w:val="00E44C0B"/>
    <w:pPr>
      <w:numPr>
        <w:numId w:val="10"/>
      </w:numPr>
      <w:spacing w:after="120"/>
      <w:jc w:val="left"/>
    </w:pPr>
    <w:rPr>
      <w:sz w:val="22"/>
    </w:rPr>
  </w:style>
  <w:style w:type="paragraph" w:customStyle="1" w:styleId="Summaryboxheading">
    <w:name w:val="Summary box heading"/>
    <w:basedOn w:val="Normal"/>
    <w:rsid w:val="00276C8F"/>
    <w:pPr>
      <w:spacing w:after="100" w:afterAutospacing="1" w:line="259" w:lineRule="auto"/>
    </w:pPr>
    <w:rPr>
      <w:rFonts w:ascii="Arial Narrow" w:eastAsia="Times New Roman" w:hAnsi="Arial Narrow" w:cs="Tahoma"/>
      <w:b/>
      <w:sz w:val="22"/>
      <w:lang w:eastAsia="en-AU"/>
    </w:rPr>
  </w:style>
  <w:style w:type="paragraph" w:customStyle="1" w:styleId="In-tableHeading">
    <w:name w:val="In-table Heading"/>
    <w:qFormat/>
    <w:rsid w:val="000239BE"/>
    <w:pPr>
      <w:keepNext/>
      <w:spacing w:after="0" w:line="240" w:lineRule="auto"/>
    </w:pPr>
    <w:rPr>
      <w:rFonts w:ascii="Arial Narrow" w:eastAsiaTheme="majorEastAsia" w:hAnsi="Arial Narrow" w:cs="Times New Roman"/>
      <w:b/>
      <w:sz w:val="20"/>
      <w:szCs w:val="24"/>
      <w:lang w:val="en-US" w:eastAsia="en-AU"/>
    </w:rPr>
  </w:style>
  <w:style w:type="paragraph" w:customStyle="1" w:styleId="Tabletext0">
    <w:name w:val="Table text"/>
    <w:basedOn w:val="Normal"/>
    <w:link w:val="TabletextChar0"/>
    <w:qFormat/>
    <w:rsid w:val="00F4445A"/>
    <w:pPr>
      <w:spacing w:before="0" w:after="0"/>
      <w:jc w:val="left"/>
    </w:pPr>
    <w:rPr>
      <w:rFonts w:ascii="Arial Narrow" w:eastAsia="Times New Roman" w:hAnsi="Arial Narrow" w:cs="Times New Roman"/>
      <w:snapToGrid w:val="0"/>
      <w:sz w:val="20"/>
      <w:szCs w:val="24"/>
      <w:lang w:eastAsia="en-AU"/>
    </w:rPr>
  </w:style>
  <w:style w:type="character" w:customStyle="1" w:styleId="TabletextChar0">
    <w:name w:val="Table text Char"/>
    <w:link w:val="Tabletext0"/>
    <w:rsid w:val="00F4445A"/>
    <w:rPr>
      <w:rFonts w:ascii="Arial Narrow" w:eastAsia="Times New Roman" w:hAnsi="Arial Narrow" w:cs="Times New Roman"/>
      <w:snapToGrid w:val="0"/>
      <w:sz w:val="20"/>
      <w:szCs w:val="24"/>
      <w:lang w:eastAsia="en-AU"/>
    </w:rPr>
  </w:style>
  <w:style w:type="paragraph" w:customStyle="1" w:styleId="TableFigureHeading">
    <w:name w:val="Table/Figure Heading"/>
    <w:next w:val="In-tableHeading"/>
    <w:link w:val="TableFigureHeadingChar"/>
    <w:qFormat/>
    <w:rsid w:val="00F4445A"/>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4445A"/>
    <w:rPr>
      <w:rFonts w:ascii="Arial Narrow" w:eastAsiaTheme="majorEastAsia" w:hAnsi="Arial Narrow" w:cstheme="majorBidi"/>
      <w:b/>
      <w:bCs/>
      <w:sz w:val="20"/>
      <w:szCs w:val="24"/>
      <w:lang w:eastAsia="en-AU"/>
    </w:rPr>
  </w:style>
  <w:style w:type="table" w:customStyle="1" w:styleId="ASDTable1">
    <w:name w:val="ASD Table1"/>
    <w:basedOn w:val="TableNormal"/>
    <w:next w:val="TableGrid"/>
    <w:uiPriority w:val="39"/>
    <w:rsid w:val="00CD7A4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ListParagraph"/>
    <w:rsid w:val="00636D93"/>
    <w:pPr>
      <w:numPr>
        <w:ilvl w:val="0"/>
        <w:numId w:val="11"/>
      </w:numPr>
      <w:spacing w:before="0" w:after="120"/>
      <w:ind w:left="360"/>
      <w:contextualSpacing/>
    </w:pPr>
    <w:rPr>
      <w:rFonts w:eastAsia="Times New Roman" w:cs="Arial"/>
      <w:snapToGrid w:val="0"/>
      <w:color w:val="auto"/>
      <w:szCs w:val="24"/>
      <w:lang w:eastAsia="en-AU"/>
    </w:rPr>
  </w:style>
  <w:style w:type="paragraph" w:customStyle="1" w:styleId="Commentitalics">
    <w:name w:val="Comment (italics)"/>
    <w:basedOn w:val="Normal"/>
    <w:next w:val="Normal"/>
    <w:rsid w:val="00571D72"/>
    <w:pPr>
      <w:spacing w:before="0" w:after="0"/>
    </w:pPr>
    <w:rPr>
      <w:rFonts w:ascii="Calibri" w:eastAsia="Times New Roman" w:hAnsi="Calibri" w:cs="Arial"/>
      <w:i/>
      <w:szCs w:val="24"/>
      <w:lang w:eastAsia="en-AU"/>
    </w:rPr>
  </w:style>
  <w:style w:type="paragraph" w:customStyle="1" w:styleId="2-SectionHeading">
    <w:name w:val="2-Section Heading"/>
    <w:qFormat/>
    <w:rsid w:val="00571D72"/>
    <w:pPr>
      <w:keepNext/>
      <w:spacing w:before="240" w:after="120" w:line="240" w:lineRule="auto"/>
      <w:ind w:left="720" w:hanging="720"/>
      <w:outlineLvl w:val="0"/>
    </w:pPr>
    <w:rPr>
      <w:rFonts w:eastAsia="Times New Roman" w:cs="Arial"/>
      <w:b/>
      <w:snapToGrid w:val="0"/>
      <w:sz w:val="32"/>
      <w:szCs w:val="32"/>
      <w:lang w:eastAsia="en-AU"/>
    </w:rPr>
  </w:style>
  <w:style w:type="paragraph" w:customStyle="1" w:styleId="3-BodyText">
    <w:name w:val="3-Body Text"/>
    <w:basedOn w:val="ListParagraph"/>
    <w:link w:val="3-BodyTextChar"/>
    <w:qFormat/>
    <w:rsid w:val="00571D72"/>
    <w:pPr>
      <w:numPr>
        <w:ilvl w:val="0"/>
        <w:numId w:val="0"/>
      </w:numPr>
      <w:spacing w:before="0" w:after="120"/>
      <w:ind w:left="720" w:hanging="720"/>
    </w:pPr>
    <w:rPr>
      <w:rFonts w:eastAsia="Times New Roman" w:cs="Arial"/>
      <w:snapToGrid w:val="0"/>
      <w:color w:val="auto"/>
      <w:szCs w:val="24"/>
      <w:lang w:eastAsia="en-AU"/>
    </w:rPr>
  </w:style>
  <w:style w:type="character" w:customStyle="1" w:styleId="3-BodyTextChar">
    <w:name w:val="3-Body Text Char"/>
    <w:basedOn w:val="ListParagraphChar"/>
    <w:link w:val="3-BodyText"/>
    <w:rsid w:val="009E2636"/>
    <w:rPr>
      <w:rFonts w:eastAsia="Times New Roman" w:cs="Arial"/>
      <w:snapToGrid w:val="0"/>
      <w:color w:val="000000" w:themeColor="text1"/>
      <w:sz w:val="24"/>
      <w:szCs w:val="24"/>
      <w:lang w:eastAsia="en-AU"/>
    </w:rPr>
  </w:style>
  <w:style w:type="paragraph" w:customStyle="1" w:styleId="RegularText">
    <w:name w:val="Regular Text"/>
    <w:basedOn w:val="BodyText"/>
    <w:link w:val="RegularTextChar"/>
    <w:rsid w:val="009E2636"/>
    <w:pPr>
      <w:spacing w:before="0" w:after="0"/>
      <w:jc w:val="left"/>
    </w:pPr>
    <w:rPr>
      <w:rFonts w:ascii="Calibri" w:eastAsia="Times New Roman" w:hAnsi="Calibri" w:cs="Arial"/>
      <w:b/>
      <w:szCs w:val="24"/>
      <w:lang w:eastAsia="en-AU"/>
    </w:rPr>
  </w:style>
  <w:style w:type="character" w:customStyle="1" w:styleId="RegularTextChar">
    <w:name w:val="Regular Text Char"/>
    <w:basedOn w:val="BodyTextChar"/>
    <w:link w:val="RegularText"/>
    <w:rsid w:val="009E2636"/>
    <w:rPr>
      <w:rFonts w:ascii="Calibri" w:eastAsia="Times New Roman" w:hAnsi="Calibri" w:cs="Arial"/>
      <w:b/>
      <w:sz w:val="24"/>
      <w:szCs w:val="24"/>
      <w:lang w:eastAsia="en-AU"/>
    </w:rPr>
  </w:style>
  <w:style w:type="paragraph" w:styleId="BodyText">
    <w:name w:val="Body Text"/>
    <w:basedOn w:val="Normal"/>
    <w:link w:val="BodyTextChar"/>
    <w:uiPriority w:val="4"/>
    <w:semiHidden/>
    <w:unhideWhenUsed/>
    <w:rsid w:val="009E2636"/>
    <w:pPr>
      <w:spacing w:after="120"/>
    </w:pPr>
  </w:style>
  <w:style w:type="character" w:customStyle="1" w:styleId="BodyTextChar">
    <w:name w:val="Body Text Char"/>
    <w:basedOn w:val="DefaultParagraphFont"/>
    <w:link w:val="BodyText"/>
    <w:uiPriority w:val="4"/>
    <w:semiHidden/>
    <w:rsid w:val="009E2636"/>
    <w:rPr>
      <w:sz w:val="24"/>
    </w:rPr>
  </w:style>
  <w:style w:type="paragraph" w:customStyle="1" w:styleId="4-SubsectionHeading">
    <w:name w:val="4-Subsection Heading"/>
    <w:basedOn w:val="Heading2"/>
    <w:next w:val="3-BodyText"/>
    <w:link w:val="4-SubsectionHeadingChar"/>
    <w:qFormat/>
    <w:rsid w:val="00C15EDC"/>
    <w:pPr>
      <w:keepLines w:val="0"/>
      <w:spacing w:before="120"/>
      <w:ind w:left="0" w:firstLine="0"/>
      <w:jc w:val="both"/>
    </w:pPr>
    <w:rPr>
      <w:snapToGrid/>
      <w:spacing w:val="5"/>
      <w:kern w:val="28"/>
      <w:szCs w:val="36"/>
      <w:lang w:eastAsia="en-AU"/>
    </w:rPr>
  </w:style>
  <w:style w:type="character" w:customStyle="1" w:styleId="4-SubsectionHeadingChar">
    <w:name w:val="4-Subsection Heading Char"/>
    <w:basedOn w:val="Heading2Char"/>
    <w:link w:val="4-SubsectionHeading"/>
    <w:rsid w:val="00C15EDC"/>
    <w:rPr>
      <w:rFonts w:ascii="Arial" w:eastAsiaTheme="majorEastAsia" w:hAnsi="Arial" w:cstheme="majorBidi"/>
      <w:b/>
      <w:i/>
      <w:snapToGrid/>
      <w:spacing w:val="5"/>
      <w:kern w:val="28"/>
      <w:sz w:val="28"/>
      <w:szCs w:val="36"/>
      <w:lang w:eastAsia="en-AU"/>
    </w:rPr>
  </w:style>
  <w:style w:type="paragraph" w:customStyle="1" w:styleId="TableHeading">
    <w:name w:val="TableHeading"/>
    <w:basedOn w:val="Normal"/>
    <w:link w:val="TableHeadingChar"/>
    <w:rsid w:val="00082422"/>
    <w:pPr>
      <w:keepNext/>
      <w:spacing w:after="60"/>
      <w:jc w:val="left"/>
    </w:pPr>
    <w:rPr>
      <w:rFonts w:ascii="Arial Narrow" w:hAnsi="Arial Narrow"/>
      <w:b/>
      <w:sz w:val="20"/>
    </w:rPr>
  </w:style>
  <w:style w:type="character" w:customStyle="1" w:styleId="TableHeadingChar">
    <w:name w:val="TableHeading Char"/>
    <w:link w:val="TableHeading"/>
    <w:rsid w:val="00082422"/>
    <w:rPr>
      <w:rFonts w:ascii="Arial Narrow" w:hAnsi="Arial Narrow"/>
      <w:b/>
      <w:sz w:val="20"/>
    </w:rPr>
  </w:style>
  <w:style w:type="character" w:styleId="UnresolvedMention">
    <w:name w:val="Unresolved Mention"/>
    <w:basedOn w:val="DefaultParagraphFont"/>
    <w:uiPriority w:val="99"/>
    <w:unhideWhenUsed/>
    <w:rsid w:val="007C5313"/>
    <w:rPr>
      <w:color w:val="605E5C"/>
      <w:shd w:val="clear" w:color="auto" w:fill="E1DFDD"/>
    </w:rPr>
  </w:style>
  <w:style w:type="paragraph" w:customStyle="1" w:styleId="ExecSumBodyText">
    <w:name w:val="Exec Sum Body Text"/>
    <w:basedOn w:val="Normal"/>
    <w:link w:val="ExecSumBodyTextChar"/>
    <w:uiPriority w:val="99"/>
    <w:rsid w:val="000E0CF4"/>
    <w:pPr>
      <w:spacing w:before="0" w:after="120"/>
      <w:ind w:left="720" w:hanging="720"/>
    </w:pPr>
    <w:rPr>
      <w:rFonts w:eastAsia="Times New Roman" w:cs="Arial"/>
      <w:snapToGrid w:val="0"/>
      <w:szCs w:val="24"/>
      <w:lang w:eastAsia="en-AU"/>
    </w:rPr>
  </w:style>
  <w:style w:type="character" w:customStyle="1" w:styleId="ExecSumBodyTextChar">
    <w:name w:val="Exec Sum Body Text Char"/>
    <w:basedOn w:val="DefaultParagraphFont"/>
    <w:link w:val="ExecSumBodyText"/>
    <w:uiPriority w:val="99"/>
    <w:rsid w:val="000E0CF4"/>
    <w:rPr>
      <w:rFonts w:eastAsia="Times New Roman" w:cs="Arial"/>
      <w:snapToGrid w:val="0"/>
      <w:sz w:val="24"/>
      <w:szCs w:val="24"/>
      <w:lang w:eastAsia="en-AU"/>
    </w:rPr>
  </w:style>
  <w:style w:type="paragraph" w:customStyle="1" w:styleId="FooterTableFigure">
    <w:name w:val="Footer Table/Figure"/>
    <w:basedOn w:val="Normal"/>
    <w:link w:val="FooterTableFigureChar"/>
    <w:rsid w:val="009C49C0"/>
    <w:pPr>
      <w:spacing w:before="0" w:after="120"/>
      <w:contextualSpacing/>
    </w:pPr>
    <w:rPr>
      <w:rFonts w:ascii="Arial Narrow" w:eastAsia="Times New Roman" w:hAnsi="Arial Narrow" w:cs="Arial"/>
      <w:snapToGrid w:val="0"/>
      <w:sz w:val="18"/>
      <w:lang w:eastAsia="en-AU"/>
    </w:rPr>
  </w:style>
  <w:style w:type="character" w:customStyle="1" w:styleId="FooterTableFigureChar">
    <w:name w:val="Footer Table/Figure Char"/>
    <w:link w:val="FooterTableFigure"/>
    <w:rsid w:val="009C49C0"/>
    <w:rPr>
      <w:rFonts w:ascii="Arial Narrow" w:eastAsia="Times New Roman" w:hAnsi="Arial Narrow" w:cs="Arial"/>
      <w:snapToGrid w:val="0"/>
      <w:sz w:val="18"/>
      <w:lang w:eastAsia="en-AU"/>
    </w:rPr>
  </w:style>
  <w:style w:type="character" w:styleId="Mention">
    <w:name w:val="Mention"/>
    <w:basedOn w:val="DefaultParagraphFont"/>
    <w:uiPriority w:val="99"/>
    <w:unhideWhenUsed/>
    <w:rsid w:val="0072675A"/>
    <w:rPr>
      <w:color w:val="2B579A"/>
      <w:shd w:val="clear" w:color="auto" w:fill="E1DFDD"/>
    </w:rPr>
  </w:style>
  <w:style w:type="table" w:customStyle="1" w:styleId="LashStyleTable1">
    <w:name w:val="Lash Style Table1"/>
    <w:basedOn w:val="TableNormal"/>
    <w:next w:val="TableGrid"/>
    <w:uiPriority w:val="39"/>
    <w:rsid w:val="00A64CA6"/>
    <w:pPr>
      <w:spacing w:after="0" w:line="240" w:lineRule="auto"/>
    </w:pPr>
    <w:rPr>
      <w:rFonts w:ascii="Calibri" w:eastAsia="Calibri" w:hAnsi="Calibri" w:cs="Arial"/>
      <w:sz w:val="20"/>
      <w:szCs w:val="20"/>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E">
    <w:name w:val="ACE"/>
    <w:basedOn w:val="TableNormal"/>
    <w:uiPriority w:val="99"/>
    <w:rsid w:val="009437C3"/>
    <w:pPr>
      <w:spacing w:after="0" w:line="240" w:lineRule="auto"/>
    </w:pPr>
    <w:rPr>
      <w:rFonts w:ascii="Century Gothic" w:eastAsiaTheme="minorEastAsia" w:hAnsi="Century Gothic"/>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wordWrap/>
        <w:jc w:val="left"/>
      </w:pPr>
      <w:rPr>
        <w:b/>
      </w:rPr>
      <w:tblPr/>
      <w:tcPr>
        <w:shd w:val="clear" w:color="auto" w:fill="EEFAF9"/>
      </w:tcPr>
    </w:tblStylePr>
  </w:style>
  <w:style w:type="paragraph" w:customStyle="1" w:styleId="Default">
    <w:name w:val="Default"/>
    <w:rsid w:val="009437C3"/>
    <w:pPr>
      <w:autoSpaceDE w:val="0"/>
      <w:autoSpaceDN w:val="0"/>
      <w:adjustRightInd w:val="0"/>
      <w:spacing w:after="0" w:line="240" w:lineRule="auto"/>
    </w:pPr>
    <w:rPr>
      <w:rFonts w:ascii="Calibri" w:eastAsiaTheme="minorEastAsia" w:hAnsi="Calibri" w:cs="Calibri"/>
      <w:color w:val="000000"/>
      <w:sz w:val="24"/>
      <w:szCs w:val="24"/>
      <w:lang w:val="es-ES"/>
    </w:rPr>
  </w:style>
  <w:style w:type="paragraph" w:customStyle="1" w:styleId="tablefootnote">
    <w:name w:val="table footnote"/>
    <w:basedOn w:val="Normal"/>
    <w:link w:val="tablefootnoteChar"/>
    <w:qFormat/>
    <w:rsid w:val="009437C3"/>
    <w:pPr>
      <w:spacing w:before="40" w:after="120" w:line="264" w:lineRule="auto"/>
      <w:contextualSpacing/>
    </w:pPr>
    <w:rPr>
      <w:rFonts w:ascii="Calibri" w:eastAsiaTheme="minorEastAsia" w:hAnsi="Calibri"/>
      <w:sz w:val="16"/>
      <w:lang w:val="en-GB"/>
    </w:rPr>
  </w:style>
  <w:style w:type="character" w:customStyle="1" w:styleId="tablefootnoteChar">
    <w:name w:val="table footnote Char"/>
    <w:basedOn w:val="DefaultParagraphFont"/>
    <w:link w:val="tablefootnote"/>
    <w:rsid w:val="009437C3"/>
    <w:rPr>
      <w:rFonts w:ascii="Calibri" w:eastAsiaTheme="minorEastAsia" w:hAnsi="Calibri"/>
      <w:sz w:val="16"/>
      <w:lang w:val="en-GB"/>
    </w:rPr>
  </w:style>
  <w:style w:type="paragraph" w:customStyle="1" w:styleId="TableFootnote0">
    <w:name w:val="Table Footnote"/>
    <w:basedOn w:val="Normal"/>
    <w:qFormat/>
    <w:rsid w:val="009437C3"/>
    <w:pPr>
      <w:spacing w:before="0" w:after="240"/>
      <w:contextualSpacing/>
      <w:jc w:val="left"/>
    </w:pPr>
    <w:rPr>
      <w:rFonts w:ascii="Calibri" w:eastAsia="Calibri" w:hAnsi="Calibri" w:cs="Arial"/>
      <w:i/>
      <w:sz w:val="16"/>
      <w:szCs w:val="24"/>
    </w:rPr>
  </w:style>
  <w:style w:type="character" w:customStyle="1" w:styleId="ui-provider">
    <w:name w:val="ui-provider"/>
    <w:basedOn w:val="DefaultParagraphFont"/>
    <w:rsid w:val="009437C3"/>
  </w:style>
  <w:style w:type="numbering" w:customStyle="1" w:styleId="CurrentList7">
    <w:name w:val="Current List7"/>
    <w:uiPriority w:val="99"/>
    <w:rsid w:val="009437C3"/>
  </w:style>
  <w:style w:type="paragraph" w:customStyle="1" w:styleId="PBACH5">
    <w:name w:val="PBAC H5"/>
    <w:basedOn w:val="Heading5"/>
    <w:next w:val="Normal"/>
    <w:qFormat/>
    <w:rsid w:val="009437C3"/>
    <w:pPr>
      <w:keepNext w:val="0"/>
      <w:keepLines w:val="0"/>
      <w:spacing w:before="240"/>
    </w:pPr>
    <w:rPr>
      <w:rFonts w:ascii="Calibri" w:eastAsia="Times New Roman" w:hAnsi="Calibri" w:cs="Arial"/>
      <w:snapToGrid/>
      <w:sz w:val="24"/>
      <w:szCs w:val="24"/>
      <w:lang w:eastAsia="en-GB"/>
    </w:rPr>
  </w:style>
  <w:style w:type="paragraph" w:customStyle="1" w:styleId="PBACH4">
    <w:name w:val="PBAC H4"/>
    <w:basedOn w:val="Heading4"/>
    <w:next w:val="Normal"/>
    <w:qFormat/>
    <w:rsid w:val="009437C3"/>
    <w:pPr>
      <w:spacing w:after="120" w:line="240" w:lineRule="auto"/>
    </w:pPr>
    <w:rPr>
      <w:rFonts w:ascii="Calibri" w:hAnsi="Calibri"/>
      <w:bCs/>
      <w:iCs/>
      <w:color w:val="auto"/>
      <w:sz w:val="26"/>
      <w:szCs w:val="24"/>
      <w:u w:val="single"/>
      <w:lang w:eastAsia="en-GB"/>
    </w:rPr>
  </w:style>
  <w:style w:type="character" w:customStyle="1" w:styleId="normaltextrun">
    <w:name w:val="normaltextrun"/>
    <w:basedOn w:val="DefaultParagraphFont"/>
    <w:rsid w:val="009437C3"/>
  </w:style>
  <w:style w:type="character" w:customStyle="1" w:styleId="eop">
    <w:name w:val="eop"/>
    <w:basedOn w:val="DefaultParagraphFont"/>
    <w:rsid w:val="009437C3"/>
  </w:style>
  <w:style w:type="paragraph" w:customStyle="1" w:styleId="AbbVieBody">
    <w:name w:val="AbbVie.Body"/>
    <w:basedOn w:val="Normal"/>
    <w:link w:val="AbbVieBodyChar"/>
    <w:rsid w:val="009437C3"/>
    <w:pPr>
      <w:spacing w:before="0" w:after="0" w:line="259" w:lineRule="auto"/>
      <w:jc w:val="left"/>
    </w:pPr>
    <w:rPr>
      <w:rFonts w:ascii="Calibri" w:eastAsia="Times New Roman" w:hAnsi="Calibri" w:cs="Calibri"/>
      <w:b/>
      <w:bCs/>
      <w:sz w:val="20"/>
      <w:szCs w:val="20"/>
      <w:lang w:val="en-CA" w:eastAsia="en-CA"/>
    </w:rPr>
  </w:style>
  <w:style w:type="character" w:customStyle="1" w:styleId="AbbVieBodyChar">
    <w:name w:val="AbbVie.Body Char"/>
    <w:basedOn w:val="DefaultParagraphFont"/>
    <w:link w:val="AbbVieBody"/>
    <w:rsid w:val="009437C3"/>
    <w:rPr>
      <w:rFonts w:ascii="Calibri" w:eastAsia="Times New Roman" w:hAnsi="Calibri" w:cs="Calibri"/>
      <w:b/>
      <w:bCs/>
      <w:sz w:val="20"/>
      <w:szCs w:val="20"/>
      <w:lang w:val="en-CA" w:eastAsia="en-CA"/>
    </w:rPr>
  </w:style>
  <w:style w:type="paragraph" w:customStyle="1" w:styleId="EndNoteBibliography">
    <w:name w:val="EndNote Bibliography"/>
    <w:basedOn w:val="Normal"/>
    <w:link w:val="EndNoteBibliographyChar"/>
    <w:rsid w:val="007141E9"/>
    <w:pPr>
      <w:spacing w:before="0" w:after="240"/>
      <w:jc w:val="left"/>
    </w:pPr>
    <w:rPr>
      <w:rFonts w:ascii="Calibri" w:eastAsia="Calibri" w:hAnsi="Calibri" w:cs="Calibri"/>
      <w:szCs w:val="24"/>
      <w:lang w:val="en-US"/>
    </w:rPr>
  </w:style>
  <w:style w:type="character" w:customStyle="1" w:styleId="EndNoteBibliographyChar">
    <w:name w:val="EndNote Bibliography Char"/>
    <w:link w:val="EndNoteBibliography"/>
    <w:rsid w:val="007141E9"/>
    <w:rPr>
      <w:rFonts w:ascii="Calibri" w:eastAsia="Calibri" w:hAnsi="Calibri" w:cs="Calibri"/>
      <w:sz w:val="24"/>
      <w:szCs w:val="24"/>
      <w:lang w:val="en-US"/>
    </w:rPr>
  </w:style>
  <w:style w:type="table" w:customStyle="1" w:styleId="PBACTableStyle1">
    <w:name w:val="PBAC Table Style1"/>
    <w:basedOn w:val="TableGrid1"/>
    <w:uiPriority w:val="99"/>
    <w:rsid w:val="005E5476"/>
    <w:pPr>
      <w:widowControl w:val="0"/>
      <w:spacing w:after="0"/>
      <w:contextualSpacing/>
      <w:jc w:val="center"/>
    </w:pPr>
    <w:rPr>
      <w:rFonts w:ascii="Arial Narrow" w:hAnsi="Arial Narrow"/>
      <w:color w:val="000000" w:themeColor="text1"/>
      <w:sz w:val="20"/>
      <w:szCs w:val="20"/>
      <w:lang w:val="en-US"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Times" w:hAnsi="Times"/>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Times" w:hAnsi="Times"/>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Times" w:hAnsi="Times"/>
        <w:i/>
        <w:iCs/>
        <w:sz w:val="20"/>
      </w:rPr>
      <w:tblPr/>
      <w:tcPr>
        <w:tcBorders>
          <w:tl2br w:val="none" w:sz="0" w:space="0" w:color="auto"/>
          <w:tr2bl w:val="none" w:sz="0" w:space="0" w:color="auto"/>
        </w:tcBorders>
      </w:tcPr>
    </w:tblStylePr>
  </w:style>
  <w:style w:type="numbering" w:customStyle="1" w:styleId="Style4">
    <w:name w:val="Style4"/>
    <w:uiPriority w:val="99"/>
    <w:rsid w:val="005759AD"/>
    <w:pPr>
      <w:numPr>
        <w:numId w:val="9"/>
      </w:numPr>
    </w:pPr>
  </w:style>
  <w:style w:type="numbering" w:customStyle="1" w:styleId="Style5">
    <w:name w:val="Style5"/>
    <w:uiPriority w:val="99"/>
    <w:rsid w:val="005759AD"/>
    <w:pPr>
      <w:numPr>
        <w:numId w:val="14"/>
      </w:numPr>
    </w:pPr>
  </w:style>
  <w:style w:type="numbering" w:customStyle="1" w:styleId="MSACESBulletpoints1">
    <w:name w:val="MSAC ES Bullet points1"/>
    <w:uiPriority w:val="99"/>
    <w:rsid w:val="005759AD"/>
  </w:style>
  <w:style w:type="numbering" w:customStyle="1" w:styleId="Style41">
    <w:name w:val="Style41"/>
    <w:uiPriority w:val="99"/>
    <w:rsid w:val="005759AD"/>
  </w:style>
  <w:style w:type="numbering" w:customStyle="1" w:styleId="Style42">
    <w:name w:val="Style42"/>
    <w:uiPriority w:val="99"/>
    <w:rsid w:val="005759AD"/>
  </w:style>
  <w:style w:type="numbering" w:customStyle="1" w:styleId="Style43">
    <w:name w:val="Style43"/>
    <w:uiPriority w:val="99"/>
    <w:rsid w:val="005759AD"/>
  </w:style>
  <w:style w:type="numbering" w:customStyle="1" w:styleId="Style44">
    <w:name w:val="Style44"/>
    <w:uiPriority w:val="99"/>
    <w:rsid w:val="005759AD"/>
  </w:style>
  <w:style w:type="numbering" w:customStyle="1" w:styleId="Style45">
    <w:name w:val="Style45"/>
    <w:uiPriority w:val="99"/>
    <w:rsid w:val="005759AD"/>
  </w:style>
  <w:style w:type="numbering" w:customStyle="1" w:styleId="Style46">
    <w:name w:val="Style46"/>
    <w:uiPriority w:val="99"/>
    <w:rsid w:val="005759AD"/>
  </w:style>
  <w:style w:type="numbering" w:customStyle="1" w:styleId="Style47">
    <w:name w:val="Style47"/>
    <w:uiPriority w:val="99"/>
    <w:rsid w:val="005759AD"/>
  </w:style>
  <w:style w:type="numbering" w:customStyle="1" w:styleId="Style48">
    <w:name w:val="Style48"/>
    <w:uiPriority w:val="99"/>
    <w:rsid w:val="005759AD"/>
  </w:style>
  <w:style w:type="numbering" w:customStyle="1" w:styleId="Style49">
    <w:name w:val="Style49"/>
    <w:uiPriority w:val="99"/>
    <w:rsid w:val="005759AD"/>
  </w:style>
  <w:style w:type="numbering" w:customStyle="1" w:styleId="Style410">
    <w:name w:val="Style410"/>
    <w:uiPriority w:val="99"/>
    <w:rsid w:val="005759AD"/>
  </w:style>
  <w:style w:type="numbering" w:customStyle="1" w:styleId="Style411">
    <w:name w:val="Style411"/>
    <w:uiPriority w:val="99"/>
    <w:rsid w:val="005759AD"/>
  </w:style>
  <w:style w:type="numbering" w:customStyle="1" w:styleId="Style412">
    <w:name w:val="Style412"/>
    <w:uiPriority w:val="99"/>
    <w:rsid w:val="005759AD"/>
  </w:style>
  <w:style w:type="numbering" w:customStyle="1" w:styleId="Style413">
    <w:name w:val="Style413"/>
    <w:uiPriority w:val="99"/>
    <w:rsid w:val="005759AD"/>
  </w:style>
  <w:style w:type="numbering" w:customStyle="1" w:styleId="Style414">
    <w:name w:val="Style414"/>
    <w:uiPriority w:val="99"/>
    <w:rsid w:val="005759AD"/>
  </w:style>
  <w:style w:type="character" w:customStyle="1" w:styleId="cf01">
    <w:name w:val="cf01"/>
    <w:basedOn w:val="DefaultParagraphFont"/>
    <w:rsid w:val="001E1039"/>
    <w:rPr>
      <w:rFonts w:ascii="Segoe UI" w:hAnsi="Segoe UI" w:cs="Segoe UI" w:hint="default"/>
      <w:b/>
      <w:bCs/>
      <w:sz w:val="18"/>
      <w:szCs w:val="18"/>
    </w:rPr>
  </w:style>
  <w:style w:type="paragraph" w:customStyle="1" w:styleId="PBACHeading1">
    <w:name w:val="PBAC Heading 1"/>
    <w:qFormat/>
    <w:rsid w:val="001E4366"/>
    <w:pPr>
      <w:spacing w:after="0" w:line="240" w:lineRule="auto"/>
      <w:ind w:left="720" w:hanging="720"/>
      <w:outlineLvl w:val="0"/>
    </w:pPr>
    <w:rPr>
      <w:rFonts w:ascii="Calibri" w:eastAsia="Times New Roman" w:hAnsi="Calibri" w:cs="Calibri"/>
      <w:b/>
      <w:snapToGrid w:val="0"/>
      <w:sz w:val="32"/>
      <w:szCs w:val="32"/>
    </w:rPr>
  </w:style>
  <w:style w:type="paragraph" w:styleId="HTMLPreformatted">
    <w:name w:val="HTML Preformatted"/>
    <w:basedOn w:val="Normal"/>
    <w:link w:val="HTMLPreformattedChar"/>
    <w:uiPriority w:val="99"/>
    <w:semiHidden/>
    <w:rsid w:val="00EE41D1"/>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E41D1"/>
    <w:rPr>
      <w:rFonts w:ascii="Consolas" w:hAnsi="Consolas"/>
      <w:sz w:val="20"/>
      <w:szCs w:val="20"/>
    </w:rPr>
  </w:style>
  <w:style w:type="paragraph" w:customStyle="1" w:styleId="xmsonormal">
    <w:name w:val="x_msonormal"/>
    <w:basedOn w:val="Normal"/>
    <w:rsid w:val="007E0208"/>
    <w:pPr>
      <w:spacing w:before="0" w:after="0"/>
      <w:jc w:val="left"/>
    </w:pPr>
    <w:rPr>
      <w:rFonts w:ascii="Aptos" w:hAnsi="Aptos" w:cs="Aptos"/>
      <w:szCs w:val="24"/>
      <w:lang w:eastAsia="en-AU"/>
    </w:rPr>
  </w:style>
  <w:style w:type="paragraph" w:customStyle="1" w:styleId="3-SubsectionHeading">
    <w:name w:val="3-Subsection Heading"/>
    <w:basedOn w:val="Heading2"/>
    <w:next w:val="Normal"/>
    <w:link w:val="3-SubsectionHeadingChar"/>
    <w:qFormat/>
    <w:rsid w:val="000D6B8C"/>
    <w:pPr>
      <w:keepLines w:val="0"/>
      <w:spacing w:before="120"/>
      <w:ind w:left="0" w:firstLine="0"/>
      <w:jc w:val="both"/>
      <w:outlineLvl w:val="9"/>
    </w:pPr>
    <w:rPr>
      <w:snapToGrid/>
      <w:spacing w:val="5"/>
      <w:kern w:val="28"/>
      <w:szCs w:val="36"/>
    </w:rPr>
  </w:style>
  <w:style w:type="character" w:customStyle="1" w:styleId="3-SubsectionHeadingChar">
    <w:name w:val="3-Subsection Heading Char"/>
    <w:basedOn w:val="Heading2Char"/>
    <w:link w:val="3-SubsectionHeading"/>
    <w:rsid w:val="000D6B8C"/>
    <w:rPr>
      <w:rFonts w:ascii="Arial" w:eastAsiaTheme="majorEastAsia" w:hAnsi="Arial" w:cstheme="majorBidi"/>
      <w:b/>
      <w:i/>
      <w:snapToGrid/>
      <w:spacing w:val="5"/>
      <w:kern w:val="28"/>
      <w:sz w:val="28"/>
      <w:szCs w:val="36"/>
    </w:rPr>
  </w:style>
  <w:style w:type="paragraph" w:styleId="BodyText3">
    <w:name w:val="Body Text 3"/>
    <w:basedOn w:val="Normal"/>
    <w:link w:val="BodyText3Char"/>
    <w:uiPriority w:val="9"/>
    <w:semiHidden/>
    <w:unhideWhenUsed/>
    <w:rsid w:val="00E83785"/>
    <w:pPr>
      <w:spacing w:after="120"/>
    </w:pPr>
    <w:rPr>
      <w:sz w:val="16"/>
      <w:szCs w:val="16"/>
    </w:rPr>
  </w:style>
  <w:style w:type="character" w:customStyle="1" w:styleId="BodyText3Char">
    <w:name w:val="Body Text 3 Char"/>
    <w:basedOn w:val="DefaultParagraphFont"/>
    <w:link w:val="BodyText3"/>
    <w:uiPriority w:val="9"/>
    <w:semiHidden/>
    <w:rsid w:val="00E83785"/>
    <w:rPr>
      <w:sz w:val="16"/>
      <w:szCs w:val="16"/>
    </w:rPr>
  </w:style>
  <w:style w:type="character" w:customStyle="1" w:styleId="TabletitleChar">
    <w:name w:val="Table title Char"/>
    <w:basedOn w:val="TabletextChar0"/>
    <w:link w:val="Tabletitle"/>
    <w:locked/>
    <w:rsid w:val="00A01ED9"/>
    <w:rPr>
      <w:rFonts w:ascii="Arial Narrow" w:eastAsia="Calibri" w:hAnsi="Arial Narrow" w:cs="Arial"/>
      <w:b/>
      <w:snapToGrid/>
      <w:sz w:val="20"/>
      <w:szCs w:val="24"/>
      <w:lang w:eastAsia="en-AU"/>
    </w:rPr>
  </w:style>
  <w:style w:type="paragraph" w:customStyle="1" w:styleId="Tabletitle">
    <w:name w:val="Table title"/>
    <w:basedOn w:val="Tabletext0"/>
    <w:link w:val="TabletitleChar"/>
    <w:qFormat/>
    <w:rsid w:val="00A01ED9"/>
    <w:rPr>
      <w:rFonts w:eastAsia="Calibri" w:cs="Arial"/>
      <w:b/>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10685222">
      <w:bodyDiv w:val="1"/>
      <w:marLeft w:val="0"/>
      <w:marRight w:val="0"/>
      <w:marTop w:val="0"/>
      <w:marBottom w:val="0"/>
      <w:divBdr>
        <w:top w:val="none" w:sz="0" w:space="0" w:color="auto"/>
        <w:left w:val="none" w:sz="0" w:space="0" w:color="auto"/>
        <w:bottom w:val="none" w:sz="0" w:space="0" w:color="auto"/>
        <w:right w:val="none" w:sz="0" w:space="0" w:color="auto"/>
      </w:divBdr>
    </w:div>
    <w:div w:id="11804261">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40178655">
      <w:bodyDiv w:val="1"/>
      <w:marLeft w:val="0"/>
      <w:marRight w:val="0"/>
      <w:marTop w:val="0"/>
      <w:marBottom w:val="0"/>
      <w:divBdr>
        <w:top w:val="none" w:sz="0" w:space="0" w:color="auto"/>
        <w:left w:val="none" w:sz="0" w:space="0" w:color="auto"/>
        <w:bottom w:val="none" w:sz="0" w:space="0" w:color="auto"/>
        <w:right w:val="none" w:sz="0" w:space="0" w:color="auto"/>
      </w:divBdr>
    </w:div>
    <w:div w:id="59982943">
      <w:bodyDiv w:val="1"/>
      <w:marLeft w:val="0"/>
      <w:marRight w:val="0"/>
      <w:marTop w:val="0"/>
      <w:marBottom w:val="0"/>
      <w:divBdr>
        <w:top w:val="none" w:sz="0" w:space="0" w:color="auto"/>
        <w:left w:val="none" w:sz="0" w:space="0" w:color="auto"/>
        <w:bottom w:val="none" w:sz="0" w:space="0" w:color="auto"/>
        <w:right w:val="none" w:sz="0" w:space="0" w:color="auto"/>
      </w:divBdr>
    </w:div>
    <w:div w:id="65543565">
      <w:bodyDiv w:val="1"/>
      <w:marLeft w:val="0"/>
      <w:marRight w:val="0"/>
      <w:marTop w:val="0"/>
      <w:marBottom w:val="0"/>
      <w:divBdr>
        <w:top w:val="none" w:sz="0" w:space="0" w:color="auto"/>
        <w:left w:val="none" w:sz="0" w:space="0" w:color="auto"/>
        <w:bottom w:val="none" w:sz="0" w:space="0" w:color="auto"/>
        <w:right w:val="none" w:sz="0" w:space="0" w:color="auto"/>
      </w:divBdr>
    </w:div>
    <w:div w:id="88697260">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31094135">
      <w:bodyDiv w:val="1"/>
      <w:marLeft w:val="0"/>
      <w:marRight w:val="0"/>
      <w:marTop w:val="0"/>
      <w:marBottom w:val="0"/>
      <w:divBdr>
        <w:top w:val="none" w:sz="0" w:space="0" w:color="auto"/>
        <w:left w:val="none" w:sz="0" w:space="0" w:color="auto"/>
        <w:bottom w:val="none" w:sz="0" w:space="0" w:color="auto"/>
        <w:right w:val="none" w:sz="0" w:space="0" w:color="auto"/>
      </w:divBdr>
    </w:div>
    <w:div w:id="147403457">
      <w:bodyDiv w:val="1"/>
      <w:marLeft w:val="0"/>
      <w:marRight w:val="0"/>
      <w:marTop w:val="0"/>
      <w:marBottom w:val="0"/>
      <w:divBdr>
        <w:top w:val="none" w:sz="0" w:space="0" w:color="auto"/>
        <w:left w:val="none" w:sz="0" w:space="0" w:color="auto"/>
        <w:bottom w:val="none" w:sz="0" w:space="0" w:color="auto"/>
        <w:right w:val="none" w:sz="0" w:space="0" w:color="auto"/>
      </w:divBdr>
      <w:divsChild>
        <w:div w:id="612903482">
          <w:marLeft w:val="446"/>
          <w:marRight w:val="0"/>
          <w:marTop w:val="0"/>
          <w:marBottom w:val="0"/>
          <w:divBdr>
            <w:top w:val="none" w:sz="0" w:space="0" w:color="auto"/>
            <w:left w:val="none" w:sz="0" w:space="0" w:color="auto"/>
            <w:bottom w:val="none" w:sz="0" w:space="0" w:color="auto"/>
            <w:right w:val="none" w:sz="0" w:space="0" w:color="auto"/>
          </w:divBdr>
        </w:div>
        <w:div w:id="2003965363">
          <w:marLeft w:val="446"/>
          <w:marRight w:val="0"/>
          <w:marTop w:val="0"/>
          <w:marBottom w:val="0"/>
          <w:divBdr>
            <w:top w:val="none" w:sz="0" w:space="0" w:color="auto"/>
            <w:left w:val="none" w:sz="0" w:space="0" w:color="auto"/>
            <w:bottom w:val="none" w:sz="0" w:space="0" w:color="auto"/>
            <w:right w:val="none" w:sz="0" w:space="0" w:color="auto"/>
          </w:divBdr>
        </w:div>
      </w:divsChild>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183249340">
      <w:bodyDiv w:val="1"/>
      <w:marLeft w:val="0"/>
      <w:marRight w:val="0"/>
      <w:marTop w:val="0"/>
      <w:marBottom w:val="0"/>
      <w:divBdr>
        <w:top w:val="none" w:sz="0" w:space="0" w:color="auto"/>
        <w:left w:val="none" w:sz="0" w:space="0" w:color="auto"/>
        <w:bottom w:val="none" w:sz="0" w:space="0" w:color="auto"/>
        <w:right w:val="none" w:sz="0" w:space="0" w:color="auto"/>
      </w:divBdr>
    </w:div>
    <w:div w:id="194588577">
      <w:bodyDiv w:val="1"/>
      <w:marLeft w:val="0"/>
      <w:marRight w:val="0"/>
      <w:marTop w:val="0"/>
      <w:marBottom w:val="0"/>
      <w:divBdr>
        <w:top w:val="none" w:sz="0" w:space="0" w:color="auto"/>
        <w:left w:val="none" w:sz="0" w:space="0" w:color="auto"/>
        <w:bottom w:val="none" w:sz="0" w:space="0" w:color="auto"/>
        <w:right w:val="none" w:sz="0" w:space="0" w:color="auto"/>
      </w:divBdr>
    </w:div>
    <w:div w:id="200363048">
      <w:bodyDiv w:val="1"/>
      <w:marLeft w:val="0"/>
      <w:marRight w:val="0"/>
      <w:marTop w:val="0"/>
      <w:marBottom w:val="0"/>
      <w:divBdr>
        <w:top w:val="none" w:sz="0" w:space="0" w:color="auto"/>
        <w:left w:val="none" w:sz="0" w:space="0" w:color="auto"/>
        <w:bottom w:val="none" w:sz="0" w:space="0" w:color="auto"/>
        <w:right w:val="none" w:sz="0" w:space="0" w:color="auto"/>
      </w:divBdr>
    </w:div>
    <w:div w:id="200556620">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22714792">
      <w:bodyDiv w:val="1"/>
      <w:marLeft w:val="0"/>
      <w:marRight w:val="0"/>
      <w:marTop w:val="0"/>
      <w:marBottom w:val="0"/>
      <w:divBdr>
        <w:top w:val="none" w:sz="0" w:space="0" w:color="auto"/>
        <w:left w:val="none" w:sz="0" w:space="0" w:color="auto"/>
        <w:bottom w:val="none" w:sz="0" w:space="0" w:color="auto"/>
        <w:right w:val="none" w:sz="0" w:space="0" w:color="auto"/>
      </w:divBdr>
    </w:div>
    <w:div w:id="256251605">
      <w:bodyDiv w:val="1"/>
      <w:marLeft w:val="0"/>
      <w:marRight w:val="0"/>
      <w:marTop w:val="0"/>
      <w:marBottom w:val="0"/>
      <w:divBdr>
        <w:top w:val="none" w:sz="0" w:space="0" w:color="auto"/>
        <w:left w:val="none" w:sz="0" w:space="0" w:color="auto"/>
        <w:bottom w:val="none" w:sz="0" w:space="0" w:color="auto"/>
        <w:right w:val="none" w:sz="0" w:space="0" w:color="auto"/>
      </w:divBdr>
    </w:div>
    <w:div w:id="273367379">
      <w:bodyDiv w:val="1"/>
      <w:marLeft w:val="0"/>
      <w:marRight w:val="0"/>
      <w:marTop w:val="0"/>
      <w:marBottom w:val="0"/>
      <w:divBdr>
        <w:top w:val="none" w:sz="0" w:space="0" w:color="auto"/>
        <w:left w:val="none" w:sz="0" w:space="0" w:color="auto"/>
        <w:bottom w:val="none" w:sz="0" w:space="0" w:color="auto"/>
        <w:right w:val="none" w:sz="0" w:space="0" w:color="auto"/>
      </w:divBdr>
      <w:divsChild>
        <w:div w:id="64380538">
          <w:marLeft w:val="360"/>
          <w:marRight w:val="0"/>
          <w:marTop w:val="200"/>
          <w:marBottom w:val="0"/>
          <w:divBdr>
            <w:top w:val="none" w:sz="0" w:space="0" w:color="auto"/>
            <w:left w:val="none" w:sz="0" w:space="0" w:color="auto"/>
            <w:bottom w:val="none" w:sz="0" w:space="0" w:color="auto"/>
            <w:right w:val="none" w:sz="0" w:space="0" w:color="auto"/>
          </w:divBdr>
        </w:div>
      </w:divsChild>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298919797">
      <w:bodyDiv w:val="1"/>
      <w:marLeft w:val="0"/>
      <w:marRight w:val="0"/>
      <w:marTop w:val="0"/>
      <w:marBottom w:val="0"/>
      <w:divBdr>
        <w:top w:val="none" w:sz="0" w:space="0" w:color="auto"/>
        <w:left w:val="none" w:sz="0" w:space="0" w:color="auto"/>
        <w:bottom w:val="none" w:sz="0" w:space="0" w:color="auto"/>
        <w:right w:val="none" w:sz="0" w:space="0" w:color="auto"/>
      </w:divBdr>
    </w:div>
    <w:div w:id="318970923">
      <w:bodyDiv w:val="1"/>
      <w:marLeft w:val="0"/>
      <w:marRight w:val="0"/>
      <w:marTop w:val="0"/>
      <w:marBottom w:val="0"/>
      <w:divBdr>
        <w:top w:val="none" w:sz="0" w:space="0" w:color="auto"/>
        <w:left w:val="none" w:sz="0" w:space="0" w:color="auto"/>
        <w:bottom w:val="none" w:sz="0" w:space="0" w:color="auto"/>
        <w:right w:val="none" w:sz="0" w:space="0" w:color="auto"/>
      </w:divBdr>
    </w:div>
    <w:div w:id="362360995">
      <w:bodyDiv w:val="1"/>
      <w:marLeft w:val="0"/>
      <w:marRight w:val="0"/>
      <w:marTop w:val="0"/>
      <w:marBottom w:val="0"/>
      <w:divBdr>
        <w:top w:val="none" w:sz="0" w:space="0" w:color="auto"/>
        <w:left w:val="none" w:sz="0" w:space="0" w:color="auto"/>
        <w:bottom w:val="none" w:sz="0" w:space="0" w:color="auto"/>
        <w:right w:val="none" w:sz="0" w:space="0" w:color="auto"/>
      </w:divBdr>
      <w:divsChild>
        <w:div w:id="676543032">
          <w:marLeft w:val="288"/>
          <w:marRight w:val="0"/>
          <w:marTop w:val="0"/>
          <w:marBottom w:val="120"/>
          <w:divBdr>
            <w:top w:val="none" w:sz="0" w:space="0" w:color="auto"/>
            <w:left w:val="none" w:sz="0" w:space="0" w:color="auto"/>
            <w:bottom w:val="none" w:sz="0" w:space="0" w:color="auto"/>
            <w:right w:val="none" w:sz="0" w:space="0" w:color="auto"/>
          </w:divBdr>
        </w:div>
        <w:div w:id="776103147">
          <w:marLeft w:val="288"/>
          <w:marRight w:val="0"/>
          <w:marTop w:val="0"/>
          <w:marBottom w:val="120"/>
          <w:divBdr>
            <w:top w:val="none" w:sz="0" w:space="0" w:color="auto"/>
            <w:left w:val="none" w:sz="0" w:space="0" w:color="auto"/>
            <w:bottom w:val="none" w:sz="0" w:space="0" w:color="auto"/>
            <w:right w:val="none" w:sz="0" w:space="0" w:color="auto"/>
          </w:divBdr>
        </w:div>
        <w:div w:id="828593609">
          <w:marLeft w:val="288"/>
          <w:marRight w:val="0"/>
          <w:marTop w:val="0"/>
          <w:marBottom w:val="12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63961892">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478154052">
      <w:bodyDiv w:val="1"/>
      <w:marLeft w:val="0"/>
      <w:marRight w:val="0"/>
      <w:marTop w:val="0"/>
      <w:marBottom w:val="0"/>
      <w:divBdr>
        <w:top w:val="none" w:sz="0" w:space="0" w:color="auto"/>
        <w:left w:val="none" w:sz="0" w:space="0" w:color="auto"/>
        <w:bottom w:val="none" w:sz="0" w:space="0" w:color="auto"/>
        <w:right w:val="none" w:sz="0" w:space="0" w:color="auto"/>
      </w:divBdr>
    </w:div>
    <w:div w:id="493256142">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878">
      <w:bodyDiv w:val="1"/>
      <w:marLeft w:val="0"/>
      <w:marRight w:val="0"/>
      <w:marTop w:val="0"/>
      <w:marBottom w:val="0"/>
      <w:divBdr>
        <w:top w:val="none" w:sz="0" w:space="0" w:color="auto"/>
        <w:left w:val="none" w:sz="0" w:space="0" w:color="auto"/>
        <w:bottom w:val="none" w:sz="0" w:space="0" w:color="auto"/>
        <w:right w:val="none" w:sz="0" w:space="0" w:color="auto"/>
      </w:divBdr>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00453">
      <w:bodyDiv w:val="1"/>
      <w:marLeft w:val="0"/>
      <w:marRight w:val="0"/>
      <w:marTop w:val="0"/>
      <w:marBottom w:val="0"/>
      <w:divBdr>
        <w:top w:val="none" w:sz="0" w:space="0" w:color="auto"/>
        <w:left w:val="none" w:sz="0" w:space="0" w:color="auto"/>
        <w:bottom w:val="none" w:sz="0" w:space="0" w:color="auto"/>
        <w:right w:val="none" w:sz="0" w:space="0" w:color="auto"/>
      </w:divBdr>
    </w:div>
    <w:div w:id="549615687">
      <w:bodyDiv w:val="1"/>
      <w:marLeft w:val="0"/>
      <w:marRight w:val="0"/>
      <w:marTop w:val="0"/>
      <w:marBottom w:val="0"/>
      <w:divBdr>
        <w:top w:val="none" w:sz="0" w:space="0" w:color="auto"/>
        <w:left w:val="none" w:sz="0" w:space="0" w:color="auto"/>
        <w:bottom w:val="none" w:sz="0" w:space="0" w:color="auto"/>
        <w:right w:val="none" w:sz="0" w:space="0" w:color="auto"/>
      </w:divBdr>
    </w:div>
    <w:div w:id="575238699">
      <w:bodyDiv w:val="1"/>
      <w:marLeft w:val="0"/>
      <w:marRight w:val="0"/>
      <w:marTop w:val="0"/>
      <w:marBottom w:val="0"/>
      <w:divBdr>
        <w:top w:val="none" w:sz="0" w:space="0" w:color="auto"/>
        <w:left w:val="none" w:sz="0" w:space="0" w:color="auto"/>
        <w:bottom w:val="none" w:sz="0" w:space="0" w:color="auto"/>
        <w:right w:val="none" w:sz="0" w:space="0" w:color="auto"/>
      </w:divBdr>
    </w:div>
    <w:div w:id="582110337">
      <w:bodyDiv w:val="1"/>
      <w:marLeft w:val="0"/>
      <w:marRight w:val="0"/>
      <w:marTop w:val="0"/>
      <w:marBottom w:val="0"/>
      <w:divBdr>
        <w:top w:val="none" w:sz="0" w:space="0" w:color="auto"/>
        <w:left w:val="none" w:sz="0" w:space="0" w:color="auto"/>
        <w:bottom w:val="none" w:sz="0" w:space="0" w:color="auto"/>
        <w:right w:val="none" w:sz="0" w:space="0" w:color="auto"/>
      </w:divBdr>
      <w:divsChild>
        <w:div w:id="779031154">
          <w:marLeft w:val="288"/>
          <w:marRight w:val="0"/>
          <w:marTop w:val="0"/>
          <w:marBottom w:val="120"/>
          <w:divBdr>
            <w:top w:val="none" w:sz="0" w:space="0" w:color="auto"/>
            <w:left w:val="none" w:sz="0" w:space="0" w:color="auto"/>
            <w:bottom w:val="none" w:sz="0" w:space="0" w:color="auto"/>
            <w:right w:val="none" w:sz="0" w:space="0" w:color="auto"/>
          </w:divBdr>
        </w:div>
      </w:divsChild>
    </w:div>
    <w:div w:id="592977975">
      <w:bodyDiv w:val="1"/>
      <w:marLeft w:val="0"/>
      <w:marRight w:val="0"/>
      <w:marTop w:val="0"/>
      <w:marBottom w:val="0"/>
      <w:divBdr>
        <w:top w:val="none" w:sz="0" w:space="0" w:color="auto"/>
        <w:left w:val="none" w:sz="0" w:space="0" w:color="auto"/>
        <w:bottom w:val="none" w:sz="0" w:space="0" w:color="auto"/>
        <w:right w:val="none" w:sz="0" w:space="0" w:color="auto"/>
      </w:divBdr>
    </w:div>
    <w:div w:id="611282407">
      <w:bodyDiv w:val="1"/>
      <w:marLeft w:val="0"/>
      <w:marRight w:val="0"/>
      <w:marTop w:val="0"/>
      <w:marBottom w:val="0"/>
      <w:divBdr>
        <w:top w:val="none" w:sz="0" w:space="0" w:color="auto"/>
        <w:left w:val="none" w:sz="0" w:space="0" w:color="auto"/>
        <w:bottom w:val="none" w:sz="0" w:space="0" w:color="auto"/>
        <w:right w:val="none" w:sz="0" w:space="0" w:color="auto"/>
      </w:divBdr>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42850756">
      <w:bodyDiv w:val="1"/>
      <w:marLeft w:val="0"/>
      <w:marRight w:val="0"/>
      <w:marTop w:val="0"/>
      <w:marBottom w:val="0"/>
      <w:divBdr>
        <w:top w:val="none" w:sz="0" w:space="0" w:color="auto"/>
        <w:left w:val="none" w:sz="0" w:space="0" w:color="auto"/>
        <w:bottom w:val="none" w:sz="0" w:space="0" w:color="auto"/>
        <w:right w:val="none" w:sz="0" w:space="0" w:color="auto"/>
      </w:divBdr>
    </w:div>
    <w:div w:id="642851909">
      <w:bodyDiv w:val="1"/>
      <w:marLeft w:val="0"/>
      <w:marRight w:val="0"/>
      <w:marTop w:val="0"/>
      <w:marBottom w:val="0"/>
      <w:divBdr>
        <w:top w:val="none" w:sz="0" w:space="0" w:color="auto"/>
        <w:left w:val="none" w:sz="0" w:space="0" w:color="auto"/>
        <w:bottom w:val="none" w:sz="0" w:space="0" w:color="auto"/>
        <w:right w:val="none" w:sz="0" w:space="0" w:color="auto"/>
      </w:divBdr>
    </w:div>
    <w:div w:id="643855168">
      <w:bodyDiv w:val="1"/>
      <w:marLeft w:val="0"/>
      <w:marRight w:val="0"/>
      <w:marTop w:val="0"/>
      <w:marBottom w:val="0"/>
      <w:divBdr>
        <w:top w:val="none" w:sz="0" w:space="0" w:color="auto"/>
        <w:left w:val="none" w:sz="0" w:space="0" w:color="auto"/>
        <w:bottom w:val="none" w:sz="0" w:space="0" w:color="auto"/>
        <w:right w:val="none" w:sz="0" w:space="0" w:color="auto"/>
      </w:divBdr>
      <w:divsChild>
        <w:div w:id="297808400">
          <w:marLeft w:val="1080"/>
          <w:marRight w:val="0"/>
          <w:marTop w:val="100"/>
          <w:marBottom w:val="0"/>
          <w:divBdr>
            <w:top w:val="none" w:sz="0" w:space="0" w:color="auto"/>
            <w:left w:val="none" w:sz="0" w:space="0" w:color="auto"/>
            <w:bottom w:val="none" w:sz="0" w:space="0" w:color="auto"/>
            <w:right w:val="none" w:sz="0" w:space="0" w:color="auto"/>
          </w:divBdr>
        </w:div>
      </w:divsChild>
    </w:div>
    <w:div w:id="646590299">
      <w:bodyDiv w:val="1"/>
      <w:marLeft w:val="0"/>
      <w:marRight w:val="0"/>
      <w:marTop w:val="0"/>
      <w:marBottom w:val="0"/>
      <w:divBdr>
        <w:top w:val="none" w:sz="0" w:space="0" w:color="auto"/>
        <w:left w:val="none" w:sz="0" w:space="0" w:color="auto"/>
        <w:bottom w:val="none" w:sz="0" w:space="0" w:color="auto"/>
        <w:right w:val="none" w:sz="0" w:space="0" w:color="auto"/>
      </w:divBdr>
    </w:div>
    <w:div w:id="648436888">
      <w:bodyDiv w:val="1"/>
      <w:marLeft w:val="0"/>
      <w:marRight w:val="0"/>
      <w:marTop w:val="0"/>
      <w:marBottom w:val="0"/>
      <w:divBdr>
        <w:top w:val="none" w:sz="0" w:space="0" w:color="auto"/>
        <w:left w:val="none" w:sz="0" w:space="0" w:color="auto"/>
        <w:bottom w:val="none" w:sz="0" w:space="0" w:color="auto"/>
        <w:right w:val="none" w:sz="0" w:space="0" w:color="auto"/>
      </w:divBdr>
    </w:div>
    <w:div w:id="653487402">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62123929">
      <w:bodyDiv w:val="1"/>
      <w:marLeft w:val="0"/>
      <w:marRight w:val="0"/>
      <w:marTop w:val="0"/>
      <w:marBottom w:val="0"/>
      <w:divBdr>
        <w:top w:val="none" w:sz="0" w:space="0" w:color="auto"/>
        <w:left w:val="none" w:sz="0" w:space="0" w:color="auto"/>
        <w:bottom w:val="none" w:sz="0" w:space="0" w:color="auto"/>
        <w:right w:val="none" w:sz="0" w:space="0" w:color="auto"/>
      </w:divBdr>
    </w:div>
    <w:div w:id="665592820">
      <w:bodyDiv w:val="1"/>
      <w:marLeft w:val="0"/>
      <w:marRight w:val="0"/>
      <w:marTop w:val="0"/>
      <w:marBottom w:val="0"/>
      <w:divBdr>
        <w:top w:val="none" w:sz="0" w:space="0" w:color="auto"/>
        <w:left w:val="none" w:sz="0" w:space="0" w:color="auto"/>
        <w:bottom w:val="none" w:sz="0" w:space="0" w:color="auto"/>
        <w:right w:val="none" w:sz="0" w:space="0" w:color="auto"/>
      </w:divBdr>
      <w:divsChild>
        <w:div w:id="61567316">
          <w:marLeft w:val="1080"/>
          <w:marRight w:val="0"/>
          <w:marTop w:val="0"/>
          <w:marBottom w:val="0"/>
          <w:divBdr>
            <w:top w:val="none" w:sz="0" w:space="0" w:color="auto"/>
            <w:left w:val="none" w:sz="0" w:space="0" w:color="auto"/>
            <w:bottom w:val="none" w:sz="0" w:space="0" w:color="auto"/>
            <w:right w:val="none" w:sz="0" w:space="0" w:color="auto"/>
          </w:divBdr>
        </w:div>
        <w:div w:id="119930957">
          <w:marLeft w:val="1080"/>
          <w:marRight w:val="0"/>
          <w:marTop w:val="0"/>
          <w:marBottom w:val="0"/>
          <w:divBdr>
            <w:top w:val="none" w:sz="0" w:space="0" w:color="auto"/>
            <w:left w:val="none" w:sz="0" w:space="0" w:color="auto"/>
            <w:bottom w:val="none" w:sz="0" w:space="0" w:color="auto"/>
            <w:right w:val="none" w:sz="0" w:space="0" w:color="auto"/>
          </w:divBdr>
        </w:div>
        <w:div w:id="413167534">
          <w:marLeft w:val="360"/>
          <w:marRight w:val="0"/>
          <w:marTop w:val="0"/>
          <w:marBottom w:val="0"/>
          <w:divBdr>
            <w:top w:val="none" w:sz="0" w:space="0" w:color="auto"/>
            <w:left w:val="none" w:sz="0" w:space="0" w:color="auto"/>
            <w:bottom w:val="none" w:sz="0" w:space="0" w:color="auto"/>
            <w:right w:val="none" w:sz="0" w:space="0" w:color="auto"/>
          </w:divBdr>
        </w:div>
        <w:div w:id="637078104">
          <w:marLeft w:val="1080"/>
          <w:marRight w:val="0"/>
          <w:marTop w:val="0"/>
          <w:marBottom w:val="0"/>
          <w:divBdr>
            <w:top w:val="none" w:sz="0" w:space="0" w:color="auto"/>
            <w:left w:val="none" w:sz="0" w:space="0" w:color="auto"/>
            <w:bottom w:val="none" w:sz="0" w:space="0" w:color="auto"/>
            <w:right w:val="none" w:sz="0" w:space="0" w:color="auto"/>
          </w:divBdr>
        </w:div>
        <w:div w:id="894435476">
          <w:marLeft w:val="1080"/>
          <w:marRight w:val="0"/>
          <w:marTop w:val="0"/>
          <w:marBottom w:val="0"/>
          <w:divBdr>
            <w:top w:val="none" w:sz="0" w:space="0" w:color="auto"/>
            <w:left w:val="none" w:sz="0" w:space="0" w:color="auto"/>
            <w:bottom w:val="none" w:sz="0" w:space="0" w:color="auto"/>
            <w:right w:val="none" w:sz="0" w:space="0" w:color="auto"/>
          </w:divBdr>
        </w:div>
        <w:div w:id="943533674">
          <w:marLeft w:val="360"/>
          <w:marRight w:val="0"/>
          <w:marTop w:val="0"/>
          <w:marBottom w:val="0"/>
          <w:divBdr>
            <w:top w:val="none" w:sz="0" w:space="0" w:color="auto"/>
            <w:left w:val="none" w:sz="0" w:space="0" w:color="auto"/>
            <w:bottom w:val="none" w:sz="0" w:space="0" w:color="auto"/>
            <w:right w:val="none" w:sz="0" w:space="0" w:color="auto"/>
          </w:divBdr>
        </w:div>
        <w:div w:id="1061368821">
          <w:marLeft w:val="360"/>
          <w:marRight w:val="0"/>
          <w:marTop w:val="0"/>
          <w:marBottom w:val="0"/>
          <w:divBdr>
            <w:top w:val="none" w:sz="0" w:space="0" w:color="auto"/>
            <w:left w:val="none" w:sz="0" w:space="0" w:color="auto"/>
            <w:bottom w:val="none" w:sz="0" w:space="0" w:color="auto"/>
            <w:right w:val="none" w:sz="0" w:space="0" w:color="auto"/>
          </w:divBdr>
        </w:div>
        <w:div w:id="1512255973">
          <w:marLeft w:val="360"/>
          <w:marRight w:val="0"/>
          <w:marTop w:val="0"/>
          <w:marBottom w:val="0"/>
          <w:divBdr>
            <w:top w:val="none" w:sz="0" w:space="0" w:color="auto"/>
            <w:left w:val="none" w:sz="0" w:space="0" w:color="auto"/>
            <w:bottom w:val="none" w:sz="0" w:space="0" w:color="auto"/>
            <w:right w:val="none" w:sz="0" w:space="0" w:color="auto"/>
          </w:divBdr>
        </w:div>
        <w:div w:id="1873499026">
          <w:marLeft w:val="1080"/>
          <w:marRight w:val="0"/>
          <w:marTop w:val="0"/>
          <w:marBottom w:val="0"/>
          <w:divBdr>
            <w:top w:val="none" w:sz="0" w:space="0" w:color="auto"/>
            <w:left w:val="none" w:sz="0" w:space="0" w:color="auto"/>
            <w:bottom w:val="none" w:sz="0" w:space="0" w:color="auto"/>
            <w:right w:val="none" w:sz="0" w:space="0" w:color="auto"/>
          </w:divBdr>
        </w:div>
      </w:divsChild>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685056112">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8622">
      <w:bodyDiv w:val="1"/>
      <w:marLeft w:val="0"/>
      <w:marRight w:val="0"/>
      <w:marTop w:val="0"/>
      <w:marBottom w:val="0"/>
      <w:divBdr>
        <w:top w:val="none" w:sz="0" w:space="0" w:color="auto"/>
        <w:left w:val="none" w:sz="0" w:space="0" w:color="auto"/>
        <w:bottom w:val="none" w:sz="0" w:space="0" w:color="auto"/>
        <w:right w:val="none" w:sz="0" w:space="0" w:color="auto"/>
      </w:divBdr>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784806674">
      <w:bodyDiv w:val="1"/>
      <w:marLeft w:val="0"/>
      <w:marRight w:val="0"/>
      <w:marTop w:val="0"/>
      <w:marBottom w:val="0"/>
      <w:divBdr>
        <w:top w:val="none" w:sz="0" w:space="0" w:color="auto"/>
        <w:left w:val="none" w:sz="0" w:space="0" w:color="auto"/>
        <w:bottom w:val="none" w:sz="0" w:space="0" w:color="auto"/>
        <w:right w:val="none" w:sz="0" w:space="0" w:color="auto"/>
      </w:divBdr>
    </w:div>
    <w:div w:id="797259846">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14957496">
      <w:bodyDiv w:val="1"/>
      <w:marLeft w:val="0"/>
      <w:marRight w:val="0"/>
      <w:marTop w:val="0"/>
      <w:marBottom w:val="0"/>
      <w:divBdr>
        <w:top w:val="none" w:sz="0" w:space="0" w:color="auto"/>
        <w:left w:val="none" w:sz="0" w:space="0" w:color="auto"/>
        <w:bottom w:val="none" w:sz="0" w:space="0" w:color="auto"/>
        <w:right w:val="none" w:sz="0" w:space="0" w:color="auto"/>
      </w:divBdr>
    </w:div>
    <w:div w:id="822697675">
      <w:bodyDiv w:val="1"/>
      <w:marLeft w:val="0"/>
      <w:marRight w:val="0"/>
      <w:marTop w:val="0"/>
      <w:marBottom w:val="0"/>
      <w:divBdr>
        <w:top w:val="none" w:sz="0" w:space="0" w:color="auto"/>
        <w:left w:val="none" w:sz="0" w:space="0" w:color="auto"/>
        <w:bottom w:val="none" w:sz="0" w:space="0" w:color="auto"/>
        <w:right w:val="none" w:sz="0" w:space="0" w:color="auto"/>
      </w:divBdr>
    </w:div>
    <w:div w:id="826478411">
      <w:bodyDiv w:val="1"/>
      <w:marLeft w:val="0"/>
      <w:marRight w:val="0"/>
      <w:marTop w:val="0"/>
      <w:marBottom w:val="0"/>
      <w:divBdr>
        <w:top w:val="none" w:sz="0" w:space="0" w:color="auto"/>
        <w:left w:val="none" w:sz="0" w:space="0" w:color="auto"/>
        <w:bottom w:val="none" w:sz="0" w:space="0" w:color="auto"/>
        <w:right w:val="none" w:sz="0" w:space="0" w:color="auto"/>
      </w:divBdr>
    </w:div>
    <w:div w:id="834996340">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48787957">
      <w:bodyDiv w:val="1"/>
      <w:marLeft w:val="0"/>
      <w:marRight w:val="0"/>
      <w:marTop w:val="0"/>
      <w:marBottom w:val="0"/>
      <w:divBdr>
        <w:top w:val="none" w:sz="0" w:space="0" w:color="auto"/>
        <w:left w:val="none" w:sz="0" w:space="0" w:color="auto"/>
        <w:bottom w:val="none" w:sz="0" w:space="0" w:color="auto"/>
        <w:right w:val="none" w:sz="0" w:space="0" w:color="auto"/>
      </w:divBdr>
      <w:divsChild>
        <w:div w:id="253705753">
          <w:marLeft w:val="1080"/>
          <w:marRight w:val="0"/>
          <w:marTop w:val="0"/>
          <w:marBottom w:val="0"/>
          <w:divBdr>
            <w:top w:val="none" w:sz="0" w:space="0" w:color="auto"/>
            <w:left w:val="none" w:sz="0" w:space="0" w:color="auto"/>
            <w:bottom w:val="none" w:sz="0" w:space="0" w:color="auto"/>
            <w:right w:val="none" w:sz="0" w:space="0" w:color="auto"/>
          </w:divBdr>
        </w:div>
        <w:div w:id="438448896">
          <w:marLeft w:val="1080"/>
          <w:marRight w:val="0"/>
          <w:marTop w:val="0"/>
          <w:marBottom w:val="0"/>
          <w:divBdr>
            <w:top w:val="none" w:sz="0" w:space="0" w:color="auto"/>
            <w:left w:val="none" w:sz="0" w:space="0" w:color="auto"/>
            <w:bottom w:val="none" w:sz="0" w:space="0" w:color="auto"/>
            <w:right w:val="none" w:sz="0" w:space="0" w:color="auto"/>
          </w:divBdr>
        </w:div>
        <w:div w:id="761755848">
          <w:marLeft w:val="1080"/>
          <w:marRight w:val="0"/>
          <w:marTop w:val="0"/>
          <w:marBottom w:val="0"/>
          <w:divBdr>
            <w:top w:val="none" w:sz="0" w:space="0" w:color="auto"/>
            <w:left w:val="none" w:sz="0" w:space="0" w:color="auto"/>
            <w:bottom w:val="none" w:sz="0" w:space="0" w:color="auto"/>
            <w:right w:val="none" w:sz="0" w:space="0" w:color="auto"/>
          </w:divBdr>
        </w:div>
        <w:div w:id="1374841672">
          <w:marLeft w:val="360"/>
          <w:marRight w:val="0"/>
          <w:marTop w:val="0"/>
          <w:marBottom w:val="0"/>
          <w:divBdr>
            <w:top w:val="none" w:sz="0" w:space="0" w:color="auto"/>
            <w:left w:val="none" w:sz="0" w:space="0" w:color="auto"/>
            <w:bottom w:val="none" w:sz="0" w:space="0" w:color="auto"/>
            <w:right w:val="none" w:sz="0" w:space="0" w:color="auto"/>
          </w:divBdr>
        </w:div>
      </w:divsChild>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668">
      <w:bodyDiv w:val="1"/>
      <w:marLeft w:val="0"/>
      <w:marRight w:val="0"/>
      <w:marTop w:val="0"/>
      <w:marBottom w:val="0"/>
      <w:divBdr>
        <w:top w:val="none" w:sz="0" w:space="0" w:color="auto"/>
        <w:left w:val="none" w:sz="0" w:space="0" w:color="auto"/>
        <w:bottom w:val="none" w:sz="0" w:space="0" w:color="auto"/>
        <w:right w:val="none" w:sz="0" w:space="0" w:color="auto"/>
      </w:divBdr>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18443812">
      <w:bodyDiv w:val="1"/>
      <w:marLeft w:val="0"/>
      <w:marRight w:val="0"/>
      <w:marTop w:val="0"/>
      <w:marBottom w:val="0"/>
      <w:divBdr>
        <w:top w:val="none" w:sz="0" w:space="0" w:color="auto"/>
        <w:left w:val="none" w:sz="0" w:space="0" w:color="auto"/>
        <w:bottom w:val="none" w:sz="0" w:space="0" w:color="auto"/>
        <w:right w:val="none" w:sz="0" w:space="0" w:color="auto"/>
      </w:divBdr>
    </w:div>
    <w:div w:id="926496647">
      <w:bodyDiv w:val="1"/>
      <w:marLeft w:val="0"/>
      <w:marRight w:val="0"/>
      <w:marTop w:val="0"/>
      <w:marBottom w:val="0"/>
      <w:divBdr>
        <w:top w:val="none" w:sz="0" w:space="0" w:color="auto"/>
        <w:left w:val="none" w:sz="0" w:space="0" w:color="auto"/>
        <w:bottom w:val="none" w:sz="0" w:space="0" w:color="auto"/>
        <w:right w:val="none" w:sz="0" w:space="0" w:color="auto"/>
      </w:divBdr>
    </w:div>
    <w:div w:id="948387973">
      <w:bodyDiv w:val="1"/>
      <w:marLeft w:val="0"/>
      <w:marRight w:val="0"/>
      <w:marTop w:val="0"/>
      <w:marBottom w:val="0"/>
      <w:divBdr>
        <w:top w:val="none" w:sz="0" w:space="0" w:color="auto"/>
        <w:left w:val="none" w:sz="0" w:space="0" w:color="auto"/>
        <w:bottom w:val="none" w:sz="0" w:space="0" w:color="auto"/>
        <w:right w:val="none" w:sz="0" w:space="0" w:color="auto"/>
      </w:divBdr>
    </w:div>
    <w:div w:id="958876594">
      <w:bodyDiv w:val="1"/>
      <w:marLeft w:val="0"/>
      <w:marRight w:val="0"/>
      <w:marTop w:val="0"/>
      <w:marBottom w:val="0"/>
      <w:divBdr>
        <w:top w:val="none" w:sz="0" w:space="0" w:color="auto"/>
        <w:left w:val="none" w:sz="0" w:space="0" w:color="auto"/>
        <w:bottom w:val="none" w:sz="0" w:space="0" w:color="auto"/>
        <w:right w:val="none" w:sz="0" w:space="0" w:color="auto"/>
      </w:divBdr>
    </w:div>
    <w:div w:id="974988689">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81159981">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7935">
      <w:bodyDiv w:val="1"/>
      <w:marLeft w:val="0"/>
      <w:marRight w:val="0"/>
      <w:marTop w:val="0"/>
      <w:marBottom w:val="0"/>
      <w:divBdr>
        <w:top w:val="none" w:sz="0" w:space="0" w:color="auto"/>
        <w:left w:val="none" w:sz="0" w:space="0" w:color="auto"/>
        <w:bottom w:val="none" w:sz="0" w:space="0" w:color="auto"/>
        <w:right w:val="none" w:sz="0" w:space="0" w:color="auto"/>
      </w:divBdr>
      <w:divsChild>
        <w:div w:id="967662884">
          <w:marLeft w:val="446"/>
          <w:marRight w:val="0"/>
          <w:marTop w:val="0"/>
          <w:marBottom w:val="0"/>
          <w:divBdr>
            <w:top w:val="none" w:sz="0" w:space="0" w:color="auto"/>
            <w:left w:val="none" w:sz="0" w:space="0" w:color="auto"/>
            <w:bottom w:val="none" w:sz="0" w:space="0" w:color="auto"/>
            <w:right w:val="none" w:sz="0" w:space="0" w:color="auto"/>
          </w:divBdr>
        </w:div>
        <w:div w:id="1812482859">
          <w:marLeft w:val="446"/>
          <w:marRight w:val="0"/>
          <w:marTop w:val="0"/>
          <w:marBottom w:val="0"/>
          <w:divBdr>
            <w:top w:val="none" w:sz="0" w:space="0" w:color="auto"/>
            <w:left w:val="none" w:sz="0" w:space="0" w:color="auto"/>
            <w:bottom w:val="none" w:sz="0" w:space="0" w:color="auto"/>
            <w:right w:val="none" w:sz="0" w:space="0" w:color="auto"/>
          </w:divBdr>
        </w:div>
      </w:divsChild>
    </w:div>
    <w:div w:id="1038893411">
      <w:bodyDiv w:val="1"/>
      <w:marLeft w:val="0"/>
      <w:marRight w:val="0"/>
      <w:marTop w:val="0"/>
      <w:marBottom w:val="0"/>
      <w:divBdr>
        <w:top w:val="none" w:sz="0" w:space="0" w:color="auto"/>
        <w:left w:val="none" w:sz="0" w:space="0" w:color="auto"/>
        <w:bottom w:val="none" w:sz="0" w:space="0" w:color="auto"/>
        <w:right w:val="none" w:sz="0" w:space="0" w:color="auto"/>
      </w:divBdr>
    </w:div>
    <w:div w:id="1043603421">
      <w:bodyDiv w:val="1"/>
      <w:marLeft w:val="0"/>
      <w:marRight w:val="0"/>
      <w:marTop w:val="0"/>
      <w:marBottom w:val="0"/>
      <w:divBdr>
        <w:top w:val="none" w:sz="0" w:space="0" w:color="auto"/>
        <w:left w:val="none" w:sz="0" w:space="0" w:color="auto"/>
        <w:bottom w:val="none" w:sz="0" w:space="0" w:color="auto"/>
        <w:right w:val="none" w:sz="0" w:space="0" w:color="auto"/>
      </w:divBdr>
    </w:div>
    <w:div w:id="1093742665">
      <w:bodyDiv w:val="1"/>
      <w:marLeft w:val="0"/>
      <w:marRight w:val="0"/>
      <w:marTop w:val="0"/>
      <w:marBottom w:val="0"/>
      <w:divBdr>
        <w:top w:val="none" w:sz="0" w:space="0" w:color="auto"/>
        <w:left w:val="none" w:sz="0" w:space="0" w:color="auto"/>
        <w:bottom w:val="none" w:sz="0" w:space="0" w:color="auto"/>
        <w:right w:val="none" w:sz="0" w:space="0" w:color="auto"/>
      </w:divBdr>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24737426">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39805438">
      <w:bodyDiv w:val="1"/>
      <w:marLeft w:val="0"/>
      <w:marRight w:val="0"/>
      <w:marTop w:val="0"/>
      <w:marBottom w:val="0"/>
      <w:divBdr>
        <w:top w:val="none" w:sz="0" w:space="0" w:color="auto"/>
        <w:left w:val="none" w:sz="0" w:space="0" w:color="auto"/>
        <w:bottom w:val="none" w:sz="0" w:space="0" w:color="auto"/>
        <w:right w:val="none" w:sz="0" w:space="0" w:color="auto"/>
      </w:divBdr>
    </w:div>
    <w:div w:id="1147285228">
      <w:bodyDiv w:val="1"/>
      <w:marLeft w:val="0"/>
      <w:marRight w:val="0"/>
      <w:marTop w:val="0"/>
      <w:marBottom w:val="0"/>
      <w:divBdr>
        <w:top w:val="none" w:sz="0" w:space="0" w:color="auto"/>
        <w:left w:val="none" w:sz="0" w:space="0" w:color="auto"/>
        <w:bottom w:val="none" w:sz="0" w:space="0" w:color="auto"/>
        <w:right w:val="none" w:sz="0" w:space="0" w:color="auto"/>
      </w:divBdr>
    </w:div>
    <w:div w:id="1163545082">
      <w:bodyDiv w:val="1"/>
      <w:marLeft w:val="0"/>
      <w:marRight w:val="0"/>
      <w:marTop w:val="0"/>
      <w:marBottom w:val="0"/>
      <w:divBdr>
        <w:top w:val="none" w:sz="0" w:space="0" w:color="auto"/>
        <w:left w:val="none" w:sz="0" w:space="0" w:color="auto"/>
        <w:bottom w:val="none" w:sz="0" w:space="0" w:color="auto"/>
        <w:right w:val="none" w:sz="0" w:space="0" w:color="auto"/>
      </w:divBdr>
    </w:div>
    <w:div w:id="1169295682">
      <w:bodyDiv w:val="1"/>
      <w:marLeft w:val="0"/>
      <w:marRight w:val="0"/>
      <w:marTop w:val="0"/>
      <w:marBottom w:val="0"/>
      <w:divBdr>
        <w:top w:val="none" w:sz="0" w:space="0" w:color="auto"/>
        <w:left w:val="none" w:sz="0" w:space="0" w:color="auto"/>
        <w:bottom w:val="none" w:sz="0" w:space="0" w:color="auto"/>
        <w:right w:val="none" w:sz="0" w:space="0" w:color="auto"/>
      </w:divBdr>
    </w:div>
    <w:div w:id="1180390278">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82958337">
      <w:bodyDiv w:val="1"/>
      <w:marLeft w:val="0"/>
      <w:marRight w:val="0"/>
      <w:marTop w:val="0"/>
      <w:marBottom w:val="0"/>
      <w:divBdr>
        <w:top w:val="none" w:sz="0" w:space="0" w:color="auto"/>
        <w:left w:val="none" w:sz="0" w:space="0" w:color="auto"/>
        <w:bottom w:val="none" w:sz="0" w:space="0" w:color="auto"/>
        <w:right w:val="none" w:sz="0" w:space="0" w:color="auto"/>
      </w:divBdr>
    </w:div>
    <w:div w:id="1284775028">
      <w:bodyDiv w:val="1"/>
      <w:marLeft w:val="0"/>
      <w:marRight w:val="0"/>
      <w:marTop w:val="0"/>
      <w:marBottom w:val="0"/>
      <w:divBdr>
        <w:top w:val="none" w:sz="0" w:space="0" w:color="auto"/>
        <w:left w:val="none" w:sz="0" w:space="0" w:color="auto"/>
        <w:bottom w:val="none" w:sz="0" w:space="0" w:color="auto"/>
        <w:right w:val="none" w:sz="0" w:space="0" w:color="auto"/>
      </w:divBdr>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00844195">
      <w:bodyDiv w:val="1"/>
      <w:marLeft w:val="0"/>
      <w:marRight w:val="0"/>
      <w:marTop w:val="0"/>
      <w:marBottom w:val="0"/>
      <w:divBdr>
        <w:top w:val="none" w:sz="0" w:space="0" w:color="auto"/>
        <w:left w:val="none" w:sz="0" w:space="0" w:color="auto"/>
        <w:bottom w:val="none" w:sz="0" w:space="0" w:color="auto"/>
        <w:right w:val="none" w:sz="0" w:space="0" w:color="auto"/>
      </w:divBdr>
    </w:div>
    <w:div w:id="1305814606">
      <w:bodyDiv w:val="1"/>
      <w:marLeft w:val="0"/>
      <w:marRight w:val="0"/>
      <w:marTop w:val="0"/>
      <w:marBottom w:val="0"/>
      <w:divBdr>
        <w:top w:val="none" w:sz="0" w:space="0" w:color="auto"/>
        <w:left w:val="none" w:sz="0" w:space="0" w:color="auto"/>
        <w:bottom w:val="none" w:sz="0" w:space="0" w:color="auto"/>
        <w:right w:val="none" w:sz="0" w:space="0" w:color="auto"/>
      </w:divBdr>
    </w:div>
    <w:div w:id="1319843413">
      <w:bodyDiv w:val="1"/>
      <w:marLeft w:val="0"/>
      <w:marRight w:val="0"/>
      <w:marTop w:val="0"/>
      <w:marBottom w:val="0"/>
      <w:divBdr>
        <w:top w:val="none" w:sz="0" w:space="0" w:color="auto"/>
        <w:left w:val="none" w:sz="0" w:space="0" w:color="auto"/>
        <w:bottom w:val="none" w:sz="0" w:space="0" w:color="auto"/>
        <w:right w:val="none" w:sz="0" w:space="0" w:color="auto"/>
      </w:divBdr>
      <w:divsChild>
        <w:div w:id="1815878296">
          <w:marLeft w:val="360"/>
          <w:marRight w:val="0"/>
          <w:marTop w:val="0"/>
          <w:marBottom w:val="0"/>
          <w:divBdr>
            <w:top w:val="none" w:sz="0" w:space="0" w:color="auto"/>
            <w:left w:val="none" w:sz="0" w:space="0" w:color="auto"/>
            <w:bottom w:val="none" w:sz="0" w:space="0" w:color="auto"/>
            <w:right w:val="none" w:sz="0" w:space="0" w:color="auto"/>
          </w:divBdr>
        </w:div>
      </w:divsChild>
    </w:div>
    <w:div w:id="1325087726">
      <w:bodyDiv w:val="1"/>
      <w:marLeft w:val="0"/>
      <w:marRight w:val="0"/>
      <w:marTop w:val="0"/>
      <w:marBottom w:val="0"/>
      <w:divBdr>
        <w:top w:val="none" w:sz="0" w:space="0" w:color="auto"/>
        <w:left w:val="none" w:sz="0" w:space="0" w:color="auto"/>
        <w:bottom w:val="none" w:sz="0" w:space="0" w:color="auto"/>
        <w:right w:val="none" w:sz="0" w:space="0" w:color="auto"/>
      </w:divBdr>
    </w:div>
    <w:div w:id="1327857344">
      <w:bodyDiv w:val="1"/>
      <w:marLeft w:val="0"/>
      <w:marRight w:val="0"/>
      <w:marTop w:val="0"/>
      <w:marBottom w:val="0"/>
      <w:divBdr>
        <w:top w:val="none" w:sz="0" w:space="0" w:color="auto"/>
        <w:left w:val="none" w:sz="0" w:space="0" w:color="auto"/>
        <w:bottom w:val="none" w:sz="0" w:space="0" w:color="auto"/>
        <w:right w:val="none" w:sz="0" w:space="0" w:color="auto"/>
      </w:divBdr>
    </w:div>
    <w:div w:id="1328943405">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0516266">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389500849">
      <w:bodyDiv w:val="1"/>
      <w:marLeft w:val="0"/>
      <w:marRight w:val="0"/>
      <w:marTop w:val="0"/>
      <w:marBottom w:val="0"/>
      <w:divBdr>
        <w:top w:val="none" w:sz="0" w:space="0" w:color="auto"/>
        <w:left w:val="none" w:sz="0" w:space="0" w:color="auto"/>
        <w:bottom w:val="none" w:sz="0" w:space="0" w:color="auto"/>
        <w:right w:val="none" w:sz="0" w:space="0" w:color="auto"/>
      </w:divBdr>
    </w:div>
    <w:div w:id="1403139203">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07648649">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40371677">
      <w:bodyDiv w:val="1"/>
      <w:marLeft w:val="0"/>
      <w:marRight w:val="0"/>
      <w:marTop w:val="0"/>
      <w:marBottom w:val="0"/>
      <w:divBdr>
        <w:top w:val="none" w:sz="0" w:space="0" w:color="auto"/>
        <w:left w:val="none" w:sz="0" w:space="0" w:color="auto"/>
        <w:bottom w:val="none" w:sz="0" w:space="0" w:color="auto"/>
        <w:right w:val="none" w:sz="0" w:space="0" w:color="auto"/>
      </w:divBdr>
      <w:divsChild>
        <w:div w:id="455569568">
          <w:marLeft w:val="288"/>
          <w:marRight w:val="0"/>
          <w:marTop w:val="115"/>
          <w:marBottom w:val="120"/>
          <w:divBdr>
            <w:top w:val="none" w:sz="0" w:space="0" w:color="auto"/>
            <w:left w:val="none" w:sz="0" w:space="0" w:color="auto"/>
            <w:bottom w:val="none" w:sz="0" w:space="0" w:color="auto"/>
            <w:right w:val="none" w:sz="0" w:space="0" w:color="auto"/>
          </w:divBdr>
        </w:div>
      </w:divsChild>
    </w:div>
    <w:div w:id="1444494958">
      <w:bodyDiv w:val="1"/>
      <w:marLeft w:val="0"/>
      <w:marRight w:val="0"/>
      <w:marTop w:val="0"/>
      <w:marBottom w:val="0"/>
      <w:divBdr>
        <w:top w:val="none" w:sz="0" w:space="0" w:color="auto"/>
        <w:left w:val="none" w:sz="0" w:space="0" w:color="auto"/>
        <w:bottom w:val="none" w:sz="0" w:space="0" w:color="auto"/>
        <w:right w:val="none" w:sz="0" w:space="0" w:color="auto"/>
      </w:divBdr>
    </w:div>
    <w:div w:id="1450395530">
      <w:bodyDiv w:val="1"/>
      <w:marLeft w:val="0"/>
      <w:marRight w:val="0"/>
      <w:marTop w:val="0"/>
      <w:marBottom w:val="0"/>
      <w:divBdr>
        <w:top w:val="none" w:sz="0" w:space="0" w:color="auto"/>
        <w:left w:val="none" w:sz="0" w:space="0" w:color="auto"/>
        <w:bottom w:val="none" w:sz="0" w:space="0" w:color="auto"/>
        <w:right w:val="none" w:sz="0" w:space="0" w:color="auto"/>
      </w:divBdr>
    </w:div>
    <w:div w:id="1454640649">
      <w:bodyDiv w:val="1"/>
      <w:marLeft w:val="0"/>
      <w:marRight w:val="0"/>
      <w:marTop w:val="0"/>
      <w:marBottom w:val="0"/>
      <w:divBdr>
        <w:top w:val="none" w:sz="0" w:space="0" w:color="auto"/>
        <w:left w:val="none" w:sz="0" w:space="0" w:color="auto"/>
        <w:bottom w:val="none" w:sz="0" w:space="0" w:color="auto"/>
        <w:right w:val="none" w:sz="0" w:space="0" w:color="auto"/>
      </w:divBdr>
    </w:div>
    <w:div w:id="1467553657">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73326112">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543397671">
      <w:bodyDiv w:val="1"/>
      <w:marLeft w:val="0"/>
      <w:marRight w:val="0"/>
      <w:marTop w:val="0"/>
      <w:marBottom w:val="0"/>
      <w:divBdr>
        <w:top w:val="none" w:sz="0" w:space="0" w:color="auto"/>
        <w:left w:val="none" w:sz="0" w:space="0" w:color="auto"/>
        <w:bottom w:val="none" w:sz="0" w:space="0" w:color="auto"/>
        <w:right w:val="none" w:sz="0" w:space="0" w:color="auto"/>
      </w:divBdr>
      <w:divsChild>
        <w:div w:id="1025248216">
          <w:marLeft w:val="360"/>
          <w:marRight w:val="0"/>
          <w:marTop w:val="0"/>
          <w:marBottom w:val="0"/>
          <w:divBdr>
            <w:top w:val="none" w:sz="0" w:space="0" w:color="auto"/>
            <w:left w:val="none" w:sz="0" w:space="0" w:color="auto"/>
            <w:bottom w:val="none" w:sz="0" w:space="0" w:color="auto"/>
            <w:right w:val="none" w:sz="0" w:space="0" w:color="auto"/>
          </w:divBdr>
        </w:div>
      </w:divsChild>
    </w:div>
    <w:div w:id="1544173112">
      <w:bodyDiv w:val="1"/>
      <w:marLeft w:val="0"/>
      <w:marRight w:val="0"/>
      <w:marTop w:val="0"/>
      <w:marBottom w:val="0"/>
      <w:divBdr>
        <w:top w:val="none" w:sz="0" w:space="0" w:color="auto"/>
        <w:left w:val="none" w:sz="0" w:space="0" w:color="auto"/>
        <w:bottom w:val="none" w:sz="0" w:space="0" w:color="auto"/>
        <w:right w:val="none" w:sz="0" w:space="0" w:color="auto"/>
      </w:divBdr>
    </w:div>
    <w:div w:id="1546672962">
      <w:bodyDiv w:val="1"/>
      <w:marLeft w:val="0"/>
      <w:marRight w:val="0"/>
      <w:marTop w:val="0"/>
      <w:marBottom w:val="0"/>
      <w:divBdr>
        <w:top w:val="none" w:sz="0" w:space="0" w:color="auto"/>
        <w:left w:val="none" w:sz="0" w:space="0" w:color="auto"/>
        <w:bottom w:val="none" w:sz="0" w:space="0" w:color="auto"/>
        <w:right w:val="none" w:sz="0" w:space="0" w:color="auto"/>
      </w:divBdr>
      <w:divsChild>
        <w:div w:id="1517964002">
          <w:marLeft w:val="288"/>
          <w:marRight w:val="0"/>
          <w:marTop w:val="0"/>
          <w:marBottom w:val="120"/>
          <w:divBdr>
            <w:top w:val="none" w:sz="0" w:space="0" w:color="auto"/>
            <w:left w:val="none" w:sz="0" w:space="0" w:color="auto"/>
            <w:bottom w:val="none" w:sz="0" w:space="0" w:color="auto"/>
            <w:right w:val="none" w:sz="0" w:space="0" w:color="auto"/>
          </w:divBdr>
        </w:div>
      </w:divsChild>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49265">
      <w:bodyDiv w:val="1"/>
      <w:marLeft w:val="0"/>
      <w:marRight w:val="0"/>
      <w:marTop w:val="0"/>
      <w:marBottom w:val="0"/>
      <w:divBdr>
        <w:top w:val="none" w:sz="0" w:space="0" w:color="auto"/>
        <w:left w:val="none" w:sz="0" w:space="0" w:color="auto"/>
        <w:bottom w:val="none" w:sz="0" w:space="0" w:color="auto"/>
        <w:right w:val="none" w:sz="0" w:space="0" w:color="auto"/>
      </w:divBdr>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69290201">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47603096">
      <w:bodyDiv w:val="1"/>
      <w:marLeft w:val="0"/>
      <w:marRight w:val="0"/>
      <w:marTop w:val="0"/>
      <w:marBottom w:val="0"/>
      <w:divBdr>
        <w:top w:val="none" w:sz="0" w:space="0" w:color="auto"/>
        <w:left w:val="none" w:sz="0" w:space="0" w:color="auto"/>
        <w:bottom w:val="none" w:sz="0" w:space="0" w:color="auto"/>
        <w:right w:val="none" w:sz="0" w:space="0" w:color="auto"/>
      </w:divBdr>
    </w:div>
    <w:div w:id="1750155669">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777599272">
      <w:bodyDiv w:val="1"/>
      <w:marLeft w:val="0"/>
      <w:marRight w:val="0"/>
      <w:marTop w:val="0"/>
      <w:marBottom w:val="0"/>
      <w:divBdr>
        <w:top w:val="none" w:sz="0" w:space="0" w:color="auto"/>
        <w:left w:val="none" w:sz="0" w:space="0" w:color="auto"/>
        <w:bottom w:val="none" w:sz="0" w:space="0" w:color="auto"/>
        <w:right w:val="none" w:sz="0" w:space="0" w:color="auto"/>
      </w:divBdr>
    </w:div>
    <w:div w:id="1778519049">
      <w:bodyDiv w:val="1"/>
      <w:marLeft w:val="0"/>
      <w:marRight w:val="0"/>
      <w:marTop w:val="0"/>
      <w:marBottom w:val="0"/>
      <w:divBdr>
        <w:top w:val="none" w:sz="0" w:space="0" w:color="auto"/>
        <w:left w:val="none" w:sz="0" w:space="0" w:color="auto"/>
        <w:bottom w:val="none" w:sz="0" w:space="0" w:color="auto"/>
        <w:right w:val="none" w:sz="0" w:space="0" w:color="auto"/>
      </w:divBdr>
    </w:div>
    <w:div w:id="1794011629">
      <w:bodyDiv w:val="1"/>
      <w:marLeft w:val="0"/>
      <w:marRight w:val="0"/>
      <w:marTop w:val="0"/>
      <w:marBottom w:val="0"/>
      <w:divBdr>
        <w:top w:val="none" w:sz="0" w:space="0" w:color="auto"/>
        <w:left w:val="none" w:sz="0" w:space="0" w:color="auto"/>
        <w:bottom w:val="none" w:sz="0" w:space="0" w:color="auto"/>
        <w:right w:val="none" w:sz="0" w:space="0" w:color="auto"/>
      </w:divBdr>
    </w:div>
    <w:div w:id="1796870768">
      <w:bodyDiv w:val="1"/>
      <w:marLeft w:val="0"/>
      <w:marRight w:val="0"/>
      <w:marTop w:val="0"/>
      <w:marBottom w:val="0"/>
      <w:divBdr>
        <w:top w:val="none" w:sz="0" w:space="0" w:color="auto"/>
        <w:left w:val="none" w:sz="0" w:space="0" w:color="auto"/>
        <w:bottom w:val="none" w:sz="0" w:space="0" w:color="auto"/>
        <w:right w:val="none" w:sz="0" w:space="0" w:color="auto"/>
      </w:divBdr>
    </w:div>
    <w:div w:id="1807770227">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6783">
      <w:bodyDiv w:val="1"/>
      <w:marLeft w:val="0"/>
      <w:marRight w:val="0"/>
      <w:marTop w:val="0"/>
      <w:marBottom w:val="0"/>
      <w:divBdr>
        <w:top w:val="none" w:sz="0" w:space="0" w:color="auto"/>
        <w:left w:val="none" w:sz="0" w:space="0" w:color="auto"/>
        <w:bottom w:val="none" w:sz="0" w:space="0" w:color="auto"/>
        <w:right w:val="none" w:sz="0" w:space="0" w:color="auto"/>
      </w:divBdr>
      <w:divsChild>
        <w:div w:id="1566799800">
          <w:marLeft w:val="360"/>
          <w:marRight w:val="0"/>
          <w:marTop w:val="0"/>
          <w:marBottom w:val="0"/>
          <w:divBdr>
            <w:top w:val="none" w:sz="0" w:space="0" w:color="auto"/>
            <w:left w:val="none" w:sz="0" w:space="0" w:color="auto"/>
            <w:bottom w:val="none" w:sz="0" w:space="0" w:color="auto"/>
            <w:right w:val="none" w:sz="0" w:space="0" w:color="auto"/>
          </w:divBdr>
        </w:div>
      </w:divsChild>
    </w:div>
    <w:div w:id="1867593965">
      <w:bodyDiv w:val="1"/>
      <w:marLeft w:val="0"/>
      <w:marRight w:val="0"/>
      <w:marTop w:val="0"/>
      <w:marBottom w:val="0"/>
      <w:divBdr>
        <w:top w:val="none" w:sz="0" w:space="0" w:color="auto"/>
        <w:left w:val="none" w:sz="0" w:space="0" w:color="auto"/>
        <w:bottom w:val="none" w:sz="0" w:space="0" w:color="auto"/>
        <w:right w:val="none" w:sz="0" w:space="0" w:color="auto"/>
      </w:divBdr>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895308660">
      <w:bodyDiv w:val="1"/>
      <w:marLeft w:val="0"/>
      <w:marRight w:val="0"/>
      <w:marTop w:val="0"/>
      <w:marBottom w:val="0"/>
      <w:divBdr>
        <w:top w:val="none" w:sz="0" w:space="0" w:color="auto"/>
        <w:left w:val="none" w:sz="0" w:space="0" w:color="auto"/>
        <w:bottom w:val="none" w:sz="0" w:space="0" w:color="auto"/>
        <w:right w:val="none" w:sz="0" w:space="0" w:color="auto"/>
      </w:divBdr>
    </w:div>
    <w:div w:id="1931741679">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8819">
      <w:bodyDiv w:val="1"/>
      <w:marLeft w:val="0"/>
      <w:marRight w:val="0"/>
      <w:marTop w:val="0"/>
      <w:marBottom w:val="0"/>
      <w:divBdr>
        <w:top w:val="none" w:sz="0" w:space="0" w:color="auto"/>
        <w:left w:val="none" w:sz="0" w:space="0" w:color="auto"/>
        <w:bottom w:val="none" w:sz="0" w:space="0" w:color="auto"/>
        <w:right w:val="none" w:sz="0" w:space="0" w:color="auto"/>
      </w:divBdr>
    </w:div>
    <w:div w:id="1978491044">
      <w:bodyDiv w:val="1"/>
      <w:marLeft w:val="0"/>
      <w:marRight w:val="0"/>
      <w:marTop w:val="0"/>
      <w:marBottom w:val="0"/>
      <w:divBdr>
        <w:top w:val="none" w:sz="0" w:space="0" w:color="auto"/>
        <w:left w:val="none" w:sz="0" w:space="0" w:color="auto"/>
        <w:bottom w:val="none" w:sz="0" w:space="0" w:color="auto"/>
        <w:right w:val="none" w:sz="0" w:space="0" w:color="auto"/>
      </w:divBdr>
    </w:div>
    <w:div w:id="1982465115">
      <w:bodyDiv w:val="1"/>
      <w:marLeft w:val="0"/>
      <w:marRight w:val="0"/>
      <w:marTop w:val="0"/>
      <w:marBottom w:val="0"/>
      <w:divBdr>
        <w:top w:val="none" w:sz="0" w:space="0" w:color="auto"/>
        <w:left w:val="none" w:sz="0" w:space="0" w:color="auto"/>
        <w:bottom w:val="none" w:sz="0" w:space="0" w:color="auto"/>
        <w:right w:val="none" w:sz="0" w:space="0" w:color="auto"/>
      </w:divBdr>
    </w:div>
    <w:div w:id="1996686325">
      <w:bodyDiv w:val="1"/>
      <w:marLeft w:val="0"/>
      <w:marRight w:val="0"/>
      <w:marTop w:val="0"/>
      <w:marBottom w:val="0"/>
      <w:divBdr>
        <w:top w:val="none" w:sz="0" w:space="0" w:color="auto"/>
        <w:left w:val="none" w:sz="0" w:space="0" w:color="auto"/>
        <w:bottom w:val="none" w:sz="0" w:space="0" w:color="auto"/>
        <w:right w:val="none" w:sz="0" w:space="0" w:color="auto"/>
      </w:divBdr>
    </w:div>
    <w:div w:id="2007896821">
      <w:bodyDiv w:val="1"/>
      <w:marLeft w:val="0"/>
      <w:marRight w:val="0"/>
      <w:marTop w:val="0"/>
      <w:marBottom w:val="0"/>
      <w:divBdr>
        <w:top w:val="none" w:sz="0" w:space="0" w:color="auto"/>
        <w:left w:val="none" w:sz="0" w:space="0" w:color="auto"/>
        <w:bottom w:val="none" w:sz="0" w:space="0" w:color="auto"/>
        <w:right w:val="none" w:sz="0" w:space="0" w:color="auto"/>
      </w:divBdr>
    </w:div>
    <w:div w:id="2025206867">
      <w:bodyDiv w:val="1"/>
      <w:marLeft w:val="0"/>
      <w:marRight w:val="0"/>
      <w:marTop w:val="0"/>
      <w:marBottom w:val="0"/>
      <w:divBdr>
        <w:top w:val="none" w:sz="0" w:space="0" w:color="auto"/>
        <w:left w:val="none" w:sz="0" w:space="0" w:color="auto"/>
        <w:bottom w:val="none" w:sz="0" w:space="0" w:color="auto"/>
        <w:right w:val="none" w:sz="0" w:space="0" w:color="auto"/>
      </w:divBdr>
      <w:divsChild>
        <w:div w:id="1831947246">
          <w:marLeft w:val="360"/>
          <w:marRight w:val="0"/>
          <w:marTop w:val="0"/>
          <w:marBottom w:val="0"/>
          <w:divBdr>
            <w:top w:val="none" w:sz="0" w:space="0" w:color="auto"/>
            <w:left w:val="none" w:sz="0" w:space="0" w:color="auto"/>
            <w:bottom w:val="none" w:sz="0" w:space="0" w:color="auto"/>
            <w:right w:val="none" w:sz="0" w:space="0" w:color="auto"/>
          </w:divBdr>
        </w:div>
      </w:divsChild>
    </w:div>
    <w:div w:id="2036081245">
      <w:bodyDiv w:val="1"/>
      <w:marLeft w:val="0"/>
      <w:marRight w:val="0"/>
      <w:marTop w:val="0"/>
      <w:marBottom w:val="0"/>
      <w:divBdr>
        <w:top w:val="none" w:sz="0" w:space="0" w:color="auto"/>
        <w:left w:val="none" w:sz="0" w:space="0" w:color="auto"/>
        <w:bottom w:val="none" w:sz="0" w:space="0" w:color="auto"/>
        <w:right w:val="none" w:sz="0" w:space="0" w:color="auto"/>
      </w:divBdr>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061516956">
      <w:bodyDiv w:val="1"/>
      <w:marLeft w:val="0"/>
      <w:marRight w:val="0"/>
      <w:marTop w:val="0"/>
      <w:marBottom w:val="0"/>
      <w:divBdr>
        <w:top w:val="none" w:sz="0" w:space="0" w:color="auto"/>
        <w:left w:val="none" w:sz="0" w:space="0" w:color="auto"/>
        <w:bottom w:val="none" w:sz="0" w:space="0" w:color="auto"/>
        <w:right w:val="none" w:sz="0" w:space="0" w:color="auto"/>
      </w:divBdr>
    </w:div>
    <w:div w:id="2092310003">
      <w:bodyDiv w:val="1"/>
      <w:marLeft w:val="0"/>
      <w:marRight w:val="0"/>
      <w:marTop w:val="0"/>
      <w:marBottom w:val="0"/>
      <w:divBdr>
        <w:top w:val="none" w:sz="0" w:space="0" w:color="auto"/>
        <w:left w:val="none" w:sz="0" w:space="0" w:color="auto"/>
        <w:bottom w:val="none" w:sz="0" w:space="0" w:color="auto"/>
        <w:right w:val="none" w:sz="0" w:space="0" w:color="auto"/>
      </w:divBdr>
    </w:div>
    <w:div w:id="2112505868">
      <w:bodyDiv w:val="1"/>
      <w:marLeft w:val="0"/>
      <w:marRight w:val="0"/>
      <w:marTop w:val="0"/>
      <w:marBottom w:val="0"/>
      <w:divBdr>
        <w:top w:val="none" w:sz="0" w:space="0" w:color="auto"/>
        <w:left w:val="none" w:sz="0" w:space="0" w:color="auto"/>
        <w:bottom w:val="none" w:sz="0" w:space="0" w:color="auto"/>
        <w:right w:val="none" w:sz="0" w:space="0" w:color="auto"/>
      </w:divBdr>
      <w:divsChild>
        <w:div w:id="10645979">
          <w:marLeft w:val="130"/>
          <w:marRight w:val="0"/>
          <w:marTop w:val="0"/>
          <w:marBottom w:val="80"/>
          <w:divBdr>
            <w:top w:val="none" w:sz="0" w:space="0" w:color="auto"/>
            <w:left w:val="none" w:sz="0" w:space="0" w:color="auto"/>
            <w:bottom w:val="none" w:sz="0" w:space="0" w:color="auto"/>
            <w:right w:val="none" w:sz="0" w:space="0" w:color="auto"/>
          </w:divBdr>
        </w:div>
        <w:div w:id="2120173878">
          <w:marLeft w:val="130"/>
          <w:marRight w:val="0"/>
          <w:marTop w:val="0"/>
          <w:marBottom w:val="80"/>
          <w:divBdr>
            <w:top w:val="none" w:sz="0" w:space="0" w:color="auto"/>
            <w:left w:val="none" w:sz="0" w:space="0" w:color="auto"/>
            <w:bottom w:val="none" w:sz="0" w:space="0" w:color="auto"/>
            <w:right w:val="none" w:sz="0" w:space="0" w:color="auto"/>
          </w:divBdr>
        </w:div>
      </w:divsChild>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 w:id="2145659549">
      <w:bodyDiv w:val="1"/>
      <w:marLeft w:val="0"/>
      <w:marRight w:val="0"/>
      <w:marTop w:val="0"/>
      <w:marBottom w:val="0"/>
      <w:divBdr>
        <w:top w:val="none" w:sz="0" w:space="0" w:color="auto"/>
        <w:left w:val="none" w:sz="0" w:space="0" w:color="auto"/>
        <w:bottom w:val="none" w:sz="0" w:space="0" w:color="auto"/>
        <w:right w:val="none" w:sz="0" w:space="0" w:color="auto"/>
      </w:divBdr>
      <w:divsChild>
        <w:div w:id="120537383">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649C239F-1674-44D9-9079-07753DDDE27E}">
  <ds:schemaRefs>
    <ds:schemaRef ds:uri="http://schemas.openxmlformats.org/officeDocument/2006/bibliography"/>
  </ds:schemaRefs>
</ds:datastoreItem>
</file>

<file path=customXml/itemProps2.xml><?xml version="1.0" encoding="utf-8"?>
<ds:datastoreItem xmlns:ds="http://schemas.openxmlformats.org/officeDocument/2006/customXml" ds:itemID="{B86D441D-CB03-4F41-8D36-BF76525DD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FDDDC3-8260-4007-B5F5-2574AEDC6123}">
  <ds:schemaRefs>
    <ds:schemaRef ds:uri="http://schemas.microsoft.com/sharepoint/v3/contenttype/forms"/>
  </ds:schemaRefs>
</ds:datastoreItem>
</file>

<file path=customXml/itemProps4.xml><?xml version="1.0" encoding="utf-8"?>
<ds:datastoreItem xmlns:ds="http://schemas.openxmlformats.org/officeDocument/2006/customXml" ds:itemID="{94B530ED-B7BA-41CA-9799-5A37C4D71F65}">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60</Pages>
  <Words>23722</Words>
  <Characters>130472</Characters>
  <Application>Microsoft Office Word</Application>
  <DocSecurity>0</DocSecurity>
  <Lines>4077</Lines>
  <Paragraphs>2658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2026-03-01T22:54:00Z</dcterms:created>
  <dcterms:modified xsi:type="dcterms:W3CDTF">2026-03-04T00:59:00Z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13307af6,58e735f,5e5423a8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1140c165,22b97b11,6ae01d7a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2025-10-14T03:12:57Z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abec0dc8-a7b5-40cd-b91c-3c5d996484e0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ument Categories">
    <vt:lpwstr/>
  </property>
  <property fmtid="{D5CDD505-2E9C-101B-9397-08002B2CF9AE}" pid="20" name="docLang">
    <vt:lpwstr>en</vt:lpwstr>
  </property>
  <property fmtid="{D5CDD505-2E9C-101B-9397-08002B2CF9AE}" pid="21" name="MSIP_Label_7cd3e8b9-ffed-43a8-b7f4-cc2fa0382d36_Extended_MSFT_Method">
    <vt:lpwstr>Standard</vt:lpwstr>
  </property>
  <property fmtid="{D5CDD505-2E9C-101B-9397-08002B2CF9AE}" pid="22" name="Sensitivity">
    <vt:lpwstr>OFFICIAL</vt:lpwstr>
  </property>
</Properties>
</file>