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B627" w14:textId="5F5AD42C" w:rsidR="00872E8F" w:rsidRPr="00A6439B" w:rsidRDefault="00E6386C" w:rsidP="007A5C88">
      <w:pPr>
        <w:pStyle w:val="1MainTitle"/>
        <w:jc w:val="left"/>
      </w:pPr>
      <w:r>
        <w:t>5.25</w:t>
      </w:r>
      <w:r w:rsidR="00872E8F" w:rsidRPr="00A6439B">
        <w:tab/>
      </w:r>
      <w:r>
        <w:t>METHADONE</w:t>
      </w:r>
      <w:r w:rsidR="70971A32" w:rsidRPr="00A6439B">
        <w:t>,</w:t>
      </w:r>
      <w:r w:rsidR="00872E8F" w:rsidRPr="00A6439B">
        <w:br/>
      </w:r>
      <w:r w:rsidR="000F157D">
        <w:t>Tablet 5</w:t>
      </w:r>
      <w:r w:rsidR="6D493694">
        <w:t xml:space="preserve"> </w:t>
      </w:r>
      <w:r w:rsidR="000F157D">
        <w:t>mg</w:t>
      </w:r>
      <w:r w:rsidR="70971A32" w:rsidRPr="00A6439B">
        <w:t>,</w:t>
      </w:r>
      <w:r w:rsidR="00872E8F" w:rsidRPr="00A6439B">
        <w:br/>
      </w:r>
      <w:r w:rsidR="00804177">
        <w:t>Methadone-AFT</w:t>
      </w:r>
      <w:r w:rsidR="70971A32" w:rsidRPr="00A6439B">
        <w:t>,</w:t>
      </w:r>
      <w:r w:rsidR="00872E8F" w:rsidRPr="00A6439B">
        <w:br/>
      </w:r>
      <w:r w:rsidR="00E31F5F">
        <w:t>AFT Pharmaceuticals (AU) Pty Ltd</w:t>
      </w:r>
    </w:p>
    <w:p w14:paraId="5F4D54C1" w14:textId="5D8E54C1" w:rsidR="00E11F44" w:rsidRPr="00AA3202" w:rsidRDefault="007E490F" w:rsidP="00CD6257">
      <w:pPr>
        <w:pStyle w:val="2-SectionHeading"/>
        <w:rPr>
          <w:rFonts w:cstheme="minorHAnsi"/>
        </w:rPr>
      </w:pPr>
      <w:r w:rsidRPr="008828A9">
        <w:t xml:space="preserve">Purpose of </w:t>
      </w:r>
      <w:r w:rsidR="00FA0B04" w:rsidRPr="008828A9">
        <w:t>Submission</w:t>
      </w:r>
      <w:r w:rsidRPr="008828A9">
        <w:t xml:space="preserve"> </w:t>
      </w:r>
    </w:p>
    <w:p w14:paraId="20FC615A" w14:textId="1FF6C007" w:rsidR="00640D16" w:rsidRPr="00A6439B" w:rsidRDefault="006C6C10" w:rsidP="00AA3202">
      <w:pPr>
        <w:pStyle w:val="3-BodyText"/>
      </w:pPr>
      <w:r w:rsidRPr="00A6439B">
        <w:t xml:space="preserve">The </w:t>
      </w:r>
      <w:r w:rsidR="00FF27F9">
        <w:t>Category 4</w:t>
      </w:r>
      <w:r w:rsidR="00C96EC0" w:rsidRPr="00A6439B">
        <w:t xml:space="preserve"> </w:t>
      </w:r>
      <w:r w:rsidRPr="00A6439B">
        <w:t xml:space="preserve">submission </w:t>
      </w:r>
      <w:r w:rsidR="007B3275">
        <w:t xml:space="preserve">requested </w:t>
      </w:r>
      <w:r w:rsidR="006D0B9A">
        <w:t>a General Sche</w:t>
      </w:r>
      <w:r w:rsidR="00517F59">
        <w:t xml:space="preserve">dule </w:t>
      </w:r>
      <w:r w:rsidR="00E72B97">
        <w:t>Authority Required (STREAMLINED)</w:t>
      </w:r>
      <w:r w:rsidR="00610CE5">
        <w:t xml:space="preserve"> </w:t>
      </w:r>
      <w:r w:rsidR="00517F59">
        <w:t xml:space="preserve">listing and </w:t>
      </w:r>
      <w:r w:rsidR="00E3579F">
        <w:t>Palliative Care Authority Required</w:t>
      </w:r>
      <w:r w:rsidR="00EA21EB">
        <w:t xml:space="preserve"> </w:t>
      </w:r>
      <w:r w:rsidR="00277781">
        <w:t>(Telephone/</w:t>
      </w:r>
      <w:r w:rsidR="00571D1A">
        <w:t>O</w:t>
      </w:r>
      <w:r w:rsidR="00277781">
        <w:t xml:space="preserve">nline) </w:t>
      </w:r>
      <w:r w:rsidR="00EA21EB">
        <w:t xml:space="preserve">listing of </w:t>
      </w:r>
      <w:r w:rsidR="00A9420D">
        <w:t xml:space="preserve">methadone </w:t>
      </w:r>
      <w:r w:rsidR="003F3081">
        <w:t>5 mg</w:t>
      </w:r>
      <w:r w:rsidR="0087567E">
        <w:t xml:space="preserve"> tablet</w:t>
      </w:r>
      <w:r w:rsidR="003F3081">
        <w:t xml:space="preserve"> </w:t>
      </w:r>
      <w:r w:rsidR="00A9420D">
        <w:t>(Methadone-AFT</w:t>
      </w:r>
      <w:r w:rsidR="00556ADD">
        <w:t xml:space="preserve"> 5 mg</w:t>
      </w:r>
      <w:r w:rsidR="00A9420D">
        <w:t xml:space="preserve">) </w:t>
      </w:r>
      <w:r w:rsidR="003F3081">
        <w:t>under</w:t>
      </w:r>
      <w:r w:rsidR="007B3275">
        <w:t xml:space="preserve"> </w:t>
      </w:r>
      <w:r w:rsidR="009B105B">
        <w:t xml:space="preserve">the same </w:t>
      </w:r>
      <w:r w:rsidR="00F0166C">
        <w:t xml:space="preserve">circumstances </w:t>
      </w:r>
      <w:r w:rsidR="009B105B">
        <w:t>as the currently liste</w:t>
      </w:r>
      <w:r w:rsidR="002B5F67">
        <w:t>d</w:t>
      </w:r>
      <w:r w:rsidR="009B105B">
        <w:t xml:space="preserve"> </w:t>
      </w:r>
      <w:r w:rsidR="00DB2496">
        <w:t>methadone</w:t>
      </w:r>
      <w:r w:rsidR="005D702F">
        <w:t xml:space="preserve"> </w:t>
      </w:r>
      <w:r w:rsidR="00F21627">
        <w:t xml:space="preserve">10 mg </w:t>
      </w:r>
      <w:r w:rsidR="002B5F67">
        <w:t>tablet.</w:t>
      </w:r>
    </w:p>
    <w:p w14:paraId="3D1D4320" w14:textId="77777777" w:rsidR="007E490F" w:rsidRPr="00A6439B" w:rsidRDefault="007E490F" w:rsidP="001F2311">
      <w:pPr>
        <w:pStyle w:val="2-SectionHeading"/>
        <w:numPr>
          <w:ilvl w:val="0"/>
          <w:numId w:val="2"/>
        </w:numPr>
      </w:pPr>
      <w:r w:rsidRPr="00A6439B">
        <w:t xml:space="preserve">Background </w:t>
      </w:r>
    </w:p>
    <w:p w14:paraId="5BFA74C6" w14:textId="5998C6B8" w:rsidR="00E47F24" w:rsidRPr="00AA3202" w:rsidRDefault="00FB3289" w:rsidP="00563BBB">
      <w:pPr>
        <w:pStyle w:val="3-BodyText"/>
      </w:pPr>
      <w:r>
        <w:t>M</w:t>
      </w:r>
      <w:r w:rsidR="00D41534">
        <w:t xml:space="preserve">ethadone </w:t>
      </w:r>
      <w:r w:rsidR="003A189C">
        <w:t>is currently</w:t>
      </w:r>
      <w:r w:rsidR="00D41534">
        <w:t xml:space="preserve"> listed </w:t>
      </w:r>
      <w:r w:rsidR="003A189C">
        <w:t xml:space="preserve">on the PBS </w:t>
      </w:r>
      <w:r w:rsidR="00970045">
        <w:t>under General Schedule Authority Required (STREAMLINED</w:t>
      </w:r>
      <w:r w:rsidR="00A4230B">
        <w:t>) and</w:t>
      </w:r>
      <w:r w:rsidR="00970045">
        <w:t xml:space="preserve"> </w:t>
      </w:r>
      <w:r w:rsidR="00A4230B">
        <w:t>Palliative Care</w:t>
      </w:r>
      <w:r w:rsidR="001E167F">
        <w:t xml:space="preserve"> Authority Required</w:t>
      </w:r>
      <w:r w:rsidR="00277781">
        <w:t xml:space="preserve"> (Telephone/Online)</w:t>
      </w:r>
      <w:r w:rsidR="00563BBB">
        <w:t xml:space="preserve">. </w:t>
      </w:r>
    </w:p>
    <w:p w14:paraId="52259546" w14:textId="50487786" w:rsidR="00942050" w:rsidRDefault="00942050" w:rsidP="008A4595">
      <w:pPr>
        <w:pStyle w:val="3-BodyText"/>
      </w:pPr>
      <w:r>
        <w:t xml:space="preserve">Methadone </w:t>
      </w:r>
      <w:r w:rsidR="009D3E2A">
        <w:t xml:space="preserve">is listed on the PBS for the </w:t>
      </w:r>
      <w:r w:rsidR="00C86066">
        <w:t>following indications:</w:t>
      </w:r>
    </w:p>
    <w:p w14:paraId="35C8D631" w14:textId="7D9804E2" w:rsidR="00C86066" w:rsidRDefault="00C86066" w:rsidP="00F30844">
      <w:pPr>
        <w:pStyle w:val="3-BodyText"/>
        <w:numPr>
          <w:ilvl w:val="0"/>
          <w:numId w:val="12"/>
        </w:numPr>
      </w:pPr>
      <w:r>
        <w:t xml:space="preserve">Chronic severe disabling pain </w:t>
      </w:r>
    </w:p>
    <w:p w14:paraId="6C6C2603" w14:textId="055046C5" w:rsidR="00C86066" w:rsidRDefault="00C86066" w:rsidP="00F30844">
      <w:pPr>
        <w:pStyle w:val="3-BodyText"/>
        <w:numPr>
          <w:ilvl w:val="0"/>
          <w:numId w:val="12"/>
        </w:numPr>
      </w:pPr>
      <w:r>
        <w:t xml:space="preserve">Severe disabling pain </w:t>
      </w:r>
    </w:p>
    <w:p w14:paraId="2CDD959E" w14:textId="7ED4A033" w:rsidR="000D3F34" w:rsidRDefault="000D3F34" w:rsidP="00F30844">
      <w:pPr>
        <w:pStyle w:val="3-BodyText"/>
        <w:numPr>
          <w:ilvl w:val="0"/>
          <w:numId w:val="12"/>
        </w:numPr>
      </w:pPr>
      <w:r>
        <w:t>Opioid dependence</w:t>
      </w:r>
    </w:p>
    <w:p w14:paraId="14E87218" w14:textId="3FE9C552" w:rsidR="008A4595" w:rsidRDefault="00BA64EA" w:rsidP="008A4595">
      <w:pPr>
        <w:pStyle w:val="3-BodyText"/>
      </w:pPr>
      <w:r>
        <w:t>Methadone</w:t>
      </w:r>
      <w:r w:rsidR="00987FE1">
        <w:t xml:space="preserve"> is </w:t>
      </w:r>
      <w:r w:rsidR="008A4595">
        <w:t xml:space="preserve">currently listed on the PBS </w:t>
      </w:r>
      <w:r w:rsidR="00987FE1">
        <w:t>in the following forms</w:t>
      </w:r>
      <w:r w:rsidR="008A4595">
        <w:t xml:space="preserve">: </w:t>
      </w:r>
    </w:p>
    <w:p w14:paraId="141AD97B" w14:textId="4DBB2777" w:rsidR="008A4595" w:rsidRDefault="008A4595" w:rsidP="00F30844">
      <w:pPr>
        <w:pStyle w:val="3-BodyText"/>
        <w:numPr>
          <w:ilvl w:val="0"/>
          <w:numId w:val="11"/>
        </w:numPr>
      </w:pPr>
      <w:r>
        <w:t>Methadone hydrochloride 10</w:t>
      </w:r>
      <w:r w:rsidR="00ED2268">
        <w:t xml:space="preserve"> </w:t>
      </w:r>
      <w:r>
        <w:t>mg tablet</w:t>
      </w:r>
    </w:p>
    <w:p w14:paraId="2D5C8FD4" w14:textId="4162852A" w:rsidR="008A4595" w:rsidRDefault="008A4595" w:rsidP="00F30844">
      <w:pPr>
        <w:pStyle w:val="3-BodyText"/>
        <w:numPr>
          <w:ilvl w:val="0"/>
          <w:numId w:val="11"/>
        </w:numPr>
      </w:pPr>
      <w:r>
        <w:t>Methadone hydrochloride 10</w:t>
      </w:r>
      <w:r w:rsidR="00ED2268">
        <w:t xml:space="preserve"> </w:t>
      </w:r>
      <w:r>
        <w:t xml:space="preserve">mg/mL injection </w:t>
      </w:r>
    </w:p>
    <w:p w14:paraId="0CBAC1A3" w14:textId="294D5338" w:rsidR="008A4595" w:rsidRPr="00AA3202" w:rsidRDefault="008A4595" w:rsidP="00F30844">
      <w:pPr>
        <w:pStyle w:val="3-BodyText"/>
        <w:numPr>
          <w:ilvl w:val="0"/>
          <w:numId w:val="11"/>
        </w:numPr>
      </w:pPr>
      <w:r>
        <w:t xml:space="preserve">Methadone hydrochloride </w:t>
      </w:r>
      <w:r w:rsidR="00250C4C">
        <w:t>5</w:t>
      </w:r>
      <w:r w:rsidR="00ED2268">
        <w:t xml:space="preserve"> </w:t>
      </w:r>
      <w:r w:rsidR="00250C4C">
        <w:t>mg/mL oral liquid, 1</w:t>
      </w:r>
      <w:r w:rsidR="0045290E">
        <w:t xml:space="preserve"> </w:t>
      </w:r>
      <w:r w:rsidR="00250C4C">
        <w:t xml:space="preserve">L </w:t>
      </w:r>
    </w:p>
    <w:p w14:paraId="7AE14545" w14:textId="29413B18" w:rsidR="00250C4C" w:rsidRPr="00AA3202" w:rsidRDefault="00E269A4" w:rsidP="00F30844">
      <w:pPr>
        <w:pStyle w:val="3-BodyText"/>
        <w:numPr>
          <w:ilvl w:val="0"/>
          <w:numId w:val="11"/>
        </w:numPr>
      </w:pPr>
      <w:r>
        <w:t>Methadone hydrochloride 5</w:t>
      </w:r>
      <w:r w:rsidR="00ED2268">
        <w:t xml:space="preserve"> </w:t>
      </w:r>
      <w:r>
        <w:t>mg/mL oral liquid, 200</w:t>
      </w:r>
      <w:r w:rsidR="0045290E">
        <w:t xml:space="preserve"> </w:t>
      </w:r>
      <w:r>
        <w:t>mL</w:t>
      </w:r>
    </w:p>
    <w:p w14:paraId="33C2C319" w14:textId="66DF215F" w:rsidR="007E490F" w:rsidRPr="009649C8" w:rsidRDefault="007E490F" w:rsidP="00691A2C">
      <w:pPr>
        <w:pStyle w:val="4-SubsectionHeading"/>
        <w:rPr>
          <w:iCs/>
        </w:rPr>
      </w:pPr>
      <w:r w:rsidRPr="009649C8">
        <w:rPr>
          <w:iCs/>
        </w:rPr>
        <w:t>Registration status</w:t>
      </w:r>
    </w:p>
    <w:p w14:paraId="4F975497" w14:textId="519CB2A2" w:rsidR="00B4115E" w:rsidRPr="00B4115E" w:rsidRDefault="002D1AAD" w:rsidP="00864893">
      <w:pPr>
        <w:pStyle w:val="3-BodyText"/>
      </w:pPr>
      <w:r w:rsidRPr="00654A05">
        <w:rPr>
          <w:szCs w:val="24"/>
        </w:rPr>
        <w:t>Methadone-AFT</w:t>
      </w:r>
      <w:r w:rsidR="007E490F" w:rsidRPr="0004721C">
        <w:rPr>
          <w:szCs w:val="24"/>
        </w:rPr>
        <w:t xml:space="preserve"> </w:t>
      </w:r>
      <w:r w:rsidR="005D3D40">
        <w:rPr>
          <w:szCs w:val="24"/>
        </w:rPr>
        <w:t xml:space="preserve">5 mg </w:t>
      </w:r>
      <w:r w:rsidR="007E490F" w:rsidRPr="0004721C">
        <w:rPr>
          <w:szCs w:val="24"/>
        </w:rPr>
        <w:t xml:space="preserve">was </w:t>
      </w:r>
      <w:r w:rsidR="006D5D44">
        <w:rPr>
          <w:szCs w:val="24"/>
        </w:rPr>
        <w:t>Therapeutic Goods Administration (</w:t>
      </w:r>
      <w:r w:rsidR="007E490F" w:rsidRPr="0004721C">
        <w:rPr>
          <w:szCs w:val="24"/>
        </w:rPr>
        <w:t>TGA</w:t>
      </w:r>
      <w:r w:rsidR="006D5D44">
        <w:rPr>
          <w:szCs w:val="24"/>
        </w:rPr>
        <w:t>)</w:t>
      </w:r>
      <w:r w:rsidR="007E490F" w:rsidRPr="0004721C">
        <w:rPr>
          <w:szCs w:val="24"/>
        </w:rPr>
        <w:t xml:space="preserve"> registered on</w:t>
      </w:r>
      <w:r w:rsidR="00FF22B0" w:rsidRPr="00654A05">
        <w:rPr>
          <w:szCs w:val="24"/>
        </w:rPr>
        <w:t xml:space="preserve"> 27 February 2023</w:t>
      </w:r>
      <w:r w:rsidR="00C57413">
        <w:rPr>
          <w:szCs w:val="24"/>
        </w:rPr>
        <w:t xml:space="preserve">. </w:t>
      </w:r>
    </w:p>
    <w:p w14:paraId="66AC2D6C" w14:textId="3E3B300C" w:rsidR="001D1327" w:rsidRDefault="00C57413" w:rsidP="00AC3F81">
      <w:pPr>
        <w:pStyle w:val="3-BodyText"/>
      </w:pPr>
      <w:r>
        <w:rPr>
          <w:szCs w:val="24"/>
        </w:rPr>
        <w:t>Methadone-AFT</w:t>
      </w:r>
      <w:r w:rsidR="00FA6789">
        <w:rPr>
          <w:szCs w:val="24"/>
        </w:rPr>
        <w:t xml:space="preserve"> 5 mg</w:t>
      </w:r>
      <w:r>
        <w:rPr>
          <w:szCs w:val="24"/>
        </w:rPr>
        <w:t xml:space="preserve"> was approve</w:t>
      </w:r>
      <w:r w:rsidR="001C7C6D">
        <w:rPr>
          <w:szCs w:val="24"/>
        </w:rPr>
        <w:t>d</w:t>
      </w:r>
      <w:r w:rsidR="006D5D44">
        <w:rPr>
          <w:szCs w:val="24"/>
        </w:rPr>
        <w:t xml:space="preserve"> for the same indications as </w:t>
      </w:r>
      <w:r w:rsidR="003020F6">
        <w:rPr>
          <w:szCs w:val="24"/>
        </w:rPr>
        <w:t xml:space="preserve">methadone </w:t>
      </w:r>
      <w:r w:rsidR="00ED2268">
        <w:rPr>
          <w:szCs w:val="24"/>
        </w:rPr>
        <w:t xml:space="preserve">10 mg </w:t>
      </w:r>
      <w:r w:rsidR="003020F6">
        <w:rPr>
          <w:szCs w:val="24"/>
        </w:rPr>
        <w:t>tablet</w:t>
      </w:r>
      <w:r w:rsidR="00E95A29">
        <w:t>.</w:t>
      </w:r>
    </w:p>
    <w:p w14:paraId="056E0FC8" w14:textId="53601F9B" w:rsidR="00FA6ED7" w:rsidRPr="00AA3202" w:rsidRDefault="00826157" w:rsidP="00424B97">
      <w:pPr>
        <w:pStyle w:val="3-BodyText"/>
      </w:pPr>
      <w:r>
        <w:t>T</w:t>
      </w:r>
      <w:r w:rsidR="00AD6EB6" w:rsidRPr="00AA3202">
        <w:t xml:space="preserve">he </w:t>
      </w:r>
      <w:r w:rsidR="00AD6EB6" w:rsidRPr="002802BB">
        <w:t xml:space="preserve">TGA approval </w:t>
      </w:r>
      <w:r w:rsidR="00A06CE2" w:rsidRPr="002802BB">
        <w:t>letter</w:t>
      </w:r>
      <w:r>
        <w:t xml:space="preserve"> </w:t>
      </w:r>
      <w:r w:rsidR="00217BEE" w:rsidRPr="00AA3202">
        <w:t>state</w:t>
      </w:r>
      <w:r w:rsidR="002802BB">
        <w:t>d</w:t>
      </w:r>
      <w:r w:rsidR="00217BEE" w:rsidRPr="00AA3202">
        <w:t xml:space="preserve"> that</w:t>
      </w:r>
      <w:r w:rsidR="00033785">
        <w:t xml:space="preserve"> </w:t>
      </w:r>
      <w:r w:rsidR="00033785" w:rsidRPr="00033785">
        <w:t>generic methadone hydrochloride 5 mg and 10</w:t>
      </w:r>
      <w:r w:rsidR="00F65AA5">
        <w:t> </w:t>
      </w:r>
      <w:r w:rsidR="00033785" w:rsidRPr="00033785">
        <w:t xml:space="preserve">mg tablets </w:t>
      </w:r>
      <w:r w:rsidR="00033785">
        <w:t>(Methadone AFT)</w:t>
      </w:r>
      <w:r w:rsidR="00033785" w:rsidRPr="00AA3202">
        <w:t xml:space="preserve"> </w:t>
      </w:r>
      <w:r w:rsidR="00033785" w:rsidRPr="00033785">
        <w:t>included data that established to the TGA's satisfaction that the products can be considered bioequivalent to P</w:t>
      </w:r>
      <w:r w:rsidR="005520B4">
        <w:t>hyseptone</w:t>
      </w:r>
      <w:r w:rsidR="00033785" w:rsidRPr="00033785">
        <w:t xml:space="preserve"> 10 mg tablet</w:t>
      </w:r>
      <w:r w:rsidR="00217BEE" w:rsidRPr="00AA3202">
        <w:t xml:space="preserve"> </w:t>
      </w:r>
      <w:r w:rsidR="00F57B9E">
        <w:t>(hereafter referred to as Ph</w:t>
      </w:r>
      <w:r w:rsidR="006C30D7">
        <w:t>y</w:t>
      </w:r>
      <w:r w:rsidR="00F57B9E">
        <w:t>septone)</w:t>
      </w:r>
      <w:r w:rsidR="002C47DD" w:rsidRPr="00AA3202">
        <w:t xml:space="preserve">. </w:t>
      </w:r>
      <w:r w:rsidR="00944EE9">
        <w:t xml:space="preserve">The TGA noted that the </w:t>
      </w:r>
      <w:r w:rsidR="00944EE9" w:rsidRPr="00944EE9">
        <w:t xml:space="preserve">data supplied </w:t>
      </w:r>
      <w:r w:rsidR="00AB5287">
        <w:t xml:space="preserve">demonstrated </w:t>
      </w:r>
      <w:r w:rsidR="00944EE9" w:rsidRPr="00944EE9">
        <w:t>that</w:t>
      </w:r>
      <w:r w:rsidR="00005B6A">
        <w:t xml:space="preserve"> </w:t>
      </w:r>
      <w:r w:rsidR="00944EE9" w:rsidRPr="00944EE9">
        <w:t>2</w:t>
      </w:r>
      <w:r w:rsidR="00AB5287">
        <w:t xml:space="preserve"> </w:t>
      </w:r>
      <w:r w:rsidR="00944EE9" w:rsidRPr="00944EE9">
        <w:t>x</w:t>
      </w:r>
      <w:r w:rsidR="00AB5287">
        <w:t xml:space="preserve"> </w:t>
      </w:r>
      <w:r w:rsidR="00944EE9" w:rsidRPr="00944EE9">
        <w:t xml:space="preserve">5 mg </w:t>
      </w:r>
      <w:r w:rsidR="00AB5287">
        <w:t xml:space="preserve">Methadone AFT </w:t>
      </w:r>
      <w:r w:rsidR="00944EE9" w:rsidRPr="00944EE9">
        <w:t xml:space="preserve">tablets would be equivalent to </w:t>
      </w:r>
      <w:r w:rsidR="00AB5287">
        <w:t xml:space="preserve">1 x </w:t>
      </w:r>
      <w:r w:rsidR="00944EE9" w:rsidRPr="00944EE9">
        <w:t xml:space="preserve">10 mg </w:t>
      </w:r>
      <w:r w:rsidR="00F57B9E">
        <w:t>Ph</w:t>
      </w:r>
      <w:r w:rsidR="006C30D7">
        <w:t>y</w:t>
      </w:r>
      <w:r w:rsidR="00F57B9E">
        <w:t>septone</w:t>
      </w:r>
      <w:r w:rsidR="00AB5287">
        <w:t xml:space="preserve"> tablet</w:t>
      </w:r>
      <w:r w:rsidR="00944EE9" w:rsidRPr="00944EE9">
        <w:t>.</w:t>
      </w:r>
    </w:p>
    <w:p w14:paraId="0094486E" w14:textId="77777777" w:rsidR="007E490F" w:rsidRPr="009649C8" w:rsidRDefault="007E490F" w:rsidP="00691A2C">
      <w:pPr>
        <w:pStyle w:val="4-SubsectionHeading"/>
        <w:rPr>
          <w:iCs/>
        </w:rPr>
      </w:pPr>
      <w:r w:rsidRPr="009649C8">
        <w:rPr>
          <w:iCs/>
        </w:rPr>
        <w:lastRenderedPageBreak/>
        <w:t xml:space="preserve">Previous PBAC consideration </w:t>
      </w:r>
    </w:p>
    <w:p w14:paraId="56C938A2" w14:textId="6E5659FC" w:rsidR="007E490F" w:rsidRPr="009E47B2" w:rsidRDefault="00010586" w:rsidP="003E6BA6">
      <w:pPr>
        <w:pStyle w:val="3-BodyText"/>
      </w:pPr>
      <w:r>
        <w:t>Methadone 5 mg tablet</w:t>
      </w:r>
      <w:r w:rsidR="004A1077">
        <w:t>s</w:t>
      </w:r>
      <w:r w:rsidR="007E490F" w:rsidRPr="0029583B">
        <w:t xml:space="preserve"> ha</w:t>
      </w:r>
      <w:r w:rsidR="00717375">
        <w:t>ve</w:t>
      </w:r>
      <w:r w:rsidR="007E490F" w:rsidRPr="0029583B">
        <w:t xml:space="preserve"> not been</w:t>
      </w:r>
      <w:r w:rsidR="00243C17">
        <w:t xml:space="preserve"> previously</w:t>
      </w:r>
      <w:r w:rsidR="007E490F" w:rsidRPr="0029583B">
        <w:t xml:space="preserve"> considered by the PBAC for </w:t>
      </w:r>
      <w:r w:rsidR="005811F2" w:rsidRPr="00AA3202">
        <w:t xml:space="preserve">management of </w:t>
      </w:r>
      <w:r w:rsidR="00097174" w:rsidRPr="00AA3202">
        <w:t xml:space="preserve">chronic </w:t>
      </w:r>
      <w:r w:rsidR="005811F2" w:rsidRPr="00AA3202">
        <w:t xml:space="preserve">severe </w:t>
      </w:r>
      <w:r w:rsidR="006A0A74" w:rsidRPr="00AA3202">
        <w:t xml:space="preserve">disabling </w:t>
      </w:r>
      <w:r w:rsidR="005811F2" w:rsidRPr="00AA3202">
        <w:t>pain</w:t>
      </w:r>
      <w:r w:rsidR="007E490F" w:rsidRPr="00A6439B">
        <w:t>.</w:t>
      </w:r>
    </w:p>
    <w:p w14:paraId="344230A8" w14:textId="71F4C8E9" w:rsidR="005C6D66" w:rsidRPr="00AC3F81" w:rsidRDefault="00C8284C" w:rsidP="005C6D66">
      <w:pPr>
        <w:pStyle w:val="3-BodyText"/>
        <w:rPr>
          <w:szCs w:val="24"/>
        </w:rPr>
      </w:pPr>
      <w:r w:rsidRPr="00AC3F81">
        <w:rPr>
          <w:szCs w:val="24"/>
        </w:rPr>
        <w:t xml:space="preserve">The PBAC considered a </w:t>
      </w:r>
      <w:r w:rsidR="00D71348" w:rsidRPr="00AC3F81">
        <w:rPr>
          <w:szCs w:val="24"/>
        </w:rPr>
        <w:t>gap analysis of opioids listed on the PBS at its September</w:t>
      </w:r>
      <w:r w:rsidRPr="00AC3F81" w:rsidDel="00D71348">
        <w:rPr>
          <w:szCs w:val="24"/>
        </w:rPr>
        <w:t xml:space="preserve"> </w:t>
      </w:r>
      <w:r w:rsidR="00D71348" w:rsidRPr="00AC3F81">
        <w:rPr>
          <w:szCs w:val="24"/>
        </w:rPr>
        <w:t>2024 meeting.</w:t>
      </w:r>
      <w:r w:rsidR="005C6D66" w:rsidRPr="00AC3F81">
        <w:rPr>
          <w:szCs w:val="24"/>
        </w:rPr>
        <w:t xml:space="preserve"> The submission </w:t>
      </w:r>
      <w:r w:rsidR="00D71348" w:rsidRPr="00AC3F81">
        <w:rPr>
          <w:szCs w:val="24"/>
        </w:rPr>
        <w:t xml:space="preserve">noted </w:t>
      </w:r>
      <w:r w:rsidR="005C6D66" w:rsidRPr="00AC3F81">
        <w:rPr>
          <w:szCs w:val="24"/>
        </w:rPr>
        <w:t>the PBAC advi</w:t>
      </w:r>
      <w:r w:rsidR="00D57D20" w:rsidRPr="00AC3F81">
        <w:rPr>
          <w:szCs w:val="24"/>
        </w:rPr>
        <w:t>sed</w:t>
      </w:r>
      <w:r w:rsidR="00D71348" w:rsidRPr="00AC3F81">
        <w:rPr>
          <w:szCs w:val="24"/>
        </w:rPr>
        <w:t xml:space="preserve"> </w:t>
      </w:r>
      <w:r w:rsidR="00D57D20" w:rsidRPr="00AC3F81">
        <w:rPr>
          <w:szCs w:val="24"/>
        </w:rPr>
        <w:t xml:space="preserve">that </w:t>
      </w:r>
      <w:r w:rsidR="00D42751" w:rsidRPr="00AC3F81">
        <w:rPr>
          <w:szCs w:val="24"/>
        </w:rPr>
        <w:t xml:space="preserve">it </w:t>
      </w:r>
      <w:r w:rsidR="0003426E" w:rsidRPr="00AC3F81">
        <w:rPr>
          <w:szCs w:val="24"/>
        </w:rPr>
        <w:t xml:space="preserve">is important </w:t>
      </w:r>
      <w:r w:rsidR="005D35E9" w:rsidRPr="00AC3F81">
        <w:rPr>
          <w:szCs w:val="24"/>
        </w:rPr>
        <w:t>to maintain a range of opioid medicines (and dose forms) on the PBS to ensure prescribers have access to suitable therapeutic options for pain management that can be tailored to a patient’s individual circumstances</w:t>
      </w:r>
      <w:r w:rsidR="002A1EC4" w:rsidRPr="00AC3F81">
        <w:rPr>
          <w:szCs w:val="24"/>
        </w:rPr>
        <w:t xml:space="preserve"> (Gap analysis of opioids listed on the PBS</w:t>
      </w:r>
      <w:r w:rsidR="0046505E">
        <w:rPr>
          <w:szCs w:val="24"/>
        </w:rPr>
        <w:t>,</w:t>
      </w:r>
      <w:r w:rsidR="002A1EC4" w:rsidRPr="00AC3F81">
        <w:rPr>
          <w:szCs w:val="24"/>
        </w:rPr>
        <w:t xml:space="preserve"> web outcome, September 2024 PBAC meeting)</w:t>
      </w:r>
      <w:r w:rsidR="005D35E9" w:rsidRPr="00AC3F81">
        <w:rPr>
          <w:szCs w:val="24"/>
        </w:rPr>
        <w:t>.</w:t>
      </w:r>
    </w:p>
    <w:p w14:paraId="1B8790B6" w14:textId="77777777" w:rsidR="00964A9F" w:rsidRPr="00A6439B" w:rsidRDefault="00964A9F" w:rsidP="00964A9F">
      <w:pPr>
        <w:pStyle w:val="2-SectionHeading"/>
      </w:pPr>
      <w:r w:rsidRPr="00A6439B">
        <w:t xml:space="preserve">Requested listing </w:t>
      </w:r>
    </w:p>
    <w:p w14:paraId="489283D5" w14:textId="603B48CA" w:rsidR="00A55A3E" w:rsidRPr="00A6439B" w:rsidRDefault="00F76A22" w:rsidP="00A55A3E">
      <w:pPr>
        <w:pStyle w:val="3-BodyText"/>
      </w:pPr>
      <w:r>
        <w:t xml:space="preserve">The submission requested </w:t>
      </w:r>
      <w:r w:rsidR="006F4D9B">
        <w:t xml:space="preserve">listing </w:t>
      </w:r>
      <w:r w:rsidR="00BA64EA">
        <w:t>Methadone</w:t>
      </w:r>
      <w:r w:rsidR="006F4D9B">
        <w:t xml:space="preserve"> AFT </w:t>
      </w:r>
      <w:r w:rsidR="00CE4F3E">
        <w:t xml:space="preserve">5 mg </w:t>
      </w:r>
      <w:r>
        <w:t xml:space="preserve">for </w:t>
      </w:r>
      <w:r w:rsidR="006F4D9B">
        <w:t xml:space="preserve">the </w:t>
      </w:r>
      <w:r>
        <w:t xml:space="preserve">treatment of chronic severe disabling pain where alternative pain management therapies have failed. </w:t>
      </w:r>
      <w:r w:rsidR="00DC72EF" w:rsidRPr="009E47B2">
        <w:rPr>
          <w:iCs/>
        </w:rPr>
        <w:t>As the submission did not present proposed restrictions,</w:t>
      </w:r>
      <w:r w:rsidR="00DC72EF">
        <w:t xml:space="preserve"> </w:t>
      </w:r>
      <w:r w:rsidR="00DC72EF" w:rsidRPr="009E47B2">
        <w:rPr>
          <w:iCs/>
        </w:rPr>
        <w:t>t</w:t>
      </w:r>
      <w:r w:rsidR="00964A9F" w:rsidRPr="009E47B2">
        <w:rPr>
          <w:iCs/>
        </w:rPr>
        <w:t xml:space="preserve">he </w:t>
      </w:r>
      <w:r w:rsidRPr="009E47B2">
        <w:rPr>
          <w:iCs/>
        </w:rPr>
        <w:t>Secretariat propose</w:t>
      </w:r>
      <w:r w:rsidR="00AD666F">
        <w:rPr>
          <w:iCs/>
        </w:rPr>
        <w:t>d</w:t>
      </w:r>
      <w:r w:rsidRPr="009E47B2">
        <w:rPr>
          <w:iCs/>
        </w:rPr>
        <w:t xml:space="preserve"> </w:t>
      </w:r>
      <w:r w:rsidR="00964A9F" w:rsidRPr="009E47B2">
        <w:rPr>
          <w:iCs/>
        </w:rPr>
        <w:t>the following new listing</w:t>
      </w:r>
      <w:r w:rsidR="00AD3B18" w:rsidRPr="009E47B2">
        <w:rPr>
          <w:iCs/>
        </w:rPr>
        <w:t xml:space="preserve">, under the same circumstances as the currently listed </w:t>
      </w:r>
      <w:r w:rsidR="00AD369E" w:rsidRPr="009E47B2">
        <w:rPr>
          <w:iCs/>
        </w:rPr>
        <w:t>methadone 10 mg tablet</w:t>
      </w:r>
      <w:r w:rsidR="00637C50" w:rsidRPr="009E47B2">
        <w:rPr>
          <w:iCs/>
        </w:rPr>
        <w:t xml:space="preserve"> (</w:t>
      </w:r>
      <w:r w:rsidR="00580A90" w:rsidRPr="009E47B2">
        <w:rPr>
          <w:iCs/>
        </w:rPr>
        <w:t>1609Q, 12520Y</w:t>
      </w:r>
      <w:r w:rsidR="00637C50" w:rsidRPr="009E47B2">
        <w:rPr>
          <w:iCs/>
        </w:rPr>
        <w:t>)</w:t>
      </w:r>
      <w:r w:rsidR="00A55A3E">
        <w:t>.</w:t>
      </w:r>
    </w:p>
    <w:p w14:paraId="17118911" w14:textId="493E63CF" w:rsidR="00964A9F" w:rsidRPr="00A6439B" w:rsidRDefault="00964A9F" w:rsidP="00964A9F">
      <w:pPr>
        <w:spacing w:after="120"/>
        <w:rPr>
          <w:rFonts w:asciiTheme="minorHAnsi" w:hAnsiTheme="minorHAnsi" w:cstheme="minorHAnsi"/>
        </w:rPr>
      </w:pPr>
      <w:r w:rsidRPr="009E47B2">
        <w:rPr>
          <w:rFonts w:asciiTheme="minorHAnsi" w:hAnsiTheme="minorHAnsi" w:cstheme="minorHAnsi"/>
        </w:rPr>
        <w:t>Add new medicinal product as follows:</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492"/>
        <w:gridCol w:w="784"/>
        <w:gridCol w:w="2661"/>
        <w:gridCol w:w="811"/>
        <w:gridCol w:w="812"/>
        <w:gridCol w:w="811"/>
        <w:gridCol w:w="812"/>
        <w:gridCol w:w="1838"/>
      </w:tblGrid>
      <w:tr w:rsidR="00AA24E9" w:rsidRPr="001428E9" w14:paraId="090EC971" w14:textId="77777777" w:rsidTr="00D606D6">
        <w:trPr>
          <w:cantSplit/>
          <w:trHeight w:val="20"/>
        </w:trPr>
        <w:tc>
          <w:tcPr>
            <w:tcW w:w="3937" w:type="dxa"/>
            <w:gridSpan w:val="3"/>
            <w:vAlign w:val="center"/>
          </w:tcPr>
          <w:p w14:paraId="6811159C" w14:textId="77777777" w:rsidR="00AA24E9" w:rsidRPr="001428E9" w:rsidRDefault="00AA24E9">
            <w:pPr>
              <w:keepLines/>
              <w:rPr>
                <w:rFonts w:ascii="Arial Narrow" w:hAnsi="Arial Narrow" w:cs="Arial"/>
                <w:b/>
                <w:bCs/>
                <w:sz w:val="20"/>
                <w:szCs w:val="20"/>
              </w:rPr>
            </w:pPr>
            <w:r w:rsidRPr="001428E9">
              <w:rPr>
                <w:rFonts w:ascii="Arial Narrow" w:hAnsi="Arial Narrow" w:cs="Arial"/>
                <w:b/>
                <w:bCs/>
                <w:sz w:val="20"/>
                <w:szCs w:val="20"/>
              </w:rPr>
              <w:t>MEDICINAL PRODUCT</w:t>
            </w:r>
          </w:p>
          <w:p w14:paraId="72770312" w14:textId="77777777" w:rsidR="00AA24E9" w:rsidRPr="001428E9" w:rsidRDefault="00AA24E9">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5ABDBDFA" w14:textId="77777777" w:rsidR="00AA24E9" w:rsidRPr="001428E9" w:rsidRDefault="00AA24E9">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3C2E0426" w14:textId="77777777" w:rsidR="00AA24E9" w:rsidRPr="001428E9" w:rsidRDefault="00AA24E9">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4C6207F6" w14:textId="77777777" w:rsidR="00AA24E9" w:rsidRPr="001428E9" w:rsidRDefault="00AA24E9">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67D84042" w14:textId="77777777" w:rsidR="00AA24E9" w:rsidRPr="001428E9" w:rsidRDefault="00AA24E9">
            <w:pPr>
              <w:keepLines/>
              <w:jc w:val="center"/>
              <w:rPr>
                <w:rFonts w:ascii="Arial Narrow" w:hAnsi="Arial Narrow" w:cs="Arial"/>
                <w:b/>
                <w:sz w:val="20"/>
                <w:szCs w:val="20"/>
              </w:rPr>
            </w:pPr>
            <w:r w:rsidRPr="001428E9">
              <w:rPr>
                <w:rFonts w:ascii="Arial Narrow" w:hAnsi="Arial Narrow" w:cs="Arial"/>
                <w:b/>
                <w:sz w:val="20"/>
                <w:szCs w:val="20"/>
              </w:rPr>
              <w:t>№.of</w:t>
            </w:r>
          </w:p>
          <w:p w14:paraId="6E260049" w14:textId="77777777" w:rsidR="00AA24E9" w:rsidRPr="001428E9" w:rsidRDefault="00AA24E9">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8" w:type="dxa"/>
            <w:vAlign w:val="center"/>
          </w:tcPr>
          <w:p w14:paraId="42E5E854" w14:textId="77777777" w:rsidR="00AA24E9" w:rsidRPr="001428E9" w:rsidRDefault="00AA24E9">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AA24E9" w:rsidRPr="001428E9" w14:paraId="5A19CA65" w14:textId="77777777" w:rsidTr="00D606D6">
        <w:trPr>
          <w:cantSplit/>
          <w:trHeight w:val="20"/>
        </w:trPr>
        <w:tc>
          <w:tcPr>
            <w:tcW w:w="9021" w:type="dxa"/>
            <w:gridSpan w:val="8"/>
            <w:vAlign w:val="center"/>
          </w:tcPr>
          <w:p w14:paraId="1752AF3F" w14:textId="0E820007" w:rsidR="00AA24E9" w:rsidRPr="001428E9" w:rsidRDefault="001C002B">
            <w:pPr>
              <w:keepLines/>
              <w:rPr>
                <w:rFonts w:ascii="Arial Narrow" w:hAnsi="Arial Narrow" w:cs="Arial"/>
                <w:sz w:val="20"/>
                <w:szCs w:val="20"/>
              </w:rPr>
            </w:pPr>
            <w:r>
              <w:rPr>
                <w:rFonts w:ascii="Arial Narrow" w:hAnsi="Arial Narrow" w:cs="Arial"/>
                <w:sz w:val="20"/>
                <w:szCs w:val="20"/>
              </w:rPr>
              <w:t>METHADONE</w:t>
            </w:r>
            <w:r w:rsidR="00AA24E9" w:rsidRPr="001428E9">
              <w:rPr>
                <w:rFonts w:ascii="Arial Narrow" w:hAnsi="Arial Narrow" w:cs="Arial"/>
                <w:color w:val="FF0000"/>
                <w:sz w:val="20"/>
                <w:szCs w:val="20"/>
              </w:rPr>
              <w:t xml:space="preserve"> </w:t>
            </w:r>
          </w:p>
        </w:tc>
      </w:tr>
      <w:tr w:rsidR="00AA24E9" w:rsidRPr="001428E9" w14:paraId="28F8C744" w14:textId="77777777" w:rsidTr="00D606D6">
        <w:trPr>
          <w:cantSplit/>
          <w:trHeight w:val="20"/>
        </w:trPr>
        <w:tc>
          <w:tcPr>
            <w:tcW w:w="3937" w:type="dxa"/>
            <w:gridSpan w:val="3"/>
            <w:vAlign w:val="center"/>
          </w:tcPr>
          <w:p w14:paraId="2A765B9C" w14:textId="4552916E" w:rsidR="00AA24E9" w:rsidRPr="001428E9" w:rsidRDefault="00CF5374">
            <w:pPr>
              <w:keepLines/>
              <w:rPr>
                <w:rFonts w:ascii="Arial Narrow" w:hAnsi="Arial Narrow" w:cs="Arial"/>
                <w:sz w:val="20"/>
                <w:szCs w:val="20"/>
              </w:rPr>
            </w:pPr>
            <w:r>
              <w:rPr>
                <w:rFonts w:ascii="Arial Narrow" w:hAnsi="Arial Narrow" w:cs="Arial"/>
                <w:sz w:val="20"/>
                <w:szCs w:val="20"/>
              </w:rPr>
              <w:t>m</w:t>
            </w:r>
            <w:r w:rsidR="0073577A">
              <w:rPr>
                <w:rFonts w:ascii="Arial Narrow" w:hAnsi="Arial Narrow" w:cs="Arial"/>
                <w:sz w:val="20"/>
                <w:szCs w:val="20"/>
              </w:rPr>
              <w:t>ethadone</w:t>
            </w:r>
            <w:r w:rsidR="00516EF0">
              <w:rPr>
                <w:rFonts w:ascii="Arial Narrow" w:hAnsi="Arial Narrow" w:cs="Arial"/>
                <w:sz w:val="20"/>
                <w:szCs w:val="20"/>
              </w:rPr>
              <w:t xml:space="preserve"> </w:t>
            </w:r>
            <w:r>
              <w:rPr>
                <w:rFonts w:ascii="Arial Narrow" w:hAnsi="Arial Narrow" w:cs="Arial"/>
                <w:sz w:val="20"/>
                <w:szCs w:val="20"/>
              </w:rPr>
              <w:t xml:space="preserve">hydrochloride </w:t>
            </w:r>
            <w:r w:rsidR="00516EF0">
              <w:rPr>
                <w:rFonts w:ascii="Arial Narrow" w:hAnsi="Arial Narrow" w:cs="Arial"/>
                <w:sz w:val="20"/>
                <w:szCs w:val="20"/>
              </w:rPr>
              <w:t>5</w:t>
            </w:r>
            <w:r w:rsidR="008E223C">
              <w:rPr>
                <w:rFonts w:ascii="Arial Narrow" w:hAnsi="Arial Narrow" w:cs="Arial"/>
                <w:sz w:val="20"/>
                <w:szCs w:val="20"/>
              </w:rPr>
              <w:t xml:space="preserve"> </w:t>
            </w:r>
            <w:r w:rsidR="00516EF0">
              <w:rPr>
                <w:rFonts w:ascii="Arial Narrow" w:hAnsi="Arial Narrow" w:cs="Arial"/>
                <w:sz w:val="20"/>
                <w:szCs w:val="20"/>
              </w:rPr>
              <w:t xml:space="preserve">mg tablet, </w:t>
            </w:r>
            <w:r>
              <w:rPr>
                <w:rFonts w:ascii="Arial Narrow" w:hAnsi="Arial Narrow" w:cs="Arial"/>
                <w:sz w:val="20"/>
                <w:szCs w:val="20"/>
              </w:rPr>
              <w:t>20</w:t>
            </w:r>
          </w:p>
        </w:tc>
        <w:tc>
          <w:tcPr>
            <w:tcW w:w="811" w:type="dxa"/>
            <w:vAlign w:val="center"/>
          </w:tcPr>
          <w:p w14:paraId="19A53E20" w14:textId="0C66C595" w:rsidR="00AA24E9" w:rsidRPr="001428E9" w:rsidRDefault="00AA24E9">
            <w:pPr>
              <w:keepLines/>
              <w:jc w:val="center"/>
              <w:rPr>
                <w:rFonts w:ascii="Arial Narrow" w:hAnsi="Arial Narrow" w:cs="Arial"/>
                <w:sz w:val="20"/>
                <w:szCs w:val="20"/>
              </w:rPr>
            </w:pPr>
            <w:r w:rsidRPr="001428E9">
              <w:rPr>
                <w:rFonts w:ascii="Arial Narrow" w:hAnsi="Arial Narrow" w:cs="Arial"/>
                <w:sz w:val="20"/>
                <w:szCs w:val="20"/>
              </w:rPr>
              <w:t>NEW</w:t>
            </w:r>
          </w:p>
        </w:tc>
        <w:tc>
          <w:tcPr>
            <w:tcW w:w="812" w:type="dxa"/>
            <w:vAlign w:val="center"/>
          </w:tcPr>
          <w:p w14:paraId="734D0BEB" w14:textId="4A26604E" w:rsidR="00AA24E9" w:rsidRPr="001428E9" w:rsidRDefault="001B0B9D">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6DCF1C59" w14:textId="17CC711C" w:rsidR="00AA24E9" w:rsidRPr="001428E9" w:rsidRDefault="00776E49">
            <w:pPr>
              <w:keepLines/>
              <w:jc w:val="center"/>
              <w:rPr>
                <w:rFonts w:ascii="Arial Narrow" w:hAnsi="Arial Narrow" w:cs="Arial"/>
                <w:sz w:val="20"/>
                <w:szCs w:val="20"/>
              </w:rPr>
            </w:pPr>
            <w:r>
              <w:rPr>
                <w:rFonts w:ascii="Arial Narrow" w:hAnsi="Arial Narrow" w:cs="Arial"/>
                <w:sz w:val="20"/>
                <w:szCs w:val="20"/>
              </w:rPr>
              <w:t>20</w:t>
            </w:r>
          </w:p>
        </w:tc>
        <w:tc>
          <w:tcPr>
            <w:tcW w:w="812" w:type="dxa"/>
            <w:vAlign w:val="center"/>
          </w:tcPr>
          <w:p w14:paraId="3D7F646A" w14:textId="7AC54281" w:rsidR="00AA24E9" w:rsidRPr="001428E9" w:rsidRDefault="00B13D5C">
            <w:pPr>
              <w:keepLines/>
              <w:jc w:val="center"/>
              <w:rPr>
                <w:rFonts w:ascii="Arial Narrow" w:hAnsi="Arial Narrow" w:cs="Arial"/>
                <w:sz w:val="20"/>
                <w:szCs w:val="20"/>
              </w:rPr>
            </w:pPr>
            <w:r>
              <w:rPr>
                <w:rFonts w:ascii="Arial Narrow" w:hAnsi="Arial Narrow" w:cs="Arial"/>
                <w:sz w:val="20"/>
                <w:szCs w:val="20"/>
              </w:rPr>
              <w:t>0</w:t>
            </w:r>
          </w:p>
        </w:tc>
        <w:tc>
          <w:tcPr>
            <w:tcW w:w="1838" w:type="dxa"/>
            <w:vAlign w:val="center"/>
          </w:tcPr>
          <w:p w14:paraId="5B3C0781" w14:textId="41AF9181" w:rsidR="00AA24E9" w:rsidRPr="001428E9" w:rsidRDefault="00E67B05">
            <w:pPr>
              <w:keepLines/>
              <w:rPr>
                <w:rFonts w:ascii="Arial Narrow" w:hAnsi="Arial Narrow" w:cs="Arial"/>
                <w:sz w:val="20"/>
                <w:szCs w:val="20"/>
              </w:rPr>
            </w:pPr>
            <w:r>
              <w:rPr>
                <w:rFonts w:ascii="Arial Narrow" w:hAnsi="Arial Narrow" w:cs="Arial"/>
                <w:sz w:val="20"/>
                <w:szCs w:val="20"/>
              </w:rPr>
              <w:t>METHADONE-AFT</w:t>
            </w:r>
          </w:p>
        </w:tc>
      </w:tr>
      <w:tr w:rsidR="00AA24E9" w:rsidRPr="001428E9" w14:paraId="1CA3A3BB" w14:textId="77777777" w:rsidTr="00D606D6">
        <w:tblPrEx>
          <w:tblCellMar>
            <w:top w:w="15" w:type="dxa"/>
            <w:bottom w:w="15" w:type="dxa"/>
          </w:tblCellMar>
          <w:tblLook w:val="04A0" w:firstRow="1" w:lastRow="0" w:firstColumn="1" w:lastColumn="0" w:noHBand="0" w:noVBand="1"/>
        </w:tblPrEx>
        <w:trPr>
          <w:trHeight w:val="20"/>
        </w:trPr>
        <w:tc>
          <w:tcPr>
            <w:tcW w:w="9021" w:type="dxa"/>
            <w:gridSpan w:val="8"/>
            <w:tcBorders>
              <w:top w:val="single" w:sz="4" w:space="0" w:color="auto"/>
              <w:left w:val="single" w:sz="4" w:space="0" w:color="auto"/>
              <w:right w:val="single" w:sz="4" w:space="0" w:color="auto"/>
            </w:tcBorders>
            <w:vAlign w:val="center"/>
          </w:tcPr>
          <w:p w14:paraId="11E1C087" w14:textId="61DC7865" w:rsidR="00AA24E9" w:rsidRPr="001428E9" w:rsidRDefault="00AA24E9">
            <w:pPr>
              <w:rPr>
                <w:rFonts w:ascii="Arial Narrow" w:hAnsi="Arial Narrow" w:cs="Arial"/>
                <w:sz w:val="20"/>
                <w:szCs w:val="20"/>
              </w:rPr>
            </w:pPr>
          </w:p>
        </w:tc>
      </w:tr>
      <w:tr w:rsidR="00AA24E9" w:rsidRPr="001428E9" w14:paraId="70D0340B" w14:textId="77777777" w:rsidTr="00D606D6">
        <w:tblPrEx>
          <w:tblCellMar>
            <w:top w:w="15" w:type="dxa"/>
            <w:bottom w:w="15" w:type="dxa"/>
          </w:tblCellMar>
          <w:tblLook w:val="04A0" w:firstRow="1" w:lastRow="0" w:firstColumn="1" w:lastColumn="0" w:noHBand="0" w:noVBand="1"/>
        </w:tblPrEx>
        <w:trPr>
          <w:trHeight w:val="20"/>
        </w:trPr>
        <w:tc>
          <w:tcPr>
            <w:tcW w:w="9021" w:type="dxa"/>
            <w:gridSpan w:val="8"/>
            <w:tcBorders>
              <w:top w:val="single" w:sz="4" w:space="0" w:color="auto"/>
              <w:left w:val="single" w:sz="4" w:space="0" w:color="auto"/>
              <w:right w:val="single" w:sz="4" w:space="0" w:color="auto"/>
            </w:tcBorders>
            <w:vAlign w:val="center"/>
          </w:tcPr>
          <w:p w14:paraId="4CCD089C" w14:textId="7F887A18" w:rsidR="00AA24E9" w:rsidRPr="001428E9" w:rsidRDefault="00AA24E9">
            <w:pPr>
              <w:keepLines/>
              <w:rPr>
                <w:rFonts w:ascii="Arial Narrow" w:hAnsi="Arial Narrow" w:cs="Arial"/>
                <w:b/>
                <w:sz w:val="20"/>
                <w:szCs w:val="20"/>
              </w:rPr>
            </w:pPr>
            <w:r w:rsidRPr="001428E9">
              <w:rPr>
                <w:rFonts w:ascii="Arial Narrow" w:hAnsi="Arial Narrow"/>
                <w:b/>
                <w:sz w:val="20"/>
                <w:szCs w:val="20"/>
              </w:rPr>
              <w:t xml:space="preserve">Restriction </w:t>
            </w:r>
            <w:r w:rsidRPr="00C432E7">
              <w:rPr>
                <w:rFonts w:ascii="Arial Narrow" w:hAnsi="Arial Narrow"/>
                <w:b/>
                <w:sz w:val="20"/>
                <w:szCs w:val="20"/>
              </w:rPr>
              <w:t>Summary</w:t>
            </w:r>
            <w:r w:rsidR="00BB1205">
              <w:rPr>
                <w:rFonts w:ascii="Arial Narrow" w:hAnsi="Arial Narrow"/>
                <w:b/>
                <w:sz w:val="20"/>
                <w:szCs w:val="20"/>
              </w:rPr>
              <w:t>:</w:t>
            </w:r>
            <w:r w:rsidR="00DD4542" w:rsidRPr="00D858D2">
              <w:rPr>
                <w:rFonts w:ascii="Arial Narrow" w:hAnsi="Arial Narrow"/>
                <w:b/>
                <w:sz w:val="20"/>
                <w:szCs w:val="20"/>
              </w:rPr>
              <w:t xml:space="preserve"> 15995</w:t>
            </w:r>
            <w:r w:rsidR="00BB1205">
              <w:rPr>
                <w:rFonts w:ascii="Arial Narrow" w:hAnsi="Arial Narrow"/>
                <w:b/>
                <w:sz w:val="20"/>
                <w:szCs w:val="20"/>
              </w:rPr>
              <w:t xml:space="preserve"> </w:t>
            </w:r>
            <w:r w:rsidRPr="00C432E7">
              <w:rPr>
                <w:rFonts w:ascii="Arial Narrow" w:hAnsi="Arial Narrow"/>
                <w:b/>
                <w:sz w:val="20"/>
                <w:szCs w:val="20"/>
              </w:rPr>
              <w:t>/ Treatment of Concept:</w:t>
            </w:r>
            <w:r w:rsidR="00CF7472" w:rsidRPr="00D858D2">
              <w:rPr>
                <w:rFonts w:ascii="Arial Narrow" w:hAnsi="Arial Narrow"/>
                <w:b/>
                <w:sz w:val="20"/>
                <w:szCs w:val="20"/>
              </w:rPr>
              <w:t>15996</w:t>
            </w:r>
          </w:p>
        </w:tc>
      </w:tr>
      <w:tr w:rsidR="00AA24E9" w:rsidRPr="001428E9" w14:paraId="351E5687" w14:textId="77777777" w:rsidTr="00D606D6">
        <w:tblPrEx>
          <w:tblCellMar>
            <w:top w:w="15" w:type="dxa"/>
            <w:bottom w:w="15" w:type="dxa"/>
          </w:tblCellMar>
          <w:tblLook w:val="04A0" w:firstRow="1" w:lastRow="0" w:firstColumn="1" w:lastColumn="0" w:noHBand="0" w:noVBand="1"/>
        </w:tblPrEx>
        <w:trPr>
          <w:trHeight w:val="20"/>
        </w:trPr>
        <w:tc>
          <w:tcPr>
            <w:tcW w:w="1276" w:type="dxa"/>
            <w:gridSpan w:val="2"/>
            <w:vMerge w:val="restart"/>
            <w:tcBorders>
              <w:top w:val="single" w:sz="4" w:space="0" w:color="auto"/>
              <w:left w:val="single" w:sz="4" w:space="0" w:color="auto"/>
              <w:right w:val="single" w:sz="4" w:space="0" w:color="auto"/>
            </w:tcBorders>
          </w:tcPr>
          <w:p w14:paraId="7E696EFF" w14:textId="77777777" w:rsidR="00AA24E9" w:rsidRPr="001428E9" w:rsidRDefault="00AA24E9">
            <w:pPr>
              <w:jc w:val="center"/>
              <w:rPr>
                <w:rFonts w:ascii="Arial Narrow" w:hAnsi="Arial Narrow" w:cs="Arial"/>
                <w:b/>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r w:rsidRPr="001428E9">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DD42725" w14:textId="6AFA70F5" w:rsidR="00AA24E9" w:rsidRPr="001428E9" w:rsidRDefault="00AA24E9">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p>
          <w:p w14:paraId="2283CB63" w14:textId="76899E1B" w:rsidR="00AA24E9" w:rsidRPr="001428E9" w:rsidRDefault="00D72918" w:rsidP="00AA3202">
            <w:pPr>
              <w:keepLines/>
              <w:jc w:val="left"/>
              <w:rPr>
                <w:rFonts w:ascii="Arial Narrow" w:hAnsi="Arial Narrow" w:cs="Arial"/>
                <w:sz w:val="20"/>
                <w:szCs w:val="20"/>
              </w:rPr>
            </w:pP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w:instrText>
            </w:r>
            <w:bookmarkStart w:id="0" w:name="Check1"/>
            <w:r>
              <w:rPr>
                <w:rFonts w:ascii="Arial Narrow" w:eastAsia="Calibri" w:hAnsi="Arial Narrow" w:cs="Arial"/>
                <w:sz w:val="20"/>
                <w:szCs w:val="20"/>
              </w:rPr>
              <w:instrText xml:space="preserve">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bookmarkEnd w:id="0"/>
            <w:r w:rsidR="00AA24E9">
              <w:rPr>
                <w:rFonts w:ascii="Arial Narrow" w:eastAsia="Calibri" w:hAnsi="Arial Narrow" w:cs="Arial"/>
                <w:sz w:val="20"/>
                <w:szCs w:val="20"/>
              </w:rPr>
              <w:t xml:space="preserve"> GENERAL - General Schedule (Code GE) </w:t>
            </w:r>
          </w:p>
        </w:tc>
      </w:tr>
      <w:tr w:rsidR="00AA24E9" w:rsidRPr="001428E9" w14:paraId="69F11352" w14:textId="77777777" w:rsidTr="00D606D6">
        <w:tblPrEx>
          <w:tblCellMar>
            <w:top w:w="15" w:type="dxa"/>
            <w:bottom w:w="15" w:type="dxa"/>
          </w:tblCellMar>
          <w:tblLook w:val="04A0" w:firstRow="1" w:lastRow="0" w:firstColumn="1" w:lastColumn="0" w:noHBand="0" w:noVBand="1"/>
        </w:tblPrEx>
        <w:trPr>
          <w:trHeight w:val="20"/>
        </w:trPr>
        <w:tc>
          <w:tcPr>
            <w:tcW w:w="1276" w:type="dxa"/>
            <w:gridSpan w:val="2"/>
            <w:vMerge/>
            <w:tcBorders>
              <w:left w:val="single" w:sz="4" w:space="0" w:color="auto"/>
              <w:right w:val="single" w:sz="4" w:space="0" w:color="auto"/>
            </w:tcBorders>
          </w:tcPr>
          <w:p w14:paraId="67EA5068" w14:textId="77777777" w:rsidR="00AA24E9" w:rsidRPr="001428E9" w:rsidRDefault="00AA24E9">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31B9E0B" w14:textId="0549711A" w:rsidR="00AA24E9" w:rsidRDefault="00AA24E9">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p>
          <w:p w14:paraId="758AD3ED" w14:textId="4E541CBD" w:rsidR="00AA24E9" w:rsidRPr="001428E9" w:rsidRDefault="00AA24E9">
            <w:pPr>
              <w:keepLines/>
              <w:rPr>
                <w:rFonts w:ascii="Arial Narrow" w:hAnsi="Arial Narrow" w:cs="Arial"/>
                <w:b/>
                <w:sz w:val="20"/>
                <w:szCs w:val="20"/>
              </w:rPr>
            </w:pPr>
            <w:r w:rsidRPr="001428E9">
              <w:rPr>
                <w:rFonts w:ascii="Arial Narrow" w:hAnsi="Arial Narrow" w:cs="Arial"/>
                <w:b/>
                <w:sz w:val="20"/>
                <w:szCs w:val="20"/>
              </w:rPr>
              <w:t xml:space="preserve"> </w:t>
            </w:r>
            <w:r w:rsidR="0080218E">
              <w:rPr>
                <w:rFonts w:ascii="Arial Narrow" w:hAnsi="Arial Narrow" w:cs="Arial"/>
                <w:sz w:val="20"/>
                <w:szCs w:val="20"/>
              </w:rPr>
              <w:fldChar w:fldCharType="begin">
                <w:ffData>
                  <w:name w:val=""/>
                  <w:enabled/>
                  <w:calcOnExit w:val="0"/>
                  <w:checkBox>
                    <w:sizeAuto/>
                    <w:default w:val="1"/>
                  </w:checkBox>
                </w:ffData>
              </w:fldChar>
            </w:r>
            <w:r w:rsidR="0080218E">
              <w:rPr>
                <w:rFonts w:ascii="Arial Narrow" w:hAnsi="Arial Narrow" w:cs="Arial"/>
                <w:sz w:val="20"/>
                <w:szCs w:val="20"/>
              </w:rPr>
              <w:instrText xml:space="preserve"> FORMCHECKBOX </w:instrText>
            </w:r>
            <w:r w:rsidR="0080218E">
              <w:rPr>
                <w:rFonts w:ascii="Arial Narrow" w:hAnsi="Arial Narrow" w:cs="Arial"/>
                <w:sz w:val="20"/>
                <w:szCs w:val="20"/>
              </w:rPr>
            </w:r>
            <w:r w:rsidR="0080218E">
              <w:rPr>
                <w:rFonts w:ascii="Arial Narrow" w:hAnsi="Arial Narrow" w:cs="Arial"/>
                <w:sz w:val="20"/>
                <w:szCs w:val="20"/>
              </w:rPr>
              <w:fldChar w:fldCharType="separate"/>
            </w:r>
            <w:r w:rsidR="0080218E">
              <w:rPr>
                <w:rFonts w:ascii="Arial Narrow" w:hAnsi="Arial Narrow" w:cs="Arial"/>
                <w:sz w:val="20"/>
                <w:szCs w:val="20"/>
              </w:rPr>
              <w:fldChar w:fldCharType="end"/>
            </w:r>
            <w:r w:rsidRPr="001428E9">
              <w:rPr>
                <w:rFonts w:ascii="Arial Narrow" w:hAnsi="Arial Narrow" w:cs="Arial"/>
                <w:sz w:val="20"/>
                <w:szCs w:val="20"/>
              </w:rPr>
              <w:t xml:space="preserve">Medical Practitioners </w:t>
            </w:r>
            <w:r w:rsidR="0080218E">
              <w:rPr>
                <w:rFonts w:ascii="Arial Narrow" w:hAnsi="Arial Narrow" w:cs="Arial"/>
                <w:sz w:val="20"/>
                <w:szCs w:val="20"/>
              </w:rPr>
              <w:fldChar w:fldCharType="begin">
                <w:ffData>
                  <w:name w:val="Check3"/>
                  <w:enabled/>
                  <w:calcOnExit w:val="0"/>
                  <w:checkBox>
                    <w:sizeAuto/>
                    <w:default w:val="1"/>
                  </w:checkBox>
                </w:ffData>
              </w:fldChar>
            </w:r>
            <w:r w:rsidR="0080218E">
              <w:rPr>
                <w:rFonts w:ascii="Arial Narrow" w:hAnsi="Arial Narrow" w:cs="Arial"/>
                <w:sz w:val="20"/>
                <w:szCs w:val="20"/>
              </w:rPr>
              <w:instrText xml:space="preserve"> </w:instrText>
            </w:r>
            <w:bookmarkStart w:id="1" w:name="Check3"/>
            <w:r w:rsidR="0080218E">
              <w:rPr>
                <w:rFonts w:ascii="Arial Narrow" w:hAnsi="Arial Narrow" w:cs="Arial"/>
                <w:sz w:val="20"/>
                <w:szCs w:val="20"/>
              </w:rPr>
              <w:instrText xml:space="preserve">FORMCHECKBOX </w:instrText>
            </w:r>
            <w:r w:rsidR="0080218E">
              <w:rPr>
                <w:rFonts w:ascii="Arial Narrow" w:hAnsi="Arial Narrow" w:cs="Arial"/>
                <w:sz w:val="20"/>
                <w:szCs w:val="20"/>
              </w:rPr>
            </w:r>
            <w:r w:rsidR="0080218E">
              <w:rPr>
                <w:rFonts w:ascii="Arial Narrow" w:hAnsi="Arial Narrow" w:cs="Arial"/>
                <w:sz w:val="20"/>
                <w:szCs w:val="20"/>
              </w:rPr>
              <w:fldChar w:fldCharType="separate"/>
            </w:r>
            <w:r w:rsidR="0080218E">
              <w:rPr>
                <w:rFonts w:ascii="Arial Narrow" w:hAnsi="Arial Narrow" w:cs="Arial"/>
                <w:sz w:val="20"/>
                <w:szCs w:val="20"/>
              </w:rPr>
              <w:fldChar w:fldCharType="end"/>
            </w:r>
            <w:bookmarkEnd w:id="1"/>
            <w:r w:rsidRPr="001428E9">
              <w:rPr>
                <w:rFonts w:ascii="Arial Narrow" w:hAnsi="Arial Narrow" w:cs="Arial"/>
                <w:sz w:val="20"/>
                <w:szCs w:val="20"/>
              </w:rPr>
              <w:t xml:space="preserve">Nurse practitioners </w:t>
            </w:r>
          </w:p>
        </w:tc>
      </w:tr>
      <w:tr w:rsidR="00AA24E9" w:rsidRPr="00D56F94" w14:paraId="2903BDB0" w14:textId="77777777" w:rsidTr="00D606D6">
        <w:tblPrEx>
          <w:tblCellMar>
            <w:top w:w="15" w:type="dxa"/>
            <w:bottom w:w="15" w:type="dxa"/>
          </w:tblCellMar>
          <w:tblLook w:val="04A0" w:firstRow="1" w:lastRow="0" w:firstColumn="1" w:lastColumn="0" w:noHBand="0" w:noVBand="1"/>
        </w:tblPrEx>
        <w:trPr>
          <w:trHeight w:val="20"/>
        </w:trPr>
        <w:tc>
          <w:tcPr>
            <w:tcW w:w="1276" w:type="dxa"/>
            <w:gridSpan w:val="2"/>
            <w:vMerge/>
            <w:tcBorders>
              <w:left w:val="single" w:sz="4" w:space="0" w:color="auto"/>
              <w:right w:val="single" w:sz="4" w:space="0" w:color="auto"/>
            </w:tcBorders>
          </w:tcPr>
          <w:p w14:paraId="607F241A" w14:textId="77777777" w:rsidR="00AA24E9" w:rsidRPr="001428E9" w:rsidRDefault="00AA24E9">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D10651B" w14:textId="3B8805F9" w:rsidR="00AA24E9" w:rsidRPr="0042465B" w:rsidRDefault="00AA24E9" w:rsidP="00BD6B2F">
            <w:pPr>
              <w:keepLines/>
              <w:jc w:val="left"/>
              <w:rPr>
                <w:rFonts w:ascii="Arial Narrow" w:eastAsia="Calibri" w:hAnsi="Arial Narrow" w:cs="Arial"/>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br/>
            </w:r>
            <w:r w:rsidR="0080218E">
              <w:rPr>
                <w:rFonts w:ascii="Arial Narrow" w:eastAsia="Calibri" w:hAnsi="Arial Narrow" w:cs="Arial"/>
                <w:sz w:val="20"/>
                <w:szCs w:val="20"/>
              </w:rPr>
              <w:fldChar w:fldCharType="begin">
                <w:ffData>
                  <w:name w:val=""/>
                  <w:enabled/>
                  <w:calcOnExit w:val="0"/>
                  <w:checkBox>
                    <w:sizeAuto/>
                    <w:default w:val="1"/>
                  </w:checkBox>
                </w:ffData>
              </w:fldChar>
            </w:r>
            <w:r w:rsidR="0080218E">
              <w:rPr>
                <w:rFonts w:ascii="Arial Narrow" w:eastAsia="Calibri" w:hAnsi="Arial Narrow" w:cs="Arial"/>
                <w:sz w:val="20"/>
                <w:szCs w:val="20"/>
              </w:rPr>
              <w:instrText xml:space="preserve"> FORMCHECKBOX </w:instrText>
            </w:r>
            <w:r w:rsidR="0080218E">
              <w:rPr>
                <w:rFonts w:ascii="Arial Narrow" w:eastAsia="Calibri" w:hAnsi="Arial Narrow" w:cs="Arial"/>
                <w:sz w:val="20"/>
                <w:szCs w:val="20"/>
              </w:rPr>
            </w:r>
            <w:r w:rsidR="0080218E">
              <w:rPr>
                <w:rFonts w:ascii="Arial Narrow" w:eastAsia="Calibri" w:hAnsi="Arial Narrow" w:cs="Arial"/>
                <w:sz w:val="20"/>
                <w:szCs w:val="20"/>
              </w:rPr>
              <w:fldChar w:fldCharType="separate"/>
            </w:r>
            <w:r w:rsidR="0080218E">
              <w:rPr>
                <w:rFonts w:ascii="Arial Narrow" w:eastAsia="Calibri" w:hAnsi="Arial Narrow" w:cs="Arial"/>
                <w:sz w:val="20"/>
                <w:szCs w:val="20"/>
              </w:rPr>
              <w:fldChar w:fldCharType="end"/>
            </w:r>
            <w:r w:rsidRPr="000847DB">
              <w:rPr>
                <w:rFonts w:ascii="Arial Narrow" w:eastAsia="Calibri" w:hAnsi="Arial Narrow" w:cs="Arial"/>
                <w:sz w:val="20"/>
                <w:szCs w:val="20"/>
              </w:rPr>
              <w:t xml:space="preserve">Authority Required (Streamlined) </w:t>
            </w:r>
          </w:p>
        </w:tc>
      </w:tr>
      <w:tr w:rsidR="00FA286E" w:rsidRPr="001428E9" w14:paraId="2BADB170" w14:textId="77777777" w:rsidTr="00D606D6">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31A1808C" w14:textId="097944D4" w:rsidR="00FA286E" w:rsidRDefault="00AA12EB">
            <w:pPr>
              <w:keepLines/>
              <w:jc w:val="center"/>
              <w:rPr>
                <w:rFonts w:ascii="Arial Narrow" w:hAnsi="Arial Narrow"/>
                <w:sz w:val="20"/>
                <w:szCs w:val="20"/>
              </w:rPr>
            </w:pPr>
            <w:r>
              <w:rPr>
                <w:rFonts w:ascii="Arial Narrow" w:hAnsi="Arial Narrow"/>
                <w:sz w:val="20"/>
                <w:szCs w:val="20"/>
              </w:rPr>
              <w:t>8211</w:t>
            </w:r>
          </w:p>
        </w:tc>
        <w:tc>
          <w:tcPr>
            <w:tcW w:w="7745" w:type="dxa"/>
            <w:gridSpan w:val="6"/>
            <w:vAlign w:val="center"/>
          </w:tcPr>
          <w:p w14:paraId="1BCD3D19" w14:textId="102771A5" w:rsidR="00FA286E" w:rsidRPr="00AA3202" w:rsidRDefault="00D2586B">
            <w:pPr>
              <w:keepLines/>
              <w:rPr>
                <w:rFonts w:ascii="Arial Narrow" w:hAnsi="Arial Narrow"/>
                <w:sz w:val="20"/>
                <w:szCs w:val="20"/>
              </w:rPr>
            </w:pPr>
            <w:r>
              <w:rPr>
                <w:rFonts w:ascii="Arial Narrow" w:hAnsi="Arial Narrow"/>
                <w:b/>
                <w:bCs/>
                <w:sz w:val="20"/>
                <w:szCs w:val="20"/>
              </w:rPr>
              <w:t>Caution</w:t>
            </w:r>
            <w:r w:rsidR="00AA12EB">
              <w:rPr>
                <w:rFonts w:ascii="Arial Narrow" w:hAnsi="Arial Narrow"/>
                <w:b/>
                <w:bCs/>
                <w:sz w:val="20"/>
                <w:szCs w:val="20"/>
              </w:rPr>
              <w:t xml:space="preserve">: </w:t>
            </w:r>
            <w:r w:rsidR="00AA12EB">
              <w:rPr>
                <w:rFonts w:ascii="Arial Narrow" w:hAnsi="Arial Narrow"/>
                <w:sz w:val="20"/>
                <w:szCs w:val="20"/>
              </w:rPr>
              <w:t>The ris</w:t>
            </w:r>
            <w:r w:rsidR="005D5363">
              <w:rPr>
                <w:rFonts w:ascii="Arial Narrow" w:hAnsi="Arial Narrow"/>
                <w:sz w:val="20"/>
                <w:szCs w:val="20"/>
              </w:rPr>
              <w:t>k</w:t>
            </w:r>
            <w:r w:rsidR="00AA12EB">
              <w:rPr>
                <w:rFonts w:ascii="Arial Narrow" w:hAnsi="Arial Narrow"/>
                <w:sz w:val="20"/>
                <w:szCs w:val="20"/>
              </w:rPr>
              <w:t xml:space="preserve"> of drug dependence is high.</w:t>
            </w:r>
          </w:p>
        </w:tc>
      </w:tr>
      <w:tr w:rsidR="00A60A9B" w:rsidRPr="001428E9" w14:paraId="6F6C3D33" w14:textId="77777777" w:rsidTr="00D606D6">
        <w:tblPrEx>
          <w:tblCellMar>
            <w:top w:w="15" w:type="dxa"/>
            <w:bottom w:w="15" w:type="dxa"/>
          </w:tblCellMar>
          <w:tblLook w:val="04A0" w:firstRow="1" w:lastRow="0" w:firstColumn="1" w:lastColumn="0" w:noHBand="0" w:noVBand="1"/>
        </w:tblPrEx>
        <w:trPr>
          <w:trHeight w:val="20"/>
        </w:trPr>
        <w:tc>
          <w:tcPr>
            <w:tcW w:w="492" w:type="dxa"/>
            <w:vMerge w:val="restart"/>
            <w:tcBorders>
              <w:left w:val="single" w:sz="4" w:space="0" w:color="auto"/>
              <w:right w:val="single" w:sz="4" w:space="0" w:color="auto"/>
            </w:tcBorders>
            <w:textDirection w:val="btLr"/>
            <w:vAlign w:val="center"/>
          </w:tcPr>
          <w:p w14:paraId="18948B99" w14:textId="77777777" w:rsidR="00A60A9B" w:rsidRPr="00432EBF" w:rsidRDefault="00A60A9B">
            <w:pPr>
              <w:jc w:val="center"/>
              <w:rPr>
                <w:rFonts w:ascii="Arial Narrow" w:hAnsi="Arial Narrow" w:cs="Arial"/>
                <w:sz w:val="20"/>
                <w:szCs w:val="20"/>
              </w:rPr>
            </w:pPr>
            <w:r w:rsidRPr="00432EBF">
              <w:rPr>
                <w:rFonts w:ascii="Arial Narrow" w:hAnsi="Arial Narrow" w:cs="Arial"/>
                <w:sz w:val="20"/>
                <w:szCs w:val="20"/>
              </w:rPr>
              <w:t>Prescribing rule level</w:t>
            </w:r>
          </w:p>
        </w:tc>
        <w:tc>
          <w:tcPr>
            <w:tcW w:w="784" w:type="dxa"/>
            <w:vAlign w:val="center"/>
          </w:tcPr>
          <w:p w14:paraId="15BC1D97" w14:textId="0B140381" w:rsidR="00A60A9B" w:rsidRPr="001428E9" w:rsidRDefault="00A60A9B">
            <w:pPr>
              <w:jc w:val="center"/>
              <w:rPr>
                <w:rFonts w:ascii="Arial Narrow" w:hAnsi="Arial Narrow"/>
                <w:color w:val="333333"/>
                <w:sz w:val="20"/>
                <w:szCs w:val="20"/>
              </w:rPr>
            </w:pPr>
          </w:p>
        </w:tc>
        <w:tc>
          <w:tcPr>
            <w:tcW w:w="7745" w:type="dxa"/>
            <w:gridSpan w:val="6"/>
            <w:vAlign w:val="center"/>
          </w:tcPr>
          <w:p w14:paraId="49522542" w14:textId="71F37D4E" w:rsidR="00A60A9B" w:rsidRPr="00AA3202" w:rsidRDefault="00A60A9B">
            <w:pPr>
              <w:rPr>
                <w:rFonts w:ascii="Arial Narrow" w:hAnsi="Arial Narrow"/>
                <w:sz w:val="20"/>
                <w:szCs w:val="20"/>
              </w:rPr>
            </w:pPr>
            <w:r w:rsidRPr="00432EBF">
              <w:rPr>
                <w:rFonts w:ascii="Arial Narrow" w:hAnsi="Arial Narrow"/>
                <w:b/>
                <w:bCs/>
                <w:sz w:val="20"/>
                <w:szCs w:val="20"/>
              </w:rPr>
              <w:t>Administrative Advice:</w:t>
            </w:r>
            <w:r>
              <w:rPr>
                <w:rFonts w:ascii="Arial Narrow" w:hAnsi="Arial Narrow"/>
                <w:sz w:val="20"/>
                <w:szCs w:val="20"/>
              </w:rPr>
              <w:t xml:space="preserve"> This treatment is not suitable for ‘as-required’ pain relief</w:t>
            </w:r>
          </w:p>
        </w:tc>
      </w:tr>
      <w:tr w:rsidR="00A60A9B" w:rsidRPr="001428E9" w14:paraId="4E4AF8F4" w14:textId="77777777" w:rsidTr="00D606D6">
        <w:tblPrEx>
          <w:tblCellMar>
            <w:top w:w="15" w:type="dxa"/>
            <w:bottom w:w="15" w:type="dxa"/>
          </w:tblCellMar>
          <w:tblLook w:val="04A0" w:firstRow="1" w:lastRow="0" w:firstColumn="1" w:lastColumn="0" w:noHBand="0" w:noVBand="1"/>
        </w:tblPrEx>
        <w:trPr>
          <w:trHeight w:val="20"/>
        </w:trPr>
        <w:tc>
          <w:tcPr>
            <w:tcW w:w="492" w:type="dxa"/>
            <w:vMerge/>
            <w:tcBorders>
              <w:left w:val="single" w:sz="4" w:space="0" w:color="auto"/>
              <w:right w:val="single" w:sz="4" w:space="0" w:color="auto"/>
            </w:tcBorders>
          </w:tcPr>
          <w:p w14:paraId="2674C0C5" w14:textId="77777777" w:rsidR="00A60A9B" w:rsidRPr="00432EBF" w:rsidRDefault="00A60A9B">
            <w:pPr>
              <w:rPr>
                <w:rFonts w:ascii="Arial Narrow" w:hAnsi="Arial Narrow" w:cs="Arial"/>
                <w:sz w:val="20"/>
                <w:szCs w:val="20"/>
              </w:rPr>
            </w:pPr>
          </w:p>
        </w:tc>
        <w:tc>
          <w:tcPr>
            <w:tcW w:w="784" w:type="dxa"/>
            <w:vAlign w:val="center"/>
          </w:tcPr>
          <w:p w14:paraId="68140720" w14:textId="19D71B72" w:rsidR="00A60A9B" w:rsidRPr="00432EBF" w:rsidRDefault="00A60A9B">
            <w:pPr>
              <w:jc w:val="center"/>
              <w:rPr>
                <w:rFonts w:ascii="Arial Narrow" w:hAnsi="Arial Narrow"/>
                <w:sz w:val="20"/>
                <w:szCs w:val="20"/>
              </w:rPr>
            </w:pPr>
          </w:p>
        </w:tc>
        <w:tc>
          <w:tcPr>
            <w:tcW w:w="7745" w:type="dxa"/>
            <w:gridSpan w:val="6"/>
            <w:vAlign w:val="center"/>
          </w:tcPr>
          <w:p w14:paraId="6362545A" w14:textId="602F18E9" w:rsidR="00A60A9B" w:rsidRPr="00432EBF" w:rsidRDefault="00A60A9B">
            <w:pPr>
              <w:rPr>
                <w:rFonts w:ascii="Arial Narrow" w:hAnsi="Arial Narrow"/>
                <w:b/>
                <w:bCs/>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sidRPr="00AA3202">
              <w:rPr>
                <w:rFonts w:ascii="Arial Narrow" w:hAnsi="Arial Narrow"/>
                <w:sz w:val="20"/>
                <w:szCs w:val="20"/>
              </w:rPr>
              <w:t>This treatment is not recommended for use in ambulant patients</w:t>
            </w:r>
          </w:p>
        </w:tc>
      </w:tr>
      <w:tr w:rsidR="00A60A9B" w:rsidRPr="001428E9" w14:paraId="1A13675C" w14:textId="77777777" w:rsidTr="00D606D6">
        <w:tblPrEx>
          <w:tblCellMar>
            <w:top w:w="15" w:type="dxa"/>
            <w:bottom w:w="15" w:type="dxa"/>
          </w:tblCellMar>
          <w:tblLook w:val="04A0" w:firstRow="1" w:lastRow="0" w:firstColumn="1" w:lastColumn="0" w:noHBand="0" w:noVBand="1"/>
        </w:tblPrEx>
        <w:trPr>
          <w:trHeight w:val="20"/>
        </w:trPr>
        <w:tc>
          <w:tcPr>
            <w:tcW w:w="492" w:type="dxa"/>
            <w:vMerge/>
            <w:tcBorders>
              <w:left w:val="single" w:sz="4" w:space="0" w:color="auto"/>
              <w:right w:val="single" w:sz="4" w:space="0" w:color="auto"/>
            </w:tcBorders>
          </w:tcPr>
          <w:p w14:paraId="2D3D96F0" w14:textId="77777777" w:rsidR="00A60A9B" w:rsidRPr="00432EBF" w:rsidRDefault="00A60A9B">
            <w:pPr>
              <w:rPr>
                <w:rFonts w:ascii="Arial Narrow" w:hAnsi="Arial Narrow" w:cs="Arial"/>
                <w:sz w:val="20"/>
                <w:szCs w:val="20"/>
              </w:rPr>
            </w:pPr>
          </w:p>
        </w:tc>
        <w:tc>
          <w:tcPr>
            <w:tcW w:w="784" w:type="dxa"/>
            <w:vAlign w:val="center"/>
          </w:tcPr>
          <w:p w14:paraId="2ED4370D" w14:textId="6C44A500" w:rsidR="00A60A9B" w:rsidRPr="00432EBF" w:rsidRDefault="00A60A9B">
            <w:pPr>
              <w:jc w:val="center"/>
              <w:rPr>
                <w:rFonts w:ascii="Arial Narrow" w:hAnsi="Arial Narrow"/>
                <w:sz w:val="20"/>
                <w:szCs w:val="20"/>
              </w:rPr>
            </w:pPr>
          </w:p>
        </w:tc>
        <w:tc>
          <w:tcPr>
            <w:tcW w:w="7745" w:type="dxa"/>
            <w:gridSpan w:val="6"/>
            <w:vAlign w:val="center"/>
          </w:tcPr>
          <w:p w14:paraId="1E50BA9A" w14:textId="17B0C89C" w:rsidR="00A60A9B" w:rsidRPr="00AA3202" w:rsidRDefault="00A60A9B">
            <w:pPr>
              <w:rPr>
                <w:rFonts w:ascii="Arial Narrow" w:hAnsi="Arial Narrow"/>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Pr>
                <w:rFonts w:ascii="Arial Narrow" w:hAnsi="Arial Narrow"/>
                <w:sz w:val="20"/>
                <w:szCs w:val="20"/>
              </w:rPr>
              <w:t>Consider consultation with a multidisciplinary pain service prior to, or after commencement of this medication</w:t>
            </w:r>
          </w:p>
        </w:tc>
      </w:tr>
      <w:tr w:rsidR="00A60A9B" w:rsidRPr="001428E9" w14:paraId="1C8E2174" w14:textId="77777777" w:rsidTr="00D606D6">
        <w:tblPrEx>
          <w:tblCellMar>
            <w:top w:w="15" w:type="dxa"/>
            <w:bottom w:w="15" w:type="dxa"/>
          </w:tblCellMar>
          <w:tblLook w:val="04A0" w:firstRow="1" w:lastRow="0" w:firstColumn="1" w:lastColumn="0" w:noHBand="0" w:noVBand="1"/>
        </w:tblPrEx>
        <w:trPr>
          <w:trHeight w:val="20"/>
        </w:trPr>
        <w:tc>
          <w:tcPr>
            <w:tcW w:w="492" w:type="dxa"/>
            <w:vMerge/>
            <w:tcBorders>
              <w:left w:val="single" w:sz="4" w:space="0" w:color="auto"/>
              <w:bottom w:val="single" w:sz="4" w:space="0" w:color="auto"/>
              <w:right w:val="single" w:sz="4" w:space="0" w:color="auto"/>
            </w:tcBorders>
          </w:tcPr>
          <w:p w14:paraId="4C042918" w14:textId="77777777" w:rsidR="00A60A9B" w:rsidRPr="00432EBF" w:rsidRDefault="00A60A9B">
            <w:pPr>
              <w:rPr>
                <w:rFonts w:ascii="Arial Narrow" w:hAnsi="Arial Narrow" w:cs="Arial"/>
                <w:sz w:val="20"/>
                <w:szCs w:val="20"/>
              </w:rPr>
            </w:pPr>
          </w:p>
        </w:tc>
        <w:tc>
          <w:tcPr>
            <w:tcW w:w="784" w:type="dxa"/>
            <w:vAlign w:val="center"/>
          </w:tcPr>
          <w:p w14:paraId="56A95F93" w14:textId="207AE0DF" w:rsidR="00A60A9B" w:rsidRDefault="00A60A9B">
            <w:pPr>
              <w:jc w:val="center"/>
              <w:rPr>
                <w:rFonts w:ascii="Arial Narrow" w:hAnsi="Arial Narrow"/>
                <w:sz w:val="20"/>
                <w:szCs w:val="20"/>
              </w:rPr>
            </w:pPr>
          </w:p>
        </w:tc>
        <w:tc>
          <w:tcPr>
            <w:tcW w:w="7745" w:type="dxa"/>
            <w:gridSpan w:val="6"/>
            <w:vAlign w:val="center"/>
          </w:tcPr>
          <w:p w14:paraId="540F3202" w14:textId="28C41CCC" w:rsidR="00A60A9B" w:rsidRPr="00A60A9B" w:rsidRDefault="00A60A9B" w:rsidP="00A60A9B">
            <w:pPr>
              <w:rPr>
                <w:rFonts w:ascii="Arial Narrow" w:hAnsi="Arial Narrow"/>
                <w:sz w:val="20"/>
                <w:szCs w:val="20"/>
              </w:rPr>
            </w:pPr>
            <w:r>
              <w:rPr>
                <w:rFonts w:ascii="Arial Narrow" w:hAnsi="Arial Narrow"/>
                <w:b/>
                <w:bCs/>
                <w:sz w:val="20"/>
                <w:szCs w:val="20"/>
              </w:rPr>
              <w:t>Administrative Advice</w:t>
            </w:r>
            <w:r>
              <w:rPr>
                <w:rFonts w:ascii="Arial Narrow" w:hAnsi="Arial Narrow"/>
                <w:sz w:val="20"/>
                <w:szCs w:val="20"/>
              </w:rPr>
              <w:t xml:space="preserve">: </w:t>
            </w:r>
            <w:r w:rsidRPr="00A60A9B">
              <w:rPr>
                <w:rFonts w:ascii="Arial Narrow" w:hAnsi="Arial Narrow"/>
                <w:sz w:val="20"/>
                <w:szCs w:val="20"/>
              </w:rPr>
              <w:t>Real time online applications for increased maximum quantities/repeats may be made using the Online PBS Authorities system (see www.servicesaustralia.gov.au/organisations/health-professionals/services/medicare/hpos/services/request-authority-using-online-pbs-authorities-hpos).</w:t>
            </w:r>
          </w:p>
          <w:p w14:paraId="6A54061A" w14:textId="13BDDA01" w:rsidR="00A60A9B" w:rsidRPr="00A60A9B" w:rsidRDefault="00A60A9B" w:rsidP="00A60A9B">
            <w:pPr>
              <w:rPr>
                <w:rFonts w:ascii="Arial Narrow" w:hAnsi="Arial Narrow"/>
                <w:sz w:val="20"/>
                <w:szCs w:val="20"/>
              </w:rPr>
            </w:pPr>
            <w:r w:rsidRPr="00A60A9B">
              <w:rPr>
                <w:rFonts w:ascii="Arial Narrow" w:hAnsi="Arial Narrow"/>
                <w:sz w:val="20"/>
                <w:szCs w:val="20"/>
              </w:rPr>
              <w:t>Phone applications for increased maximum quantities/repeats may be made by calling 1800 888 333.</w:t>
            </w:r>
          </w:p>
          <w:p w14:paraId="6DDEF94E" w14:textId="06A20DE9" w:rsidR="00A60A9B" w:rsidRPr="00A60A9B" w:rsidRDefault="00A60A9B" w:rsidP="00A60A9B">
            <w:pPr>
              <w:rPr>
                <w:rFonts w:ascii="Arial Narrow" w:hAnsi="Arial Narrow"/>
                <w:sz w:val="20"/>
                <w:szCs w:val="20"/>
              </w:rPr>
            </w:pPr>
            <w:r w:rsidRPr="00A60A9B">
              <w:rPr>
                <w:rFonts w:ascii="Arial Narrow" w:hAnsi="Arial Narrow"/>
                <w:sz w:val="20"/>
                <w:szCs w:val="20"/>
              </w:rPr>
              <w:t>Written authority applications for increased maximum quantities/repeats can be uploaded online through HPOS form upload or mailed to:</w:t>
            </w:r>
          </w:p>
          <w:p w14:paraId="4539FB3A" w14:textId="435A2F5D" w:rsidR="00A60A9B" w:rsidRPr="00A60A9B" w:rsidRDefault="00A60A9B" w:rsidP="00A60A9B">
            <w:pPr>
              <w:rPr>
                <w:rFonts w:ascii="Arial Narrow" w:hAnsi="Arial Narrow"/>
                <w:sz w:val="20"/>
                <w:szCs w:val="20"/>
              </w:rPr>
            </w:pPr>
            <w:r w:rsidRPr="00A60A9B">
              <w:rPr>
                <w:rFonts w:ascii="Arial Narrow" w:hAnsi="Arial Narrow"/>
                <w:sz w:val="20"/>
                <w:szCs w:val="20"/>
              </w:rPr>
              <w:t>Pharmaceutical Benefits Scheme</w:t>
            </w:r>
          </w:p>
          <w:p w14:paraId="10F820F8" w14:textId="2342EC41" w:rsidR="00A60A9B" w:rsidRPr="00A60A9B" w:rsidRDefault="00A60A9B" w:rsidP="00A60A9B">
            <w:pPr>
              <w:rPr>
                <w:rFonts w:ascii="Arial Narrow" w:hAnsi="Arial Narrow"/>
                <w:sz w:val="20"/>
                <w:szCs w:val="20"/>
              </w:rPr>
            </w:pPr>
            <w:r w:rsidRPr="00A60A9B">
              <w:rPr>
                <w:rFonts w:ascii="Arial Narrow" w:hAnsi="Arial Narrow"/>
                <w:sz w:val="20"/>
                <w:szCs w:val="20"/>
              </w:rPr>
              <w:t>Reply Paid 9857</w:t>
            </w:r>
          </w:p>
          <w:p w14:paraId="3AC46CC9" w14:textId="1A157D0C" w:rsidR="00A60A9B" w:rsidRPr="00AA3202" w:rsidRDefault="00A60A9B" w:rsidP="00A60A9B">
            <w:pPr>
              <w:rPr>
                <w:rFonts w:ascii="Arial Narrow" w:hAnsi="Arial Narrow"/>
                <w:sz w:val="20"/>
                <w:szCs w:val="20"/>
              </w:rPr>
            </w:pPr>
            <w:r w:rsidRPr="00A60A9B">
              <w:rPr>
                <w:rFonts w:ascii="Arial Narrow" w:hAnsi="Arial Narrow"/>
                <w:sz w:val="20"/>
                <w:szCs w:val="20"/>
              </w:rPr>
              <w:t>[Your capital city]</w:t>
            </w:r>
          </w:p>
        </w:tc>
      </w:tr>
      <w:tr w:rsidR="00AA24E9" w:rsidRPr="001428E9" w14:paraId="5838240A" w14:textId="77777777" w:rsidTr="00D606D6">
        <w:tblPrEx>
          <w:tblCellMar>
            <w:top w:w="15" w:type="dxa"/>
            <w:bottom w:w="15" w:type="dxa"/>
          </w:tblCellMar>
          <w:tblLook w:val="04A0" w:firstRow="1" w:lastRow="0" w:firstColumn="1" w:lastColumn="0" w:noHBand="0" w:noVBand="1"/>
        </w:tblPrEx>
        <w:trPr>
          <w:cantSplit/>
          <w:trHeight w:val="20"/>
        </w:trPr>
        <w:tc>
          <w:tcPr>
            <w:tcW w:w="1276" w:type="dxa"/>
            <w:gridSpan w:val="2"/>
            <w:vAlign w:val="center"/>
            <w:hideMark/>
          </w:tcPr>
          <w:p w14:paraId="4D5B5EE7" w14:textId="251185D5" w:rsidR="00AA24E9" w:rsidRPr="00432EBF" w:rsidRDefault="00AA24E9">
            <w:pPr>
              <w:keepLines/>
              <w:jc w:val="center"/>
              <w:rPr>
                <w:rFonts w:ascii="Arial Narrow" w:hAnsi="Arial Narrow"/>
                <w:sz w:val="20"/>
                <w:szCs w:val="20"/>
              </w:rPr>
            </w:pPr>
          </w:p>
        </w:tc>
        <w:tc>
          <w:tcPr>
            <w:tcW w:w="7745" w:type="dxa"/>
            <w:gridSpan w:val="6"/>
            <w:vAlign w:val="center"/>
            <w:hideMark/>
          </w:tcPr>
          <w:p w14:paraId="4554907F" w14:textId="736B8B9D" w:rsidR="00AA24E9" w:rsidRPr="001428E9" w:rsidRDefault="00AA24E9">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00E00301">
              <w:rPr>
                <w:rFonts w:ascii="Arial Narrow" w:hAnsi="Arial Narrow"/>
                <w:sz w:val="20"/>
                <w:szCs w:val="20"/>
              </w:rPr>
              <w:t xml:space="preserve">Chronic severe disabling pain </w:t>
            </w:r>
          </w:p>
        </w:tc>
      </w:tr>
      <w:tr w:rsidR="00772AC0" w:rsidRPr="001428E9" w14:paraId="2AF56E67" w14:textId="77777777" w:rsidTr="00D606D6">
        <w:tblPrEx>
          <w:tblCellMar>
            <w:top w:w="15" w:type="dxa"/>
            <w:bottom w:w="15" w:type="dxa"/>
          </w:tblCellMar>
          <w:tblLook w:val="04A0" w:firstRow="1" w:lastRow="0" w:firstColumn="1" w:lastColumn="0" w:noHBand="0" w:noVBand="1"/>
        </w:tblPrEx>
        <w:trPr>
          <w:cantSplit/>
          <w:trHeight w:val="431"/>
        </w:trPr>
        <w:tc>
          <w:tcPr>
            <w:tcW w:w="1276" w:type="dxa"/>
            <w:gridSpan w:val="2"/>
            <w:vAlign w:val="center"/>
          </w:tcPr>
          <w:p w14:paraId="3945F3AF" w14:textId="77777777" w:rsidR="00772AC0" w:rsidRDefault="00772AC0">
            <w:pPr>
              <w:keepLines/>
              <w:jc w:val="center"/>
              <w:rPr>
                <w:rFonts w:ascii="Arial Narrow" w:hAnsi="Arial Narrow"/>
                <w:sz w:val="20"/>
                <w:szCs w:val="20"/>
              </w:rPr>
            </w:pPr>
          </w:p>
        </w:tc>
        <w:tc>
          <w:tcPr>
            <w:tcW w:w="7745" w:type="dxa"/>
            <w:gridSpan w:val="6"/>
            <w:vAlign w:val="center"/>
          </w:tcPr>
          <w:p w14:paraId="4BA2431C" w14:textId="56ACB91A" w:rsidR="00772AC0" w:rsidRPr="00AA3202" w:rsidRDefault="008C72CE">
            <w:pPr>
              <w:keepLines/>
              <w:rPr>
                <w:rFonts w:ascii="Arial Narrow" w:hAnsi="Arial Narrow"/>
                <w:sz w:val="20"/>
                <w:szCs w:val="20"/>
              </w:rPr>
            </w:pPr>
            <w:r>
              <w:rPr>
                <w:rFonts w:ascii="Arial Narrow" w:hAnsi="Arial Narrow"/>
                <w:b/>
                <w:bCs/>
                <w:sz w:val="20"/>
                <w:szCs w:val="20"/>
              </w:rPr>
              <w:t xml:space="preserve">Treatment Phase: </w:t>
            </w:r>
            <w:r>
              <w:rPr>
                <w:rFonts w:ascii="Arial Narrow" w:hAnsi="Arial Narrow"/>
                <w:sz w:val="20"/>
                <w:szCs w:val="20"/>
              </w:rPr>
              <w:t>Initial</w:t>
            </w:r>
            <w:r w:rsidR="00175AF0">
              <w:rPr>
                <w:rFonts w:ascii="Arial Narrow" w:hAnsi="Arial Narrow"/>
                <w:sz w:val="20"/>
                <w:szCs w:val="20"/>
              </w:rPr>
              <w:t xml:space="preserve"> PBS</w:t>
            </w:r>
            <w:r>
              <w:rPr>
                <w:rFonts w:ascii="Arial Narrow" w:hAnsi="Arial Narrow"/>
                <w:sz w:val="20"/>
                <w:szCs w:val="20"/>
              </w:rPr>
              <w:t xml:space="preserve"> treatment after 1 June 2020 where patient has been treated with opioids for less than 12 months</w:t>
            </w:r>
          </w:p>
        </w:tc>
      </w:tr>
      <w:tr w:rsidR="00AA24E9" w:rsidRPr="001428E9" w14:paraId="4EC2745E" w14:textId="77777777" w:rsidTr="00025E84">
        <w:tblPrEx>
          <w:tblCellMar>
            <w:top w:w="15" w:type="dxa"/>
            <w:bottom w:w="15" w:type="dxa"/>
          </w:tblCellMar>
        </w:tblPrEx>
        <w:trPr>
          <w:cantSplit/>
          <w:trHeight w:val="20"/>
        </w:trPr>
        <w:tc>
          <w:tcPr>
            <w:tcW w:w="1276" w:type="dxa"/>
            <w:gridSpan w:val="2"/>
            <w:vAlign w:val="center"/>
          </w:tcPr>
          <w:p w14:paraId="13FB9EE5" w14:textId="2C480669" w:rsidR="00AA24E9" w:rsidRPr="00432EBF" w:rsidRDefault="00AA24E9" w:rsidP="0012520B">
            <w:pPr>
              <w:jc w:val="center"/>
              <w:rPr>
                <w:rFonts w:ascii="Arial Narrow" w:hAnsi="Arial Narrow"/>
                <w:sz w:val="20"/>
                <w:szCs w:val="20"/>
              </w:rPr>
            </w:pPr>
          </w:p>
        </w:tc>
        <w:tc>
          <w:tcPr>
            <w:tcW w:w="7745" w:type="dxa"/>
            <w:gridSpan w:val="6"/>
            <w:vAlign w:val="center"/>
            <w:hideMark/>
          </w:tcPr>
          <w:p w14:paraId="370B7CE0" w14:textId="38B3A9F4" w:rsidR="00AA24E9" w:rsidRPr="001428E9" w:rsidRDefault="00AA24E9">
            <w:pPr>
              <w:rPr>
                <w:rFonts w:ascii="Arial Narrow" w:hAnsi="Arial Narrow"/>
                <w:sz w:val="20"/>
                <w:szCs w:val="20"/>
              </w:rPr>
            </w:pPr>
            <w:r w:rsidRPr="00432EBF">
              <w:rPr>
                <w:rFonts w:ascii="Arial Narrow" w:hAnsi="Arial Narrow"/>
                <w:b/>
                <w:bCs/>
                <w:sz w:val="20"/>
                <w:szCs w:val="20"/>
              </w:rPr>
              <w:t xml:space="preserve">Clinical criteria: </w:t>
            </w:r>
          </w:p>
        </w:tc>
      </w:tr>
      <w:tr w:rsidR="0042388A" w:rsidRPr="001428E9" w14:paraId="7EA6ECC4" w14:textId="77777777" w:rsidTr="00D606D6">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6C98A4AA" w14:textId="622AAF4D" w:rsidR="0042388A" w:rsidRDefault="0042388A" w:rsidP="0012520B">
            <w:pPr>
              <w:jc w:val="center"/>
              <w:rPr>
                <w:rFonts w:ascii="Arial Narrow" w:hAnsi="Arial Narrow"/>
                <w:sz w:val="20"/>
                <w:szCs w:val="20"/>
              </w:rPr>
            </w:pPr>
          </w:p>
        </w:tc>
        <w:tc>
          <w:tcPr>
            <w:tcW w:w="7745" w:type="dxa"/>
            <w:gridSpan w:val="6"/>
            <w:vAlign w:val="center"/>
          </w:tcPr>
          <w:p w14:paraId="36F20B43" w14:textId="6F6A6C54" w:rsidR="0042388A" w:rsidRPr="00432EBF" w:rsidRDefault="0042388A">
            <w:pPr>
              <w:rPr>
                <w:rFonts w:ascii="Arial Narrow" w:hAnsi="Arial Narrow"/>
                <w:b/>
                <w:bCs/>
                <w:sz w:val="20"/>
                <w:szCs w:val="20"/>
              </w:rPr>
            </w:pPr>
            <w:r>
              <w:rPr>
                <w:rFonts w:ascii="Arial Narrow" w:hAnsi="Arial Narrow" w:cs="Arial Narrow"/>
                <w:iCs/>
                <w:sz w:val="20"/>
                <w:szCs w:val="20"/>
              </w:rPr>
              <w:t>The condition must require daily continuous, long term opioid treatment</w:t>
            </w:r>
          </w:p>
        </w:tc>
      </w:tr>
      <w:tr w:rsidR="0042388A" w:rsidRPr="001428E9" w14:paraId="23120BB2" w14:textId="77777777" w:rsidTr="00D606D6">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2C24776D" w14:textId="77777777" w:rsidR="0042388A" w:rsidRDefault="0042388A" w:rsidP="0012520B">
            <w:pPr>
              <w:jc w:val="center"/>
              <w:rPr>
                <w:rFonts w:ascii="Arial Narrow" w:hAnsi="Arial Narrow"/>
                <w:sz w:val="20"/>
                <w:szCs w:val="20"/>
              </w:rPr>
            </w:pPr>
          </w:p>
        </w:tc>
        <w:tc>
          <w:tcPr>
            <w:tcW w:w="7745" w:type="dxa"/>
            <w:gridSpan w:val="6"/>
            <w:vAlign w:val="center"/>
          </w:tcPr>
          <w:p w14:paraId="0E064F04" w14:textId="1C783376" w:rsidR="0042388A" w:rsidRPr="00AA3202" w:rsidRDefault="00363CCF">
            <w:pPr>
              <w:rPr>
                <w:rFonts w:ascii="Arial Narrow" w:hAnsi="Arial Narrow" w:cs="Arial Narrow"/>
                <w:b/>
                <w:bCs/>
                <w:iCs/>
                <w:sz w:val="20"/>
                <w:szCs w:val="20"/>
              </w:rPr>
            </w:pPr>
            <w:r>
              <w:rPr>
                <w:rFonts w:ascii="Arial Narrow" w:hAnsi="Arial Narrow" w:cs="Arial Narrow"/>
                <w:b/>
                <w:bCs/>
                <w:iCs/>
                <w:sz w:val="20"/>
                <w:szCs w:val="20"/>
              </w:rPr>
              <w:t>AND</w:t>
            </w:r>
          </w:p>
        </w:tc>
      </w:tr>
      <w:tr w:rsidR="00363CCF" w:rsidRPr="001428E9" w14:paraId="630369DE" w14:textId="77777777" w:rsidTr="00D606D6">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3156107F" w14:textId="1A940FEA" w:rsidR="00363CCF" w:rsidRDefault="00363CCF" w:rsidP="0012520B">
            <w:pPr>
              <w:jc w:val="center"/>
              <w:rPr>
                <w:rFonts w:ascii="Arial Narrow" w:hAnsi="Arial Narrow"/>
                <w:sz w:val="20"/>
                <w:szCs w:val="20"/>
              </w:rPr>
            </w:pPr>
          </w:p>
        </w:tc>
        <w:tc>
          <w:tcPr>
            <w:tcW w:w="7745" w:type="dxa"/>
            <w:gridSpan w:val="6"/>
            <w:vAlign w:val="center"/>
          </w:tcPr>
          <w:p w14:paraId="4DC393A1" w14:textId="2691B429" w:rsidR="00363CCF" w:rsidRPr="00363CCF" w:rsidRDefault="00363CCF">
            <w:pPr>
              <w:rPr>
                <w:rFonts w:ascii="Arial Narrow" w:hAnsi="Arial Narrow" w:cs="Arial Narrow"/>
                <w:b/>
                <w:bCs/>
                <w:iCs/>
                <w:sz w:val="20"/>
                <w:szCs w:val="20"/>
              </w:rPr>
            </w:pPr>
            <w:r>
              <w:rPr>
                <w:rFonts w:ascii="Arial Narrow" w:hAnsi="Arial Narrow" w:cs="Arial Narrow"/>
                <w:b/>
                <w:bCs/>
                <w:iCs/>
                <w:sz w:val="20"/>
                <w:szCs w:val="20"/>
              </w:rPr>
              <w:t>Clinical criteria:</w:t>
            </w:r>
            <w:r w:rsidR="009F1494">
              <w:rPr>
                <w:rFonts w:ascii="Arial Narrow" w:hAnsi="Arial Narrow" w:cs="Arial Narrow"/>
                <w:b/>
                <w:bCs/>
                <w:iCs/>
                <w:sz w:val="20"/>
                <w:szCs w:val="20"/>
              </w:rPr>
              <w:t xml:space="preserve"> </w:t>
            </w:r>
          </w:p>
        </w:tc>
      </w:tr>
      <w:tr w:rsidR="009F1494" w:rsidRPr="001428E9" w14:paraId="69526BC2" w14:textId="77777777" w:rsidTr="00D606D6">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2ECC2F5A" w14:textId="3D334FE9" w:rsidR="009F1494" w:rsidRDefault="009F1494" w:rsidP="0012520B">
            <w:pPr>
              <w:jc w:val="center"/>
              <w:rPr>
                <w:rFonts w:ascii="Arial Narrow" w:hAnsi="Arial Narrow"/>
                <w:sz w:val="20"/>
                <w:szCs w:val="20"/>
              </w:rPr>
            </w:pPr>
          </w:p>
        </w:tc>
        <w:tc>
          <w:tcPr>
            <w:tcW w:w="7745" w:type="dxa"/>
            <w:gridSpan w:val="6"/>
            <w:vAlign w:val="center"/>
          </w:tcPr>
          <w:p w14:paraId="6A4161D1" w14:textId="37C071F8" w:rsidR="009F1494" w:rsidRDefault="009F1494">
            <w:pPr>
              <w:rPr>
                <w:rFonts w:ascii="Arial Narrow" w:hAnsi="Arial Narrow" w:cs="Arial Narrow"/>
                <w:b/>
                <w:bCs/>
                <w:iCs/>
                <w:sz w:val="20"/>
                <w:szCs w:val="20"/>
              </w:rPr>
            </w:pPr>
            <w:r>
              <w:rPr>
                <w:rFonts w:ascii="Arial Narrow" w:hAnsi="Arial Narrow" w:cs="Arial Narrow"/>
                <w:iCs/>
                <w:sz w:val="20"/>
                <w:szCs w:val="20"/>
              </w:rPr>
              <w:t>Patient must not be opioid naïve</w:t>
            </w:r>
          </w:p>
        </w:tc>
      </w:tr>
      <w:tr w:rsidR="009F1494" w:rsidRPr="001428E9" w14:paraId="5CDA8F50" w14:textId="77777777" w:rsidTr="00D606D6">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7F2EDD34" w14:textId="77777777" w:rsidR="009F1494" w:rsidRDefault="009F1494" w:rsidP="0012520B">
            <w:pPr>
              <w:jc w:val="center"/>
              <w:rPr>
                <w:rFonts w:ascii="Arial Narrow" w:hAnsi="Arial Narrow"/>
                <w:sz w:val="20"/>
                <w:szCs w:val="20"/>
              </w:rPr>
            </w:pPr>
          </w:p>
        </w:tc>
        <w:tc>
          <w:tcPr>
            <w:tcW w:w="7745" w:type="dxa"/>
            <w:gridSpan w:val="6"/>
            <w:vAlign w:val="center"/>
          </w:tcPr>
          <w:p w14:paraId="43E90110" w14:textId="243A714E" w:rsidR="009F1494" w:rsidRDefault="00EA61CE">
            <w:pPr>
              <w:rPr>
                <w:rFonts w:ascii="Arial Narrow" w:hAnsi="Arial Narrow" w:cs="Arial Narrow"/>
                <w:b/>
                <w:bCs/>
                <w:iCs/>
                <w:sz w:val="20"/>
                <w:szCs w:val="20"/>
              </w:rPr>
            </w:pPr>
            <w:r>
              <w:rPr>
                <w:rFonts w:ascii="Arial Narrow" w:hAnsi="Arial Narrow" w:cs="Arial Narrow"/>
                <w:b/>
                <w:bCs/>
                <w:iCs/>
                <w:sz w:val="20"/>
                <w:szCs w:val="20"/>
              </w:rPr>
              <w:t>AND</w:t>
            </w:r>
          </w:p>
        </w:tc>
      </w:tr>
      <w:tr w:rsidR="009F1494" w:rsidRPr="001428E9" w14:paraId="222AE1F8" w14:textId="77777777" w:rsidTr="00D606D6">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6B6A8494" w14:textId="748D778E" w:rsidR="009F1494" w:rsidRDefault="009F1494" w:rsidP="0012520B">
            <w:pPr>
              <w:jc w:val="center"/>
              <w:rPr>
                <w:rFonts w:ascii="Arial Narrow" w:hAnsi="Arial Narrow"/>
                <w:sz w:val="20"/>
                <w:szCs w:val="20"/>
              </w:rPr>
            </w:pPr>
          </w:p>
        </w:tc>
        <w:tc>
          <w:tcPr>
            <w:tcW w:w="7745" w:type="dxa"/>
            <w:gridSpan w:val="6"/>
            <w:vAlign w:val="center"/>
          </w:tcPr>
          <w:p w14:paraId="706D0A23" w14:textId="3B4A8A6D" w:rsidR="009F1494" w:rsidRDefault="00E849BB">
            <w:pPr>
              <w:rPr>
                <w:rFonts w:ascii="Arial Narrow" w:hAnsi="Arial Narrow" w:cs="Arial Narrow"/>
                <w:b/>
                <w:bCs/>
                <w:iCs/>
                <w:sz w:val="20"/>
                <w:szCs w:val="20"/>
              </w:rPr>
            </w:pPr>
            <w:r>
              <w:rPr>
                <w:rFonts w:ascii="Arial Narrow" w:hAnsi="Arial Narrow" w:cs="Arial Narrow"/>
                <w:b/>
                <w:bCs/>
                <w:iCs/>
                <w:sz w:val="20"/>
                <w:szCs w:val="20"/>
              </w:rPr>
              <w:t xml:space="preserve">Clinical Criteria: </w:t>
            </w:r>
          </w:p>
        </w:tc>
      </w:tr>
      <w:tr w:rsidR="009F1494" w:rsidRPr="001428E9" w14:paraId="7E5CB094" w14:textId="77777777" w:rsidTr="00D606D6">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15DE4F83" w14:textId="72308196" w:rsidR="009F1494" w:rsidRDefault="009F1494" w:rsidP="0012520B">
            <w:pPr>
              <w:jc w:val="center"/>
              <w:rPr>
                <w:rFonts w:ascii="Arial Narrow" w:hAnsi="Arial Narrow"/>
                <w:sz w:val="20"/>
                <w:szCs w:val="20"/>
              </w:rPr>
            </w:pPr>
          </w:p>
        </w:tc>
        <w:tc>
          <w:tcPr>
            <w:tcW w:w="7745" w:type="dxa"/>
            <w:gridSpan w:val="6"/>
            <w:vAlign w:val="center"/>
          </w:tcPr>
          <w:p w14:paraId="0C9D01DA" w14:textId="0AEE6FF1" w:rsidR="009F1494" w:rsidRPr="00AA3202" w:rsidRDefault="00E849BB">
            <w:pPr>
              <w:rPr>
                <w:rFonts w:ascii="Arial Narrow" w:hAnsi="Arial Narrow" w:cs="Arial Narrow"/>
                <w:iCs/>
                <w:sz w:val="20"/>
                <w:szCs w:val="20"/>
              </w:rPr>
            </w:pPr>
            <w:r>
              <w:rPr>
                <w:rFonts w:ascii="Arial Narrow" w:hAnsi="Arial Narrow" w:cs="Arial Narrow"/>
                <w:iCs/>
                <w:sz w:val="20"/>
                <w:szCs w:val="20"/>
              </w:rPr>
              <w:t>Patient must have cancer pain;</w:t>
            </w:r>
            <w:r w:rsidR="00474227">
              <w:rPr>
                <w:rFonts w:ascii="Arial Narrow" w:hAnsi="Arial Narrow" w:cs="Arial Narrow"/>
                <w:iCs/>
                <w:sz w:val="20"/>
                <w:szCs w:val="20"/>
              </w:rPr>
              <w:t xml:space="preserve"> or</w:t>
            </w:r>
          </w:p>
        </w:tc>
      </w:tr>
      <w:tr w:rsidR="00E849BB" w:rsidRPr="001428E9" w14:paraId="79BBEE78" w14:textId="77777777" w:rsidTr="00D606D6">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3CD2275F" w14:textId="49E85333" w:rsidR="00E849BB" w:rsidRDefault="00E849BB" w:rsidP="0012520B">
            <w:pPr>
              <w:jc w:val="center"/>
              <w:rPr>
                <w:rFonts w:ascii="Arial Narrow" w:hAnsi="Arial Narrow"/>
                <w:sz w:val="20"/>
                <w:szCs w:val="20"/>
              </w:rPr>
            </w:pPr>
          </w:p>
        </w:tc>
        <w:tc>
          <w:tcPr>
            <w:tcW w:w="7745" w:type="dxa"/>
            <w:gridSpan w:val="6"/>
            <w:vAlign w:val="center"/>
          </w:tcPr>
          <w:p w14:paraId="653D3F8D" w14:textId="4DDCA1EE" w:rsidR="00E849BB" w:rsidRPr="00474227" w:rsidRDefault="00474227">
            <w:pPr>
              <w:rPr>
                <w:rFonts w:ascii="Arial Narrow" w:hAnsi="Arial Narrow" w:cs="Arial Narrow"/>
                <w:iCs/>
                <w:sz w:val="20"/>
                <w:szCs w:val="20"/>
              </w:rPr>
            </w:pPr>
            <w:r w:rsidRPr="00AA3202">
              <w:rPr>
                <w:rFonts w:ascii="Arial Narrow" w:hAnsi="Arial Narrow" w:cs="Arial Narrow"/>
                <w:iCs/>
                <w:sz w:val="20"/>
                <w:szCs w:val="20"/>
              </w:rPr>
              <w:t>Patient must have had or would have inadequate pain management with maximum tolerated doses of non-</w:t>
            </w:r>
            <w:r>
              <w:rPr>
                <w:rFonts w:ascii="Arial Narrow" w:hAnsi="Arial Narrow" w:cs="Arial Narrow"/>
                <w:iCs/>
                <w:sz w:val="20"/>
                <w:szCs w:val="20"/>
              </w:rPr>
              <w:t xml:space="preserve"> opioid and other opioid analgesics; or</w:t>
            </w:r>
          </w:p>
        </w:tc>
      </w:tr>
      <w:tr w:rsidR="001E1526" w:rsidRPr="001428E9" w14:paraId="23240601" w14:textId="77777777" w:rsidTr="00D606D6">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6F79E68D" w14:textId="70CCA12B" w:rsidR="001E1526" w:rsidRDefault="001E1526" w:rsidP="0012520B">
            <w:pPr>
              <w:jc w:val="center"/>
              <w:rPr>
                <w:rFonts w:ascii="Arial Narrow" w:hAnsi="Arial Narrow"/>
                <w:sz w:val="20"/>
                <w:szCs w:val="20"/>
              </w:rPr>
            </w:pPr>
          </w:p>
        </w:tc>
        <w:tc>
          <w:tcPr>
            <w:tcW w:w="7745" w:type="dxa"/>
            <w:gridSpan w:val="6"/>
            <w:vAlign w:val="center"/>
          </w:tcPr>
          <w:p w14:paraId="328E962D" w14:textId="27278035" w:rsidR="001E1526" w:rsidRPr="00AA3202" w:rsidRDefault="00E26579">
            <w:pPr>
              <w:rPr>
                <w:rFonts w:ascii="Arial Narrow" w:hAnsi="Arial Narrow" w:cs="Arial Narrow"/>
                <w:iCs/>
                <w:sz w:val="20"/>
                <w:szCs w:val="20"/>
              </w:rPr>
            </w:pPr>
            <w:r>
              <w:rPr>
                <w:rFonts w:ascii="Arial Narrow" w:hAnsi="Arial Narrow" w:cs="Arial Narrow"/>
                <w:iCs/>
                <w:sz w:val="20"/>
                <w:szCs w:val="20"/>
              </w:rPr>
              <w:t>Patient must be unable to use non-opioid analgesics due to contraindications or intolerance</w:t>
            </w:r>
          </w:p>
        </w:tc>
      </w:tr>
      <w:tr w:rsidR="00AA24E9" w:rsidRPr="001428E9" w14:paraId="20417A3B" w14:textId="77777777" w:rsidTr="00D606D6">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50EE0EF7" w14:textId="14539FF4" w:rsidR="00AA24E9" w:rsidRPr="00432EBF" w:rsidRDefault="00AA24E9">
            <w:pPr>
              <w:keepNext/>
              <w:jc w:val="center"/>
              <w:rPr>
                <w:rFonts w:ascii="Arial Narrow" w:hAnsi="Arial Narrow"/>
                <w:sz w:val="20"/>
                <w:szCs w:val="20"/>
              </w:rPr>
            </w:pPr>
          </w:p>
        </w:tc>
        <w:tc>
          <w:tcPr>
            <w:tcW w:w="7745" w:type="dxa"/>
            <w:gridSpan w:val="6"/>
            <w:vAlign w:val="center"/>
            <w:hideMark/>
          </w:tcPr>
          <w:p w14:paraId="57C0F345" w14:textId="77777777" w:rsidR="00AA24E9" w:rsidRPr="00432EBF" w:rsidRDefault="00AA24E9">
            <w:pPr>
              <w:keepNext/>
              <w:rPr>
                <w:rFonts w:ascii="Arial Narrow" w:hAnsi="Arial Narrow"/>
                <w:sz w:val="20"/>
                <w:szCs w:val="20"/>
              </w:rPr>
            </w:pPr>
            <w:r w:rsidRPr="00432EBF">
              <w:rPr>
                <w:rFonts w:ascii="Arial Narrow" w:hAnsi="Arial Narrow"/>
                <w:b/>
                <w:bCs/>
                <w:sz w:val="20"/>
                <w:szCs w:val="20"/>
              </w:rPr>
              <w:t>Treatment criteria:</w:t>
            </w:r>
          </w:p>
        </w:tc>
      </w:tr>
      <w:tr w:rsidR="00AA24E9" w:rsidRPr="001428E9" w14:paraId="7A1870E2" w14:textId="77777777" w:rsidTr="00D606D6">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5760CCA4" w14:textId="672C1AE5" w:rsidR="00AA24E9" w:rsidRPr="00432EBF" w:rsidRDefault="00AA24E9" w:rsidP="00E26579">
            <w:pPr>
              <w:jc w:val="center"/>
              <w:rPr>
                <w:rFonts w:ascii="Arial Narrow" w:hAnsi="Arial Narrow"/>
                <w:sz w:val="20"/>
                <w:szCs w:val="20"/>
              </w:rPr>
            </w:pPr>
          </w:p>
        </w:tc>
        <w:tc>
          <w:tcPr>
            <w:tcW w:w="7745" w:type="dxa"/>
            <w:gridSpan w:val="6"/>
            <w:vAlign w:val="center"/>
            <w:hideMark/>
          </w:tcPr>
          <w:p w14:paraId="4B7F9F8B" w14:textId="551D437D" w:rsidR="00AA24E9" w:rsidRPr="009E47B2" w:rsidRDefault="0089543A" w:rsidP="00432EBF">
            <w:pPr>
              <w:autoSpaceDE w:val="0"/>
              <w:autoSpaceDN w:val="0"/>
              <w:adjustRightInd w:val="0"/>
              <w:jc w:val="left"/>
              <w:rPr>
                <w:rFonts w:ascii="Arial Narrow" w:hAnsi="Arial Narrow" w:cs="Arial Narrow"/>
                <w:iCs/>
                <w:sz w:val="20"/>
                <w:szCs w:val="20"/>
              </w:rPr>
            </w:pPr>
            <w:r>
              <w:rPr>
                <w:rFonts w:ascii="Arial Narrow" w:hAnsi="Arial Narrow" w:cs="Arial Narrow"/>
                <w:iCs/>
                <w:sz w:val="20"/>
                <w:szCs w:val="20"/>
              </w:rPr>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r>
      <w:tr w:rsidR="00AA24E9" w:rsidRPr="001428E9" w14:paraId="7D69B08E" w14:textId="77777777" w:rsidTr="00D606D6">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178CF5ED" w14:textId="2AC1499B" w:rsidR="00EA3EF2" w:rsidRPr="00432EBF" w:rsidRDefault="00EA3EF2">
            <w:pPr>
              <w:jc w:val="center"/>
              <w:rPr>
                <w:rFonts w:ascii="Arial Narrow" w:hAnsi="Arial Narrow"/>
                <w:sz w:val="20"/>
                <w:szCs w:val="20"/>
              </w:rPr>
            </w:pPr>
          </w:p>
        </w:tc>
        <w:tc>
          <w:tcPr>
            <w:tcW w:w="7745" w:type="dxa"/>
            <w:gridSpan w:val="6"/>
            <w:vAlign w:val="center"/>
          </w:tcPr>
          <w:p w14:paraId="15C338E0" w14:textId="3DBE28AB" w:rsidR="00AA24E9" w:rsidRPr="00D530D5" w:rsidRDefault="00D530D5" w:rsidP="00594F22">
            <w:pPr>
              <w:rPr>
                <w:rFonts w:ascii="Arial Narrow" w:hAnsi="Arial Narrow"/>
                <w:b/>
                <w:bCs/>
                <w:sz w:val="20"/>
                <w:szCs w:val="20"/>
              </w:rPr>
            </w:pPr>
            <w:r>
              <w:rPr>
                <w:rFonts w:ascii="Arial Narrow" w:hAnsi="Arial Narrow"/>
                <w:b/>
                <w:bCs/>
                <w:sz w:val="20"/>
                <w:szCs w:val="20"/>
              </w:rPr>
              <w:t>Prescribing Instructions</w:t>
            </w:r>
            <w:r w:rsidRPr="00AA3202">
              <w:rPr>
                <w:rFonts w:ascii="Arial Narrow" w:hAnsi="Arial Narrow"/>
                <w:sz w:val="20"/>
                <w:szCs w:val="20"/>
              </w:rPr>
              <w:t xml:space="preserve">: </w:t>
            </w:r>
            <w:r w:rsidR="00063CC2" w:rsidRPr="00AA3202">
              <w:rPr>
                <w:rFonts w:ascii="Arial Narrow" w:hAnsi="Arial Narrow"/>
                <w:sz w:val="20"/>
                <w:szCs w:val="20"/>
              </w:rPr>
              <w:t>Authorities for increased maximum quantities and/or repeats under this restriction must only be considered for chronic severe disabling pain where the total duration of non-PBS and PBS opioid analgesic treatment is less than 12 months.</w:t>
            </w:r>
          </w:p>
        </w:tc>
      </w:tr>
      <w:tr w:rsidR="00AA24E9" w:rsidRPr="001428E9" w14:paraId="2EDEE10F" w14:textId="77777777" w:rsidTr="00122E44">
        <w:tblPrEx>
          <w:tblCellMar>
            <w:top w:w="15" w:type="dxa"/>
            <w:bottom w:w="15" w:type="dxa"/>
          </w:tblCellMar>
        </w:tblPrEx>
        <w:trPr>
          <w:cantSplit/>
          <w:trHeight w:val="1342"/>
        </w:trPr>
        <w:tc>
          <w:tcPr>
            <w:tcW w:w="1276" w:type="dxa"/>
            <w:gridSpan w:val="2"/>
            <w:vAlign w:val="center"/>
          </w:tcPr>
          <w:p w14:paraId="5AA726DA" w14:textId="3543D91F" w:rsidR="00EA3EF2" w:rsidRPr="00432EBF" w:rsidRDefault="00EA3EF2">
            <w:pPr>
              <w:jc w:val="center"/>
              <w:rPr>
                <w:rFonts w:ascii="Arial Narrow" w:hAnsi="Arial Narrow"/>
                <w:sz w:val="20"/>
                <w:szCs w:val="20"/>
              </w:rPr>
            </w:pPr>
          </w:p>
        </w:tc>
        <w:tc>
          <w:tcPr>
            <w:tcW w:w="7745" w:type="dxa"/>
            <w:gridSpan w:val="6"/>
            <w:vAlign w:val="center"/>
            <w:hideMark/>
          </w:tcPr>
          <w:p w14:paraId="5E8BCA72" w14:textId="77777777" w:rsidR="00062098" w:rsidRPr="00AA3202" w:rsidRDefault="003522B4" w:rsidP="00062098">
            <w:pPr>
              <w:rPr>
                <w:rFonts w:ascii="Arial Narrow" w:hAnsi="Arial Narrow"/>
                <w:sz w:val="20"/>
                <w:szCs w:val="20"/>
              </w:rPr>
            </w:pPr>
            <w:r>
              <w:rPr>
                <w:rFonts w:ascii="Arial Narrow" w:hAnsi="Arial Narrow"/>
                <w:b/>
                <w:bCs/>
                <w:sz w:val="20"/>
                <w:szCs w:val="20"/>
              </w:rPr>
              <w:t xml:space="preserve">Prescribing Instructions: </w:t>
            </w:r>
            <w:r w:rsidR="00062098" w:rsidRPr="00AA3202">
              <w:rPr>
                <w:rFonts w:ascii="Arial Narrow" w:hAnsi="Arial Narrow"/>
                <w:sz w:val="20"/>
                <w:szCs w:val="20"/>
              </w:rPr>
              <w:t>Authority requests extending treatment duration up to 1 month may be requested through the Online PBS Authorities system or by calling Services Australia.</w:t>
            </w:r>
          </w:p>
          <w:p w14:paraId="33E27093" w14:textId="77777777" w:rsidR="00062098" w:rsidRPr="00AA3202" w:rsidRDefault="00062098" w:rsidP="00062098">
            <w:pPr>
              <w:rPr>
                <w:rFonts w:ascii="Arial Narrow" w:hAnsi="Arial Narrow"/>
                <w:sz w:val="20"/>
                <w:szCs w:val="20"/>
              </w:rPr>
            </w:pPr>
          </w:p>
          <w:p w14:paraId="598A6F5B" w14:textId="1105863B" w:rsidR="00AA24E9" w:rsidRPr="00AA3202" w:rsidRDefault="00062098" w:rsidP="00062098">
            <w:pPr>
              <w:rPr>
                <w:rFonts w:ascii="Arial Narrow" w:hAnsi="Arial Narrow"/>
                <w:b/>
                <w:bCs/>
                <w:sz w:val="20"/>
                <w:szCs w:val="20"/>
              </w:rPr>
            </w:pPr>
            <w:r w:rsidRPr="00AA3202">
              <w:rPr>
                <w:rFonts w:ascii="Arial Narrow" w:hAnsi="Arial Narrow"/>
                <w:sz w:val="20"/>
                <w:szCs w:val="20"/>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595734" w:rsidRPr="001428E9" w14:paraId="65361A88" w14:textId="77777777" w:rsidTr="00DF2554">
        <w:tblPrEx>
          <w:tblCellMar>
            <w:top w:w="15" w:type="dxa"/>
            <w:bottom w:w="15" w:type="dxa"/>
          </w:tblCellMar>
          <w:tblLook w:val="04A0" w:firstRow="1" w:lastRow="0" w:firstColumn="1" w:lastColumn="0" w:noHBand="0" w:noVBand="1"/>
        </w:tblPrEx>
        <w:trPr>
          <w:cantSplit/>
          <w:trHeight w:val="20"/>
        </w:trPr>
        <w:tc>
          <w:tcPr>
            <w:tcW w:w="9021" w:type="dxa"/>
            <w:gridSpan w:val="8"/>
            <w:tcBorders>
              <w:top w:val="nil"/>
            </w:tcBorders>
            <w:vAlign w:val="center"/>
          </w:tcPr>
          <w:p w14:paraId="0B4B22F9" w14:textId="77777777" w:rsidR="00595734" w:rsidRDefault="00595734" w:rsidP="00432EBF">
            <w:pPr>
              <w:jc w:val="left"/>
              <w:rPr>
                <w:rFonts w:ascii="Arial Narrow" w:hAnsi="Arial Narrow"/>
                <w:color w:val="333333"/>
                <w:sz w:val="20"/>
                <w:szCs w:val="20"/>
              </w:rPr>
            </w:pPr>
          </w:p>
          <w:p w14:paraId="3C640C3B" w14:textId="77777777" w:rsidR="00595734" w:rsidRPr="001428E9" w:rsidRDefault="00595734" w:rsidP="00432EBF">
            <w:pPr>
              <w:jc w:val="left"/>
              <w:rPr>
                <w:rFonts w:ascii="Arial Narrow" w:hAnsi="Arial Narrow"/>
                <w:color w:val="333333"/>
                <w:sz w:val="20"/>
                <w:szCs w:val="20"/>
              </w:rPr>
            </w:pPr>
          </w:p>
        </w:tc>
      </w:tr>
      <w:tr w:rsidR="005D5363" w:rsidRPr="001428E9" w14:paraId="2E9C5FA7" w14:textId="77777777" w:rsidTr="0067525A">
        <w:tblPrEx>
          <w:tblCellMar>
            <w:top w:w="15" w:type="dxa"/>
            <w:bottom w:w="15" w:type="dxa"/>
          </w:tblCellMar>
          <w:tblLook w:val="04A0" w:firstRow="1" w:lastRow="0" w:firstColumn="1" w:lastColumn="0" w:noHBand="0" w:noVBand="1"/>
        </w:tblPrEx>
        <w:trPr>
          <w:trHeight w:val="20"/>
        </w:trPr>
        <w:tc>
          <w:tcPr>
            <w:tcW w:w="9021" w:type="dxa"/>
            <w:gridSpan w:val="8"/>
            <w:tcBorders>
              <w:top w:val="single" w:sz="4" w:space="0" w:color="auto"/>
              <w:left w:val="single" w:sz="4" w:space="0" w:color="auto"/>
              <w:right w:val="single" w:sz="4" w:space="0" w:color="auto"/>
            </w:tcBorders>
            <w:vAlign w:val="center"/>
          </w:tcPr>
          <w:p w14:paraId="3B9718BA" w14:textId="0CD16449" w:rsidR="005D5363" w:rsidRPr="001428E9" w:rsidRDefault="005D5363">
            <w:pPr>
              <w:keepLines/>
              <w:rPr>
                <w:rFonts w:ascii="Arial Narrow" w:hAnsi="Arial Narrow" w:cs="Arial"/>
                <w:b/>
                <w:sz w:val="20"/>
                <w:szCs w:val="20"/>
              </w:rPr>
            </w:pPr>
            <w:r w:rsidRPr="001428E9">
              <w:rPr>
                <w:rFonts w:ascii="Arial Narrow" w:hAnsi="Arial Narrow"/>
                <w:b/>
                <w:sz w:val="20"/>
                <w:szCs w:val="20"/>
              </w:rPr>
              <w:t xml:space="preserve">Restriction </w:t>
            </w:r>
            <w:r w:rsidRPr="00C432E7">
              <w:rPr>
                <w:rFonts w:ascii="Arial Narrow" w:hAnsi="Arial Narrow"/>
                <w:b/>
                <w:sz w:val="20"/>
                <w:szCs w:val="20"/>
              </w:rPr>
              <w:t>Summary</w:t>
            </w:r>
            <w:r w:rsidR="00C432E7">
              <w:rPr>
                <w:rFonts w:ascii="Arial Narrow" w:hAnsi="Arial Narrow"/>
                <w:b/>
                <w:sz w:val="20"/>
                <w:szCs w:val="20"/>
              </w:rPr>
              <w:t>:</w:t>
            </w:r>
            <w:r w:rsidRPr="00C432E7">
              <w:rPr>
                <w:rFonts w:ascii="Arial Narrow" w:hAnsi="Arial Narrow"/>
                <w:b/>
                <w:sz w:val="20"/>
                <w:szCs w:val="20"/>
              </w:rPr>
              <w:t xml:space="preserve"> </w:t>
            </w:r>
            <w:r w:rsidR="000E4420" w:rsidRPr="00D858D2">
              <w:rPr>
                <w:rFonts w:ascii="Arial Narrow" w:hAnsi="Arial Narrow"/>
                <w:b/>
                <w:sz w:val="20"/>
                <w:szCs w:val="20"/>
              </w:rPr>
              <w:t>15999</w:t>
            </w:r>
            <w:r w:rsidRPr="00D858D2">
              <w:rPr>
                <w:rFonts w:ascii="Arial Narrow" w:hAnsi="Arial Narrow"/>
                <w:b/>
                <w:sz w:val="20"/>
                <w:szCs w:val="20"/>
              </w:rPr>
              <w:t xml:space="preserve"> </w:t>
            </w:r>
            <w:r w:rsidRPr="00C432E7">
              <w:rPr>
                <w:rFonts w:ascii="Arial Narrow" w:hAnsi="Arial Narrow"/>
                <w:b/>
                <w:sz w:val="20"/>
                <w:szCs w:val="20"/>
              </w:rPr>
              <w:t xml:space="preserve">/ Treatment of Concept: </w:t>
            </w:r>
            <w:r w:rsidR="000E4420" w:rsidRPr="00D858D2">
              <w:rPr>
                <w:rFonts w:ascii="Arial Narrow" w:hAnsi="Arial Narrow"/>
                <w:b/>
                <w:sz w:val="20"/>
                <w:szCs w:val="20"/>
              </w:rPr>
              <w:t>15994</w:t>
            </w:r>
          </w:p>
        </w:tc>
      </w:tr>
      <w:tr w:rsidR="005D5363" w:rsidRPr="001428E9" w14:paraId="63D71483" w14:textId="77777777" w:rsidTr="0067525A">
        <w:tblPrEx>
          <w:tblCellMar>
            <w:top w:w="15" w:type="dxa"/>
            <w:bottom w:w="15" w:type="dxa"/>
          </w:tblCellMar>
          <w:tblLook w:val="04A0" w:firstRow="1" w:lastRow="0" w:firstColumn="1" w:lastColumn="0" w:noHBand="0" w:noVBand="1"/>
        </w:tblPrEx>
        <w:trPr>
          <w:trHeight w:val="20"/>
        </w:trPr>
        <w:tc>
          <w:tcPr>
            <w:tcW w:w="1276" w:type="dxa"/>
            <w:gridSpan w:val="2"/>
            <w:vMerge w:val="restart"/>
            <w:tcBorders>
              <w:top w:val="single" w:sz="4" w:space="0" w:color="auto"/>
              <w:left w:val="single" w:sz="4" w:space="0" w:color="auto"/>
              <w:right w:val="single" w:sz="4" w:space="0" w:color="auto"/>
            </w:tcBorders>
          </w:tcPr>
          <w:p w14:paraId="400E5978" w14:textId="77777777" w:rsidR="005D5363" w:rsidRPr="001428E9" w:rsidRDefault="005D5363">
            <w:pPr>
              <w:jc w:val="center"/>
              <w:rPr>
                <w:rFonts w:ascii="Arial Narrow" w:hAnsi="Arial Narrow" w:cs="Arial"/>
                <w:b/>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r w:rsidRPr="001428E9">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C4E531A" w14:textId="446C7955" w:rsidR="005D5363" w:rsidRPr="001428E9" w:rsidRDefault="005D5363" w:rsidP="00AA3202">
            <w:pPr>
              <w:keepLines/>
              <w:jc w:val="left"/>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sidR="00AA3202">
              <w:rPr>
                <w:rFonts w:ascii="Arial Narrow" w:eastAsia="Calibri" w:hAnsi="Arial Narrow" w:cs="Arial"/>
                <w:sz w:val="20"/>
                <w:szCs w:val="20"/>
              </w:rPr>
              <w:fldChar w:fldCharType="begin">
                <w:ffData>
                  <w:name w:val=""/>
                  <w:enabled/>
                  <w:calcOnExit w:val="0"/>
                  <w:checkBox>
                    <w:sizeAuto/>
                    <w:default w:val="1"/>
                  </w:checkBox>
                </w:ffData>
              </w:fldChar>
            </w:r>
            <w:r w:rsidR="00AA3202">
              <w:rPr>
                <w:rFonts w:ascii="Arial Narrow" w:eastAsia="Calibri" w:hAnsi="Arial Narrow" w:cs="Arial"/>
                <w:sz w:val="20"/>
                <w:szCs w:val="20"/>
              </w:rPr>
              <w:instrText xml:space="preserve"> FORMCHECKBOX </w:instrText>
            </w:r>
            <w:r w:rsidR="00AA3202">
              <w:rPr>
                <w:rFonts w:ascii="Arial Narrow" w:eastAsia="Calibri" w:hAnsi="Arial Narrow" w:cs="Arial"/>
                <w:sz w:val="20"/>
                <w:szCs w:val="20"/>
              </w:rPr>
            </w:r>
            <w:r w:rsidR="00AA3202">
              <w:rPr>
                <w:rFonts w:ascii="Arial Narrow" w:eastAsia="Calibri" w:hAnsi="Arial Narrow" w:cs="Arial"/>
                <w:sz w:val="20"/>
                <w:szCs w:val="20"/>
              </w:rPr>
              <w:fldChar w:fldCharType="separate"/>
            </w:r>
            <w:r w:rsidR="00AA3202">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5D5363" w:rsidRPr="001428E9" w14:paraId="58B4C1F7" w14:textId="77777777" w:rsidTr="0067525A">
        <w:tblPrEx>
          <w:tblCellMar>
            <w:top w:w="15" w:type="dxa"/>
            <w:bottom w:w="15" w:type="dxa"/>
          </w:tblCellMar>
          <w:tblLook w:val="04A0" w:firstRow="1" w:lastRow="0" w:firstColumn="1" w:lastColumn="0" w:noHBand="0" w:noVBand="1"/>
        </w:tblPrEx>
        <w:trPr>
          <w:trHeight w:val="20"/>
        </w:trPr>
        <w:tc>
          <w:tcPr>
            <w:tcW w:w="1276" w:type="dxa"/>
            <w:gridSpan w:val="2"/>
            <w:vMerge/>
            <w:tcBorders>
              <w:left w:val="single" w:sz="4" w:space="0" w:color="auto"/>
              <w:right w:val="single" w:sz="4" w:space="0" w:color="auto"/>
            </w:tcBorders>
          </w:tcPr>
          <w:p w14:paraId="4D3AE066" w14:textId="77777777" w:rsidR="005D5363" w:rsidRPr="001428E9" w:rsidRDefault="005D5363">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6BF77BA" w14:textId="7FAF39D7" w:rsidR="005D5363" w:rsidRDefault="005D5363">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p>
          <w:p w14:paraId="5A611022" w14:textId="3025EC1B" w:rsidR="005D5363" w:rsidRPr="001428E9" w:rsidRDefault="00AA3202">
            <w:pPr>
              <w:keepLines/>
              <w:rPr>
                <w:rFonts w:ascii="Arial Narrow" w:hAnsi="Arial Narrow" w:cs="Arial"/>
                <w:b/>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005D5363"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005D5363" w:rsidRPr="001428E9">
              <w:rPr>
                <w:rFonts w:ascii="Arial Narrow" w:hAnsi="Arial Narrow" w:cs="Arial"/>
                <w:sz w:val="20"/>
                <w:szCs w:val="20"/>
              </w:rPr>
              <w:t xml:space="preserve">Nurse practitioners </w:t>
            </w:r>
          </w:p>
        </w:tc>
      </w:tr>
      <w:tr w:rsidR="005D5363" w:rsidRPr="00D56F94" w14:paraId="28C609AC" w14:textId="77777777" w:rsidTr="0067525A">
        <w:tblPrEx>
          <w:tblCellMar>
            <w:top w:w="15" w:type="dxa"/>
            <w:bottom w:w="15" w:type="dxa"/>
          </w:tblCellMar>
          <w:tblLook w:val="04A0" w:firstRow="1" w:lastRow="0" w:firstColumn="1" w:lastColumn="0" w:noHBand="0" w:noVBand="1"/>
        </w:tblPrEx>
        <w:trPr>
          <w:trHeight w:val="20"/>
        </w:trPr>
        <w:tc>
          <w:tcPr>
            <w:tcW w:w="1276" w:type="dxa"/>
            <w:gridSpan w:val="2"/>
            <w:vMerge/>
            <w:tcBorders>
              <w:left w:val="single" w:sz="4" w:space="0" w:color="auto"/>
              <w:right w:val="single" w:sz="4" w:space="0" w:color="auto"/>
            </w:tcBorders>
          </w:tcPr>
          <w:p w14:paraId="298203DD" w14:textId="77777777" w:rsidR="005D5363" w:rsidRPr="001428E9" w:rsidRDefault="005D5363">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CDE39E3" w14:textId="77777777" w:rsidR="00AA3202" w:rsidRPr="006C67A5" w:rsidRDefault="005D5363" w:rsidP="00AA3202">
            <w:pPr>
              <w:keepLines/>
              <w:rPr>
                <w:rFonts w:ascii="Arial Narrow" w:hAnsi="Arial Narrow" w:cs="Arial"/>
                <w:sz w:val="20"/>
                <w:szCs w:val="20"/>
              </w:rPr>
            </w:pPr>
            <w:r w:rsidRPr="001428E9">
              <w:rPr>
                <w:rFonts w:ascii="Arial Narrow" w:hAnsi="Arial Narrow" w:cs="Arial"/>
                <w:b/>
                <w:sz w:val="20"/>
                <w:szCs w:val="20"/>
              </w:rPr>
              <w:t xml:space="preserve">Restriction type: </w:t>
            </w:r>
          </w:p>
          <w:p w14:paraId="19E95DF4" w14:textId="1B592D6C" w:rsidR="005D5363" w:rsidRPr="0042465B" w:rsidRDefault="00DF069F" w:rsidP="00122E44">
            <w:pPr>
              <w:keepLines/>
              <w:rPr>
                <w:rFonts w:ascii="Arial Narrow" w:eastAsia="Calibri" w:hAnsi="Arial Narrow" w:cs="Arial"/>
                <w:sz w:val="20"/>
                <w:szCs w:val="20"/>
              </w:rPr>
            </w:pP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005D5363" w:rsidRPr="001428E9">
              <w:rPr>
                <w:rFonts w:ascii="Arial Narrow" w:eastAsia="Calibri" w:hAnsi="Arial Narrow" w:cs="Arial"/>
                <w:sz w:val="20"/>
                <w:szCs w:val="20"/>
              </w:rPr>
              <w:t xml:space="preserve">Authority Required (Streamlined) </w:t>
            </w:r>
          </w:p>
        </w:tc>
      </w:tr>
      <w:tr w:rsidR="005D5363" w:rsidRPr="001428E9" w14:paraId="5BD4F607" w14:textId="77777777" w:rsidTr="0067525A">
        <w:tblPrEx>
          <w:tblCellMar>
            <w:top w:w="15" w:type="dxa"/>
            <w:bottom w:w="15" w:type="dxa"/>
          </w:tblCellMar>
          <w:tblLook w:val="04A0" w:firstRow="1" w:lastRow="0" w:firstColumn="1" w:lastColumn="0" w:noHBand="0" w:noVBand="1"/>
        </w:tblPrEx>
        <w:trPr>
          <w:trHeight w:val="20"/>
        </w:trPr>
        <w:tc>
          <w:tcPr>
            <w:tcW w:w="492" w:type="dxa"/>
            <w:vMerge w:val="restart"/>
            <w:tcBorders>
              <w:left w:val="single" w:sz="4" w:space="0" w:color="auto"/>
              <w:right w:val="single" w:sz="4" w:space="0" w:color="auto"/>
            </w:tcBorders>
            <w:textDirection w:val="btLr"/>
            <w:vAlign w:val="center"/>
          </w:tcPr>
          <w:p w14:paraId="145C1C29" w14:textId="77777777" w:rsidR="005D5363" w:rsidRPr="00432EBF" w:rsidRDefault="005D5363">
            <w:pPr>
              <w:jc w:val="center"/>
              <w:rPr>
                <w:rFonts w:ascii="Arial Narrow" w:hAnsi="Arial Narrow" w:cs="Arial"/>
                <w:sz w:val="20"/>
                <w:szCs w:val="20"/>
              </w:rPr>
            </w:pPr>
            <w:r w:rsidRPr="00432EBF">
              <w:rPr>
                <w:rFonts w:ascii="Arial Narrow" w:hAnsi="Arial Narrow" w:cs="Arial"/>
                <w:sz w:val="20"/>
                <w:szCs w:val="20"/>
              </w:rPr>
              <w:t>Prescribing rule level</w:t>
            </w:r>
          </w:p>
        </w:tc>
        <w:tc>
          <w:tcPr>
            <w:tcW w:w="784" w:type="dxa"/>
            <w:vAlign w:val="center"/>
          </w:tcPr>
          <w:p w14:paraId="2CB10904" w14:textId="06ED5335" w:rsidR="005D5363" w:rsidRPr="001428E9" w:rsidRDefault="005D5363">
            <w:pPr>
              <w:jc w:val="center"/>
              <w:rPr>
                <w:rFonts w:ascii="Arial Narrow" w:hAnsi="Arial Narrow"/>
                <w:color w:val="333333"/>
                <w:sz w:val="20"/>
                <w:szCs w:val="20"/>
              </w:rPr>
            </w:pPr>
          </w:p>
        </w:tc>
        <w:tc>
          <w:tcPr>
            <w:tcW w:w="7745" w:type="dxa"/>
            <w:gridSpan w:val="6"/>
            <w:vAlign w:val="center"/>
          </w:tcPr>
          <w:p w14:paraId="6FF9C3AF" w14:textId="16655EB8" w:rsidR="005D5363" w:rsidRPr="001428E9" w:rsidRDefault="003728EB">
            <w:pPr>
              <w:rPr>
                <w:rFonts w:ascii="Arial Narrow" w:hAnsi="Arial Narrow"/>
                <w:color w:val="333333"/>
                <w:sz w:val="20"/>
                <w:szCs w:val="20"/>
              </w:rPr>
            </w:pPr>
            <w:r>
              <w:rPr>
                <w:rFonts w:ascii="Arial Narrow" w:hAnsi="Arial Narrow"/>
                <w:b/>
                <w:bCs/>
                <w:sz w:val="20"/>
                <w:szCs w:val="20"/>
              </w:rPr>
              <w:t>Caution</w:t>
            </w:r>
            <w:r w:rsidR="005D5363" w:rsidRPr="00432EBF">
              <w:rPr>
                <w:rFonts w:ascii="Arial Narrow" w:hAnsi="Arial Narrow"/>
                <w:b/>
                <w:bCs/>
                <w:sz w:val="20"/>
                <w:szCs w:val="20"/>
              </w:rPr>
              <w:t>:</w:t>
            </w:r>
            <w:r w:rsidR="001E1685" w:rsidRPr="001E1685">
              <w:rPr>
                <w:rFonts w:ascii="Open Sans" w:hAnsi="Open Sans" w:cs="Open Sans"/>
                <w:color w:val="333333"/>
                <w:sz w:val="22"/>
                <w:szCs w:val="22"/>
                <w:shd w:val="clear" w:color="auto" w:fill="F4F4F4"/>
              </w:rPr>
              <w:t xml:space="preserve"> </w:t>
            </w:r>
            <w:r w:rsidR="001E1685" w:rsidRPr="00D606D6">
              <w:rPr>
                <w:rFonts w:ascii="Arial Narrow" w:hAnsi="Arial Narrow"/>
                <w:sz w:val="20"/>
                <w:szCs w:val="20"/>
              </w:rPr>
              <w:t>The risk of drug dependence is high.</w:t>
            </w:r>
          </w:p>
        </w:tc>
      </w:tr>
      <w:tr w:rsidR="005D5363" w:rsidRPr="00432EBF" w14:paraId="3FB35BD6" w14:textId="77777777" w:rsidTr="0067525A">
        <w:tblPrEx>
          <w:tblCellMar>
            <w:top w:w="15" w:type="dxa"/>
            <w:bottom w:w="15" w:type="dxa"/>
          </w:tblCellMar>
          <w:tblLook w:val="04A0" w:firstRow="1" w:lastRow="0" w:firstColumn="1" w:lastColumn="0" w:noHBand="0" w:noVBand="1"/>
        </w:tblPrEx>
        <w:trPr>
          <w:trHeight w:val="20"/>
        </w:trPr>
        <w:tc>
          <w:tcPr>
            <w:tcW w:w="492" w:type="dxa"/>
            <w:vMerge/>
            <w:tcBorders>
              <w:left w:val="single" w:sz="4" w:space="0" w:color="auto"/>
              <w:right w:val="single" w:sz="4" w:space="0" w:color="auto"/>
            </w:tcBorders>
          </w:tcPr>
          <w:p w14:paraId="13EF4249" w14:textId="77777777" w:rsidR="005D5363" w:rsidRPr="00432EBF" w:rsidRDefault="005D5363">
            <w:pPr>
              <w:rPr>
                <w:rFonts w:ascii="Arial Narrow" w:hAnsi="Arial Narrow" w:cs="Arial"/>
                <w:sz w:val="20"/>
                <w:szCs w:val="20"/>
              </w:rPr>
            </w:pPr>
          </w:p>
        </w:tc>
        <w:tc>
          <w:tcPr>
            <w:tcW w:w="784" w:type="dxa"/>
            <w:vAlign w:val="center"/>
          </w:tcPr>
          <w:p w14:paraId="5CCEB8E5" w14:textId="599DBCAB" w:rsidR="005D5363" w:rsidRPr="00432EBF" w:rsidRDefault="005D5363">
            <w:pPr>
              <w:jc w:val="center"/>
              <w:rPr>
                <w:rFonts w:ascii="Arial Narrow" w:hAnsi="Arial Narrow"/>
                <w:sz w:val="20"/>
                <w:szCs w:val="20"/>
              </w:rPr>
            </w:pPr>
          </w:p>
        </w:tc>
        <w:tc>
          <w:tcPr>
            <w:tcW w:w="7745" w:type="dxa"/>
            <w:gridSpan w:val="6"/>
            <w:vAlign w:val="center"/>
          </w:tcPr>
          <w:p w14:paraId="019802E2" w14:textId="4F9FB3AF" w:rsidR="005D5363" w:rsidRPr="00432EBF" w:rsidRDefault="005D5363">
            <w:pPr>
              <w:rPr>
                <w:rFonts w:ascii="Arial Narrow" w:hAnsi="Arial Narrow"/>
                <w:b/>
                <w:bCs/>
                <w:sz w:val="20"/>
                <w:szCs w:val="20"/>
              </w:rPr>
            </w:pPr>
            <w:r w:rsidRPr="00432EBF">
              <w:rPr>
                <w:rFonts w:ascii="Arial Narrow" w:hAnsi="Arial Narrow"/>
                <w:b/>
                <w:bCs/>
                <w:sz w:val="20"/>
                <w:szCs w:val="20"/>
              </w:rPr>
              <w:t>Administrative Advice:</w:t>
            </w:r>
            <w:r w:rsidR="00FF372D">
              <w:rPr>
                <w:rFonts w:ascii="Arial Narrow" w:hAnsi="Arial Narrow"/>
                <w:b/>
                <w:bCs/>
                <w:sz w:val="20"/>
                <w:szCs w:val="20"/>
              </w:rPr>
              <w:t xml:space="preserve"> </w:t>
            </w:r>
            <w:r w:rsidR="00FF372D" w:rsidRPr="00D606D6">
              <w:rPr>
                <w:rFonts w:ascii="Arial Narrow" w:hAnsi="Arial Narrow"/>
                <w:sz w:val="20"/>
                <w:szCs w:val="20"/>
              </w:rPr>
              <w:t>This treatment is not suitable for 'as-required' pain relief.</w:t>
            </w:r>
          </w:p>
        </w:tc>
      </w:tr>
      <w:tr w:rsidR="00DF069F" w:rsidRPr="00432EBF" w14:paraId="58E76753" w14:textId="77777777" w:rsidTr="0067525A">
        <w:tblPrEx>
          <w:tblCellMar>
            <w:top w:w="15" w:type="dxa"/>
            <w:bottom w:w="15" w:type="dxa"/>
          </w:tblCellMar>
          <w:tblLook w:val="04A0" w:firstRow="1" w:lastRow="0" w:firstColumn="1" w:lastColumn="0" w:noHBand="0" w:noVBand="1"/>
        </w:tblPrEx>
        <w:trPr>
          <w:trHeight w:val="20"/>
        </w:trPr>
        <w:tc>
          <w:tcPr>
            <w:tcW w:w="492" w:type="dxa"/>
            <w:vMerge/>
            <w:tcBorders>
              <w:left w:val="single" w:sz="4" w:space="0" w:color="auto"/>
              <w:right w:val="single" w:sz="4" w:space="0" w:color="auto"/>
            </w:tcBorders>
          </w:tcPr>
          <w:p w14:paraId="093DC8D3" w14:textId="77777777" w:rsidR="00DF069F" w:rsidRPr="00432EBF" w:rsidRDefault="00DF069F">
            <w:pPr>
              <w:rPr>
                <w:rFonts w:ascii="Arial Narrow" w:hAnsi="Arial Narrow" w:cs="Arial"/>
                <w:sz w:val="20"/>
                <w:szCs w:val="20"/>
              </w:rPr>
            </w:pPr>
          </w:p>
        </w:tc>
        <w:tc>
          <w:tcPr>
            <w:tcW w:w="784" w:type="dxa"/>
            <w:vAlign w:val="center"/>
          </w:tcPr>
          <w:p w14:paraId="224E0C43" w14:textId="135BD09A" w:rsidR="00DF069F" w:rsidRPr="00432EBF" w:rsidRDefault="00DF069F">
            <w:pPr>
              <w:jc w:val="center"/>
              <w:rPr>
                <w:rFonts w:ascii="Arial Narrow" w:hAnsi="Arial Narrow"/>
                <w:sz w:val="20"/>
                <w:szCs w:val="20"/>
              </w:rPr>
            </w:pPr>
          </w:p>
        </w:tc>
        <w:tc>
          <w:tcPr>
            <w:tcW w:w="7745" w:type="dxa"/>
            <w:gridSpan w:val="6"/>
            <w:vAlign w:val="center"/>
          </w:tcPr>
          <w:p w14:paraId="2739365D" w14:textId="7DE3BF85" w:rsidR="00DF069F" w:rsidRPr="00432EBF" w:rsidRDefault="006C618A">
            <w:pPr>
              <w:rPr>
                <w:rFonts w:ascii="Arial Narrow" w:hAnsi="Arial Narrow"/>
                <w:b/>
                <w:bCs/>
                <w:sz w:val="20"/>
                <w:szCs w:val="20"/>
              </w:rPr>
            </w:pPr>
            <w:r>
              <w:rPr>
                <w:rFonts w:ascii="Arial Narrow" w:hAnsi="Arial Narrow"/>
                <w:b/>
                <w:bCs/>
                <w:sz w:val="20"/>
                <w:szCs w:val="20"/>
              </w:rPr>
              <w:t xml:space="preserve">Administrative Advice: </w:t>
            </w:r>
            <w:r w:rsidR="00CA0B7C" w:rsidRPr="00D606D6">
              <w:rPr>
                <w:rFonts w:ascii="Arial Narrow" w:hAnsi="Arial Narrow"/>
                <w:sz w:val="20"/>
                <w:szCs w:val="20"/>
              </w:rPr>
              <w:t>This treatment is not recommended for use in ambulant patients.</w:t>
            </w:r>
          </w:p>
        </w:tc>
      </w:tr>
      <w:tr w:rsidR="00DF069F" w:rsidRPr="00432EBF" w14:paraId="2E5443C9" w14:textId="77777777" w:rsidTr="0067525A">
        <w:tblPrEx>
          <w:tblCellMar>
            <w:top w:w="15" w:type="dxa"/>
            <w:bottom w:w="15" w:type="dxa"/>
          </w:tblCellMar>
          <w:tblLook w:val="04A0" w:firstRow="1" w:lastRow="0" w:firstColumn="1" w:lastColumn="0" w:noHBand="0" w:noVBand="1"/>
        </w:tblPrEx>
        <w:trPr>
          <w:trHeight w:val="20"/>
        </w:trPr>
        <w:tc>
          <w:tcPr>
            <w:tcW w:w="492" w:type="dxa"/>
            <w:vMerge/>
            <w:tcBorders>
              <w:left w:val="single" w:sz="4" w:space="0" w:color="auto"/>
              <w:right w:val="single" w:sz="4" w:space="0" w:color="auto"/>
            </w:tcBorders>
          </w:tcPr>
          <w:p w14:paraId="41F85CBC" w14:textId="77777777" w:rsidR="00DF069F" w:rsidRPr="00432EBF" w:rsidRDefault="00DF069F">
            <w:pPr>
              <w:rPr>
                <w:rFonts w:ascii="Arial Narrow" w:hAnsi="Arial Narrow" w:cs="Arial"/>
                <w:sz w:val="20"/>
                <w:szCs w:val="20"/>
              </w:rPr>
            </w:pPr>
          </w:p>
        </w:tc>
        <w:tc>
          <w:tcPr>
            <w:tcW w:w="784" w:type="dxa"/>
            <w:vAlign w:val="center"/>
          </w:tcPr>
          <w:p w14:paraId="700A69AB" w14:textId="445E6DAD" w:rsidR="00DF069F" w:rsidRPr="00432EBF" w:rsidRDefault="00DF069F">
            <w:pPr>
              <w:jc w:val="center"/>
              <w:rPr>
                <w:rFonts w:ascii="Arial Narrow" w:hAnsi="Arial Narrow"/>
                <w:sz w:val="20"/>
                <w:szCs w:val="20"/>
              </w:rPr>
            </w:pPr>
          </w:p>
        </w:tc>
        <w:tc>
          <w:tcPr>
            <w:tcW w:w="7745" w:type="dxa"/>
            <w:gridSpan w:val="6"/>
            <w:vAlign w:val="center"/>
          </w:tcPr>
          <w:p w14:paraId="5A84A900" w14:textId="64429871" w:rsidR="00DF069F" w:rsidRPr="00432EBF" w:rsidRDefault="00CA0B7C">
            <w:pPr>
              <w:rPr>
                <w:rFonts w:ascii="Arial Narrow" w:hAnsi="Arial Narrow"/>
                <w:b/>
                <w:bCs/>
                <w:sz w:val="20"/>
                <w:szCs w:val="20"/>
              </w:rPr>
            </w:pPr>
            <w:r>
              <w:rPr>
                <w:rFonts w:ascii="Arial Narrow" w:hAnsi="Arial Narrow"/>
                <w:b/>
                <w:bCs/>
                <w:sz w:val="20"/>
                <w:szCs w:val="20"/>
              </w:rPr>
              <w:t xml:space="preserve">Administrative Advice: </w:t>
            </w:r>
            <w:r w:rsidR="00601BC5" w:rsidRPr="00D606D6">
              <w:rPr>
                <w:rFonts w:ascii="Arial Narrow" w:hAnsi="Arial Narrow"/>
                <w:sz w:val="20"/>
                <w:szCs w:val="20"/>
              </w:rPr>
              <w:t>Consider consultation with a multidisciplinary pain service prior to, or after commencement of this medication.</w:t>
            </w:r>
          </w:p>
        </w:tc>
      </w:tr>
      <w:tr w:rsidR="005D5363" w:rsidRPr="00432EBF" w14:paraId="68096704" w14:textId="77777777" w:rsidTr="0067525A">
        <w:tblPrEx>
          <w:tblCellMar>
            <w:top w:w="15" w:type="dxa"/>
            <w:bottom w:w="15" w:type="dxa"/>
          </w:tblCellMar>
          <w:tblLook w:val="04A0" w:firstRow="1" w:lastRow="0" w:firstColumn="1" w:lastColumn="0" w:noHBand="0" w:noVBand="1"/>
        </w:tblPrEx>
        <w:trPr>
          <w:trHeight w:val="20"/>
        </w:trPr>
        <w:tc>
          <w:tcPr>
            <w:tcW w:w="492" w:type="dxa"/>
            <w:vMerge/>
            <w:tcBorders>
              <w:left w:val="single" w:sz="4" w:space="0" w:color="auto"/>
              <w:bottom w:val="single" w:sz="4" w:space="0" w:color="auto"/>
              <w:right w:val="single" w:sz="4" w:space="0" w:color="auto"/>
            </w:tcBorders>
          </w:tcPr>
          <w:p w14:paraId="5ED70260" w14:textId="77777777" w:rsidR="005D5363" w:rsidRPr="00432EBF" w:rsidRDefault="005D5363">
            <w:pPr>
              <w:rPr>
                <w:rFonts w:ascii="Arial Narrow" w:hAnsi="Arial Narrow" w:cs="Arial"/>
                <w:sz w:val="20"/>
                <w:szCs w:val="20"/>
              </w:rPr>
            </w:pPr>
          </w:p>
        </w:tc>
        <w:tc>
          <w:tcPr>
            <w:tcW w:w="784" w:type="dxa"/>
            <w:vAlign w:val="center"/>
          </w:tcPr>
          <w:p w14:paraId="7982F5D0" w14:textId="75A2557E" w:rsidR="005D5363" w:rsidRPr="00432EBF" w:rsidRDefault="005D5363">
            <w:pPr>
              <w:jc w:val="center"/>
              <w:rPr>
                <w:rFonts w:ascii="Arial Narrow" w:hAnsi="Arial Narrow"/>
                <w:sz w:val="20"/>
                <w:szCs w:val="20"/>
              </w:rPr>
            </w:pPr>
          </w:p>
        </w:tc>
        <w:tc>
          <w:tcPr>
            <w:tcW w:w="7745" w:type="dxa"/>
            <w:gridSpan w:val="6"/>
            <w:vAlign w:val="center"/>
          </w:tcPr>
          <w:p w14:paraId="420AB0CD" w14:textId="77777777" w:rsidR="00601BC5" w:rsidRPr="00D606D6" w:rsidRDefault="005D5363" w:rsidP="00601BC5">
            <w:pPr>
              <w:rPr>
                <w:rFonts w:ascii="Arial Narrow" w:hAnsi="Arial Narrow"/>
                <w:sz w:val="20"/>
                <w:szCs w:val="20"/>
              </w:rPr>
            </w:pPr>
            <w:r w:rsidRPr="00432EBF">
              <w:rPr>
                <w:rFonts w:ascii="Arial Narrow" w:hAnsi="Arial Narrow"/>
                <w:b/>
                <w:bCs/>
                <w:sz w:val="20"/>
                <w:szCs w:val="20"/>
              </w:rPr>
              <w:t>Administrative Advice:</w:t>
            </w:r>
            <w:r w:rsidR="00601BC5">
              <w:rPr>
                <w:rFonts w:ascii="Arial Narrow" w:hAnsi="Arial Narrow"/>
                <w:b/>
                <w:bCs/>
                <w:sz w:val="20"/>
                <w:szCs w:val="20"/>
              </w:rPr>
              <w:t xml:space="preserve"> </w:t>
            </w:r>
            <w:r w:rsidR="00601BC5" w:rsidRPr="00D606D6">
              <w:rPr>
                <w:rFonts w:ascii="Arial Narrow" w:hAnsi="Arial Narrow"/>
                <w:sz w:val="20"/>
                <w:szCs w:val="20"/>
              </w:rPr>
              <w:t>Real time online applications for increased maximum quantities/repeats may be made using the Online PBS Authorities system (see www.servicesaustralia.gov.au/organisations/health-professionals/services/medicare/hpos/services/request-authority-using-online-pbs-authorities-hpos).</w:t>
            </w:r>
          </w:p>
          <w:p w14:paraId="2F2D73B4" w14:textId="77777777" w:rsidR="00601BC5" w:rsidRPr="00D606D6" w:rsidRDefault="00601BC5" w:rsidP="00601BC5">
            <w:pPr>
              <w:rPr>
                <w:rFonts w:ascii="Arial Narrow" w:hAnsi="Arial Narrow"/>
                <w:sz w:val="20"/>
                <w:szCs w:val="20"/>
              </w:rPr>
            </w:pPr>
            <w:r w:rsidRPr="00D606D6">
              <w:rPr>
                <w:rFonts w:ascii="Arial Narrow" w:hAnsi="Arial Narrow"/>
                <w:sz w:val="20"/>
                <w:szCs w:val="20"/>
              </w:rPr>
              <w:t>Phone applications for increased maximum quantities/repeats may be made by calling 1800 888 333.</w:t>
            </w:r>
          </w:p>
          <w:p w14:paraId="7DBC81F3" w14:textId="77777777" w:rsidR="00601BC5" w:rsidRPr="00D606D6" w:rsidRDefault="00601BC5" w:rsidP="00601BC5">
            <w:pPr>
              <w:rPr>
                <w:rFonts w:ascii="Arial Narrow" w:hAnsi="Arial Narrow"/>
                <w:sz w:val="20"/>
                <w:szCs w:val="20"/>
              </w:rPr>
            </w:pPr>
            <w:r w:rsidRPr="00D606D6">
              <w:rPr>
                <w:rFonts w:ascii="Arial Narrow" w:hAnsi="Arial Narrow"/>
                <w:sz w:val="20"/>
                <w:szCs w:val="20"/>
              </w:rPr>
              <w:t>Written authority applications for increased maximum quantities/repeats can be uploaded online through HPOS form upload or mailed to:</w:t>
            </w:r>
          </w:p>
          <w:p w14:paraId="43D24502" w14:textId="77777777" w:rsidR="00601BC5" w:rsidRPr="00D606D6" w:rsidRDefault="00601BC5" w:rsidP="00601BC5">
            <w:pPr>
              <w:rPr>
                <w:rFonts w:ascii="Arial Narrow" w:hAnsi="Arial Narrow"/>
                <w:sz w:val="20"/>
                <w:szCs w:val="20"/>
              </w:rPr>
            </w:pPr>
            <w:r w:rsidRPr="00D606D6">
              <w:rPr>
                <w:rFonts w:ascii="Arial Narrow" w:hAnsi="Arial Narrow"/>
                <w:sz w:val="20"/>
                <w:szCs w:val="20"/>
              </w:rPr>
              <w:t>Pharmaceutical Benefits Scheme</w:t>
            </w:r>
          </w:p>
          <w:p w14:paraId="74AE2FC5" w14:textId="77777777" w:rsidR="00601BC5" w:rsidRPr="00D606D6" w:rsidRDefault="00601BC5" w:rsidP="00601BC5">
            <w:pPr>
              <w:rPr>
                <w:rFonts w:ascii="Arial Narrow" w:hAnsi="Arial Narrow"/>
                <w:sz w:val="20"/>
                <w:szCs w:val="20"/>
              </w:rPr>
            </w:pPr>
            <w:r w:rsidRPr="00D606D6">
              <w:rPr>
                <w:rFonts w:ascii="Arial Narrow" w:hAnsi="Arial Narrow"/>
                <w:sz w:val="20"/>
                <w:szCs w:val="20"/>
              </w:rPr>
              <w:t>Reply Paid 9857</w:t>
            </w:r>
          </w:p>
          <w:p w14:paraId="301D1DB5" w14:textId="75DB4A0D" w:rsidR="005D5363" w:rsidRPr="00432EBF" w:rsidRDefault="00601BC5">
            <w:pPr>
              <w:rPr>
                <w:rFonts w:ascii="Arial Narrow" w:hAnsi="Arial Narrow"/>
                <w:b/>
                <w:bCs/>
                <w:sz w:val="20"/>
                <w:szCs w:val="20"/>
              </w:rPr>
            </w:pPr>
            <w:r w:rsidRPr="00D606D6">
              <w:rPr>
                <w:rFonts w:ascii="Arial Narrow" w:hAnsi="Arial Narrow"/>
                <w:sz w:val="20"/>
                <w:szCs w:val="20"/>
              </w:rPr>
              <w:t>[Your capital city]</w:t>
            </w:r>
          </w:p>
        </w:tc>
      </w:tr>
      <w:tr w:rsidR="005D5363" w:rsidRPr="001428E9" w14:paraId="0D3D6124" w14:textId="77777777" w:rsidTr="00025E84">
        <w:tblPrEx>
          <w:tblCellMar>
            <w:top w:w="15" w:type="dxa"/>
            <w:bottom w:w="15" w:type="dxa"/>
          </w:tblCellMar>
        </w:tblPrEx>
        <w:trPr>
          <w:cantSplit/>
          <w:trHeight w:val="20"/>
        </w:trPr>
        <w:tc>
          <w:tcPr>
            <w:tcW w:w="1276" w:type="dxa"/>
            <w:gridSpan w:val="2"/>
            <w:vAlign w:val="center"/>
          </w:tcPr>
          <w:p w14:paraId="0B326DF0" w14:textId="6FB6C632" w:rsidR="005D5363" w:rsidRPr="00432EBF" w:rsidRDefault="005D5363">
            <w:pPr>
              <w:keepLines/>
              <w:jc w:val="center"/>
              <w:rPr>
                <w:rFonts w:ascii="Arial Narrow" w:hAnsi="Arial Narrow"/>
                <w:sz w:val="20"/>
                <w:szCs w:val="20"/>
              </w:rPr>
            </w:pPr>
          </w:p>
        </w:tc>
        <w:tc>
          <w:tcPr>
            <w:tcW w:w="7745" w:type="dxa"/>
            <w:gridSpan w:val="6"/>
            <w:vAlign w:val="center"/>
            <w:hideMark/>
          </w:tcPr>
          <w:p w14:paraId="28B0446A" w14:textId="25F49BB6" w:rsidR="005D5363" w:rsidRPr="001428E9" w:rsidRDefault="005D5363">
            <w:pPr>
              <w:keepLines/>
              <w:rPr>
                <w:rFonts w:ascii="Arial Narrow" w:hAnsi="Arial Narrow"/>
                <w:color w:val="333333"/>
                <w:sz w:val="20"/>
                <w:szCs w:val="20"/>
              </w:rPr>
            </w:pPr>
            <w:r w:rsidRPr="00432EBF">
              <w:rPr>
                <w:rFonts w:ascii="Arial Narrow" w:hAnsi="Arial Narrow"/>
                <w:b/>
                <w:bCs/>
                <w:sz w:val="20"/>
                <w:szCs w:val="20"/>
              </w:rPr>
              <w:t>Indication</w:t>
            </w:r>
            <w:r w:rsidR="00601BC5" w:rsidRPr="00D606D6">
              <w:rPr>
                <w:rFonts w:ascii="Arial Narrow" w:hAnsi="Arial Narrow"/>
                <w:sz w:val="20"/>
                <w:szCs w:val="20"/>
              </w:rPr>
              <w:t xml:space="preserve">: </w:t>
            </w:r>
            <w:r w:rsidR="00485DE7" w:rsidRPr="00D606D6">
              <w:rPr>
                <w:rFonts w:ascii="Arial Narrow" w:hAnsi="Arial Narrow"/>
                <w:sz w:val="20"/>
                <w:szCs w:val="20"/>
              </w:rPr>
              <w:t>Chronic severe disabling pain</w:t>
            </w:r>
          </w:p>
        </w:tc>
      </w:tr>
      <w:tr w:rsidR="005D5363" w:rsidRPr="001428E9" w14:paraId="3FFD5C2D" w14:textId="77777777" w:rsidTr="00025E84">
        <w:tblPrEx>
          <w:tblCellMar>
            <w:top w:w="15" w:type="dxa"/>
            <w:bottom w:w="15" w:type="dxa"/>
          </w:tblCellMar>
        </w:tblPrEx>
        <w:trPr>
          <w:cantSplit/>
          <w:trHeight w:val="20"/>
        </w:trPr>
        <w:tc>
          <w:tcPr>
            <w:tcW w:w="1276" w:type="dxa"/>
            <w:gridSpan w:val="2"/>
            <w:vAlign w:val="center"/>
          </w:tcPr>
          <w:p w14:paraId="06C45243" w14:textId="77777777" w:rsidR="005D5363" w:rsidRPr="00432EBF" w:rsidRDefault="005D5363">
            <w:pPr>
              <w:jc w:val="center"/>
              <w:rPr>
                <w:rFonts w:ascii="Arial Narrow" w:hAnsi="Arial Narrow"/>
                <w:sz w:val="20"/>
                <w:szCs w:val="20"/>
              </w:rPr>
            </w:pPr>
          </w:p>
        </w:tc>
        <w:tc>
          <w:tcPr>
            <w:tcW w:w="7745" w:type="dxa"/>
            <w:gridSpan w:val="6"/>
            <w:vAlign w:val="center"/>
            <w:hideMark/>
          </w:tcPr>
          <w:p w14:paraId="34947FF3" w14:textId="2A87BA6E" w:rsidR="005D5363" w:rsidRPr="001428E9" w:rsidRDefault="005D5363">
            <w:pPr>
              <w:rPr>
                <w:rFonts w:ascii="Arial Narrow" w:hAnsi="Arial Narrow"/>
                <w:sz w:val="20"/>
                <w:szCs w:val="20"/>
              </w:rPr>
            </w:pPr>
            <w:r w:rsidRPr="00432EBF">
              <w:rPr>
                <w:rFonts w:ascii="Arial Narrow" w:hAnsi="Arial Narrow"/>
                <w:b/>
                <w:bCs/>
                <w:sz w:val="20"/>
                <w:szCs w:val="20"/>
              </w:rPr>
              <w:t>Treatment Phase:</w:t>
            </w:r>
            <w:r w:rsidRPr="00432EBF">
              <w:rPr>
                <w:rFonts w:ascii="Arial Narrow" w:hAnsi="Arial Narrow"/>
                <w:sz w:val="20"/>
                <w:szCs w:val="20"/>
              </w:rPr>
              <w:t xml:space="preserve"> </w:t>
            </w:r>
            <w:r w:rsidR="008B0CE6" w:rsidRPr="008B0CE6">
              <w:rPr>
                <w:rFonts w:ascii="Arial Narrow" w:hAnsi="Arial Narrow"/>
                <w:sz w:val="20"/>
                <w:szCs w:val="20"/>
              </w:rPr>
              <w:t>Initial PBS treatment after 1 June 2020 where patient has been treated with opioids for more than 12 months</w:t>
            </w:r>
          </w:p>
        </w:tc>
      </w:tr>
      <w:tr w:rsidR="005D5363" w:rsidRPr="001428E9" w14:paraId="4DBA9C30" w14:textId="77777777" w:rsidTr="00025E84">
        <w:tblPrEx>
          <w:tblCellMar>
            <w:top w:w="15" w:type="dxa"/>
            <w:bottom w:w="15" w:type="dxa"/>
          </w:tblCellMar>
        </w:tblPrEx>
        <w:trPr>
          <w:cantSplit/>
          <w:trHeight w:val="20"/>
        </w:trPr>
        <w:tc>
          <w:tcPr>
            <w:tcW w:w="1276" w:type="dxa"/>
            <w:gridSpan w:val="2"/>
            <w:vAlign w:val="center"/>
          </w:tcPr>
          <w:p w14:paraId="4A254564" w14:textId="51DE5D15" w:rsidR="005D5363" w:rsidRPr="00432EBF" w:rsidRDefault="005D5363" w:rsidP="008B0CE6">
            <w:pPr>
              <w:jc w:val="center"/>
              <w:rPr>
                <w:rFonts w:ascii="Arial Narrow" w:hAnsi="Arial Narrow"/>
                <w:sz w:val="20"/>
                <w:szCs w:val="20"/>
              </w:rPr>
            </w:pPr>
          </w:p>
        </w:tc>
        <w:tc>
          <w:tcPr>
            <w:tcW w:w="7745" w:type="dxa"/>
            <w:gridSpan w:val="6"/>
            <w:vAlign w:val="center"/>
            <w:hideMark/>
          </w:tcPr>
          <w:p w14:paraId="12E3F1A9" w14:textId="18E73A3B" w:rsidR="005D5363" w:rsidRPr="001428E9" w:rsidRDefault="005D5363">
            <w:pPr>
              <w:rPr>
                <w:rFonts w:ascii="Arial Narrow" w:hAnsi="Arial Narrow"/>
                <w:sz w:val="20"/>
                <w:szCs w:val="20"/>
              </w:rPr>
            </w:pPr>
            <w:r w:rsidRPr="00432EBF">
              <w:rPr>
                <w:rFonts w:ascii="Arial Narrow" w:hAnsi="Arial Narrow"/>
                <w:b/>
                <w:bCs/>
                <w:sz w:val="20"/>
                <w:szCs w:val="20"/>
              </w:rPr>
              <w:t xml:space="preserve">Clinical criteria: </w:t>
            </w:r>
          </w:p>
        </w:tc>
      </w:tr>
      <w:tr w:rsidR="005D5363" w:rsidRPr="001428E9" w14:paraId="5C97A111" w14:textId="77777777" w:rsidTr="00025E84">
        <w:tblPrEx>
          <w:tblCellMar>
            <w:top w:w="15" w:type="dxa"/>
            <w:bottom w:w="15" w:type="dxa"/>
          </w:tblCellMar>
        </w:tblPrEx>
        <w:trPr>
          <w:cantSplit/>
          <w:trHeight w:val="20"/>
        </w:trPr>
        <w:tc>
          <w:tcPr>
            <w:tcW w:w="1276" w:type="dxa"/>
            <w:gridSpan w:val="2"/>
            <w:vAlign w:val="center"/>
          </w:tcPr>
          <w:p w14:paraId="1B6733D4" w14:textId="5AA5BE47" w:rsidR="005D5363" w:rsidRPr="00432EBF" w:rsidRDefault="005D5363">
            <w:pPr>
              <w:jc w:val="center"/>
              <w:rPr>
                <w:rFonts w:ascii="Arial Narrow" w:hAnsi="Arial Narrow"/>
                <w:sz w:val="20"/>
                <w:szCs w:val="20"/>
              </w:rPr>
            </w:pPr>
          </w:p>
        </w:tc>
        <w:tc>
          <w:tcPr>
            <w:tcW w:w="7745" w:type="dxa"/>
            <w:gridSpan w:val="6"/>
            <w:vAlign w:val="center"/>
            <w:hideMark/>
          </w:tcPr>
          <w:p w14:paraId="5A4322B7" w14:textId="537DD750" w:rsidR="005D5363" w:rsidRPr="001428E9" w:rsidRDefault="00120D23">
            <w:pPr>
              <w:jc w:val="left"/>
              <w:rPr>
                <w:rFonts w:ascii="Arial Narrow" w:hAnsi="Arial Narrow"/>
                <w:color w:val="333333"/>
                <w:sz w:val="20"/>
                <w:szCs w:val="20"/>
              </w:rPr>
            </w:pPr>
            <w:r w:rsidRPr="00120D23">
              <w:rPr>
                <w:rFonts w:ascii="Arial Narrow" w:hAnsi="Arial Narrow"/>
                <w:color w:val="333333"/>
                <w:sz w:val="20"/>
                <w:szCs w:val="20"/>
              </w:rPr>
              <w:t>The condition must require daily, continuous, long term opioid treatment</w:t>
            </w:r>
          </w:p>
        </w:tc>
      </w:tr>
      <w:tr w:rsidR="005D5363" w:rsidRPr="00432EBF" w14:paraId="36F48F3B" w14:textId="77777777" w:rsidTr="00025E84">
        <w:tblPrEx>
          <w:tblCellMar>
            <w:top w:w="15" w:type="dxa"/>
            <w:bottom w:w="15" w:type="dxa"/>
          </w:tblCellMar>
        </w:tblPrEx>
        <w:trPr>
          <w:cantSplit/>
          <w:trHeight w:val="20"/>
        </w:trPr>
        <w:tc>
          <w:tcPr>
            <w:tcW w:w="1276" w:type="dxa"/>
            <w:gridSpan w:val="2"/>
            <w:vAlign w:val="center"/>
          </w:tcPr>
          <w:p w14:paraId="400AFA2B" w14:textId="77777777" w:rsidR="005D5363" w:rsidRPr="00432EBF" w:rsidRDefault="005D5363">
            <w:pPr>
              <w:jc w:val="center"/>
              <w:rPr>
                <w:rFonts w:ascii="Arial Narrow" w:hAnsi="Arial Narrow"/>
                <w:sz w:val="20"/>
                <w:szCs w:val="20"/>
              </w:rPr>
            </w:pPr>
          </w:p>
        </w:tc>
        <w:tc>
          <w:tcPr>
            <w:tcW w:w="7745" w:type="dxa"/>
            <w:gridSpan w:val="6"/>
            <w:vAlign w:val="center"/>
            <w:hideMark/>
          </w:tcPr>
          <w:p w14:paraId="002C1A2B" w14:textId="77777777" w:rsidR="005D5363" w:rsidRPr="00432EBF" w:rsidRDefault="005D5363">
            <w:pPr>
              <w:jc w:val="left"/>
              <w:rPr>
                <w:rFonts w:ascii="Arial Narrow" w:hAnsi="Arial Narrow"/>
                <w:sz w:val="20"/>
                <w:szCs w:val="20"/>
              </w:rPr>
            </w:pPr>
            <w:r w:rsidRPr="00432EBF">
              <w:rPr>
                <w:rFonts w:ascii="Arial Narrow" w:hAnsi="Arial Narrow"/>
                <w:b/>
                <w:bCs/>
                <w:sz w:val="20"/>
                <w:szCs w:val="20"/>
              </w:rPr>
              <w:t>AND</w:t>
            </w:r>
          </w:p>
        </w:tc>
      </w:tr>
      <w:tr w:rsidR="005D5363" w:rsidRPr="00432EBF" w14:paraId="5C75B8F7" w14:textId="77777777" w:rsidTr="0067525A">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5F279955" w14:textId="238186DB" w:rsidR="005D5363" w:rsidRPr="00432EBF" w:rsidRDefault="005D5363">
            <w:pPr>
              <w:jc w:val="center"/>
              <w:rPr>
                <w:rFonts w:ascii="Arial Narrow" w:hAnsi="Arial Narrow"/>
                <w:sz w:val="20"/>
                <w:szCs w:val="20"/>
              </w:rPr>
            </w:pPr>
          </w:p>
        </w:tc>
        <w:tc>
          <w:tcPr>
            <w:tcW w:w="7745" w:type="dxa"/>
            <w:gridSpan w:val="6"/>
            <w:vAlign w:val="center"/>
            <w:hideMark/>
          </w:tcPr>
          <w:p w14:paraId="0D32445F" w14:textId="77777777" w:rsidR="005D5363" w:rsidRPr="00432EBF" w:rsidRDefault="005D5363">
            <w:pPr>
              <w:jc w:val="left"/>
              <w:rPr>
                <w:rFonts w:ascii="Arial Narrow" w:hAnsi="Arial Narrow"/>
                <w:sz w:val="20"/>
                <w:szCs w:val="20"/>
              </w:rPr>
            </w:pPr>
            <w:r w:rsidRPr="00432EBF">
              <w:rPr>
                <w:rFonts w:ascii="Arial Narrow" w:hAnsi="Arial Narrow"/>
                <w:b/>
                <w:bCs/>
                <w:sz w:val="20"/>
                <w:szCs w:val="20"/>
              </w:rPr>
              <w:t>Clinical criteria:</w:t>
            </w:r>
          </w:p>
        </w:tc>
      </w:tr>
      <w:tr w:rsidR="005D5363" w:rsidRPr="001428E9" w14:paraId="2D95D051" w14:textId="77777777" w:rsidTr="0067525A">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2B45CE5F" w14:textId="3B1F49F7" w:rsidR="005D5363" w:rsidRPr="00432EBF" w:rsidRDefault="005D5363">
            <w:pPr>
              <w:jc w:val="center"/>
              <w:rPr>
                <w:rFonts w:ascii="Arial Narrow" w:hAnsi="Arial Narrow"/>
                <w:sz w:val="20"/>
                <w:szCs w:val="20"/>
              </w:rPr>
            </w:pPr>
          </w:p>
        </w:tc>
        <w:tc>
          <w:tcPr>
            <w:tcW w:w="7745" w:type="dxa"/>
            <w:gridSpan w:val="6"/>
            <w:vAlign w:val="center"/>
            <w:hideMark/>
          </w:tcPr>
          <w:p w14:paraId="300AE8E8" w14:textId="3A6E463B" w:rsidR="005D5363" w:rsidRPr="0042465B" w:rsidRDefault="00444ED4">
            <w:pPr>
              <w:rPr>
                <w:rFonts w:ascii="Arial Narrow" w:hAnsi="Arial Narrow"/>
                <w:sz w:val="20"/>
                <w:szCs w:val="20"/>
              </w:rPr>
            </w:pPr>
            <w:r w:rsidRPr="00A51255">
              <w:rPr>
                <w:rFonts w:ascii="Arial Narrow" w:hAnsi="Arial Narrow"/>
                <w:sz w:val="20"/>
                <w:szCs w:val="20"/>
              </w:rPr>
              <w:t xml:space="preserve">Patient must not be opioid </w:t>
            </w:r>
            <w:r w:rsidR="00061EC5">
              <w:rPr>
                <w:rFonts w:ascii="Arial Narrow" w:hAnsi="Arial Narrow"/>
                <w:sz w:val="20"/>
                <w:szCs w:val="20"/>
              </w:rPr>
              <w:t>naïve</w:t>
            </w:r>
          </w:p>
        </w:tc>
      </w:tr>
      <w:tr w:rsidR="005D5363" w:rsidRPr="00432EBF" w14:paraId="35B0C734" w14:textId="77777777" w:rsidTr="0067525A">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67658A91" w14:textId="77777777" w:rsidR="005D5363" w:rsidRPr="00432EBF" w:rsidRDefault="005D5363">
            <w:pPr>
              <w:jc w:val="center"/>
              <w:rPr>
                <w:rFonts w:ascii="Arial Narrow" w:hAnsi="Arial Narrow"/>
                <w:sz w:val="20"/>
                <w:szCs w:val="20"/>
              </w:rPr>
            </w:pPr>
          </w:p>
        </w:tc>
        <w:tc>
          <w:tcPr>
            <w:tcW w:w="7745" w:type="dxa"/>
            <w:gridSpan w:val="6"/>
            <w:vAlign w:val="center"/>
            <w:hideMark/>
          </w:tcPr>
          <w:p w14:paraId="3D81C008" w14:textId="77777777" w:rsidR="005D5363" w:rsidRPr="00432EBF" w:rsidRDefault="005D5363">
            <w:pPr>
              <w:rPr>
                <w:rFonts w:ascii="Arial Narrow" w:hAnsi="Arial Narrow"/>
                <w:sz w:val="20"/>
                <w:szCs w:val="20"/>
              </w:rPr>
            </w:pPr>
            <w:r w:rsidRPr="00432EBF">
              <w:rPr>
                <w:rFonts w:ascii="Arial Narrow" w:hAnsi="Arial Narrow"/>
                <w:b/>
                <w:bCs/>
                <w:sz w:val="20"/>
                <w:szCs w:val="20"/>
              </w:rPr>
              <w:t>AND</w:t>
            </w:r>
          </w:p>
        </w:tc>
      </w:tr>
      <w:tr w:rsidR="005D5363" w:rsidRPr="00432EBF" w14:paraId="43F44453" w14:textId="77777777" w:rsidTr="0067525A">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59D6D6A1" w14:textId="3A654A5E" w:rsidR="005D5363" w:rsidRPr="00432EBF" w:rsidRDefault="005D5363">
            <w:pPr>
              <w:jc w:val="center"/>
              <w:rPr>
                <w:rFonts w:ascii="Arial Narrow" w:hAnsi="Arial Narrow"/>
                <w:sz w:val="20"/>
                <w:szCs w:val="20"/>
              </w:rPr>
            </w:pPr>
          </w:p>
        </w:tc>
        <w:tc>
          <w:tcPr>
            <w:tcW w:w="7745" w:type="dxa"/>
            <w:gridSpan w:val="6"/>
            <w:vAlign w:val="center"/>
            <w:hideMark/>
          </w:tcPr>
          <w:p w14:paraId="21F4B5EF" w14:textId="77777777" w:rsidR="005D5363" w:rsidRPr="00432EBF" w:rsidRDefault="005D5363">
            <w:pPr>
              <w:rPr>
                <w:rFonts w:ascii="Arial Narrow" w:hAnsi="Arial Narrow"/>
                <w:sz w:val="20"/>
                <w:szCs w:val="20"/>
              </w:rPr>
            </w:pPr>
            <w:r w:rsidRPr="00432EBF">
              <w:rPr>
                <w:rFonts w:ascii="Arial Narrow" w:hAnsi="Arial Narrow"/>
                <w:b/>
                <w:bCs/>
                <w:sz w:val="20"/>
                <w:szCs w:val="20"/>
              </w:rPr>
              <w:t>Clinical criteria:</w:t>
            </w:r>
          </w:p>
        </w:tc>
      </w:tr>
      <w:tr w:rsidR="005D5363" w:rsidRPr="00432EBF" w14:paraId="1497EDC4" w14:textId="77777777" w:rsidTr="0067525A">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23A86EC1" w14:textId="5AE2D67B" w:rsidR="005D5363" w:rsidRPr="00432EBF" w:rsidRDefault="005D5363">
            <w:pPr>
              <w:jc w:val="center"/>
              <w:rPr>
                <w:rFonts w:ascii="Arial Narrow" w:hAnsi="Arial Narrow"/>
                <w:sz w:val="20"/>
                <w:szCs w:val="20"/>
              </w:rPr>
            </w:pPr>
          </w:p>
        </w:tc>
        <w:tc>
          <w:tcPr>
            <w:tcW w:w="7745" w:type="dxa"/>
            <w:gridSpan w:val="6"/>
            <w:vAlign w:val="center"/>
            <w:hideMark/>
          </w:tcPr>
          <w:p w14:paraId="0FADAB79" w14:textId="7EAA7FD7" w:rsidR="005D5363" w:rsidRPr="00432EBF" w:rsidRDefault="00A74C3B">
            <w:pPr>
              <w:rPr>
                <w:rFonts w:ascii="Arial Narrow" w:hAnsi="Arial Narrow"/>
                <w:sz w:val="20"/>
                <w:szCs w:val="20"/>
              </w:rPr>
            </w:pPr>
            <w:r w:rsidRPr="00A74C3B">
              <w:rPr>
                <w:rFonts w:ascii="Arial Narrow" w:hAnsi="Arial Narrow"/>
                <w:sz w:val="20"/>
                <w:szCs w:val="20"/>
              </w:rPr>
              <w:t>Patient must have cancer pain; or</w:t>
            </w:r>
          </w:p>
        </w:tc>
      </w:tr>
      <w:tr w:rsidR="00A74C3B" w:rsidRPr="00432EBF" w14:paraId="1961EFB4" w14:textId="77777777" w:rsidTr="0067525A">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4B68DBD3" w14:textId="1C3706F6" w:rsidR="00A74C3B" w:rsidRDefault="00A74C3B">
            <w:pPr>
              <w:jc w:val="center"/>
              <w:rPr>
                <w:rFonts w:ascii="Arial Narrow" w:hAnsi="Arial Narrow"/>
                <w:sz w:val="20"/>
                <w:szCs w:val="20"/>
              </w:rPr>
            </w:pPr>
          </w:p>
        </w:tc>
        <w:tc>
          <w:tcPr>
            <w:tcW w:w="7745" w:type="dxa"/>
            <w:gridSpan w:val="6"/>
            <w:vAlign w:val="center"/>
          </w:tcPr>
          <w:p w14:paraId="10C61009" w14:textId="61628AB7" w:rsidR="00A74C3B" w:rsidRPr="00A74C3B" w:rsidRDefault="00BF5A0A">
            <w:pPr>
              <w:rPr>
                <w:rFonts w:ascii="Arial Narrow" w:hAnsi="Arial Narrow"/>
                <w:sz w:val="20"/>
                <w:szCs w:val="20"/>
              </w:rPr>
            </w:pPr>
            <w:r w:rsidRPr="00BF5A0A">
              <w:rPr>
                <w:rFonts w:ascii="Arial Narrow" w:hAnsi="Arial Narrow"/>
                <w:sz w:val="20"/>
                <w:szCs w:val="20"/>
              </w:rPr>
              <w:t>Patient must have had or would have inadequate pain management with maximum tolerated doses of non-opioid and other opioid analgesics; or</w:t>
            </w:r>
          </w:p>
        </w:tc>
      </w:tr>
      <w:tr w:rsidR="00A74C3B" w:rsidRPr="00432EBF" w14:paraId="614CBB87" w14:textId="77777777" w:rsidTr="0067525A">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58458C99" w14:textId="0612C9B6" w:rsidR="00A74C3B" w:rsidRDefault="00A74C3B">
            <w:pPr>
              <w:jc w:val="center"/>
              <w:rPr>
                <w:rFonts w:ascii="Arial Narrow" w:hAnsi="Arial Narrow"/>
                <w:sz w:val="20"/>
                <w:szCs w:val="20"/>
              </w:rPr>
            </w:pPr>
          </w:p>
        </w:tc>
        <w:tc>
          <w:tcPr>
            <w:tcW w:w="7745" w:type="dxa"/>
            <w:gridSpan w:val="6"/>
            <w:vAlign w:val="center"/>
          </w:tcPr>
          <w:p w14:paraId="7F2FA152" w14:textId="7681C70F" w:rsidR="00A74C3B" w:rsidRPr="00A74C3B" w:rsidRDefault="00BF5A0A">
            <w:pPr>
              <w:rPr>
                <w:rFonts w:ascii="Arial Narrow" w:hAnsi="Arial Narrow"/>
                <w:sz w:val="20"/>
                <w:szCs w:val="20"/>
              </w:rPr>
            </w:pPr>
            <w:r w:rsidRPr="00BF5A0A">
              <w:rPr>
                <w:rFonts w:ascii="Arial Narrow" w:hAnsi="Arial Narrow"/>
                <w:sz w:val="20"/>
                <w:szCs w:val="20"/>
              </w:rPr>
              <w:t>Patient must be unable to use non-opioid and other opioid analgesics due to contraindications or intolerance</w:t>
            </w:r>
          </w:p>
        </w:tc>
      </w:tr>
      <w:tr w:rsidR="005D5363" w:rsidRPr="00432EBF" w14:paraId="7A10D7B8" w14:textId="77777777" w:rsidTr="0067525A">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23894382" w14:textId="19D10364" w:rsidR="005D5363" w:rsidRPr="00432EBF" w:rsidRDefault="005D5363">
            <w:pPr>
              <w:keepNext/>
              <w:jc w:val="center"/>
              <w:rPr>
                <w:rFonts w:ascii="Arial Narrow" w:hAnsi="Arial Narrow"/>
                <w:sz w:val="20"/>
                <w:szCs w:val="20"/>
              </w:rPr>
            </w:pPr>
          </w:p>
        </w:tc>
        <w:tc>
          <w:tcPr>
            <w:tcW w:w="7745" w:type="dxa"/>
            <w:gridSpan w:val="6"/>
            <w:vAlign w:val="center"/>
            <w:hideMark/>
          </w:tcPr>
          <w:p w14:paraId="63EF9AC1" w14:textId="77777777" w:rsidR="005D5363" w:rsidRPr="00432EBF" w:rsidRDefault="005D5363">
            <w:pPr>
              <w:keepNext/>
              <w:rPr>
                <w:rFonts w:ascii="Arial Narrow" w:hAnsi="Arial Narrow"/>
                <w:sz w:val="20"/>
                <w:szCs w:val="20"/>
              </w:rPr>
            </w:pPr>
            <w:r w:rsidRPr="00432EBF">
              <w:rPr>
                <w:rFonts w:ascii="Arial Narrow" w:hAnsi="Arial Narrow"/>
                <w:b/>
                <w:bCs/>
                <w:sz w:val="20"/>
                <w:szCs w:val="20"/>
              </w:rPr>
              <w:t>Treatment criteria:</w:t>
            </w:r>
          </w:p>
        </w:tc>
      </w:tr>
      <w:tr w:rsidR="005D5363" w:rsidRPr="001428E9" w14:paraId="00034C87" w14:textId="77777777" w:rsidTr="0067525A">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2C6F813F" w14:textId="027BD69E" w:rsidR="005D5363" w:rsidRPr="00432EBF" w:rsidRDefault="005D5363">
            <w:pPr>
              <w:jc w:val="center"/>
              <w:rPr>
                <w:rFonts w:ascii="Arial Narrow" w:hAnsi="Arial Narrow"/>
                <w:sz w:val="20"/>
                <w:szCs w:val="20"/>
              </w:rPr>
            </w:pPr>
          </w:p>
        </w:tc>
        <w:tc>
          <w:tcPr>
            <w:tcW w:w="7745" w:type="dxa"/>
            <w:gridSpan w:val="6"/>
            <w:vAlign w:val="center"/>
            <w:hideMark/>
          </w:tcPr>
          <w:p w14:paraId="31721102" w14:textId="3C096D3D" w:rsidR="005D5363" w:rsidRPr="00D606D6" w:rsidRDefault="006A2562">
            <w:pPr>
              <w:autoSpaceDE w:val="0"/>
              <w:autoSpaceDN w:val="0"/>
              <w:adjustRightInd w:val="0"/>
              <w:jc w:val="left"/>
              <w:rPr>
                <w:rFonts w:ascii="Arial Narrow" w:hAnsi="Arial Narrow" w:cs="Arial Narrow"/>
                <w:sz w:val="20"/>
                <w:szCs w:val="20"/>
              </w:rPr>
            </w:pPr>
            <w:r w:rsidRPr="00D606D6">
              <w:rPr>
                <w:rFonts w:ascii="Arial Narrow" w:hAnsi="Arial Narrow" w:cs="Arial Narrow"/>
                <w:sz w:val="20"/>
                <w:szCs w:val="20"/>
              </w:rPr>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r>
      <w:tr w:rsidR="005D5363" w:rsidRPr="00C02D56" w14:paraId="6738F69B" w14:textId="77777777" w:rsidTr="00025E84">
        <w:tblPrEx>
          <w:tblCellMar>
            <w:top w:w="15" w:type="dxa"/>
            <w:bottom w:w="15" w:type="dxa"/>
          </w:tblCellMar>
        </w:tblPrEx>
        <w:trPr>
          <w:cantSplit/>
          <w:trHeight w:val="20"/>
        </w:trPr>
        <w:tc>
          <w:tcPr>
            <w:tcW w:w="1276" w:type="dxa"/>
            <w:gridSpan w:val="2"/>
            <w:vAlign w:val="center"/>
          </w:tcPr>
          <w:p w14:paraId="22F9CCC8" w14:textId="7F227A07" w:rsidR="00B119D0" w:rsidRPr="00432EBF" w:rsidRDefault="00B119D0">
            <w:pPr>
              <w:jc w:val="center"/>
              <w:rPr>
                <w:rFonts w:ascii="Arial Narrow" w:hAnsi="Arial Narrow"/>
                <w:sz w:val="20"/>
                <w:szCs w:val="20"/>
              </w:rPr>
            </w:pPr>
          </w:p>
        </w:tc>
        <w:tc>
          <w:tcPr>
            <w:tcW w:w="7745" w:type="dxa"/>
            <w:gridSpan w:val="6"/>
            <w:vAlign w:val="center"/>
            <w:hideMark/>
          </w:tcPr>
          <w:p w14:paraId="7C5BC47C" w14:textId="77777777" w:rsidR="00E97D75" w:rsidRPr="0067525A" w:rsidRDefault="005D5363" w:rsidP="00E97D75">
            <w:pPr>
              <w:rPr>
                <w:rFonts w:ascii="Arial Narrow" w:hAnsi="Arial Narrow"/>
                <w:sz w:val="20"/>
                <w:szCs w:val="20"/>
              </w:rPr>
            </w:pPr>
            <w:r w:rsidRPr="00432EBF">
              <w:rPr>
                <w:rFonts w:ascii="Arial Narrow" w:hAnsi="Arial Narrow"/>
                <w:b/>
                <w:bCs/>
                <w:sz w:val="20"/>
                <w:szCs w:val="20"/>
              </w:rPr>
              <w:t xml:space="preserve">Prescribing Instructions: </w:t>
            </w:r>
            <w:r w:rsidR="00E97D75" w:rsidRPr="0067525A">
              <w:rPr>
                <w:rFonts w:ascii="Arial Narrow" w:hAnsi="Arial Narrow"/>
                <w:sz w:val="20"/>
                <w:szCs w:val="20"/>
              </w:rPr>
              <w:t>Authorities for increased maximum quantities and/or repeats must only be considered for chronic severe disabling pain where the total duration of non-PBS and PBS opioid analgesic treatment:</w:t>
            </w:r>
          </w:p>
          <w:p w14:paraId="678DCBF2" w14:textId="77777777" w:rsidR="00E97D75" w:rsidRPr="0067525A" w:rsidRDefault="00E97D75" w:rsidP="00E97D75">
            <w:pPr>
              <w:rPr>
                <w:rFonts w:ascii="Arial Narrow" w:hAnsi="Arial Narrow"/>
                <w:sz w:val="20"/>
                <w:szCs w:val="20"/>
              </w:rPr>
            </w:pPr>
          </w:p>
          <w:p w14:paraId="45D5E957" w14:textId="77777777" w:rsidR="00E97D75" w:rsidRPr="0067525A" w:rsidRDefault="00E97D75" w:rsidP="00E97D75">
            <w:pPr>
              <w:rPr>
                <w:rFonts w:ascii="Arial Narrow" w:hAnsi="Arial Narrow"/>
                <w:sz w:val="20"/>
                <w:szCs w:val="20"/>
              </w:rPr>
            </w:pPr>
            <w:r w:rsidRPr="0067525A">
              <w:rPr>
                <w:rFonts w:ascii="Arial Narrow" w:hAnsi="Arial Narrow"/>
                <w:sz w:val="20"/>
                <w:szCs w:val="20"/>
              </w:rPr>
              <w:t>(i) exceeds 12 months and the palliative care patient is unable to have annual pain management review due to their clinical condition; or</w:t>
            </w:r>
          </w:p>
          <w:p w14:paraId="3A65940F" w14:textId="77777777" w:rsidR="00E97D75" w:rsidRPr="0067525A" w:rsidRDefault="00E97D75" w:rsidP="00E97D75">
            <w:pPr>
              <w:rPr>
                <w:rFonts w:ascii="Arial Narrow" w:hAnsi="Arial Narrow"/>
                <w:sz w:val="20"/>
                <w:szCs w:val="20"/>
              </w:rPr>
            </w:pPr>
          </w:p>
          <w:p w14:paraId="65EDDB0A" w14:textId="77777777" w:rsidR="00E97D75" w:rsidRPr="0067525A" w:rsidRDefault="00E97D75" w:rsidP="00E97D75">
            <w:pPr>
              <w:rPr>
                <w:rFonts w:ascii="Arial Narrow" w:hAnsi="Arial Narrow"/>
                <w:sz w:val="20"/>
                <w:szCs w:val="20"/>
              </w:rPr>
            </w:pPr>
            <w:r w:rsidRPr="0067525A">
              <w:rPr>
                <w:rFonts w:ascii="Arial Narrow" w:hAnsi="Arial Narrow"/>
                <w:sz w:val="20"/>
                <w:szCs w:val="20"/>
              </w:rPr>
              <w:t>(ii) exceeds 12 months and the patient's clinical need for continuing opioid treatment has been confirmed through consultation with the patient by another medical practitioner or a palliative care nurse practitioner in the past 12 months; or</w:t>
            </w:r>
          </w:p>
          <w:p w14:paraId="70F8F56F" w14:textId="77777777" w:rsidR="00E97D75" w:rsidRPr="0067525A" w:rsidRDefault="00E97D75" w:rsidP="00E97D75">
            <w:pPr>
              <w:rPr>
                <w:rFonts w:ascii="Arial Narrow" w:hAnsi="Arial Narrow"/>
                <w:sz w:val="20"/>
                <w:szCs w:val="20"/>
              </w:rPr>
            </w:pPr>
          </w:p>
          <w:p w14:paraId="6431D804" w14:textId="19EC8542" w:rsidR="005D5363" w:rsidRPr="00C02D56" w:rsidRDefault="00E97D75" w:rsidP="00E97D75">
            <w:pPr>
              <w:rPr>
                <w:rFonts w:ascii="Arial Narrow" w:hAnsi="Arial Narrow"/>
                <w:sz w:val="20"/>
                <w:szCs w:val="20"/>
              </w:rPr>
            </w:pPr>
            <w:r w:rsidRPr="0067525A">
              <w:rPr>
                <w:rFonts w:ascii="Arial Narrow" w:hAnsi="Arial Narrow"/>
                <w:sz w:val="20"/>
                <w:szCs w:val="20"/>
              </w:rPr>
              <w:t>(iii)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
        </w:tc>
      </w:tr>
      <w:tr w:rsidR="005D5363" w:rsidRPr="001428E9" w14:paraId="4C369CB9" w14:textId="77777777" w:rsidTr="00025E84">
        <w:tblPrEx>
          <w:tblCellMar>
            <w:top w:w="15" w:type="dxa"/>
            <w:bottom w:w="15" w:type="dxa"/>
          </w:tblCellMar>
        </w:tblPrEx>
        <w:trPr>
          <w:cantSplit/>
          <w:trHeight w:val="20"/>
        </w:trPr>
        <w:tc>
          <w:tcPr>
            <w:tcW w:w="1276" w:type="dxa"/>
            <w:gridSpan w:val="2"/>
            <w:vAlign w:val="center"/>
          </w:tcPr>
          <w:p w14:paraId="76B91F3F" w14:textId="68B06B68" w:rsidR="005D5363" w:rsidRPr="00432EBF" w:rsidRDefault="005D5363">
            <w:pPr>
              <w:jc w:val="center"/>
              <w:rPr>
                <w:rFonts w:ascii="Arial Narrow" w:hAnsi="Arial Narrow"/>
                <w:sz w:val="20"/>
                <w:szCs w:val="20"/>
              </w:rPr>
            </w:pPr>
          </w:p>
        </w:tc>
        <w:tc>
          <w:tcPr>
            <w:tcW w:w="7745" w:type="dxa"/>
            <w:gridSpan w:val="6"/>
            <w:vAlign w:val="center"/>
            <w:hideMark/>
          </w:tcPr>
          <w:p w14:paraId="36F0BAAF" w14:textId="1D81ADFD" w:rsidR="005D5363" w:rsidRPr="001428E9" w:rsidRDefault="00E97D75">
            <w:pPr>
              <w:rPr>
                <w:rFonts w:ascii="Arial Narrow" w:hAnsi="Arial Narrow"/>
                <w:color w:val="333333"/>
                <w:sz w:val="20"/>
                <w:szCs w:val="20"/>
              </w:rPr>
            </w:pPr>
            <w:r>
              <w:rPr>
                <w:rFonts w:ascii="Arial Narrow" w:hAnsi="Arial Narrow"/>
                <w:b/>
                <w:bCs/>
                <w:sz w:val="20"/>
                <w:szCs w:val="20"/>
              </w:rPr>
              <w:t>Prescribing Instructions:</w:t>
            </w:r>
            <w:r w:rsidR="005D5363" w:rsidRPr="001428E9">
              <w:rPr>
                <w:rFonts w:ascii="Arial Narrow" w:hAnsi="Arial Narrow"/>
                <w:bCs/>
                <w:color w:val="FF0000"/>
                <w:sz w:val="20"/>
                <w:szCs w:val="20"/>
              </w:rPr>
              <w:t xml:space="preserve"> </w:t>
            </w:r>
            <w:r w:rsidR="00D15AE2" w:rsidRPr="00D858D2">
              <w:rPr>
                <w:rFonts w:ascii="Arial Narrow" w:hAnsi="Arial Narrow"/>
                <w:bCs/>
                <w:sz w:val="20"/>
                <w:szCs w:val="20"/>
              </w:rPr>
              <w:t>Palliative care nurses may conduct annual review under this item for the treatment of palliative care patients only.</w:t>
            </w:r>
          </w:p>
        </w:tc>
      </w:tr>
      <w:tr w:rsidR="005D5363" w:rsidRPr="001428E9" w14:paraId="26DD696F" w14:textId="77777777" w:rsidTr="0067525A">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6627342E" w14:textId="0DFEAF12" w:rsidR="00B119D0" w:rsidRPr="00432EBF" w:rsidRDefault="00B119D0">
            <w:pPr>
              <w:jc w:val="center"/>
              <w:rPr>
                <w:rFonts w:ascii="Arial Narrow" w:hAnsi="Arial Narrow"/>
                <w:sz w:val="20"/>
                <w:szCs w:val="20"/>
              </w:rPr>
            </w:pPr>
          </w:p>
        </w:tc>
        <w:tc>
          <w:tcPr>
            <w:tcW w:w="7745" w:type="dxa"/>
            <w:gridSpan w:val="6"/>
            <w:vAlign w:val="center"/>
          </w:tcPr>
          <w:p w14:paraId="309206E7" w14:textId="77777777" w:rsidR="00D15AE2" w:rsidRPr="0067525A" w:rsidRDefault="00E97D75" w:rsidP="00D15AE2">
            <w:pPr>
              <w:rPr>
                <w:rFonts w:ascii="Arial Narrow" w:hAnsi="Arial Narrow"/>
                <w:sz w:val="20"/>
                <w:szCs w:val="20"/>
              </w:rPr>
            </w:pPr>
            <w:r>
              <w:rPr>
                <w:rFonts w:ascii="Arial Narrow" w:hAnsi="Arial Narrow"/>
                <w:b/>
                <w:bCs/>
                <w:sz w:val="20"/>
                <w:szCs w:val="20"/>
              </w:rPr>
              <w:t xml:space="preserve">Prescribing Instructions: </w:t>
            </w:r>
            <w:r w:rsidR="005D5363" w:rsidRPr="00432EBF">
              <w:rPr>
                <w:rFonts w:ascii="Arial Narrow" w:hAnsi="Arial Narrow"/>
                <w:b/>
                <w:bCs/>
                <w:sz w:val="20"/>
                <w:szCs w:val="20"/>
              </w:rPr>
              <w:t xml:space="preserve"> </w:t>
            </w:r>
            <w:r w:rsidR="00D15AE2" w:rsidRPr="0067525A">
              <w:rPr>
                <w:rFonts w:ascii="Arial Narrow" w:hAnsi="Arial Narrow"/>
                <w:sz w:val="20"/>
                <w:szCs w:val="20"/>
              </w:rPr>
              <w:t>Authority requests extending treatment duration up to 1 month may be requested through the Online PBS Authorities system or by calling Services Australia.</w:t>
            </w:r>
          </w:p>
          <w:p w14:paraId="5442EF26" w14:textId="0A166527" w:rsidR="005D5363" w:rsidRPr="001428E9" w:rsidRDefault="00D15AE2" w:rsidP="00E97D75">
            <w:pPr>
              <w:rPr>
                <w:rFonts w:ascii="Arial Narrow" w:hAnsi="Arial Narrow"/>
                <w:bCs/>
                <w:color w:val="333333"/>
                <w:sz w:val="20"/>
                <w:szCs w:val="20"/>
              </w:rPr>
            </w:pPr>
            <w:r w:rsidRPr="0067525A">
              <w:rPr>
                <w:rFonts w:ascii="Arial Narrow" w:hAnsi="Arial Narrow"/>
                <w:sz w:val="20"/>
                <w:szCs w:val="20"/>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5D5363" w:rsidRPr="001428E9" w14:paraId="0DE187B4" w14:textId="77777777" w:rsidTr="0067525A">
        <w:tblPrEx>
          <w:tblCellMar>
            <w:top w:w="15" w:type="dxa"/>
            <w:bottom w:w="15" w:type="dxa"/>
          </w:tblCellMar>
          <w:tblLook w:val="04A0" w:firstRow="1" w:lastRow="0" w:firstColumn="1" w:lastColumn="0" w:noHBand="0" w:noVBand="1"/>
        </w:tblPrEx>
        <w:trPr>
          <w:cantSplit/>
          <w:trHeight w:val="20"/>
        </w:trPr>
        <w:tc>
          <w:tcPr>
            <w:tcW w:w="9021" w:type="dxa"/>
            <w:gridSpan w:val="8"/>
            <w:vAlign w:val="center"/>
          </w:tcPr>
          <w:p w14:paraId="1DE6AC35" w14:textId="77777777" w:rsidR="005D5363" w:rsidRPr="0042465B" w:rsidRDefault="005D5363">
            <w:pPr>
              <w:rPr>
                <w:rFonts w:ascii="Arial Narrow" w:hAnsi="Arial Narrow"/>
                <w:sz w:val="20"/>
                <w:szCs w:val="20"/>
              </w:rPr>
            </w:pPr>
          </w:p>
          <w:p w14:paraId="3DBCC515" w14:textId="27CBC024" w:rsidR="00595734" w:rsidRPr="0042465B" w:rsidRDefault="00595734">
            <w:pPr>
              <w:rPr>
                <w:rFonts w:ascii="Arial Narrow" w:hAnsi="Arial Narrow"/>
                <w:sz w:val="20"/>
                <w:szCs w:val="20"/>
              </w:rPr>
            </w:pPr>
          </w:p>
        </w:tc>
      </w:tr>
      <w:tr w:rsidR="00595734" w:rsidRPr="001428E9" w14:paraId="3772CB27" w14:textId="77777777" w:rsidTr="0067525A">
        <w:tblPrEx>
          <w:tblCellMar>
            <w:top w:w="15" w:type="dxa"/>
            <w:bottom w:w="15" w:type="dxa"/>
          </w:tblCellMar>
          <w:tblLook w:val="04A0" w:firstRow="1" w:lastRow="0" w:firstColumn="1" w:lastColumn="0" w:noHBand="0" w:noVBand="1"/>
        </w:tblPrEx>
        <w:trPr>
          <w:trHeight w:val="20"/>
        </w:trPr>
        <w:tc>
          <w:tcPr>
            <w:tcW w:w="9021" w:type="dxa"/>
            <w:gridSpan w:val="8"/>
            <w:tcBorders>
              <w:top w:val="single" w:sz="4" w:space="0" w:color="auto"/>
              <w:left w:val="single" w:sz="4" w:space="0" w:color="auto"/>
              <w:right w:val="single" w:sz="4" w:space="0" w:color="auto"/>
            </w:tcBorders>
            <w:vAlign w:val="center"/>
          </w:tcPr>
          <w:p w14:paraId="620A1274" w14:textId="37734C1B" w:rsidR="00595734" w:rsidRPr="00C432E7" w:rsidRDefault="00595734" w:rsidP="00DF2554">
            <w:pPr>
              <w:keepLines/>
              <w:rPr>
                <w:rFonts w:ascii="Arial Narrow" w:hAnsi="Arial Narrow" w:cs="Arial"/>
                <w:b/>
                <w:sz w:val="20"/>
                <w:szCs w:val="20"/>
              </w:rPr>
            </w:pPr>
            <w:r w:rsidRPr="00C432E7">
              <w:rPr>
                <w:rFonts w:ascii="Arial Narrow" w:hAnsi="Arial Narrow"/>
                <w:b/>
                <w:sz w:val="20"/>
                <w:szCs w:val="20"/>
              </w:rPr>
              <w:t>Restriction Summary</w:t>
            </w:r>
            <w:r w:rsidR="00C432E7">
              <w:rPr>
                <w:rFonts w:ascii="Arial Narrow" w:hAnsi="Arial Narrow"/>
                <w:b/>
                <w:sz w:val="20"/>
                <w:szCs w:val="20"/>
              </w:rPr>
              <w:t>:</w:t>
            </w:r>
            <w:r w:rsidRPr="00C432E7">
              <w:rPr>
                <w:rFonts w:ascii="Arial Narrow" w:hAnsi="Arial Narrow"/>
                <w:b/>
                <w:sz w:val="20"/>
                <w:szCs w:val="20"/>
              </w:rPr>
              <w:t xml:space="preserve"> </w:t>
            </w:r>
            <w:r w:rsidRPr="00D858D2">
              <w:rPr>
                <w:rFonts w:ascii="Arial Narrow" w:hAnsi="Arial Narrow"/>
                <w:b/>
                <w:sz w:val="20"/>
                <w:szCs w:val="20"/>
              </w:rPr>
              <w:t>1599</w:t>
            </w:r>
            <w:r w:rsidR="0038660F" w:rsidRPr="00D858D2">
              <w:rPr>
                <w:rFonts w:ascii="Arial Narrow" w:hAnsi="Arial Narrow"/>
                <w:b/>
                <w:sz w:val="20"/>
                <w:szCs w:val="20"/>
              </w:rPr>
              <w:t>8</w:t>
            </w:r>
            <w:r w:rsidRPr="00D858D2">
              <w:rPr>
                <w:rFonts w:ascii="Arial Narrow" w:hAnsi="Arial Narrow"/>
                <w:b/>
                <w:sz w:val="20"/>
                <w:szCs w:val="20"/>
              </w:rPr>
              <w:t xml:space="preserve"> </w:t>
            </w:r>
            <w:r w:rsidRPr="00C432E7">
              <w:rPr>
                <w:rFonts w:ascii="Arial Narrow" w:hAnsi="Arial Narrow"/>
                <w:b/>
                <w:sz w:val="20"/>
                <w:szCs w:val="20"/>
              </w:rPr>
              <w:t xml:space="preserve">/ Treatment of Concept: </w:t>
            </w:r>
            <w:r w:rsidRPr="00D858D2">
              <w:rPr>
                <w:rFonts w:ascii="Arial Narrow" w:hAnsi="Arial Narrow"/>
                <w:b/>
                <w:sz w:val="20"/>
                <w:szCs w:val="20"/>
              </w:rPr>
              <w:t>1</w:t>
            </w:r>
            <w:r w:rsidR="0038660F" w:rsidRPr="00D858D2">
              <w:rPr>
                <w:rFonts w:ascii="Arial Narrow" w:hAnsi="Arial Narrow"/>
                <w:b/>
                <w:sz w:val="20"/>
                <w:szCs w:val="20"/>
              </w:rPr>
              <w:t>6000</w:t>
            </w:r>
          </w:p>
        </w:tc>
      </w:tr>
      <w:tr w:rsidR="00595734" w:rsidRPr="001428E9" w14:paraId="6B89CF7E" w14:textId="77777777" w:rsidTr="0067525A">
        <w:tblPrEx>
          <w:tblCellMar>
            <w:top w:w="15" w:type="dxa"/>
            <w:bottom w:w="15" w:type="dxa"/>
          </w:tblCellMar>
          <w:tblLook w:val="04A0" w:firstRow="1" w:lastRow="0" w:firstColumn="1" w:lastColumn="0" w:noHBand="0" w:noVBand="1"/>
        </w:tblPrEx>
        <w:trPr>
          <w:trHeight w:val="20"/>
        </w:trPr>
        <w:tc>
          <w:tcPr>
            <w:tcW w:w="1276" w:type="dxa"/>
            <w:gridSpan w:val="2"/>
            <w:vMerge w:val="restart"/>
            <w:tcBorders>
              <w:top w:val="single" w:sz="4" w:space="0" w:color="auto"/>
              <w:left w:val="single" w:sz="4" w:space="0" w:color="auto"/>
              <w:right w:val="single" w:sz="4" w:space="0" w:color="auto"/>
            </w:tcBorders>
          </w:tcPr>
          <w:p w14:paraId="49E856EF" w14:textId="77777777" w:rsidR="00595734" w:rsidRPr="001428E9" w:rsidRDefault="00595734" w:rsidP="00DF2554">
            <w:pPr>
              <w:jc w:val="center"/>
              <w:rPr>
                <w:rFonts w:ascii="Arial Narrow" w:hAnsi="Arial Narrow" w:cs="Arial"/>
                <w:b/>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r w:rsidRPr="001428E9">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15BD867" w14:textId="77777777" w:rsidR="00595734" w:rsidRPr="001428E9" w:rsidRDefault="00595734" w:rsidP="00DF2554">
            <w:pPr>
              <w:keepLines/>
              <w:jc w:val="left"/>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595734" w:rsidRPr="001428E9" w14:paraId="2EBF35C9" w14:textId="77777777" w:rsidTr="0067525A">
        <w:tblPrEx>
          <w:tblCellMar>
            <w:top w:w="15" w:type="dxa"/>
            <w:bottom w:w="15" w:type="dxa"/>
          </w:tblCellMar>
          <w:tblLook w:val="04A0" w:firstRow="1" w:lastRow="0" w:firstColumn="1" w:lastColumn="0" w:noHBand="0" w:noVBand="1"/>
        </w:tblPrEx>
        <w:trPr>
          <w:trHeight w:val="20"/>
        </w:trPr>
        <w:tc>
          <w:tcPr>
            <w:tcW w:w="1276" w:type="dxa"/>
            <w:gridSpan w:val="2"/>
            <w:vMerge/>
            <w:tcBorders>
              <w:left w:val="single" w:sz="4" w:space="0" w:color="auto"/>
              <w:right w:val="single" w:sz="4" w:space="0" w:color="auto"/>
            </w:tcBorders>
          </w:tcPr>
          <w:p w14:paraId="20E9FA27" w14:textId="77777777" w:rsidR="00595734" w:rsidRPr="001428E9" w:rsidRDefault="00595734" w:rsidP="00DF2554">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B2E7ADE" w14:textId="77777777" w:rsidR="00595734" w:rsidRDefault="00595734" w:rsidP="00DF2554">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p>
          <w:p w14:paraId="512C622D" w14:textId="77777777" w:rsidR="00595734" w:rsidRPr="001428E9" w:rsidRDefault="00595734" w:rsidP="00DF2554">
            <w:pPr>
              <w:keepLines/>
              <w:rPr>
                <w:rFonts w:ascii="Arial Narrow" w:hAnsi="Arial Narrow" w:cs="Arial"/>
                <w:b/>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595734" w:rsidRPr="00D56F94" w14:paraId="5B4BA0D7" w14:textId="77777777" w:rsidTr="0067525A">
        <w:tblPrEx>
          <w:tblCellMar>
            <w:top w:w="15" w:type="dxa"/>
            <w:bottom w:w="15" w:type="dxa"/>
          </w:tblCellMar>
          <w:tblLook w:val="04A0" w:firstRow="1" w:lastRow="0" w:firstColumn="1" w:lastColumn="0" w:noHBand="0" w:noVBand="1"/>
        </w:tblPrEx>
        <w:trPr>
          <w:trHeight w:val="20"/>
        </w:trPr>
        <w:tc>
          <w:tcPr>
            <w:tcW w:w="1276" w:type="dxa"/>
            <w:gridSpan w:val="2"/>
            <w:vMerge/>
            <w:tcBorders>
              <w:left w:val="single" w:sz="4" w:space="0" w:color="auto"/>
              <w:right w:val="single" w:sz="4" w:space="0" w:color="auto"/>
            </w:tcBorders>
          </w:tcPr>
          <w:p w14:paraId="787F26E6" w14:textId="77777777" w:rsidR="00595734" w:rsidRPr="001428E9" w:rsidRDefault="00595734" w:rsidP="00DF2554">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1043F50" w14:textId="77777777" w:rsidR="00595734" w:rsidRPr="006C67A5" w:rsidRDefault="00595734" w:rsidP="00DF2554">
            <w:pPr>
              <w:keepLines/>
              <w:rPr>
                <w:rFonts w:ascii="Arial Narrow" w:hAnsi="Arial Narrow" w:cs="Arial"/>
                <w:sz w:val="20"/>
                <w:szCs w:val="20"/>
              </w:rPr>
            </w:pPr>
            <w:r w:rsidRPr="001428E9">
              <w:rPr>
                <w:rFonts w:ascii="Arial Narrow" w:hAnsi="Arial Narrow" w:cs="Arial"/>
                <w:b/>
                <w:sz w:val="20"/>
                <w:szCs w:val="20"/>
              </w:rPr>
              <w:t xml:space="preserve">Restriction type: </w:t>
            </w:r>
          </w:p>
          <w:p w14:paraId="53C8D978" w14:textId="57F75EF1" w:rsidR="00595734" w:rsidRPr="0042465B" w:rsidRDefault="00595734" w:rsidP="00122E44">
            <w:pPr>
              <w:keepLines/>
              <w:rPr>
                <w:rFonts w:ascii="Arial Narrow" w:eastAsia="Calibri" w:hAnsi="Arial Narrow" w:cs="Arial"/>
                <w:sz w:val="20"/>
                <w:szCs w:val="20"/>
              </w:rPr>
            </w:pP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 xml:space="preserve">Authority Required (Streamlined) </w:t>
            </w:r>
          </w:p>
        </w:tc>
      </w:tr>
      <w:tr w:rsidR="00595734" w:rsidRPr="001428E9" w14:paraId="352937A2" w14:textId="77777777" w:rsidTr="0067525A">
        <w:tblPrEx>
          <w:tblCellMar>
            <w:top w:w="15" w:type="dxa"/>
            <w:bottom w:w="15" w:type="dxa"/>
          </w:tblCellMar>
          <w:tblLook w:val="04A0" w:firstRow="1" w:lastRow="0" w:firstColumn="1" w:lastColumn="0" w:noHBand="0" w:noVBand="1"/>
        </w:tblPrEx>
        <w:trPr>
          <w:trHeight w:val="20"/>
        </w:trPr>
        <w:tc>
          <w:tcPr>
            <w:tcW w:w="492" w:type="dxa"/>
            <w:vMerge w:val="restart"/>
            <w:tcBorders>
              <w:left w:val="single" w:sz="4" w:space="0" w:color="auto"/>
              <w:right w:val="single" w:sz="4" w:space="0" w:color="auto"/>
            </w:tcBorders>
            <w:textDirection w:val="btLr"/>
            <w:vAlign w:val="center"/>
          </w:tcPr>
          <w:p w14:paraId="7F66468C" w14:textId="77777777" w:rsidR="00595734" w:rsidRPr="00432EBF" w:rsidRDefault="00595734" w:rsidP="00DF2554">
            <w:pPr>
              <w:jc w:val="center"/>
              <w:rPr>
                <w:rFonts w:ascii="Arial Narrow" w:hAnsi="Arial Narrow" w:cs="Arial"/>
                <w:sz w:val="20"/>
                <w:szCs w:val="20"/>
              </w:rPr>
            </w:pPr>
            <w:r w:rsidRPr="00432EBF">
              <w:rPr>
                <w:rFonts w:ascii="Arial Narrow" w:hAnsi="Arial Narrow" w:cs="Arial"/>
                <w:sz w:val="20"/>
                <w:szCs w:val="20"/>
              </w:rPr>
              <w:t>Prescribing rule level</w:t>
            </w:r>
          </w:p>
        </w:tc>
        <w:tc>
          <w:tcPr>
            <w:tcW w:w="784" w:type="dxa"/>
            <w:vAlign w:val="center"/>
          </w:tcPr>
          <w:p w14:paraId="11AD5F06" w14:textId="7E8EFAE2" w:rsidR="00595734" w:rsidRPr="001428E9" w:rsidRDefault="00595734" w:rsidP="00DF2554">
            <w:pPr>
              <w:jc w:val="center"/>
              <w:rPr>
                <w:rFonts w:ascii="Arial Narrow" w:hAnsi="Arial Narrow"/>
                <w:color w:val="333333"/>
                <w:sz w:val="20"/>
                <w:szCs w:val="20"/>
              </w:rPr>
            </w:pPr>
          </w:p>
        </w:tc>
        <w:tc>
          <w:tcPr>
            <w:tcW w:w="7745" w:type="dxa"/>
            <w:gridSpan w:val="6"/>
            <w:vAlign w:val="center"/>
          </w:tcPr>
          <w:p w14:paraId="37A44CF5" w14:textId="6579DB19" w:rsidR="00595734" w:rsidRPr="0042465B" w:rsidRDefault="00595734" w:rsidP="00DF2554">
            <w:pPr>
              <w:rPr>
                <w:rFonts w:ascii="Arial Narrow" w:hAnsi="Arial Narrow"/>
                <w:sz w:val="20"/>
                <w:szCs w:val="20"/>
              </w:rPr>
            </w:pPr>
            <w:r>
              <w:rPr>
                <w:rFonts w:ascii="Arial Narrow" w:hAnsi="Arial Narrow"/>
                <w:b/>
                <w:bCs/>
                <w:sz w:val="20"/>
                <w:szCs w:val="20"/>
              </w:rPr>
              <w:t>Caution</w:t>
            </w:r>
            <w:r w:rsidRPr="00432EBF">
              <w:rPr>
                <w:rFonts w:ascii="Arial Narrow" w:hAnsi="Arial Narrow"/>
                <w:b/>
                <w:bCs/>
                <w:sz w:val="20"/>
                <w:szCs w:val="20"/>
              </w:rPr>
              <w:t>:</w:t>
            </w:r>
            <w:r w:rsidRPr="0042465B">
              <w:rPr>
                <w:rFonts w:ascii="Open Sans" w:hAnsi="Open Sans" w:cs="Open Sans"/>
                <w:sz w:val="22"/>
                <w:szCs w:val="22"/>
                <w:shd w:val="clear" w:color="auto" w:fill="F4F4F4"/>
              </w:rPr>
              <w:t xml:space="preserve"> </w:t>
            </w:r>
            <w:r w:rsidRPr="00652EC4">
              <w:rPr>
                <w:rFonts w:ascii="Arial Narrow" w:hAnsi="Arial Narrow"/>
                <w:sz w:val="20"/>
                <w:szCs w:val="20"/>
              </w:rPr>
              <w:t>The risk of drug dependence is high.</w:t>
            </w:r>
          </w:p>
        </w:tc>
      </w:tr>
      <w:tr w:rsidR="00595734" w:rsidRPr="00432EBF" w14:paraId="1975F82E" w14:textId="77777777" w:rsidTr="0067525A">
        <w:tblPrEx>
          <w:tblCellMar>
            <w:top w:w="15" w:type="dxa"/>
            <w:bottom w:w="15" w:type="dxa"/>
          </w:tblCellMar>
          <w:tblLook w:val="04A0" w:firstRow="1" w:lastRow="0" w:firstColumn="1" w:lastColumn="0" w:noHBand="0" w:noVBand="1"/>
        </w:tblPrEx>
        <w:trPr>
          <w:trHeight w:val="20"/>
        </w:trPr>
        <w:tc>
          <w:tcPr>
            <w:tcW w:w="492" w:type="dxa"/>
            <w:vMerge/>
            <w:tcBorders>
              <w:left w:val="single" w:sz="4" w:space="0" w:color="auto"/>
              <w:right w:val="single" w:sz="4" w:space="0" w:color="auto"/>
            </w:tcBorders>
          </w:tcPr>
          <w:p w14:paraId="09481985" w14:textId="77777777" w:rsidR="00595734" w:rsidRPr="00432EBF" w:rsidRDefault="00595734" w:rsidP="00DF2554">
            <w:pPr>
              <w:rPr>
                <w:rFonts w:ascii="Arial Narrow" w:hAnsi="Arial Narrow" w:cs="Arial"/>
                <w:sz w:val="20"/>
                <w:szCs w:val="20"/>
              </w:rPr>
            </w:pPr>
          </w:p>
        </w:tc>
        <w:tc>
          <w:tcPr>
            <w:tcW w:w="784" w:type="dxa"/>
            <w:vAlign w:val="center"/>
          </w:tcPr>
          <w:p w14:paraId="2E07CAB9" w14:textId="4E3BBCE4" w:rsidR="00595734" w:rsidRPr="00432EBF" w:rsidRDefault="00595734" w:rsidP="00DF2554">
            <w:pPr>
              <w:jc w:val="center"/>
              <w:rPr>
                <w:rFonts w:ascii="Arial Narrow" w:hAnsi="Arial Narrow"/>
                <w:sz w:val="20"/>
                <w:szCs w:val="20"/>
              </w:rPr>
            </w:pPr>
          </w:p>
        </w:tc>
        <w:tc>
          <w:tcPr>
            <w:tcW w:w="7745" w:type="dxa"/>
            <w:gridSpan w:val="6"/>
            <w:vAlign w:val="center"/>
          </w:tcPr>
          <w:p w14:paraId="7BF8F904" w14:textId="77777777" w:rsidR="00595734" w:rsidRPr="00432EBF" w:rsidRDefault="00595734" w:rsidP="00DF2554">
            <w:pPr>
              <w:rPr>
                <w:rFonts w:ascii="Arial Narrow" w:hAnsi="Arial Narrow"/>
                <w:b/>
                <w:bCs/>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sidRPr="00652EC4">
              <w:rPr>
                <w:rFonts w:ascii="Arial Narrow" w:hAnsi="Arial Narrow"/>
                <w:sz w:val="20"/>
                <w:szCs w:val="20"/>
              </w:rPr>
              <w:t>This treatment is not suitable for 'as-required' pain relief.</w:t>
            </w:r>
          </w:p>
        </w:tc>
      </w:tr>
      <w:tr w:rsidR="00595734" w:rsidRPr="00432EBF" w14:paraId="116BCB70" w14:textId="77777777" w:rsidTr="0067525A">
        <w:tblPrEx>
          <w:tblCellMar>
            <w:top w:w="15" w:type="dxa"/>
            <w:bottom w:w="15" w:type="dxa"/>
          </w:tblCellMar>
          <w:tblLook w:val="04A0" w:firstRow="1" w:lastRow="0" w:firstColumn="1" w:lastColumn="0" w:noHBand="0" w:noVBand="1"/>
        </w:tblPrEx>
        <w:trPr>
          <w:trHeight w:val="20"/>
        </w:trPr>
        <w:tc>
          <w:tcPr>
            <w:tcW w:w="492" w:type="dxa"/>
            <w:vMerge/>
            <w:tcBorders>
              <w:left w:val="single" w:sz="4" w:space="0" w:color="auto"/>
              <w:right w:val="single" w:sz="4" w:space="0" w:color="auto"/>
            </w:tcBorders>
          </w:tcPr>
          <w:p w14:paraId="5DBEBB93" w14:textId="77777777" w:rsidR="00595734" w:rsidRPr="00432EBF" w:rsidRDefault="00595734" w:rsidP="00DF2554">
            <w:pPr>
              <w:rPr>
                <w:rFonts w:ascii="Arial Narrow" w:hAnsi="Arial Narrow" w:cs="Arial"/>
                <w:sz w:val="20"/>
                <w:szCs w:val="20"/>
              </w:rPr>
            </w:pPr>
          </w:p>
        </w:tc>
        <w:tc>
          <w:tcPr>
            <w:tcW w:w="784" w:type="dxa"/>
            <w:vAlign w:val="center"/>
          </w:tcPr>
          <w:p w14:paraId="792EDF73" w14:textId="64CA5C5B" w:rsidR="00595734" w:rsidRPr="00432EBF" w:rsidRDefault="00595734" w:rsidP="00DF2554">
            <w:pPr>
              <w:jc w:val="center"/>
              <w:rPr>
                <w:rFonts w:ascii="Arial Narrow" w:hAnsi="Arial Narrow"/>
                <w:sz w:val="20"/>
                <w:szCs w:val="20"/>
              </w:rPr>
            </w:pPr>
          </w:p>
        </w:tc>
        <w:tc>
          <w:tcPr>
            <w:tcW w:w="7745" w:type="dxa"/>
            <w:gridSpan w:val="6"/>
            <w:vAlign w:val="center"/>
          </w:tcPr>
          <w:p w14:paraId="163F31F2" w14:textId="77777777" w:rsidR="00595734" w:rsidRPr="00432EBF" w:rsidRDefault="00595734" w:rsidP="00DF2554">
            <w:pPr>
              <w:rPr>
                <w:rFonts w:ascii="Arial Narrow" w:hAnsi="Arial Narrow"/>
                <w:b/>
                <w:bCs/>
                <w:sz w:val="20"/>
                <w:szCs w:val="20"/>
              </w:rPr>
            </w:pPr>
            <w:r>
              <w:rPr>
                <w:rFonts w:ascii="Arial Narrow" w:hAnsi="Arial Narrow"/>
                <w:b/>
                <w:bCs/>
                <w:sz w:val="20"/>
                <w:szCs w:val="20"/>
              </w:rPr>
              <w:t xml:space="preserve">Administrative Advice: </w:t>
            </w:r>
            <w:r w:rsidRPr="00652EC4">
              <w:rPr>
                <w:rFonts w:ascii="Arial Narrow" w:hAnsi="Arial Narrow"/>
                <w:sz w:val="20"/>
                <w:szCs w:val="20"/>
              </w:rPr>
              <w:t>This treatment is not recommended for use in ambulant patients.</w:t>
            </w:r>
          </w:p>
        </w:tc>
      </w:tr>
      <w:tr w:rsidR="00595734" w:rsidRPr="00432EBF" w14:paraId="42E5D4E5" w14:textId="77777777" w:rsidTr="0067525A">
        <w:tblPrEx>
          <w:tblCellMar>
            <w:top w:w="15" w:type="dxa"/>
            <w:bottom w:w="15" w:type="dxa"/>
          </w:tblCellMar>
          <w:tblLook w:val="04A0" w:firstRow="1" w:lastRow="0" w:firstColumn="1" w:lastColumn="0" w:noHBand="0" w:noVBand="1"/>
        </w:tblPrEx>
        <w:trPr>
          <w:trHeight w:val="20"/>
        </w:trPr>
        <w:tc>
          <w:tcPr>
            <w:tcW w:w="492" w:type="dxa"/>
            <w:vMerge/>
            <w:tcBorders>
              <w:left w:val="single" w:sz="4" w:space="0" w:color="auto"/>
              <w:right w:val="single" w:sz="4" w:space="0" w:color="auto"/>
            </w:tcBorders>
          </w:tcPr>
          <w:p w14:paraId="6F6835D7" w14:textId="77777777" w:rsidR="00595734" w:rsidRPr="00432EBF" w:rsidRDefault="00595734" w:rsidP="00DF2554">
            <w:pPr>
              <w:rPr>
                <w:rFonts w:ascii="Arial Narrow" w:hAnsi="Arial Narrow" w:cs="Arial"/>
                <w:sz w:val="20"/>
                <w:szCs w:val="20"/>
              </w:rPr>
            </w:pPr>
          </w:p>
        </w:tc>
        <w:tc>
          <w:tcPr>
            <w:tcW w:w="784" w:type="dxa"/>
            <w:vAlign w:val="center"/>
          </w:tcPr>
          <w:p w14:paraId="0BE6751E" w14:textId="4245ED9E" w:rsidR="00595734" w:rsidRPr="00432EBF" w:rsidRDefault="00595734" w:rsidP="00DF2554">
            <w:pPr>
              <w:jc w:val="center"/>
              <w:rPr>
                <w:rFonts w:ascii="Arial Narrow" w:hAnsi="Arial Narrow"/>
                <w:sz w:val="20"/>
                <w:szCs w:val="20"/>
              </w:rPr>
            </w:pPr>
          </w:p>
        </w:tc>
        <w:tc>
          <w:tcPr>
            <w:tcW w:w="7745" w:type="dxa"/>
            <w:gridSpan w:val="6"/>
            <w:vAlign w:val="center"/>
          </w:tcPr>
          <w:p w14:paraId="2327A4B1" w14:textId="77777777" w:rsidR="00595734" w:rsidRPr="00432EBF" w:rsidRDefault="00595734" w:rsidP="00DF2554">
            <w:pPr>
              <w:rPr>
                <w:rFonts w:ascii="Arial Narrow" w:hAnsi="Arial Narrow"/>
                <w:b/>
                <w:bCs/>
                <w:sz w:val="20"/>
                <w:szCs w:val="20"/>
              </w:rPr>
            </w:pPr>
            <w:r>
              <w:rPr>
                <w:rFonts w:ascii="Arial Narrow" w:hAnsi="Arial Narrow"/>
                <w:b/>
                <w:bCs/>
                <w:sz w:val="20"/>
                <w:szCs w:val="20"/>
              </w:rPr>
              <w:t xml:space="preserve">Administrative Advice: </w:t>
            </w:r>
            <w:r w:rsidRPr="00652EC4">
              <w:rPr>
                <w:rFonts w:ascii="Arial Narrow" w:hAnsi="Arial Narrow"/>
                <w:sz w:val="20"/>
                <w:szCs w:val="20"/>
              </w:rPr>
              <w:t>Consider consultation with a multidisciplinary pain service prior to, or after commencement of this medication.</w:t>
            </w:r>
          </w:p>
        </w:tc>
      </w:tr>
      <w:tr w:rsidR="00595734" w:rsidRPr="00432EBF" w14:paraId="182C2837" w14:textId="77777777" w:rsidTr="0067525A">
        <w:tblPrEx>
          <w:tblCellMar>
            <w:top w:w="15" w:type="dxa"/>
            <w:bottom w:w="15" w:type="dxa"/>
          </w:tblCellMar>
          <w:tblLook w:val="04A0" w:firstRow="1" w:lastRow="0" w:firstColumn="1" w:lastColumn="0" w:noHBand="0" w:noVBand="1"/>
        </w:tblPrEx>
        <w:trPr>
          <w:trHeight w:val="20"/>
        </w:trPr>
        <w:tc>
          <w:tcPr>
            <w:tcW w:w="492" w:type="dxa"/>
            <w:vMerge/>
            <w:tcBorders>
              <w:left w:val="single" w:sz="4" w:space="0" w:color="auto"/>
              <w:bottom w:val="single" w:sz="4" w:space="0" w:color="auto"/>
              <w:right w:val="single" w:sz="4" w:space="0" w:color="auto"/>
            </w:tcBorders>
          </w:tcPr>
          <w:p w14:paraId="062530AF" w14:textId="77777777" w:rsidR="00595734" w:rsidRPr="00432EBF" w:rsidRDefault="00595734" w:rsidP="00DF2554">
            <w:pPr>
              <w:rPr>
                <w:rFonts w:ascii="Arial Narrow" w:hAnsi="Arial Narrow" w:cs="Arial"/>
                <w:sz w:val="20"/>
                <w:szCs w:val="20"/>
              </w:rPr>
            </w:pPr>
          </w:p>
        </w:tc>
        <w:tc>
          <w:tcPr>
            <w:tcW w:w="784" w:type="dxa"/>
            <w:vAlign w:val="center"/>
          </w:tcPr>
          <w:p w14:paraId="5BC954BB" w14:textId="0FB9A915" w:rsidR="00595734" w:rsidRPr="00432EBF" w:rsidRDefault="00595734" w:rsidP="00DF2554">
            <w:pPr>
              <w:jc w:val="center"/>
              <w:rPr>
                <w:rFonts w:ascii="Arial Narrow" w:hAnsi="Arial Narrow"/>
                <w:sz w:val="20"/>
                <w:szCs w:val="20"/>
              </w:rPr>
            </w:pPr>
          </w:p>
        </w:tc>
        <w:tc>
          <w:tcPr>
            <w:tcW w:w="7745" w:type="dxa"/>
            <w:gridSpan w:val="6"/>
            <w:vAlign w:val="center"/>
          </w:tcPr>
          <w:p w14:paraId="55C47BC0" w14:textId="77777777" w:rsidR="00595734" w:rsidRPr="00652EC4" w:rsidRDefault="00595734" w:rsidP="00DF2554">
            <w:pPr>
              <w:rPr>
                <w:rFonts w:ascii="Arial Narrow" w:hAnsi="Arial Narrow"/>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sidRPr="00652EC4">
              <w:rPr>
                <w:rFonts w:ascii="Arial Narrow" w:hAnsi="Arial Narrow"/>
                <w:sz w:val="20"/>
                <w:szCs w:val="20"/>
              </w:rPr>
              <w:t>Real time online applications for increased maximum quantities/repeats may be made using the Online PBS Authorities system (see www.servicesaustralia.gov.au/organisations/health-professionals/services/medicare/hpos/services/request-authority-using-online-pbs-authorities-hpos).</w:t>
            </w:r>
          </w:p>
          <w:p w14:paraId="6DCC4B37" w14:textId="77777777" w:rsidR="00595734" w:rsidRPr="00652EC4" w:rsidRDefault="00595734" w:rsidP="00DF2554">
            <w:pPr>
              <w:rPr>
                <w:rFonts w:ascii="Arial Narrow" w:hAnsi="Arial Narrow"/>
                <w:sz w:val="20"/>
                <w:szCs w:val="20"/>
              </w:rPr>
            </w:pPr>
            <w:r w:rsidRPr="00652EC4">
              <w:rPr>
                <w:rFonts w:ascii="Arial Narrow" w:hAnsi="Arial Narrow"/>
                <w:sz w:val="20"/>
                <w:szCs w:val="20"/>
              </w:rPr>
              <w:t>Phone applications for increased maximum quantities/repeats may be made by calling 1800 888 333.</w:t>
            </w:r>
          </w:p>
          <w:p w14:paraId="516E6E59" w14:textId="77777777" w:rsidR="00595734" w:rsidRPr="00652EC4" w:rsidRDefault="00595734" w:rsidP="00DF2554">
            <w:pPr>
              <w:rPr>
                <w:rFonts w:ascii="Arial Narrow" w:hAnsi="Arial Narrow"/>
                <w:sz w:val="20"/>
                <w:szCs w:val="20"/>
              </w:rPr>
            </w:pPr>
            <w:r w:rsidRPr="00652EC4">
              <w:rPr>
                <w:rFonts w:ascii="Arial Narrow" w:hAnsi="Arial Narrow"/>
                <w:sz w:val="20"/>
                <w:szCs w:val="20"/>
              </w:rPr>
              <w:t>Written authority applications for increased maximum quantities/repeats can be uploaded online through HPOS form upload or mailed to:</w:t>
            </w:r>
          </w:p>
          <w:p w14:paraId="148C1F6E" w14:textId="77777777" w:rsidR="00595734" w:rsidRPr="00652EC4" w:rsidRDefault="00595734" w:rsidP="00DF2554">
            <w:pPr>
              <w:rPr>
                <w:rFonts w:ascii="Arial Narrow" w:hAnsi="Arial Narrow"/>
                <w:sz w:val="20"/>
                <w:szCs w:val="20"/>
              </w:rPr>
            </w:pPr>
            <w:r w:rsidRPr="00652EC4">
              <w:rPr>
                <w:rFonts w:ascii="Arial Narrow" w:hAnsi="Arial Narrow"/>
                <w:sz w:val="20"/>
                <w:szCs w:val="20"/>
              </w:rPr>
              <w:t>Pharmaceutical Benefits Scheme</w:t>
            </w:r>
          </w:p>
          <w:p w14:paraId="5E9E834B" w14:textId="77777777" w:rsidR="00595734" w:rsidRPr="00652EC4" w:rsidRDefault="00595734" w:rsidP="00DF2554">
            <w:pPr>
              <w:rPr>
                <w:rFonts w:ascii="Arial Narrow" w:hAnsi="Arial Narrow"/>
                <w:sz w:val="20"/>
                <w:szCs w:val="20"/>
              </w:rPr>
            </w:pPr>
            <w:r w:rsidRPr="00652EC4">
              <w:rPr>
                <w:rFonts w:ascii="Arial Narrow" w:hAnsi="Arial Narrow"/>
                <w:sz w:val="20"/>
                <w:szCs w:val="20"/>
              </w:rPr>
              <w:t>Reply Paid 9857</w:t>
            </w:r>
          </w:p>
          <w:p w14:paraId="021FC744" w14:textId="77777777" w:rsidR="00595734" w:rsidRPr="00432EBF" w:rsidRDefault="00595734" w:rsidP="00DF2554">
            <w:pPr>
              <w:rPr>
                <w:rFonts w:ascii="Arial Narrow" w:hAnsi="Arial Narrow"/>
                <w:b/>
                <w:bCs/>
                <w:sz w:val="20"/>
                <w:szCs w:val="20"/>
              </w:rPr>
            </w:pPr>
            <w:r w:rsidRPr="00652EC4">
              <w:rPr>
                <w:rFonts w:ascii="Arial Narrow" w:hAnsi="Arial Narrow"/>
                <w:sz w:val="20"/>
                <w:szCs w:val="20"/>
              </w:rPr>
              <w:t>[Your capital city]</w:t>
            </w:r>
          </w:p>
        </w:tc>
      </w:tr>
      <w:tr w:rsidR="00595734" w:rsidRPr="001428E9" w14:paraId="2F896D04" w14:textId="77777777" w:rsidTr="00025E84">
        <w:tblPrEx>
          <w:tblCellMar>
            <w:top w:w="15" w:type="dxa"/>
            <w:bottom w:w="15" w:type="dxa"/>
          </w:tblCellMar>
        </w:tblPrEx>
        <w:trPr>
          <w:cantSplit/>
          <w:trHeight w:val="20"/>
        </w:trPr>
        <w:tc>
          <w:tcPr>
            <w:tcW w:w="1276" w:type="dxa"/>
            <w:gridSpan w:val="2"/>
            <w:vAlign w:val="center"/>
          </w:tcPr>
          <w:p w14:paraId="710F7569" w14:textId="60984692" w:rsidR="00595734" w:rsidRPr="00432EBF" w:rsidRDefault="00595734" w:rsidP="00DF2554">
            <w:pPr>
              <w:keepLines/>
              <w:jc w:val="center"/>
              <w:rPr>
                <w:rFonts w:ascii="Arial Narrow" w:hAnsi="Arial Narrow"/>
                <w:sz w:val="20"/>
                <w:szCs w:val="20"/>
              </w:rPr>
            </w:pPr>
          </w:p>
        </w:tc>
        <w:tc>
          <w:tcPr>
            <w:tcW w:w="7745" w:type="dxa"/>
            <w:gridSpan w:val="6"/>
            <w:vAlign w:val="center"/>
            <w:hideMark/>
          </w:tcPr>
          <w:p w14:paraId="79182D29" w14:textId="77777777" w:rsidR="00595734" w:rsidRPr="001428E9" w:rsidRDefault="00595734" w:rsidP="00DF2554">
            <w:pPr>
              <w:keepLines/>
              <w:rPr>
                <w:rFonts w:ascii="Arial Narrow" w:hAnsi="Arial Narrow"/>
                <w:color w:val="333333"/>
                <w:sz w:val="20"/>
                <w:szCs w:val="20"/>
              </w:rPr>
            </w:pPr>
            <w:r w:rsidRPr="00432EBF">
              <w:rPr>
                <w:rFonts w:ascii="Arial Narrow" w:hAnsi="Arial Narrow"/>
                <w:b/>
                <w:bCs/>
                <w:sz w:val="20"/>
                <w:szCs w:val="20"/>
              </w:rPr>
              <w:t>Indication</w:t>
            </w:r>
            <w:r w:rsidRPr="00652EC4">
              <w:rPr>
                <w:rFonts w:ascii="Arial Narrow" w:hAnsi="Arial Narrow"/>
                <w:sz w:val="20"/>
                <w:szCs w:val="20"/>
              </w:rPr>
              <w:t>: Chronic severe disabling pain</w:t>
            </w:r>
          </w:p>
        </w:tc>
      </w:tr>
      <w:tr w:rsidR="00595734" w:rsidRPr="001428E9" w14:paraId="474A35C0" w14:textId="77777777" w:rsidTr="00025E84">
        <w:tblPrEx>
          <w:tblCellMar>
            <w:top w:w="15" w:type="dxa"/>
            <w:bottom w:w="15" w:type="dxa"/>
          </w:tblCellMar>
        </w:tblPrEx>
        <w:trPr>
          <w:cantSplit/>
          <w:trHeight w:val="20"/>
        </w:trPr>
        <w:tc>
          <w:tcPr>
            <w:tcW w:w="1276" w:type="dxa"/>
            <w:gridSpan w:val="2"/>
            <w:vAlign w:val="center"/>
          </w:tcPr>
          <w:p w14:paraId="4627F451" w14:textId="77777777" w:rsidR="00595734" w:rsidRPr="00432EBF" w:rsidRDefault="00595734" w:rsidP="00DF2554">
            <w:pPr>
              <w:jc w:val="center"/>
              <w:rPr>
                <w:rFonts w:ascii="Arial Narrow" w:hAnsi="Arial Narrow"/>
                <w:sz w:val="20"/>
                <w:szCs w:val="20"/>
              </w:rPr>
            </w:pPr>
          </w:p>
        </w:tc>
        <w:tc>
          <w:tcPr>
            <w:tcW w:w="7745" w:type="dxa"/>
            <w:gridSpan w:val="6"/>
            <w:vAlign w:val="center"/>
            <w:hideMark/>
          </w:tcPr>
          <w:p w14:paraId="05D4944E" w14:textId="245F1FB2" w:rsidR="00595734" w:rsidRPr="001428E9" w:rsidRDefault="00595734" w:rsidP="00DF2554">
            <w:pPr>
              <w:rPr>
                <w:rFonts w:ascii="Arial Narrow" w:hAnsi="Arial Narrow"/>
                <w:sz w:val="20"/>
                <w:szCs w:val="20"/>
              </w:rPr>
            </w:pPr>
            <w:r w:rsidRPr="00432EBF">
              <w:rPr>
                <w:rFonts w:ascii="Arial Narrow" w:hAnsi="Arial Narrow"/>
                <w:b/>
                <w:bCs/>
                <w:sz w:val="20"/>
                <w:szCs w:val="20"/>
              </w:rPr>
              <w:t>Treatment Phase:</w:t>
            </w:r>
            <w:r w:rsidRPr="00432EBF">
              <w:rPr>
                <w:rFonts w:ascii="Arial Narrow" w:hAnsi="Arial Narrow"/>
                <w:sz w:val="20"/>
                <w:szCs w:val="20"/>
              </w:rPr>
              <w:t xml:space="preserve"> </w:t>
            </w:r>
            <w:r w:rsidR="0049438C" w:rsidRPr="0049438C">
              <w:rPr>
                <w:rFonts w:ascii="Arial Narrow" w:hAnsi="Arial Narrow"/>
                <w:sz w:val="20"/>
                <w:szCs w:val="20"/>
              </w:rPr>
              <w:t>Continuing PBS treatment after 1 June 2020</w:t>
            </w:r>
          </w:p>
        </w:tc>
      </w:tr>
      <w:tr w:rsidR="00595734" w:rsidRPr="001428E9" w14:paraId="1F9CC861" w14:textId="77777777" w:rsidTr="0067525A">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04FCD02F" w14:textId="4CD834DE" w:rsidR="00595734" w:rsidRPr="00432EBF" w:rsidRDefault="00595734" w:rsidP="00DF2554">
            <w:pPr>
              <w:jc w:val="center"/>
              <w:rPr>
                <w:rFonts w:ascii="Arial Narrow" w:hAnsi="Arial Narrow"/>
                <w:sz w:val="20"/>
                <w:szCs w:val="20"/>
              </w:rPr>
            </w:pPr>
          </w:p>
        </w:tc>
        <w:tc>
          <w:tcPr>
            <w:tcW w:w="7745" w:type="dxa"/>
            <w:gridSpan w:val="6"/>
            <w:vAlign w:val="center"/>
          </w:tcPr>
          <w:p w14:paraId="71CB4ED9" w14:textId="4EC82262" w:rsidR="00595734" w:rsidRPr="00D606D6" w:rsidRDefault="008152E4" w:rsidP="00DF2554">
            <w:pPr>
              <w:rPr>
                <w:rFonts w:ascii="Arial Narrow" w:hAnsi="Arial Narrow"/>
                <w:b/>
                <w:bCs/>
                <w:sz w:val="20"/>
                <w:szCs w:val="20"/>
              </w:rPr>
            </w:pPr>
            <w:r>
              <w:rPr>
                <w:rFonts w:ascii="Arial Narrow" w:hAnsi="Arial Narrow"/>
                <w:b/>
                <w:bCs/>
                <w:sz w:val="20"/>
                <w:szCs w:val="20"/>
              </w:rPr>
              <w:t xml:space="preserve">Clinical criteria: </w:t>
            </w:r>
          </w:p>
        </w:tc>
      </w:tr>
      <w:tr w:rsidR="00595734" w:rsidRPr="001428E9" w14:paraId="1B1A5C12" w14:textId="77777777" w:rsidTr="0067525A">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5CBFFA4B" w14:textId="1D70FCB8" w:rsidR="00595734" w:rsidRPr="00432EBF" w:rsidRDefault="00595734" w:rsidP="00DF2554">
            <w:pPr>
              <w:jc w:val="center"/>
              <w:rPr>
                <w:rFonts w:ascii="Arial Narrow" w:hAnsi="Arial Narrow"/>
                <w:sz w:val="20"/>
                <w:szCs w:val="20"/>
              </w:rPr>
            </w:pPr>
          </w:p>
        </w:tc>
        <w:tc>
          <w:tcPr>
            <w:tcW w:w="7745" w:type="dxa"/>
            <w:gridSpan w:val="6"/>
            <w:vAlign w:val="center"/>
          </w:tcPr>
          <w:p w14:paraId="4BF1ECE8" w14:textId="7778180D" w:rsidR="00595734" w:rsidRPr="001428E9" w:rsidRDefault="008152E4" w:rsidP="00DF2554">
            <w:pPr>
              <w:jc w:val="left"/>
              <w:rPr>
                <w:rFonts w:ascii="Arial Narrow" w:hAnsi="Arial Narrow"/>
                <w:color w:val="333333"/>
                <w:sz w:val="20"/>
                <w:szCs w:val="20"/>
              </w:rPr>
            </w:pPr>
            <w:r w:rsidRPr="008152E4">
              <w:rPr>
                <w:rFonts w:ascii="Arial Narrow" w:hAnsi="Arial Narrow"/>
                <w:color w:val="333333"/>
                <w:sz w:val="20"/>
                <w:szCs w:val="20"/>
              </w:rPr>
              <w:t>Patient must have previously received PBS-subsidised treatment with this form of this drug for this condition after 1 June 2020</w:t>
            </w:r>
          </w:p>
        </w:tc>
      </w:tr>
      <w:tr w:rsidR="00595734" w:rsidRPr="00432EBF" w14:paraId="05665B7B" w14:textId="77777777" w:rsidTr="0067525A">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5D4AE592" w14:textId="129BF10B" w:rsidR="00595734" w:rsidRPr="00432EBF" w:rsidRDefault="00595734" w:rsidP="00DF2554">
            <w:pPr>
              <w:jc w:val="center"/>
              <w:rPr>
                <w:rFonts w:ascii="Arial Narrow" w:hAnsi="Arial Narrow"/>
                <w:sz w:val="20"/>
                <w:szCs w:val="20"/>
              </w:rPr>
            </w:pPr>
          </w:p>
        </w:tc>
        <w:tc>
          <w:tcPr>
            <w:tcW w:w="7745" w:type="dxa"/>
            <w:gridSpan w:val="6"/>
            <w:vAlign w:val="center"/>
          </w:tcPr>
          <w:p w14:paraId="1D55F360" w14:textId="7A70E773" w:rsidR="00595734" w:rsidRPr="00D606D6" w:rsidRDefault="002F19E7" w:rsidP="00DF2554">
            <w:pPr>
              <w:jc w:val="left"/>
              <w:rPr>
                <w:rFonts w:ascii="Arial Narrow" w:hAnsi="Arial Narrow"/>
                <w:b/>
                <w:bCs/>
                <w:sz w:val="20"/>
                <w:szCs w:val="20"/>
              </w:rPr>
            </w:pPr>
            <w:r>
              <w:rPr>
                <w:rFonts w:ascii="Arial Narrow" w:hAnsi="Arial Narrow"/>
                <w:b/>
                <w:bCs/>
                <w:sz w:val="20"/>
                <w:szCs w:val="20"/>
              </w:rPr>
              <w:t>Treatment criteria:</w:t>
            </w:r>
          </w:p>
        </w:tc>
      </w:tr>
      <w:tr w:rsidR="00595734" w:rsidRPr="00432EBF" w14:paraId="40D5894A" w14:textId="77777777" w:rsidTr="0067525A">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42D03A9A" w14:textId="037AF071" w:rsidR="00595734" w:rsidRPr="00432EBF" w:rsidRDefault="00595734" w:rsidP="00DF2554">
            <w:pPr>
              <w:jc w:val="center"/>
              <w:rPr>
                <w:rFonts w:ascii="Arial Narrow" w:hAnsi="Arial Narrow"/>
                <w:sz w:val="20"/>
                <w:szCs w:val="20"/>
              </w:rPr>
            </w:pPr>
          </w:p>
        </w:tc>
        <w:tc>
          <w:tcPr>
            <w:tcW w:w="7745" w:type="dxa"/>
            <w:gridSpan w:val="6"/>
            <w:vAlign w:val="center"/>
          </w:tcPr>
          <w:p w14:paraId="4964F345" w14:textId="28B3C821" w:rsidR="00595734" w:rsidRPr="00432EBF" w:rsidRDefault="002F19E7" w:rsidP="00DF2554">
            <w:pPr>
              <w:jc w:val="left"/>
              <w:rPr>
                <w:rFonts w:ascii="Arial Narrow" w:hAnsi="Arial Narrow"/>
                <w:sz w:val="20"/>
                <w:szCs w:val="20"/>
              </w:rPr>
            </w:pPr>
            <w:r w:rsidRPr="002F19E7">
              <w:rPr>
                <w:rFonts w:ascii="Arial Narrow" w:hAnsi="Arial Narrow"/>
                <w:sz w:val="20"/>
                <w:szCs w:val="20"/>
              </w:rPr>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r>
      <w:tr w:rsidR="00595734" w:rsidRPr="00C02D56" w14:paraId="7A8F6FA2" w14:textId="77777777" w:rsidTr="0067525A">
        <w:tblPrEx>
          <w:tblCellMar>
            <w:top w:w="15" w:type="dxa"/>
            <w:bottom w:w="15" w:type="dxa"/>
          </w:tblCellMar>
          <w:tblLook w:val="04A0" w:firstRow="1" w:lastRow="0" w:firstColumn="1" w:lastColumn="0" w:noHBand="0" w:noVBand="1"/>
        </w:tblPrEx>
        <w:trPr>
          <w:cantSplit/>
          <w:trHeight w:val="20"/>
        </w:trPr>
        <w:tc>
          <w:tcPr>
            <w:tcW w:w="1276" w:type="dxa"/>
            <w:gridSpan w:val="2"/>
            <w:vAlign w:val="center"/>
            <w:hideMark/>
          </w:tcPr>
          <w:p w14:paraId="3F715C4E" w14:textId="53C2F194" w:rsidR="002F5418" w:rsidRPr="00432EBF" w:rsidRDefault="002F5418" w:rsidP="00DF2554">
            <w:pPr>
              <w:jc w:val="center"/>
              <w:rPr>
                <w:rFonts w:ascii="Arial Narrow" w:hAnsi="Arial Narrow"/>
                <w:sz w:val="20"/>
                <w:szCs w:val="20"/>
              </w:rPr>
            </w:pPr>
          </w:p>
        </w:tc>
        <w:tc>
          <w:tcPr>
            <w:tcW w:w="7745" w:type="dxa"/>
            <w:gridSpan w:val="6"/>
            <w:vAlign w:val="center"/>
            <w:hideMark/>
          </w:tcPr>
          <w:p w14:paraId="53989837" w14:textId="77777777" w:rsidR="0055511E" w:rsidRPr="00D606D6" w:rsidRDefault="002F6D2A" w:rsidP="0055511E">
            <w:pPr>
              <w:rPr>
                <w:rFonts w:ascii="Arial Narrow" w:hAnsi="Arial Narrow"/>
                <w:sz w:val="20"/>
                <w:szCs w:val="20"/>
              </w:rPr>
            </w:pPr>
            <w:r>
              <w:rPr>
                <w:rFonts w:ascii="Arial Narrow" w:hAnsi="Arial Narrow"/>
                <w:b/>
                <w:bCs/>
                <w:sz w:val="20"/>
                <w:szCs w:val="20"/>
              </w:rPr>
              <w:t xml:space="preserve">Prescribing Instructions: </w:t>
            </w:r>
            <w:r w:rsidR="0055511E" w:rsidRPr="00D606D6">
              <w:rPr>
                <w:rFonts w:ascii="Arial Narrow" w:hAnsi="Arial Narrow"/>
                <w:sz w:val="20"/>
                <w:szCs w:val="20"/>
              </w:rPr>
              <w:t>Authorities for increased maximum quantities and/or repeats must only be considered for chronic severe disabling pain where the patient has received initial authority approval and the total duration of non-PBS and PBS opioid analgesic treatment:</w:t>
            </w:r>
          </w:p>
          <w:p w14:paraId="201447F4" w14:textId="77777777" w:rsidR="0055511E" w:rsidRPr="00D606D6" w:rsidRDefault="0055511E" w:rsidP="0055511E">
            <w:pPr>
              <w:rPr>
                <w:rFonts w:ascii="Arial Narrow" w:hAnsi="Arial Narrow"/>
                <w:sz w:val="20"/>
                <w:szCs w:val="20"/>
              </w:rPr>
            </w:pPr>
            <w:r w:rsidRPr="00D606D6">
              <w:rPr>
                <w:rFonts w:ascii="Arial Narrow" w:hAnsi="Arial Narrow"/>
                <w:sz w:val="20"/>
                <w:szCs w:val="20"/>
              </w:rPr>
              <w:t>(i) is less than 12 months; or</w:t>
            </w:r>
          </w:p>
          <w:p w14:paraId="45192A8A" w14:textId="77777777" w:rsidR="0055511E" w:rsidRPr="00D606D6" w:rsidRDefault="0055511E" w:rsidP="0055511E">
            <w:pPr>
              <w:rPr>
                <w:rFonts w:ascii="Arial Narrow" w:hAnsi="Arial Narrow"/>
                <w:sz w:val="20"/>
                <w:szCs w:val="20"/>
              </w:rPr>
            </w:pPr>
            <w:r w:rsidRPr="00D606D6">
              <w:rPr>
                <w:rFonts w:ascii="Arial Narrow" w:hAnsi="Arial Narrow"/>
                <w:sz w:val="20"/>
                <w:szCs w:val="20"/>
              </w:rPr>
              <w:t>(ii) exceeds 12 months and the palliative care patient is unable to have annual pain management review due to their clinical condition; or</w:t>
            </w:r>
          </w:p>
          <w:p w14:paraId="7181D43C" w14:textId="77777777" w:rsidR="0055511E" w:rsidRPr="00D606D6" w:rsidRDefault="0055511E" w:rsidP="0055511E">
            <w:pPr>
              <w:rPr>
                <w:rFonts w:ascii="Arial Narrow" w:hAnsi="Arial Narrow"/>
                <w:sz w:val="20"/>
                <w:szCs w:val="20"/>
              </w:rPr>
            </w:pPr>
            <w:r w:rsidRPr="00D606D6">
              <w:rPr>
                <w:rFonts w:ascii="Arial Narrow" w:hAnsi="Arial Narrow"/>
                <w:sz w:val="20"/>
                <w:szCs w:val="20"/>
              </w:rPr>
              <w:t>(iii) exceeds 12 months and the patient's clinical need for continuing opioid treatment has been confirmed through consultation with the patient by another medical practitioner or a palliative care nurse practitioner in the past 12 months; or</w:t>
            </w:r>
          </w:p>
          <w:p w14:paraId="79422B98" w14:textId="5B04921C" w:rsidR="00595734" w:rsidRPr="00D606D6" w:rsidRDefault="0055511E" w:rsidP="00DF2554">
            <w:pPr>
              <w:rPr>
                <w:rFonts w:ascii="Arial Narrow" w:hAnsi="Arial Narrow"/>
                <w:b/>
                <w:bCs/>
                <w:sz w:val="20"/>
                <w:szCs w:val="20"/>
              </w:rPr>
            </w:pPr>
            <w:r w:rsidRPr="00D606D6">
              <w:rPr>
                <w:rFonts w:ascii="Arial Narrow" w:hAnsi="Arial Narrow"/>
                <w:sz w:val="20"/>
                <w:szCs w:val="20"/>
              </w:rPr>
              <w:t>(iv) has exceeded 12 months prior to 1 June 2020 and the patient's pain management and clinical need for continuing opioid treatment has not been confirmed through consultation with the patient by another medical practitioner or a palliative care nurse practitioner in the past 12 months, but is planned in the next 3 months.</w:t>
            </w:r>
          </w:p>
        </w:tc>
      </w:tr>
      <w:tr w:rsidR="00595734" w:rsidRPr="001428E9" w14:paraId="303CD861" w14:textId="77777777" w:rsidTr="0067525A">
        <w:tblPrEx>
          <w:tblCellMar>
            <w:top w:w="15" w:type="dxa"/>
            <w:bottom w:w="15" w:type="dxa"/>
          </w:tblCellMar>
          <w:tblLook w:val="04A0" w:firstRow="1" w:lastRow="0" w:firstColumn="1" w:lastColumn="0" w:noHBand="0" w:noVBand="1"/>
        </w:tblPrEx>
        <w:trPr>
          <w:cantSplit/>
          <w:trHeight w:val="20"/>
        </w:trPr>
        <w:tc>
          <w:tcPr>
            <w:tcW w:w="1276" w:type="dxa"/>
            <w:gridSpan w:val="2"/>
            <w:vAlign w:val="center"/>
            <w:hideMark/>
          </w:tcPr>
          <w:p w14:paraId="6BBA9F26" w14:textId="78BAAE9A" w:rsidR="00595734" w:rsidRPr="00432EBF" w:rsidRDefault="00595734" w:rsidP="00DF2554">
            <w:pPr>
              <w:jc w:val="center"/>
              <w:rPr>
                <w:rFonts w:ascii="Arial Narrow" w:hAnsi="Arial Narrow"/>
                <w:sz w:val="20"/>
                <w:szCs w:val="20"/>
              </w:rPr>
            </w:pPr>
          </w:p>
        </w:tc>
        <w:tc>
          <w:tcPr>
            <w:tcW w:w="7745" w:type="dxa"/>
            <w:gridSpan w:val="6"/>
            <w:vAlign w:val="center"/>
            <w:hideMark/>
          </w:tcPr>
          <w:p w14:paraId="71785409" w14:textId="77777777" w:rsidR="00595734" w:rsidRPr="001428E9" w:rsidRDefault="00595734" w:rsidP="00DF2554">
            <w:pPr>
              <w:rPr>
                <w:rFonts w:ascii="Arial Narrow" w:hAnsi="Arial Narrow"/>
                <w:color w:val="333333"/>
                <w:sz w:val="20"/>
                <w:szCs w:val="20"/>
              </w:rPr>
            </w:pPr>
            <w:r>
              <w:rPr>
                <w:rFonts w:ascii="Arial Narrow" w:hAnsi="Arial Narrow"/>
                <w:b/>
                <w:bCs/>
                <w:sz w:val="20"/>
                <w:szCs w:val="20"/>
              </w:rPr>
              <w:t>Prescribing Instructions:</w:t>
            </w:r>
            <w:r w:rsidRPr="001428E9">
              <w:rPr>
                <w:rFonts w:ascii="Arial Narrow" w:hAnsi="Arial Narrow"/>
                <w:bCs/>
                <w:color w:val="FF0000"/>
                <w:sz w:val="20"/>
                <w:szCs w:val="20"/>
              </w:rPr>
              <w:t xml:space="preserve"> </w:t>
            </w:r>
            <w:r w:rsidRPr="00D858D2">
              <w:rPr>
                <w:rFonts w:ascii="Arial Narrow" w:hAnsi="Arial Narrow"/>
                <w:bCs/>
                <w:sz w:val="20"/>
                <w:szCs w:val="20"/>
              </w:rPr>
              <w:t>Palliative care nurses may conduct annual review under this item for the treatment of palliative care patients only.</w:t>
            </w:r>
          </w:p>
        </w:tc>
      </w:tr>
      <w:tr w:rsidR="00595734" w:rsidRPr="001428E9" w14:paraId="4511CBA0" w14:textId="77777777" w:rsidTr="00D606D6">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2945C580" w14:textId="159C552D" w:rsidR="002F5418" w:rsidRPr="00432EBF" w:rsidRDefault="002F5418" w:rsidP="00DF2554">
            <w:pPr>
              <w:jc w:val="center"/>
              <w:rPr>
                <w:rFonts w:ascii="Arial Narrow" w:hAnsi="Arial Narrow"/>
                <w:sz w:val="20"/>
                <w:szCs w:val="20"/>
              </w:rPr>
            </w:pPr>
          </w:p>
        </w:tc>
        <w:tc>
          <w:tcPr>
            <w:tcW w:w="7745" w:type="dxa"/>
            <w:gridSpan w:val="6"/>
            <w:vAlign w:val="center"/>
          </w:tcPr>
          <w:p w14:paraId="74B6852E" w14:textId="77777777" w:rsidR="00595734" w:rsidRPr="00652EC4" w:rsidRDefault="00595734" w:rsidP="00DF2554">
            <w:pPr>
              <w:rPr>
                <w:rFonts w:ascii="Arial Narrow" w:hAnsi="Arial Narrow"/>
                <w:sz w:val="20"/>
                <w:szCs w:val="20"/>
              </w:rPr>
            </w:pPr>
            <w:r>
              <w:rPr>
                <w:rFonts w:ascii="Arial Narrow" w:hAnsi="Arial Narrow"/>
                <w:b/>
                <w:bCs/>
                <w:sz w:val="20"/>
                <w:szCs w:val="20"/>
              </w:rPr>
              <w:t xml:space="preserve">Prescribing Instructions: </w:t>
            </w:r>
            <w:r w:rsidRPr="00432EBF">
              <w:rPr>
                <w:rFonts w:ascii="Arial Narrow" w:hAnsi="Arial Narrow"/>
                <w:b/>
                <w:bCs/>
                <w:sz w:val="20"/>
                <w:szCs w:val="20"/>
              </w:rPr>
              <w:t xml:space="preserve"> </w:t>
            </w:r>
            <w:r w:rsidRPr="00652EC4">
              <w:rPr>
                <w:rFonts w:ascii="Arial Narrow" w:hAnsi="Arial Narrow"/>
                <w:sz w:val="20"/>
                <w:szCs w:val="20"/>
              </w:rPr>
              <w:t>Authority requests extending treatment duration up to 1 month may be requested through the Online PBS Authorities system or by calling Services Australia.</w:t>
            </w:r>
          </w:p>
          <w:p w14:paraId="0353E8AC" w14:textId="38B6E69E" w:rsidR="00595734" w:rsidRPr="0042465B" w:rsidRDefault="00595734" w:rsidP="00DF2554">
            <w:pPr>
              <w:rPr>
                <w:rFonts w:ascii="Arial Narrow" w:hAnsi="Arial Narrow"/>
                <w:sz w:val="20"/>
                <w:szCs w:val="20"/>
              </w:rPr>
            </w:pPr>
            <w:r w:rsidRPr="00652EC4">
              <w:rPr>
                <w:rFonts w:ascii="Arial Narrow" w:hAnsi="Arial Narrow"/>
                <w:sz w:val="20"/>
                <w:szCs w:val="20"/>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bl>
    <w:p w14:paraId="39F1AEF0" w14:textId="77777777" w:rsidR="00857751" w:rsidRPr="0042465B" w:rsidRDefault="00857751" w:rsidP="00FA6ED7">
      <w:pPr>
        <w:spacing w:after="120"/>
        <w:rPr>
          <w:rFonts w:ascii="Arial Narrow" w:hAnsi="Arial Narrow" w:cstheme="minorHAns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487"/>
        <w:gridCol w:w="784"/>
        <w:gridCol w:w="2668"/>
        <w:gridCol w:w="811"/>
        <w:gridCol w:w="812"/>
        <w:gridCol w:w="811"/>
        <w:gridCol w:w="812"/>
        <w:gridCol w:w="1831"/>
      </w:tblGrid>
      <w:tr w:rsidR="0052655C" w:rsidRPr="001428E9" w14:paraId="0D858330" w14:textId="77777777">
        <w:trPr>
          <w:cantSplit/>
          <w:trHeight w:val="20"/>
        </w:trPr>
        <w:tc>
          <w:tcPr>
            <w:tcW w:w="3939" w:type="dxa"/>
            <w:gridSpan w:val="3"/>
            <w:vAlign w:val="center"/>
          </w:tcPr>
          <w:p w14:paraId="73E9D388" w14:textId="77777777" w:rsidR="0052655C" w:rsidRPr="001428E9" w:rsidRDefault="0052655C">
            <w:pPr>
              <w:keepLines/>
              <w:rPr>
                <w:rFonts w:ascii="Arial Narrow" w:hAnsi="Arial Narrow" w:cs="Arial"/>
                <w:b/>
                <w:bCs/>
                <w:sz w:val="20"/>
                <w:szCs w:val="20"/>
              </w:rPr>
            </w:pPr>
            <w:r w:rsidRPr="001428E9">
              <w:rPr>
                <w:rFonts w:ascii="Arial Narrow" w:hAnsi="Arial Narrow" w:cs="Arial"/>
                <w:b/>
                <w:bCs/>
                <w:sz w:val="20"/>
                <w:szCs w:val="20"/>
              </w:rPr>
              <w:t>MEDICINAL PRODUCT</w:t>
            </w:r>
          </w:p>
          <w:p w14:paraId="6C6509CE" w14:textId="77777777" w:rsidR="0052655C" w:rsidRPr="001428E9" w:rsidRDefault="0052655C">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7B361859" w14:textId="77777777" w:rsidR="0052655C" w:rsidRPr="001428E9" w:rsidRDefault="0052655C">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6550F98D" w14:textId="77777777" w:rsidR="0052655C" w:rsidRPr="001428E9" w:rsidRDefault="0052655C">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6E8293BA" w14:textId="77777777" w:rsidR="0052655C" w:rsidRPr="001428E9" w:rsidRDefault="0052655C">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226A29ED" w14:textId="77777777" w:rsidR="0052655C" w:rsidRPr="001428E9" w:rsidRDefault="0052655C">
            <w:pPr>
              <w:keepLines/>
              <w:jc w:val="center"/>
              <w:rPr>
                <w:rFonts w:ascii="Arial Narrow" w:hAnsi="Arial Narrow" w:cs="Arial"/>
                <w:b/>
                <w:sz w:val="20"/>
                <w:szCs w:val="20"/>
              </w:rPr>
            </w:pPr>
            <w:r w:rsidRPr="001428E9">
              <w:rPr>
                <w:rFonts w:ascii="Arial Narrow" w:hAnsi="Arial Narrow" w:cs="Arial"/>
                <w:b/>
                <w:sz w:val="20"/>
                <w:szCs w:val="20"/>
              </w:rPr>
              <w:t>№.of</w:t>
            </w:r>
          </w:p>
          <w:p w14:paraId="5DD73D8A" w14:textId="77777777" w:rsidR="0052655C" w:rsidRPr="001428E9" w:rsidRDefault="0052655C">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2560CC2C" w14:textId="77777777" w:rsidR="0052655C" w:rsidRPr="001428E9" w:rsidRDefault="0052655C">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52655C" w:rsidRPr="001428E9" w14:paraId="51C3F211" w14:textId="77777777">
        <w:trPr>
          <w:cantSplit/>
          <w:trHeight w:val="20"/>
        </w:trPr>
        <w:tc>
          <w:tcPr>
            <w:tcW w:w="9016" w:type="dxa"/>
            <w:gridSpan w:val="8"/>
            <w:vAlign w:val="center"/>
          </w:tcPr>
          <w:p w14:paraId="56067BB0" w14:textId="77777777" w:rsidR="0052655C" w:rsidRPr="001428E9" w:rsidRDefault="0052655C">
            <w:pPr>
              <w:keepLines/>
              <w:rPr>
                <w:rFonts w:ascii="Arial Narrow" w:hAnsi="Arial Narrow" w:cs="Arial"/>
                <w:sz w:val="20"/>
                <w:szCs w:val="20"/>
              </w:rPr>
            </w:pPr>
            <w:r>
              <w:rPr>
                <w:rFonts w:ascii="Arial Narrow" w:hAnsi="Arial Narrow" w:cs="Arial"/>
                <w:sz w:val="20"/>
                <w:szCs w:val="20"/>
              </w:rPr>
              <w:t>METHADONE</w:t>
            </w:r>
            <w:r w:rsidRPr="0042465B">
              <w:rPr>
                <w:rFonts w:ascii="Arial Narrow" w:hAnsi="Arial Narrow" w:cs="Arial"/>
                <w:sz w:val="20"/>
                <w:szCs w:val="20"/>
              </w:rPr>
              <w:t xml:space="preserve"> </w:t>
            </w:r>
          </w:p>
        </w:tc>
      </w:tr>
      <w:tr w:rsidR="0052655C" w:rsidRPr="001428E9" w14:paraId="21EF7132" w14:textId="77777777">
        <w:trPr>
          <w:cantSplit/>
          <w:trHeight w:val="20"/>
        </w:trPr>
        <w:tc>
          <w:tcPr>
            <w:tcW w:w="3939" w:type="dxa"/>
            <w:gridSpan w:val="3"/>
            <w:vAlign w:val="center"/>
          </w:tcPr>
          <w:p w14:paraId="652A5BED" w14:textId="77777777" w:rsidR="0052655C" w:rsidRPr="001428E9" w:rsidRDefault="0052655C">
            <w:pPr>
              <w:keepLines/>
              <w:rPr>
                <w:rFonts w:ascii="Arial Narrow" w:hAnsi="Arial Narrow" w:cs="Arial"/>
                <w:sz w:val="20"/>
                <w:szCs w:val="20"/>
              </w:rPr>
            </w:pPr>
            <w:r>
              <w:rPr>
                <w:rFonts w:ascii="Arial Narrow" w:hAnsi="Arial Narrow" w:cs="Arial"/>
                <w:sz w:val="20"/>
                <w:szCs w:val="20"/>
              </w:rPr>
              <w:t>methadone hydrochloride 5mg tablet, 20</w:t>
            </w:r>
          </w:p>
        </w:tc>
        <w:tc>
          <w:tcPr>
            <w:tcW w:w="811" w:type="dxa"/>
            <w:vAlign w:val="center"/>
          </w:tcPr>
          <w:p w14:paraId="25158690" w14:textId="77777777" w:rsidR="0052655C" w:rsidRPr="001428E9" w:rsidRDefault="0052655C">
            <w:pPr>
              <w:keepLines/>
              <w:jc w:val="center"/>
              <w:rPr>
                <w:rFonts w:ascii="Arial Narrow" w:hAnsi="Arial Narrow" w:cs="Arial"/>
                <w:sz w:val="20"/>
                <w:szCs w:val="20"/>
              </w:rPr>
            </w:pPr>
            <w:r w:rsidRPr="001428E9">
              <w:rPr>
                <w:rFonts w:ascii="Arial Narrow" w:hAnsi="Arial Narrow" w:cs="Arial"/>
                <w:sz w:val="20"/>
                <w:szCs w:val="20"/>
              </w:rPr>
              <w:t>NEW</w:t>
            </w:r>
          </w:p>
        </w:tc>
        <w:tc>
          <w:tcPr>
            <w:tcW w:w="812" w:type="dxa"/>
            <w:vAlign w:val="center"/>
          </w:tcPr>
          <w:p w14:paraId="45D818A1" w14:textId="4AD8FDCB" w:rsidR="0052655C" w:rsidRPr="001428E9" w:rsidRDefault="00660096">
            <w:pPr>
              <w:keepLines/>
              <w:jc w:val="center"/>
              <w:rPr>
                <w:rFonts w:ascii="Arial Narrow" w:hAnsi="Arial Narrow" w:cs="Arial"/>
                <w:sz w:val="20"/>
                <w:szCs w:val="20"/>
              </w:rPr>
            </w:pPr>
            <w:r>
              <w:rPr>
                <w:rFonts w:ascii="Arial Narrow" w:hAnsi="Arial Narrow" w:cs="Arial"/>
                <w:sz w:val="20"/>
                <w:szCs w:val="20"/>
              </w:rPr>
              <w:t>6</w:t>
            </w:r>
          </w:p>
        </w:tc>
        <w:tc>
          <w:tcPr>
            <w:tcW w:w="811" w:type="dxa"/>
            <w:vAlign w:val="center"/>
          </w:tcPr>
          <w:p w14:paraId="0E35BBEC" w14:textId="17EAB5D1" w:rsidR="0052655C" w:rsidRPr="001428E9" w:rsidRDefault="00132632">
            <w:pPr>
              <w:keepLines/>
              <w:jc w:val="center"/>
              <w:rPr>
                <w:rFonts w:ascii="Arial Narrow" w:hAnsi="Arial Narrow" w:cs="Arial"/>
                <w:sz w:val="20"/>
                <w:szCs w:val="20"/>
              </w:rPr>
            </w:pPr>
            <w:r>
              <w:rPr>
                <w:rFonts w:ascii="Arial Narrow" w:hAnsi="Arial Narrow" w:cs="Arial"/>
                <w:sz w:val="20"/>
                <w:szCs w:val="20"/>
              </w:rPr>
              <w:t>1</w:t>
            </w:r>
            <w:r w:rsidR="0052655C">
              <w:rPr>
                <w:rFonts w:ascii="Arial Narrow" w:hAnsi="Arial Narrow" w:cs="Arial"/>
                <w:sz w:val="20"/>
                <w:szCs w:val="20"/>
              </w:rPr>
              <w:t>20</w:t>
            </w:r>
          </w:p>
        </w:tc>
        <w:tc>
          <w:tcPr>
            <w:tcW w:w="812" w:type="dxa"/>
            <w:vAlign w:val="center"/>
          </w:tcPr>
          <w:p w14:paraId="3E7701A2" w14:textId="77777777" w:rsidR="0052655C" w:rsidRPr="001428E9" w:rsidRDefault="0052655C">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768686D4" w14:textId="77777777" w:rsidR="0052655C" w:rsidRPr="001428E9" w:rsidRDefault="0052655C">
            <w:pPr>
              <w:keepLines/>
              <w:rPr>
                <w:rFonts w:ascii="Arial Narrow" w:hAnsi="Arial Narrow" w:cs="Arial"/>
                <w:sz w:val="20"/>
                <w:szCs w:val="20"/>
              </w:rPr>
            </w:pPr>
            <w:r>
              <w:rPr>
                <w:rFonts w:ascii="Arial Narrow" w:hAnsi="Arial Narrow" w:cs="Arial"/>
                <w:sz w:val="20"/>
                <w:szCs w:val="20"/>
              </w:rPr>
              <w:t>METHADONE-AFT</w:t>
            </w:r>
          </w:p>
        </w:tc>
      </w:tr>
      <w:tr w:rsidR="0052655C" w:rsidRPr="001428E9" w14:paraId="304130CC"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79D66081" w14:textId="77777777" w:rsidR="0052655C" w:rsidRPr="001428E9" w:rsidRDefault="0052655C">
            <w:pPr>
              <w:rPr>
                <w:rFonts w:ascii="Arial Narrow" w:hAnsi="Arial Narrow" w:cs="Arial"/>
                <w:sz w:val="20"/>
                <w:szCs w:val="20"/>
              </w:rPr>
            </w:pPr>
          </w:p>
        </w:tc>
      </w:tr>
      <w:tr w:rsidR="0052655C" w:rsidRPr="001428E9" w14:paraId="3C3BF032"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4FF9C65E" w14:textId="266F87D6" w:rsidR="0052655C" w:rsidRPr="001428E9" w:rsidRDefault="0052655C">
            <w:pPr>
              <w:keepLines/>
              <w:rPr>
                <w:rFonts w:ascii="Arial Narrow" w:hAnsi="Arial Narrow" w:cs="Arial"/>
                <w:b/>
                <w:sz w:val="20"/>
                <w:szCs w:val="20"/>
              </w:rPr>
            </w:pPr>
            <w:r w:rsidRPr="001428E9">
              <w:rPr>
                <w:rFonts w:ascii="Arial Narrow" w:hAnsi="Arial Narrow"/>
                <w:b/>
                <w:sz w:val="20"/>
                <w:szCs w:val="20"/>
              </w:rPr>
              <w:t>Restriction Summary</w:t>
            </w:r>
            <w:r w:rsidR="00C432E7">
              <w:rPr>
                <w:rFonts w:ascii="Arial Narrow" w:hAnsi="Arial Narrow"/>
                <w:b/>
                <w:sz w:val="20"/>
                <w:szCs w:val="20"/>
              </w:rPr>
              <w:t>:</w:t>
            </w:r>
            <w:r w:rsidR="004B6EED">
              <w:rPr>
                <w:rFonts w:ascii="Arial Narrow" w:hAnsi="Arial Narrow"/>
                <w:b/>
                <w:sz w:val="20"/>
                <w:szCs w:val="20"/>
              </w:rPr>
              <w:t xml:space="preserve"> 11696</w:t>
            </w:r>
            <w:r w:rsidR="00C432E7">
              <w:rPr>
                <w:rFonts w:ascii="Arial Narrow" w:hAnsi="Arial Narrow"/>
                <w:b/>
                <w:sz w:val="20"/>
                <w:szCs w:val="20"/>
              </w:rPr>
              <w:t xml:space="preserve"> </w:t>
            </w:r>
            <w:r w:rsidRPr="001428E9">
              <w:rPr>
                <w:rFonts w:ascii="Arial Narrow" w:hAnsi="Arial Narrow"/>
                <w:b/>
                <w:sz w:val="20"/>
                <w:szCs w:val="20"/>
              </w:rPr>
              <w:t>/ Treatment of Concept:</w:t>
            </w:r>
            <w:r w:rsidR="004B6EED">
              <w:rPr>
                <w:rFonts w:ascii="Arial Narrow" w:hAnsi="Arial Narrow"/>
                <w:b/>
                <w:sz w:val="20"/>
                <w:szCs w:val="20"/>
              </w:rPr>
              <w:t>11696</w:t>
            </w:r>
          </w:p>
        </w:tc>
      </w:tr>
      <w:tr w:rsidR="0052655C" w:rsidRPr="001428E9" w14:paraId="2451C3EB" w14:textId="77777777">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627A8527" w14:textId="77777777" w:rsidR="0052655C" w:rsidRPr="001428E9" w:rsidRDefault="0052655C">
            <w:pPr>
              <w:jc w:val="center"/>
              <w:rPr>
                <w:rFonts w:ascii="Arial Narrow" w:hAnsi="Arial Narrow" w:cs="Arial"/>
                <w:b/>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r w:rsidRPr="001428E9">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15324F4" w14:textId="77777777" w:rsidR="0052655C" w:rsidRPr="001428E9" w:rsidRDefault="0052655C">
            <w:pPr>
              <w:keepLines/>
              <w:rPr>
                <w:rFonts w:ascii="Arial Narrow" w:hAnsi="Arial Narrow" w:cs="Arial"/>
                <w:sz w:val="20"/>
                <w:szCs w:val="20"/>
              </w:rPr>
            </w:pPr>
            <w:r w:rsidRPr="001428E9">
              <w:rPr>
                <w:rFonts w:ascii="Arial Narrow" w:hAnsi="Arial Narrow" w:cs="Arial"/>
                <w:b/>
                <w:sz w:val="20"/>
                <w:szCs w:val="20"/>
              </w:rPr>
              <w:t>Category / Program:</w:t>
            </w:r>
            <w:r w:rsidRPr="0042465B">
              <w:rPr>
                <w:rFonts w:ascii="Arial Narrow" w:hAnsi="Arial Narrow" w:cs="Arial"/>
                <w:sz w:val="20"/>
                <w:szCs w:val="20"/>
              </w:rPr>
              <w:t xml:space="preserve"> </w:t>
            </w:r>
          </w:p>
          <w:p w14:paraId="3DBD5AD0" w14:textId="7247B901" w:rsidR="0052655C" w:rsidRPr="001428E9" w:rsidRDefault="0052655C">
            <w:pPr>
              <w:keepLines/>
              <w:jc w:val="left"/>
              <w:rPr>
                <w:rFonts w:ascii="Arial Narrow" w:hAnsi="Arial Narrow" w:cs="Arial"/>
                <w:sz w:val="20"/>
                <w:szCs w:val="20"/>
              </w:rPr>
            </w:pP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Palliative Care (Code PL)</w:t>
            </w:r>
          </w:p>
        </w:tc>
      </w:tr>
      <w:tr w:rsidR="0052655C" w:rsidRPr="001428E9" w14:paraId="4321F97C" w14:textId="77777777">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6FD5C67D" w14:textId="77777777" w:rsidR="0052655C" w:rsidRPr="001428E9" w:rsidRDefault="0052655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72CAB7C" w14:textId="77777777" w:rsidR="0052655C" w:rsidRDefault="0052655C">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p>
          <w:p w14:paraId="07BB9A7A" w14:textId="77777777" w:rsidR="0052655C" w:rsidRPr="001428E9" w:rsidRDefault="0052655C">
            <w:pPr>
              <w:keepLines/>
              <w:rPr>
                <w:rFonts w:ascii="Arial Narrow" w:hAnsi="Arial Narrow" w:cs="Arial"/>
                <w:b/>
                <w:sz w:val="20"/>
                <w:szCs w:val="20"/>
              </w:rPr>
            </w:pPr>
            <w:r w:rsidRPr="001428E9">
              <w:rPr>
                <w:rFonts w:ascii="Arial Narrow" w:hAnsi="Arial Narrow" w:cs="Arial"/>
                <w:b/>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52655C" w:rsidRPr="00D56F94" w14:paraId="39432038" w14:textId="77777777">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096CE89C" w14:textId="77777777" w:rsidR="0052655C" w:rsidRPr="001428E9" w:rsidRDefault="0052655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22464FE" w14:textId="57852E63" w:rsidR="0052655C" w:rsidRPr="0042465B" w:rsidRDefault="0052655C">
            <w:pPr>
              <w:keepLines/>
              <w:jc w:val="left"/>
              <w:rPr>
                <w:rFonts w:ascii="Arial Narrow" w:eastAsia="Calibri" w:hAnsi="Arial Narrow" w:cs="Arial"/>
                <w:sz w:val="20"/>
                <w:szCs w:val="20"/>
              </w:rPr>
            </w:pPr>
            <w:r w:rsidRPr="001428E9">
              <w:rPr>
                <w:rFonts w:ascii="Arial Narrow" w:hAnsi="Arial Narrow" w:cs="Arial"/>
                <w:b/>
                <w:sz w:val="20"/>
                <w:szCs w:val="20"/>
              </w:rPr>
              <w:t xml:space="preserve">Restriction type: </w:t>
            </w:r>
            <w:r w:rsidRPr="0085218F">
              <w:rPr>
                <w:rFonts w:ascii="Arial Narrow" w:eastAsia="Calibri" w:hAnsi="Arial Narrow" w:cs="Arial"/>
                <w:sz w:val="20"/>
                <w:szCs w:val="20"/>
              </w:rPr>
              <w:br/>
            </w:r>
            <w:r w:rsidRPr="000847DB">
              <w:rPr>
                <w:rFonts w:ascii="Arial Narrow" w:eastAsia="Calibri" w:hAnsi="Arial Narrow" w:cs="Arial"/>
                <w:sz w:val="20"/>
                <w:szCs w:val="20"/>
              </w:rPr>
              <w:fldChar w:fldCharType="begin">
                <w:ffData>
                  <w:name w:val=""/>
                  <w:enabled/>
                  <w:calcOnExit w:val="0"/>
                  <w:checkBox>
                    <w:sizeAuto/>
                    <w:default w:val="1"/>
                  </w:checkBox>
                </w:ffData>
              </w:fldChar>
            </w:r>
            <w:r w:rsidRPr="000847DB">
              <w:rPr>
                <w:rFonts w:ascii="Arial Narrow" w:eastAsia="Calibri" w:hAnsi="Arial Narrow" w:cs="Arial"/>
                <w:sz w:val="20"/>
                <w:szCs w:val="20"/>
              </w:rPr>
              <w:instrText xml:space="preserve"> FORMCHECKBOX </w:instrText>
            </w:r>
            <w:r w:rsidRPr="000847DB">
              <w:rPr>
                <w:rFonts w:ascii="Arial Narrow" w:eastAsia="Calibri" w:hAnsi="Arial Narrow" w:cs="Arial"/>
                <w:sz w:val="20"/>
                <w:szCs w:val="20"/>
              </w:rPr>
            </w:r>
            <w:r w:rsidRPr="000847DB">
              <w:rPr>
                <w:rFonts w:ascii="Arial Narrow" w:eastAsia="Calibri" w:hAnsi="Arial Narrow" w:cs="Arial"/>
                <w:sz w:val="20"/>
                <w:szCs w:val="20"/>
              </w:rPr>
              <w:fldChar w:fldCharType="separate"/>
            </w:r>
            <w:r w:rsidRPr="000847DB">
              <w:rPr>
                <w:rFonts w:ascii="Arial Narrow" w:eastAsia="Calibri" w:hAnsi="Arial Narrow" w:cs="Arial"/>
                <w:sz w:val="20"/>
                <w:szCs w:val="20"/>
              </w:rPr>
              <w:fldChar w:fldCharType="end"/>
            </w:r>
            <w:r w:rsidRPr="000847DB">
              <w:rPr>
                <w:rFonts w:ascii="Arial Narrow" w:eastAsia="Calibri" w:hAnsi="Arial Narrow" w:cs="Arial"/>
                <w:sz w:val="20"/>
                <w:szCs w:val="20"/>
              </w:rPr>
              <w:t xml:space="preserve">Authority Required </w:t>
            </w:r>
          </w:p>
        </w:tc>
      </w:tr>
      <w:tr w:rsidR="005808F5" w:rsidRPr="001428E9" w14:paraId="266F3145" w14:textId="77777777" w:rsidTr="00DF2554">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7AF58591" w14:textId="756F9BB6" w:rsidR="005808F5" w:rsidRPr="00432EBF" w:rsidRDefault="005808F5" w:rsidP="00DF2554">
            <w:pPr>
              <w:jc w:val="center"/>
              <w:rPr>
                <w:rFonts w:ascii="Arial Narrow" w:hAnsi="Arial Narrow" w:cs="Arial"/>
                <w:sz w:val="20"/>
                <w:szCs w:val="20"/>
              </w:rPr>
            </w:pPr>
            <w:r w:rsidRPr="00432EBF">
              <w:rPr>
                <w:rFonts w:ascii="Arial Narrow" w:hAnsi="Arial Narrow" w:cs="Arial"/>
                <w:sz w:val="20"/>
                <w:szCs w:val="20"/>
              </w:rPr>
              <w:lastRenderedPageBreak/>
              <w:t>Prescribing rule level</w:t>
            </w:r>
          </w:p>
        </w:tc>
        <w:tc>
          <w:tcPr>
            <w:tcW w:w="784" w:type="dxa"/>
            <w:vAlign w:val="center"/>
          </w:tcPr>
          <w:p w14:paraId="3811F34D" w14:textId="297C5D3D" w:rsidR="005808F5" w:rsidRPr="00432EBF" w:rsidRDefault="005808F5" w:rsidP="00DF2554">
            <w:pPr>
              <w:jc w:val="center"/>
              <w:rPr>
                <w:rFonts w:ascii="Arial Narrow" w:hAnsi="Arial Narrow"/>
                <w:sz w:val="20"/>
                <w:szCs w:val="20"/>
              </w:rPr>
            </w:pPr>
          </w:p>
        </w:tc>
        <w:tc>
          <w:tcPr>
            <w:tcW w:w="7745" w:type="dxa"/>
            <w:gridSpan w:val="6"/>
            <w:vAlign w:val="center"/>
          </w:tcPr>
          <w:p w14:paraId="23AFB2E8" w14:textId="30A0E7A1" w:rsidR="005808F5" w:rsidRPr="00773804" w:rsidRDefault="004B6EED" w:rsidP="00DF2554">
            <w:pPr>
              <w:rPr>
                <w:rFonts w:ascii="Arial Narrow" w:hAnsi="Arial Narrow"/>
                <w:sz w:val="20"/>
                <w:szCs w:val="20"/>
              </w:rPr>
            </w:pPr>
            <w:r>
              <w:rPr>
                <w:rFonts w:ascii="Arial Narrow" w:hAnsi="Arial Narrow"/>
                <w:b/>
                <w:bCs/>
                <w:sz w:val="20"/>
                <w:szCs w:val="20"/>
              </w:rPr>
              <w:t xml:space="preserve">Caution: </w:t>
            </w:r>
            <w:r>
              <w:rPr>
                <w:rFonts w:ascii="Arial Narrow" w:hAnsi="Arial Narrow"/>
                <w:sz w:val="20"/>
                <w:szCs w:val="20"/>
              </w:rPr>
              <w:t>The risk of drug dependence is high</w:t>
            </w:r>
          </w:p>
        </w:tc>
      </w:tr>
      <w:tr w:rsidR="005808F5" w:rsidRPr="001428E9" w14:paraId="608956C7" w14:textId="77777777" w:rsidTr="00DF2554">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extDirection w:val="btLr"/>
            <w:vAlign w:val="center"/>
          </w:tcPr>
          <w:p w14:paraId="4F17DEAF" w14:textId="40A0D31D" w:rsidR="005808F5" w:rsidRPr="00432EBF" w:rsidRDefault="005808F5" w:rsidP="00DF2554">
            <w:pPr>
              <w:jc w:val="center"/>
              <w:rPr>
                <w:rFonts w:ascii="Arial Narrow" w:hAnsi="Arial Narrow" w:cs="Arial"/>
                <w:sz w:val="20"/>
                <w:szCs w:val="20"/>
              </w:rPr>
            </w:pPr>
          </w:p>
        </w:tc>
        <w:tc>
          <w:tcPr>
            <w:tcW w:w="784" w:type="dxa"/>
            <w:vAlign w:val="center"/>
          </w:tcPr>
          <w:p w14:paraId="61C6BA76" w14:textId="2311C85A" w:rsidR="005808F5" w:rsidRPr="001428E9" w:rsidRDefault="005808F5" w:rsidP="00DF2554">
            <w:pPr>
              <w:jc w:val="center"/>
              <w:rPr>
                <w:rFonts w:ascii="Arial Narrow" w:hAnsi="Arial Narrow"/>
                <w:color w:val="333333"/>
                <w:sz w:val="20"/>
                <w:szCs w:val="20"/>
              </w:rPr>
            </w:pPr>
          </w:p>
        </w:tc>
        <w:tc>
          <w:tcPr>
            <w:tcW w:w="7745" w:type="dxa"/>
            <w:gridSpan w:val="6"/>
            <w:vAlign w:val="center"/>
          </w:tcPr>
          <w:p w14:paraId="4366F9C8" w14:textId="49BDBB26" w:rsidR="005808F5" w:rsidRPr="00773804" w:rsidRDefault="005808F5" w:rsidP="00DF2554">
            <w:pPr>
              <w:rPr>
                <w:rFonts w:ascii="Arial Narrow" w:hAnsi="Arial Narrow"/>
                <w:sz w:val="20"/>
                <w:szCs w:val="20"/>
              </w:rPr>
            </w:pPr>
            <w:r w:rsidRPr="00432EBF">
              <w:rPr>
                <w:rFonts w:ascii="Arial Narrow" w:hAnsi="Arial Narrow"/>
                <w:b/>
                <w:bCs/>
                <w:sz w:val="20"/>
                <w:szCs w:val="20"/>
              </w:rPr>
              <w:t>Administrative Advice:</w:t>
            </w:r>
            <w:r w:rsidR="00917726">
              <w:rPr>
                <w:rFonts w:ascii="Arial Narrow" w:hAnsi="Arial Narrow"/>
                <w:b/>
                <w:bCs/>
                <w:sz w:val="20"/>
                <w:szCs w:val="20"/>
              </w:rPr>
              <w:t xml:space="preserve"> </w:t>
            </w:r>
            <w:r w:rsidR="00917726" w:rsidRPr="00773804">
              <w:rPr>
                <w:rFonts w:ascii="Arial Narrow" w:hAnsi="Arial Narrow"/>
                <w:sz w:val="20"/>
                <w:szCs w:val="20"/>
              </w:rPr>
              <w:t>This treatment is not suitable for 'as-required' pain relief.</w:t>
            </w:r>
          </w:p>
        </w:tc>
      </w:tr>
      <w:tr w:rsidR="005808F5" w:rsidRPr="001428E9" w14:paraId="0BB765A9" w14:textId="77777777" w:rsidTr="00DF2554">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0FD30A6E" w14:textId="77777777" w:rsidR="005808F5" w:rsidRPr="00432EBF" w:rsidRDefault="005808F5" w:rsidP="00DF2554">
            <w:pPr>
              <w:rPr>
                <w:rFonts w:ascii="Arial Narrow" w:hAnsi="Arial Narrow" w:cs="Arial"/>
                <w:sz w:val="20"/>
                <w:szCs w:val="20"/>
              </w:rPr>
            </w:pPr>
          </w:p>
        </w:tc>
        <w:tc>
          <w:tcPr>
            <w:tcW w:w="784" w:type="dxa"/>
            <w:vAlign w:val="center"/>
          </w:tcPr>
          <w:p w14:paraId="2E43D449" w14:textId="7C3FDA57" w:rsidR="005808F5" w:rsidRPr="00432EBF" w:rsidRDefault="005808F5" w:rsidP="00DF2554">
            <w:pPr>
              <w:jc w:val="center"/>
              <w:rPr>
                <w:rFonts w:ascii="Arial Narrow" w:hAnsi="Arial Narrow"/>
                <w:sz w:val="20"/>
                <w:szCs w:val="20"/>
              </w:rPr>
            </w:pPr>
          </w:p>
        </w:tc>
        <w:tc>
          <w:tcPr>
            <w:tcW w:w="7745" w:type="dxa"/>
            <w:gridSpan w:val="6"/>
            <w:vAlign w:val="center"/>
          </w:tcPr>
          <w:p w14:paraId="7B33C271" w14:textId="029E6F7C" w:rsidR="005808F5" w:rsidRPr="00432EBF" w:rsidRDefault="005808F5" w:rsidP="00DF2554">
            <w:pPr>
              <w:rPr>
                <w:rFonts w:ascii="Arial Narrow" w:hAnsi="Arial Narrow"/>
                <w:b/>
                <w:bCs/>
                <w:sz w:val="20"/>
                <w:szCs w:val="20"/>
              </w:rPr>
            </w:pPr>
            <w:r w:rsidRPr="00432EBF">
              <w:rPr>
                <w:rFonts w:ascii="Arial Narrow" w:hAnsi="Arial Narrow"/>
                <w:b/>
                <w:bCs/>
                <w:sz w:val="20"/>
                <w:szCs w:val="20"/>
              </w:rPr>
              <w:t>Administrative Advice:</w:t>
            </w:r>
            <w:r w:rsidR="00917726">
              <w:rPr>
                <w:rFonts w:ascii="Arial Narrow" w:hAnsi="Arial Narrow"/>
                <w:b/>
                <w:bCs/>
                <w:sz w:val="20"/>
                <w:szCs w:val="20"/>
              </w:rPr>
              <w:t xml:space="preserve"> </w:t>
            </w:r>
            <w:r w:rsidR="00917726" w:rsidRPr="00773804">
              <w:rPr>
                <w:rFonts w:ascii="Arial Narrow" w:hAnsi="Arial Narrow"/>
                <w:sz w:val="20"/>
                <w:szCs w:val="20"/>
              </w:rPr>
              <w:t>This treatment is not recommended for use in ambulant patients.</w:t>
            </w:r>
          </w:p>
        </w:tc>
      </w:tr>
      <w:tr w:rsidR="005808F5" w:rsidRPr="001428E9" w14:paraId="222E5242" w14:textId="77777777" w:rsidTr="00DF2554">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bottom w:val="single" w:sz="4" w:space="0" w:color="auto"/>
              <w:right w:val="single" w:sz="4" w:space="0" w:color="auto"/>
            </w:tcBorders>
          </w:tcPr>
          <w:p w14:paraId="15C3BA92" w14:textId="77777777" w:rsidR="005808F5" w:rsidRPr="00432EBF" w:rsidRDefault="005808F5" w:rsidP="00DF2554">
            <w:pPr>
              <w:rPr>
                <w:rFonts w:ascii="Arial Narrow" w:hAnsi="Arial Narrow" w:cs="Arial"/>
                <w:sz w:val="20"/>
                <w:szCs w:val="20"/>
              </w:rPr>
            </w:pPr>
          </w:p>
        </w:tc>
        <w:tc>
          <w:tcPr>
            <w:tcW w:w="784" w:type="dxa"/>
            <w:vAlign w:val="center"/>
          </w:tcPr>
          <w:p w14:paraId="10D93308" w14:textId="38A83DE8" w:rsidR="005808F5" w:rsidRPr="00432EBF" w:rsidRDefault="005808F5" w:rsidP="00DF2554">
            <w:pPr>
              <w:jc w:val="center"/>
              <w:rPr>
                <w:rFonts w:ascii="Arial Narrow" w:hAnsi="Arial Narrow"/>
                <w:sz w:val="20"/>
                <w:szCs w:val="20"/>
              </w:rPr>
            </w:pPr>
          </w:p>
        </w:tc>
        <w:tc>
          <w:tcPr>
            <w:tcW w:w="7745" w:type="dxa"/>
            <w:gridSpan w:val="6"/>
            <w:vAlign w:val="center"/>
          </w:tcPr>
          <w:p w14:paraId="3E6FF3EA" w14:textId="77777777" w:rsidR="00A91232" w:rsidRPr="00773804" w:rsidRDefault="005808F5" w:rsidP="00A91232">
            <w:pPr>
              <w:rPr>
                <w:rFonts w:ascii="Arial Narrow" w:hAnsi="Arial Narrow"/>
                <w:sz w:val="20"/>
                <w:szCs w:val="20"/>
              </w:rPr>
            </w:pPr>
            <w:r w:rsidRPr="00A91232">
              <w:rPr>
                <w:rFonts w:ascii="Arial Narrow" w:hAnsi="Arial Narrow"/>
                <w:b/>
                <w:bCs/>
                <w:sz w:val="20"/>
                <w:szCs w:val="20"/>
              </w:rPr>
              <w:t>Administrative Advice</w:t>
            </w:r>
            <w:r w:rsidRPr="00773804">
              <w:rPr>
                <w:rFonts w:ascii="Arial Narrow" w:hAnsi="Arial Narrow"/>
                <w:sz w:val="20"/>
                <w:szCs w:val="20"/>
              </w:rPr>
              <w:t>:</w:t>
            </w:r>
            <w:r w:rsidR="00A91232" w:rsidRPr="00773804">
              <w:rPr>
                <w:rFonts w:ascii="Arial Narrow" w:hAnsi="Arial Narrow"/>
                <w:sz w:val="20"/>
                <w:szCs w:val="20"/>
              </w:rPr>
              <w:t xml:space="preserve"> Real time online applications for increased maximum quantities/repeats may be made using the Online PBS Authorities system (see www.servicesaustralia.gov.au/organisations/health-professionals/services/medicare/hpos/services/request-authority-using-online-pbs-authorities-hpos).</w:t>
            </w:r>
          </w:p>
          <w:p w14:paraId="67ED2389" w14:textId="77777777" w:rsidR="00A91232" w:rsidRPr="00773804" w:rsidRDefault="00A91232" w:rsidP="00A91232">
            <w:pPr>
              <w:rPr>
                <w:rFonts w:ascii="Arial Narrow" w:hAnsi="Arial Narrow"/>
                <w:sz w:val="20"/>
                <w:szCs w:val="20"/>
              </w:rPr>
            </w:pPr>
            <w:r w:rsidRPr="00773804">
              <w:rPr>
                <w:rFonts w:ascii="Arial Narrow" w:hAnsi="Arial Narrow"/>
                <w:sz w:val="20"/>
                <w:szCs w:val="20"/>
              </w:rPr>
              <w:t>Written authority applications for increased maximum quantities/repeats can be uploaded online through HPOS form upload or mailed to:</w:t>
            </w:r>
          </w:p>
          <w:p w14:paraId="0F791C35" w14:textId="77777777" w:rsidR="00A91232" w:rsidRPr="00773804" w:rsidRDefault="00A91232" w:rsidP="00A91232">
            <w:pPr>
              <w:rPr>
                <w:rFonts w:ascii="Arial Narrow" w:hAnsi="Arial Narrow"/>
                <w:sz w:val="20"/>
                <w:szCs w:val="20"/>
              </w:rPr>
            </w:pPr>
            <w:r w:rsidRPr="00773804">
              <w:rPr>
                <w:rFonts w:ascii="Arial Narrow" w:hAnsi="Arial Narrow"/>
                <w:sz w:val="20"/>
                <w:szCs w:val="20"/>
              </w:rPr>
              <w:t>Pharmaceutical Benefits Scheme</w:t>
            </w:r>
          </w:p>
          <w:p w14:paraId="343BE423" w14:textId="77777777" w:rsidR="00A91232" w:rsidRPr="00773804" w:rsidRDefault="00A91232" w:rsidP="00A91232">
            <w:pPr>
              <w:rPr>
                <w:rFonts w:ascii="Arial Narrow" w:hAnsi="Arial Narrow"/>
                <w:sz w:val="20"/>
                <w:szCs w:val="20"/>
              </w:rPr>
            </w:pPr>
            <w:r w:rsidRPr="00773804">
              <w:rPr>
                <w:rFonts w:ascii="Arial Narrow" w:hAnsi="Arial Narrow"/>
                <w:sz w:val="20"/>
                <w:szCs w:val="20"/>
              </w:rPr>
              <w:t>Reply Paid 9857</w:t>
            </w:r>
          </w:p>
          <w:p w14:paraId="77877206" w14:textId="00F3DCD2" w:rsidR="005808F5" w:rsidRPr="00773804" w:rsidRDefault="00A91232" w:rsidP="00DF2554">
            <w:pPr>
              <w:rPr>
                <w:rFonts w:ascii="Arial Narrow" w:hAnsi="Arial Narrow"/>
                <w:sz w:val="20"/>
                <w:szCs w:val="20"/>
              </w:rPr>
            </w:pPr>
            <w:r w:rsidRPr="00773804">
              <w:rPr>
                <w:rFonts w:ascii="Arial Narrow" w:hAnsi="Arial Narrow"/>
                <w:sz w:val="20"/>
                <w:szCs w:val="20"/>
              </w:rPr>
              <w:t>[Your capital city]</w:t>
            </w:r>
          </w:p>
        </w:tc>
      </w:tr>
      <w:tr w:rsidR="0052655C" w:rsidRPr="001428E9" w14:paraId="66FA1943" w14:textId="77777777" w:rsidTr="00025E84">
        <w:tblPrEx>
          <w:tblCellMar>
            <w:top w:w="15" w:type="dxa"/>
            <w:bottom w:w="15" w:type="dxa"/>
          </w:tblCellMar>
        </w:tblPrEx>
        <w:trPr>
          <w:cantSplit/>
          <w:trHeight w:val="20"/>
        </w:trPr>
        <w:tc>
          <w:tcPr>
            <w:tcW w:w="1271" w:type="dxa"/>
            <w:gridSpan w:val="2"/>
            <w:vAlign w:val="center"/>
          </w:tcPr>
          <w:p w14:paraId="5F37C3CE" w14:textId="295BC254" w:rsidR="0052655C" w:rsidRPr="00432EBF" w:rsidRDefault="0052655C">
            <w:pPr>
              <w:keepLines/>
              <w:jc w:val="center"/>
              <w:rPr>
                <w:rFonts w:ascii="Arial Narrow" w:hAnsi="Arial Narrow"/>
                <w:sz w:val="20"/>
                <w:szCs w:val="20"/>
              </w:rPr>
            </w:pPr>
          </w:p>
        </w:tc>
        <w:tc>
          <w:tcPr>
            <w:tcW w:w="7745" w:type="dxa"/>
            <w:gridSpan w:val="6"/>
            <w:vAlign w:val="center"/>
            <w:hideMark/>
          </w:tcPr>
          <w:p w14:paraId="795FB044" w14:textId="6E402839" w:rsidR="0052655C" w:rsidRPr="001428E9" w:rsidRDefault="0052655C">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006B7FBF">
              <w:rPr>
                <w:rFonts w:ascii="Arial Narrow" w:hAnsi="Arial Narrow"/>
                <w:sz w:val="20"/>
                <w:szCs w:val="20"/>
              </w:rPr>
              <w:t>Severe disabling pain</w:t>
            </w:r>
          </w:p>
        </w:tc>
      </w:tr>
      <w:tr w:rsidR="0052655C" w:rsidRPr="001428E9" w14:paraId="5FDB9557" w14:textId="77777777" w:rsidTr="00025E84">
        <w:tblPrEx>
          <w:tblCellMar>
            <w:top w:w="15" w:type="dxa"/>
            <w:bottom w:w="15" w:type="dxa"/>
          </w:tblCellMar>
        </w:tblPrEx>
        <w:trPr>
          <w:cantSplit/>
          <w:trHeight w:val="20"/>
        </w:trPr>
        <w:tc>
          <w:tcPr>
            <w:tcW w:w="1271" w:type="dxa"/>
            <w:gridSpan w:val="2"/>
            <w:vAlign w:val="center"/>
          </w:tcPr>
          <w:p w14:paraId="23A80339" w14:textId="403ACA36" w:rsidR="0052655C" w:rsidRPr="00432EBF" w:rsidRDefault="0052655C">
            <w:pPr>
              <w:jc w:val="center"/>
              <w:rPr>
                <w:rFonts w:ascii="Arial Narrow" w:hAnsi="Arial Narrow"/>
                <w:sz w:val="20"/>
                <w:szCs w:val="20"/>
              </w:rPr>
            </w:pPr>
          </w:p>
        </w:tc>
        <w:tc>
          <w:tcPr>
            <w:tcW w:w="7745" w:type="dxa"/>
            <w:gridSpan w:val="6"/>
            <w:vAlign w:val="center"/>
            <w:hideMark/>
          </w:tcPr>
          <w:p w14:paraId="7F905A0D" w14:textId="77777777" w:rsidR="0052655C" w:rsidRPr="001428E9" w:rsidRDefault="0052655C">
            <w:pPr>
              <w:rPr>
                <w:rFonts w:ascii="Arial Narrow" w:hAnsi="Arial Narrow"/>
                <w:sz w:val="20"/>
                <w:szCs w:val="20"/>
              </w:rPr>
            </w:pPr>
            <w:r w:rsidRPr="00432EBF">
              <w:rPr>
                <w:rFonts w:ascii="Arial Narrow" w:hAnsi="Arial Narrow"/>
                <w:b/>
                <w:bCs/>
                <w:sz w:val="20"/>
                <w:szCs w:val="20"/>
              </w:rPr>
              <w:t xml:space="preserve">Clinical criteria: </w:t>
            </w:r>
          </w:p>
        </w:tc>
      </w:tr>
      <w:tr w:rsidR="0052655C" w:rsidRPr="001428E9" w14:paraId="19ECDBF2" w14:textId="77777777" w:rsidTr="00025E84">
        <w:tblPrEx>
          <w:tblCellMar>
            <w:top w:w="15" w:type="dxa"/>
            <w:bottom w:w="15" w:type="dxa"/>
          </w:tblCellMar>
        </w:tblPrEx>
        <w:trPr>
          <w:cantSplit/>
          <w:trHeight w:val="334"/>
        </w:trPr>
        <w:tc>
          <w:tcPr>
            <w:tcW w:w="1271" w:type="dxa"/>
            <w:gridSpan w:val="2"/>
            <w:vAlign w:val="center"/>
          </w:tcPr>
          <w:p w14:paraId="05FD04C0" w14:textId="2A6C4E36" w:rsidR="0052655C" w:rsidRPr="00432EBF" w:rsidRDefault="0052655C">
            <w:pPr>
              <w:jc w:val="center"/>
              <w:rPr>
                <w:rFonts w:ascii="Arial Narrow" w:hAnsi="Arial Narrow"/>
                <w:sz w:val="20"/>
                <w:szCs w:val="20"/>
              </w:rPr>
            </w:pPr>
          </w:p>
        </w:tc>
        <w:tc>
          <w:tcPr>
            <w:tcW w:w="7745" w:type="dxa"/>
            <w:gridSpan w:val="6"/>
            <w:vAlign w:val="center"/>
            <w:hideMark/>
          </w:tcPr>
          <w:p w14:paraId="56ABDA91" w14:textId="3BE1E0E3" w:rsidR="009A19B1" w:rsidRPr="001428E9" w:rsidRDefault="00485E1F">
            <w:pPr>
              <w:jc w:val="left"/>
              <w:rPr>
                <w:rFonts w:ascii="Arial Narrow" w:hAnsi="Arial Narrow"/>
                <w:color w:val="333333"/>
                <w:sz w:val="20"/>
                <w:szCs w:val="20"/>
              </w:rPr>
            </w:pPr>
            <w:r w:rsidRPr="00485E1F">
              <w:rPr>
                <w:rFonts w:ascii="Arial Narrow" w:hAnsi="Arial Narrow" w:cs="Arial Narrow"/>
                <w:iCs/>
                <w:sz w:val="20"/>
                <w:szCs w:val="20"/>
              </w:rPr>
              <w:t>Patient must not be opioid naive</w:t>
            </w:r>
          </w:p>
        </w:tc>
      </w:tr>
      <w:tr w:rsidR="0091380B" w:rsidRPr="001428E9" w14:paraId="24FCE0D7" w14:textId="77777777" w:rsidTr="00773804">
        <w:tblPrEx>
          <w:tblCellMar>
            <w:top w:w="15" w:type="dxa"/>
            <w:bottom w:w="15" w:type="dxa"/>
          </w:tblCellMar>
          <w:tblLook w:val="04A0" w:firstRow="1" w:lastRow="0" w:firstColumn="1" w:lastColumn="0" w:noHBand="0" w:noVBand="1"/>
        </w:tblPrEx>
        <w:trPr>
          <w:cantSplit/>
          <w:trHeight w:val="174"/>
        </w:trPr>
        <w:tc>
          <w:tcPr>
            <w:tcW w:w="1271" w:type="dxa"/>
            <w:gridSpan w:val="2"/>
            <w:vAlign w:val="center"/>
          </w:tcPr>
          <w:p w14:paraId="0E0D1879" w14:textId="77777777" w:rsidR="0091380B" w:rsidRPr="006754EC" w:rsidRDefault="0091380B">
            <w:pPr>
              <w:jc w:val="center"/>
              <w:rPr>
                <w:rFonts w:ascii="Arial Narrow" w:hAnsi="Arial Narrow"/>
                <w:sz w:val="20"/>
                <w:szCs w:val="20"/>
              </w:rPr>
            </w:pPr>
          </w:p>
        </w:tc>
        <w:tc>
          <w:tcPr>
            <w:tcW w:w="7745" w:type="dxa"/>
            <w:gridSpan w:val="6"/>
            <w:vAlign w:val="center"/>
          </w:tcPr>
          <w:p w14:paraId="2770947A" w14:textId="24B91080" w:rsidR="0091380B" w:rsidRPr="00773804" w:rsidRDefault="0091380B">
            <w:pPr>
              <w:jc w:val="left"/>
              <w:rPr>
                <w:rFonts w:ascii="Arial Narrow" w:hAnsi="Arial Narrow" w:cs="Arial Narrow"/>
                <w:b/>
                <w:bCs/>
                <w:iCs/>
                <w:sz w:val="20"/>
                <w:szCs w:val="20"/>
              </w:rPr>
            </w:pPr>
            <w:r>
              <w:rPr>
                <w:rFonts w:ascii="Arial Narrow" w:hAnsi="Arial Narrow" w:cs="Arial Narrow"/>
                <w:b/>
                <w:bCs/>
                <w:iCs/>
                <w:sz w:val="20"/>
                <w:szCs w:val="20"/>
              </w:rPr>
              <w:t>AND</w:t>
            </w:r>
          </w:p>
        </w:tc>
      </w:tr>
      <w:tr w:rsidR="008D5FDA" w:rsidRPr="001428E9" w14:paraId="58C560DC" w14:textId="77777777" w:rsidTr="0091380B">
        <w:tblPrEx>
          <w:tblCellMar>
            <w:top w:w="15" w:type="dxa"/>
            <w:bottom w:w="15" w:type="dxa"/>
          </w:tblCellMar>
          <w:tblLook w:val="04A0" w:firstRow="1" w:lastRow="0" w:firstColumn="1" w:lastColumn="0" w:noHBand="0" w:noVBand="1"/>
        </w:tblPrEx>
        <w:trPr>
          <w:cantSplit/>
          <w:trHeight w:val="174"/>
        </w:trPr>
        <w:tc>
          <w:tcPr>
            <w:tcW w:w="1271" w:type="dxa"/>
            <w:gridSpan w:val="2"/>
            <w:vAlign w:val="center"/>
          </w:tcPr>
          <w:p w14:paraId="1E2D0596" w14:textId="18014A3B" w:rsidR="008D5FDA" w:rsidRPr="006754EC" w:rsidRDefault="008D5FDA">
            <w:pPr>
              <w:jc w:val="center"/>
              <w:rPr>
                <w:rFonts w:ascii="Arial Narrow" w:hAnsi="Arial Narrow"/>
                <w:sz w:val="20"/>
                <w:szCs w:val="20"/>
              </w:rPr>
            </w:pPr>
          </w:p>
        </w:tc>
        <w:tc>
          <w:tcPr>
            <w:tcW w:w="7745" w:type="dxa"/>
            <w:gridSpan w:val="6"/>
            <w:vAlign w:val="center"/>
          </w:tcPr>
          <w:p w14:paraId="403BFF7E" w14:textId="1B84C54F" w:rsidR="008D5FDA" w:rsidRDefault="008D5FDA">
            <w:pPr>
              <w:jc w:val="left"/>
              <w:rPr>
                <w:rFonts w:ascii="Arial Narrow" w:hAnsi="Arial Narrow" w:cs="Arial Narrow"/>
                <w:b/>
                <w:bCs/>
                <w:iCs/>
                <w:sz w:val="20"/>
                <w:szCs w:val="20"/>
              </w:rPr>
            </w:pPr>
            <w:r>
              <w:rPr>
                <w:rFonts w:ascii="Arial Narrow" w:hAnsi="Arial Narrow" w:cs="Arial Narrow"/>
                <w:b/>
                <w:bCs/>
                <w:iCs/>
                <w:sz w:val="20"/>
                <w:szCs w:val="20"/>
              </w:rPr>
              <w:t xml:space="preserve">Clinical Criteria: </w:t>
            </w:r>
          </w:p>
        </w:tc>
      </w:tr>
      <w:tr w:rsidR="008D5FDA" w:rsidRPr="001428E9" w14:paraId="30392978" w14:textId="77777777" w:rsidTr="0091380B">
        <w:tblPrEx>
          <w:tblCellMar>
            <w:top w:w="15" w:type="dxa"/>
            <w:bottom w:w="15" w:type="dxa"/>
          </w:tblCellMar>
          <w:tblLook w:val="04A0" w:firstRow="1" w:lastRow="0" w:firstColumn="1" w:lastColumn="0" w:noHBand="0" w:noVBand="1"/>
        </w:tblPrEx>
        <w:trPr>
          <w:cantSplit/>
          <w:trHeight w:val="174"/>
        </w:trPr>
        <w:tc>
          <w:tcPr>
            <w:tcW w:w="1271" w:type="dxa"/>
            <w:gridSpan w:val="2"/>
            <w:vAlign w:val="center"/>
          </w:tcPr>
          <w:p w14:paraId="6559ED18" w14:textId="04898065" w:rsidR="008D5FDA" w:rsidRPr="006754EC" w:rsidRDefault="008D5FDA">
            <w:pPr>
              <w:jc w:val="center"/>
              <w:rPr>
                <w:rFonts w:ascii="Arial Narrow" w:hAnsi="Arial Narrow"/>
                <w:sz w:val="20"/>
                <w:szCs w:val="20"/>
              </w:rPr>
            </w:pPr>
          </w:p>
        </w:tc>
        <w:tc>
          <w:tcPr>
            <w:tcW w:w="7745" w:type="dxa"/>
            <w:gridSpan w:val="6"/>
            <w:vAlign w:val="center"/>
          </w:tcPr>
          <w:p w14:paraId="45E9AA5A" w14:textId="7423B755" w:rsidR="008D5FDA" w:rsidRPr="00773804" w:rsidRDefault="008D5FDA">
            <w:pPr>
              <w:jc w:val="left"/>
              <w:rPr>
                <w:rFonts w:ascii="Arial Narrow" w:hAnsi="Arial Narrow" w:cs="Arial Narrow"/>
                <w:iCs/>
                <w:sz w:val="20"/>
                <w:szCs w:val="20"/>
              </w:rPr>
            </w:pPr>
            <w:r w:rsidRPr="00773804">
              <w:rPr>
                <w:rFonts w:ascii="Arial Narrow" w:hAnsi="Arial Narrow" w:cs="Arial Narrow"/>
                <w:iCs/>
                <w:sz w:val="20"/>
                <w:szCs w:val="20"/>
              </w:rPr>
              <w:t>Patient must have had or would have inadequate pain management with maximum tolerated doses of non-opioid and other opioid analgesics; or</w:t>
            </w:r>
          </w:p>
        </w:tc>
      </w:tr>
      <w:tr w:rsidR="00F96668" w:rsidRPr="001428E9" w14:paraId="73EE04D6" w14:textId="77777777" w:rsidTr="0091380B">
        <w:tblPrEx>
          <w:tblCellMar>
            <w:top w:w="15" w:type="dxa"/>
            <w:bottom w:w="15" w:type="dxa"/>
          </w:tblCellMar>
          <w:tblLook w:val="04A0" w:firstRow="1" w:lastRow="0" w:firstColumn="1" w:lastColumn="0" w:noHBand="0" w:noVBand="1"/>
        </w:tblPrEx>
        <w:trPr>
          <w:cantSplit/>
          <w:trHeight w:val="174"/>
        </w:trPr>
        <w:tc>
          <w:tcPr>
            <w:tcW w:w="1271" w:type="dxa"/>
            <w:gridSpan w:val="2"/>
            <w:vAlign w:val="center"/>
          </w:tcPr>
          <w:p w14:paraId="788D691F" w14:textId="2A0F56B1" w:rsidR="00F96668" w:rsidRPr="00F96668" w:rsidRDefault="00F96668">
            <w:pPr>
              <w:jc w:val="center"/>
              <w:rPr>
                <w:rFonts w:ascii="Arial Narrow" w:hAnsi="Arial Narrow"/>
                <w:sz w:val="20"/>
                <w:szCs w:val="20"/>
              </w:rPr>
            </w:pPr>
          </w:p>
        </w:tc>
        <w:tc>
          <w:tcPr>
            <w:tcW w:w="7745" w:type="dxa"/>
            <w:gridSpan w:val="6"/>
            <w:vAlign w:val="center"/>
          </w:tcPr>
          <w:p w14:paraId="6406CCDC" w14:textId="33CA5E83" w:rsidR="00F96668" w:rsidRPr="00F96668" w:rsidRDefault="00F96668">
            <w:pPr>
              <w:jc w:val="left"/>
              <w:rPr>
                <w:rFonts w:ascii="Arial Narrow" w:hAnsi="Arial Narrow" w:cs="Arial Narrow"/>
                <w:iCs/>
                <w:sz w:val="20"/>
                <w:szCs w:val="20"/>
              </w:rPr>
            </w:pPr>
            <w:r w:rsidRPr="00F96668">
              <w:rPr>
                <w:rFonts w:ascii="Arial Narrow" w:hAnsi="Arial Narrow" w:cs="Arial Narrow"/>
                <w:iCs/>
                <w:sz w:val="20"/>
                <w:szCs w:val="20"/>
              </w:rPr>
              <w:t>Patient must be unable to use non-opioid and other opioid analgesics due to contraindications or intolerance</w:t>
            </w:r>
          </w:p>
        </w:tc>
      </w:tr>
      <w:tr w:rsidR="0052655C" w:rsidRPr="00432EBF" w14:paraId="50F1D62B"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EBEA2A4" w14:textId="297DA064" w:rsidR="0052655C" w:rsidRPr="00432EBF" w:rsidRDefault="0052655C">
            <w:pPr>
              <w:keepNext/>
              <w:jc w:val="center"/>
              <w:rPr>
                <w:rFonts w:ascii="Arial Narrow" w:hAnsi="Arial Narrow"/>
                <w:sz w:val="20"/>
                <w:szCs w:val="20"/>
              </w:rPr>
            </w:pPr>
          </w:p>
        </w:tc>
        <w:tc>
          <w:tcPr>
            <w:tcW w:w="7745" w:type="dxa"/>
            <w:gridSpan w:val="6"/>
            <w:vAlign w:val="center"/>
            <w:hideMark/>
          </w:tcPr>
          <w:p w14:paraId="62722B3E" w14:textId="77777777" w:rsidR="0052655C" w:rsidRPr="00432EBF" w:rsidRDefault="0052655C">
            <w:pPr>
              <w:keepNext/>
              <w:rPr>
                <w:rFonts w:ascii="Arial Narrow" w:hAnsi="Arial Narrow"/>
                <w:sz w:val="20"/>
                <w:szCs w:val="20"/>
              </w:rPr>
            </w:pPr>
            <w:r w:rsidRPr="00432EBF">
              <w:rPr>
                <w:rFonts w:ascii="Arial Narrow" w:hAnsi="Arial Narrow"/>
                <w:b/>
                <w:bCs/>
                <w:sz w:val="20"/>
                <w:szCs w:val="20"/>
              </w:rPr>
              <w:t>Treatment criteria:</w:t>
            </w:r>
          </w:p>
        </w:tc>
      </w:tr>
      <w:tr w:rsidR="0052655C" w:rsidRPr="001428E9" w14:paraId="6900574F"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8B217FE" w14:textId="537ED8DF" w:rsidR="0052655C" w:rsidRPr="00432EBF" w:rsidRDefault="0052655C">
            <w:pPr>
              <w:jc w:val="center"/>
              <w:rPr>
                <w:rFonts w:ascii="Arial Narrow" w:hAnsi="Arial Narrow"/>
                <w:sz w:val="20"/>
                <w:szCs w:val="20"/>
              </w:rPr>
            </w:pPr>
          </w:p>
        </w:tc>
        <w:tc>
          <w:tcPr>
            <w:tcW w:w="7745" w:type="dxa"/>
            <w:gridSpan w:val="6"/>
            <w:vAlign w:val="center"/>
            <w:hideMark/>
          </w:tcPr>
          <w:p w14:paraId="134F6C74" w14:textId="061CC3B0" w:rsidR="0052655C" w:rsidRPr="009E47B2" w:rsidRDefault="00A26E53">
            <w:pPr>
              <w:autoSpaceDE w:val="0"/>
              <w:autoSpaceDN w:val="0"/>
              <w:adjustRightInd w:val="0"/>
              <w:jc w:val="left"/>
              <w:rPr>
                <w:rFonts w:ascii="Arial Narrow" w:hAnsi="Arial Narrow" w:cs="Arial Narrow"/>
                <w:iCs/>
                <w:sz w:val="20"/>
                <w:szCs w:val="20"/>
              </w:rPr>
            </w:pPr>
            <w:r>
              <w:rPr>
                <w:rFonts w:ascii="Arial Narrow" w:hAnsi="Arial Narrow" w:cs="Arial Narrow"/>
                <w:iCs/>
                <w:sz w:val="20"/>
                <w:szCs w:val="20"/>
              </w:rPr>
              <w:t>Patient must be undergoing palliative care</w:t>
            </w:r>
          </w:p>
        </w:tc>
      </w:tr>
      <w:tr w:rsidR="0052655C" w:rsidRPr="00432EBF" w14:paraId="4AD41319"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D22623E" w14:textId="233DA387" w:rsidR="00C37C6B" w:rsidRPr="00432EBF" w:rsidRDefault="00C37C6B">
            <w:pPr>
              <w:jc w:val="center"/>
              <w:rPr>
                <w:rFonts w:ascii="Arial Narrow" w:hAnsi="Arial Narrow"/>
                <w:sz w:val="20"/>
                <w:szCs w:val="20"/>
              </w:rPr>
            </w:pPr>
          </w:p>
        </w:tc>
        <w:tc>
          <w:tcPr>
            <w:tcW w:w="7745" w:type="dxa"/>
            <w:gridSpan w:val="6"/>
            <w:vAlign w:val="center"/>
          </w:tcPr>
          <w:p w14:paraId="36F68345" w14:textId="77777777" w:rsidR="00D71D5E" w:rsidRPr="00773804" w:rsidRDefault="00A05356" w:rsidP="00D71D5E">
            <w:pPr>
              <w:rPr>
                <w:rFonts w:ascii="Arial Narrow" w:hAnsi="Arial Narrow"/>
                <w:sz w:val="20"/>
                <w:szCs w:val="20"/>
              </w:rPr>
            </w:pPr>
            <w:r>
              <w:rPr>
                <w:rFonts w:ascii="Arial Narrow" w:hAnsi="Arial Narrow"/>
                <w:b/>
                <w:bCs/>
                <w:sz w:val="20"/>
                <w:szCs w:val="20"/>
              </w:rPr>
              <w:t xml:space="preserve">Prescribing Instructions: </w:t>
            </w:r>
            <w:r w:rsidR="00D71D5E" w:rsidRPr="00773804">
              <w:rPr>
                <w:rFonts w:ascii="Arial Narrow" w:hAnsi="Arial Narrow"/>
                <w:sz w:val="20"/>
                <w:szCs w:val="20"/>
              </w:rPr>
              <w:t>Authority requests for treatment duration up to 1 month may be requested through the Online PBS Authorities system or by calling Services Australia.</w:t>
            </w:r>
          </w:p>
          <w:p w14:paraId="3B1FB79F" w14:textId="0F3C9254" w:rsidR="0052655C" w:rsidRPr="00432EBF" w:rsidRDefault="00D71D5E">
            <w:pPr>
              <w:rPr>
                <w:rFonts w:ascii="Arial Narrow" w:hAnsi="Arial Narrow"/>
                <w:b/>
                <w:bCs/>
                <w:sz w:val="20"/>
                <w:szCs w:val="20"/>
              </w:rPr>
            </w:pPr>
            <w:r w:rsidRPr="00773804">
              <w:rPr>
                <w:rFonts w:ascii="Arial Narrow" w:hAnsi="Arial Narrow"/>
                <w:sz w:val="20"/>
                <w:szCs w:val="20"/>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bl>
    <w:p w14:paraId="29A96004" w14:textId="77777777" w:rsidR="00C27C1C" w:rsidRPr="00AA3202" w:rsidRDefault="00C27C1C" w:rsidP="00303CFE">
      <w:pPr>
        <w:pStyle w:val="2-SectionHeading"/>
      </w:pPr>
      <w:r w:rsidRPr="0029583B">
        <w:t xml:space="preserve">Comparator </w:t>
      </w:r>
    </w:p>
    <w:p w14:paraId="2BBB568E" w14:textId="69824659" w:rsidR="006C4B5D" w:rsidRDefault="00D258B6" w:rsidP="00AA3202">
      <w:pPr>
        <w:pStyle w:val="3-BodyText"/>
      </w:pPr>
      <w:r>
        <w:t xml:space="preserve">The submission nominated </w:t>
      </w:r>
      <w:r w:rsidR="00856FAC">
        <w:t>methadone 10 mg tablet (</w:t>
      </w:r>
      <w:r w:rsidR="003A2C3D">
        <w:t>Physeptone</w:t>
      </w:r>
      <w:r w:rsidR="00856FAC">
        <w:t>)</w:t>
      </w:r>
      <w:r w:rsidR="003A2C3D">
        <w:t xml:space="preserve"> as the main comparator</w:t>
      </w:r>
      <w:r w:rsidR="001129F2">
        <w:t>.</w:t>
      </w:r>
      <w:r w:rsidR="003A2C3D">
        <w:t xml:space="preserve"> Th</w:t>
      </w:r>
      <w:r w:rsidR="00250903">
        <w:t xml:space="preserve">is </w:t>
      </w:r>
      <w:r w:rsidR="007B5C23">
        <w:t xml:space="preserve">was </w:t>
      </w:r>
      <w:r w:rsidR="003A2C3D">
        <w:t>appropriate.</w:t>
      </w:r>
      <w:r w:rsidR="00CB238D">
        <w:t xml:space="preserve"> </w:t>
      </w:r>
    </w:p>
    <w:p w14:paraId="52763FCD" w14:textId="66C21FD6" w:rsidR="000F3EF7" w:rsidRPr="00A6439B" w:rsidRDefault="000F3EF7" w:rsidP="000F3EF7">
      <w:pPr>
        <w:pStyle w:val="Heading1"/>
        <w:keepLines/>
        <w:numPr>
          <w:ilvl w:val="0"/>
          <w:numId w:val="2"/>
        </w:numPr>
        <w:spacing w:before="240"/>
        <w:ind w:left="709" w:hanging="709"/>
        <w:rPr>
          <w:sz w:val="32"/>
          <w:szCs w:val="32"/>
        </w:rPr>
      </w:pPr>
      <w:r w:rsidRPr="00A6439B">
        <w:rPr>
          <w:sz w:val="32"/>
          <w:szCs w:val="32"/>
        </w:rPr>
        <w:t>Consideration of the evidence</w:t>
      </w:r>
    </w:p>
    <w:p w14:paraId="79770AFF" w14:textId="77777777" w:rsidR="00471375" w:rsidRPr="006E1229" w:rsidRDefault="00471375" w:rsidP="00471375">
      <w:pPr>
        <w:pStyle w:val="3-SubsectionHeading"/>
        <w:rPr>
          <w:lang w:eastAsia="en-AU"/>
        </w:rPr>
      </w:pPr>
      <w:bookmarkStart w:id="2" w:name="_Hlk76375935"/>
      <w:r w:rsidRPr="006E1229">
        <w:rPr>
          <w:lang w:eastAsia="en-AU"/>
        </w:rPr>
        <w:t>Sponsor hearing</w:t>
      </w:r>
    </w:p>
    <w:p w14:paraId="2DC62C1B" w14:textId="5487F1C7" w:rsidR="00471375" w:rsidRPr="00F91542" w:rsidRDefault="00471375" w:rsidP="00471375">
      <w:pPr>
        <w:widowControl w:val="0"/>
        <w:numPr>
          <w:ilvl w:val="1"/>
          <w:numId w:val="2"/>
        </w:numPr>
        <w:spacing w:after="120"/>
        <w:ind w:left="720"/>
        <w:rPr>
          <w:rFonts w:cs="Calibri"/>
          <w:bCs/>
          <w:snapToGrid w:val="0"/>
        </w:rPr>
      </w:pPr>
      <w:r w:rsidRPr="00F91542">
        <w:rPr>
          <w:rFonts w:cs="Calibri"/>
          <w:bCs/>
          <w:snapToGrid w:val="0"/>
        </w:rPr>
        <w:t>There was no hearing for this item.</w:t>
      </w:r>
    </w:p>
    <w:p w14:paraId="2696E698" w14:textId="77777777" w:rsidR="00471375" w:rsidRPr="006E1229" w:rsidRDefault="00471375" w:rsidP="00471375">
      <w:pPr>
        <w:pStyle w:val="3-SubsectionHeading"/>
        <w:rPr>
          <w:lang w:eastAsia="en-AU"/>
        </w:rPr>
      </w:pPr>
      <w:r w:rsidRPr="006E1229">
        <w:rPr>
          <w:lang w:eastAsia="en-AU"/>
        </w:rPr>
        <w:t>Consumer comments</w:t>
      </w:r>
    </w:p>
    <w:p w14:paraId="06192672" w14:textId="6F4AB4AC" w:rsidR="00471375" w:rsidRPr="00836F75" w:rsidRDefault="00471375" w:rsidP="00471375">
      <w:pPr>
        <w:widowControl w:val="0"/>
        <w:numPr>
          <w:ilvl w:val="1"/>
          <w:numId w:val="2"/>
        </w:numPr>
        <w:spacing w:after="120"/>
        <w:ind w:left="720"/>
        <w:rPr>
          <w:rFonts w:asciiTheme="minorHAnsi" w:hAnsiTheme="minorHAnsi" w:cs="Arial"/>
          <w:bCs/>
          <w:snapToGrid w:val="0"/>
        </w:rPr>
      </w:pPr>
      <w:bookmarkStart w:id="3" w:name="_Hlk76382618"/>
      <w:r w:rsidRPr="00836F75">
        <w:rPr>
          <w:rFonts w:asciiTheme="minorHAnsi" w:hAnsiTheme="minorHAnsi" w:cs="Arial"/>
          <w:bCs/>
          <w:snapToGrid w:val="0"/>
        </w:rPr>
        <w:t>The PBAC noted and welcomed the input from individuals (</w:t>
      </w:r>
      <w:r w:rsidR="009F7D50">
        <w:rPr>
          <w:rFonts w:asciiTheme="minorHAnsi" w:hAnsiTheme="minorHAnsi" w:cs="Arial"/>
          <w:bCs/>
          <w:snapToGrid w:val="0"/>
        </w:rPr>
        <w:t>3</w:t>
      </w:r>
      <w:r w:rsidRPr="00836F75">
        <w:rPr>
          <w:rFonts w:asciiTheme="minorHAnsi" w:hAnsiTheme="minorHAnsi" w:cs="Arial"/>
          <w:bCs/>
          <w:snapToGrid w:val="0"/>
        </w:rPr>
        <w:t>)</w:t>
      </w:r>
      <w:r w:rsidR="009F7D50">
        <w:rPr>
          <w:rFonts w:asciiTheme="minorHAnsi" w:hAnsiTheme="minorHAnsi" w:cs="Arial"/>
          <w:bCs/>
          <w:snapToGrid w:val="0"/>
        </w:rPr>
        <w:t xml:space="preserve"> via </w:t>
      </w:r>
      <w:r w:rsidRPr="00836F75">
        <w:rPr>
          <w:rFonts w:asciiTheme="minorHAnsi" w:hAnsiTheme="minorHAnsi" w:cs="Arial"/>
          <w:bCs/>
          <w:snapToGrid w:val="0"/>
        </w:rPr>
        <w:t xml:space="preserve">the Consumer Comments facility on the PBS website. </w:t>
      </w:r>
      <w:r w:rsidR="00FA6B19">
        <w:rPr>
          <w:rFonts w:asciiTheme="minorHAnsi" w:hAnsiTheme="minorHAnsi" w:cs="Arial"/>
          <w:bCs/>
          <w:snapToGrid w:val="0"/>
        </w:rPr>
        <w:t>The comments described</w:t>
      </w:r>
      <w:r w:rsidR="00406FB6">
        <w:rPr>
          <w:rFonts w:asciiTheme="minorHAnsi" w:hAnsiTheme="minorHAnsi" w:cs="Arial"/>
          <w:bCs/>
          <w:snapToGrid w:val="0"/>
        </w:rPr>
        <w:t xml:space="preserve"> </w:t>
      </w:r>
      <w:r w:rsidR="00816771">
        <w:rPr>
          <w:rFonts w:asciiTheme="minorHAnsi" w:hAnsiTheme="minorHAnsi" w:cs="Arial"/>
          <w:bCs/>
          <w:snapToGrid w:val="0"/>
        </w:rPr>
        <w:t>the effects of chronic pain</w:t>
      </w:r>
      <w:r w:rsidR="00296548">
        <w:rPr>
          <w:rFonts w:asciiTheme="minorHAnsi" w:hAnsiTheme="minorHAnsi" w:cs="Arial"/>
          <w:bCs/>
          <w:snapToGrid w:val="0"/>
        </w:rPr>
        <w:t xml:space="preserve"> </w:t>
      </w:r>
      <w:r w:rsidR="008F1B09">
        <w:rPr>
          <w:rFonts w:asciiTheme="minorHAnsi" w:hAnsiTheme="minorHAnsi" w:cs="Arial"/>
          <w:bCs/>
          <w:snapToGrid w:val="0"/>
        </w:rPr>
        <w:t xml:space="preserve">as </w:t>
      </w:r>
      <w:r w:rsidR="003B401B">
        <w:rPr>
          <w:rFonts w:asciiTheme="minorHAnsi" w:hAnsiTheme="minorHAnsi" w:cs="Arial"/>
          <w:bCs/>
          <w:snapToGrid w:val="0"/>
        </w:rPr>
        <w:t>debilitating</w:t>
      </w:r>
      <w:r w:rsidR="00A55223">
        <w:rPr>
          <w:rFonts w:asciiTheme="minorHAnsi" w:hAnsiTheme="minorHAnsi" w:cs="Arial"/>
          <w:bCs/>
          <w:snapToGrid w:val="0"/>
        </w:rPr>
        <w:t xml:space="preserve"> an</w:t>
      </w:r>
      <w:r w:rsidR="003F7A75">
        <w:rPr>
          <w:rFonts w:asciiTheme="minorHAnsi" w:hAnsiTheme="minorHAnsi" w:cs="Arial"/>
          <w:bCs/>
          <w:snapToGrid w:val="0"/>
        </w:rPr>
        <w:t xml:space="preserve">d </w:t>
      </w:r>
      <w:r w:rsidR="00505BDC">
        <w:rPr>
          <w:rFonts w:asciiTheme="minorHAnsi" w:hAnsiTheme="minorHAnsi" w:cs="Arial"/>
          <w:bCs/>
          <w:snapToGrid w:val="0"/>
        </w:rPr>
        <w:t xml:space="preserve">the </w:t>
      </w:r>
      <w:r w:rsidR="00B16794" w:rsidRPr="45AB26B1">
        <w:rPr>
          <w:rFonts w:asciiTheme="minorHAnsi" w:hAnsiTheme="minorHAnsi" w:cs="Arial"/>
        </w:rPr>
        <w:t>impact</w:t>
      </w:r>
      <w:r w:rsidR="008F1B09">
        <w:rPr>
          <w:rFonts w:asciiTheme="minorHAnsi" w:hAnsiTheme="minorHAnsi" w:cs="Arial"/>
        </w:rPr>
        <w:t>s</w:t>
      </w:r>
      <w:r w:rsidR="00B16794">
        <w:rPr>
          <w:rFonts w:asciiTheme="minorHAnsi" w:hAnsiTheme="minorHAnsi" w:cs="Arial"/>
          <w:bCs/>
          <w:snapToGrid w:val="0"/>
        </w:rPr>
        <w:t xml:space="preserve"> </w:t>
      </w:r>
      <w:r w:rsidR="00BE4177">
        <w:rPr>
          <w:rFonts w:asciiTheme="minorHAnsi" w:hAnsiTheme="minorHAnsi" w:cs="Arial"/>
          <w:bCs/>
          <w:snapToGrid w:val="0"/>
        </w:rPr>
        <w:t xml:space="preserve">on </w:t>
      </w:r>
      <w:r w:rsidR="008002A4">
        <w:rPr>
          <w:rFonts w:asciiTheme="minorHAnsi" w:hAnsiTheme="minorHAnsi" w:cs="Arial"/>
          <w:bCs/>
          <w:snapToGrid w:val="0"/>
        </w:rPr>
        <w:t xml:space="preserve">quality of life </w:t>
      </w:r>
      <w:r w:rsidR="00505BDC">
        <w:rPr>
          <w:rFonts w:asciiTheme="minorHAnsi" w:hAnsiTheme="minorHAnsi" w:cs="Arial"/>
          <w:bCs/>
          <w:snapToGrid w:val="0"/>
        </w:rPr>
        <w:t xml:space="preserve">included </w:t>
      </w:r>
      <w:r w:rsidR="003B401B" w:rsidRPr="45AB26B1">
        <w:rPr>
          <w:rFonts w:asciiTheme="minorHAnsi" w:hAnsiTheme="minorHAnsi" w:cs="Arial"/>
        </w:rPr>
        <w:t>limit</w:t>
      </w:r>
      <w:r w:rsidR="00FA19C6">
        <w:rPr>
          <w:rFonts w:asciiTheme="minorHAnsi" w:hAnsiTheme="minorHAnsi" w:cs="Arial"/>
        </w:rPr>
        <w:t xml:space="preserve">ed </w:t>
      </w:r>
      <w:r w:rsidR="003B401B" w:rsidRPr="45AB26B1">
        <w:rPr>
          <w:rFonts w:asciiTheme="minorHAnsi" w:hAnsiTheme="minorHAnsi" w:cs="Arial"/>
        </w:rPr>
        <w:t xml:space="preserve">ability to </w:t>
      </w:r>
      <w:r w:rsidR="003B401B">
        <w:rPr>
          <w:rFonts w:asciiTheme="minorHAnsi" w:hAnsiTheme="minorHAnsi" w:cs="Arial"/>
          <w:bCs/>
          <w:snapToGrid w:val="0"/>
        </w:rPr>
        <w:t>work</w:t>
      </w:r>
      <w:r w:rsidR="00A55223">
        <w:rPr>
          <w:rFonts w:asciiTheme="minorHAnsi" w:hAnsiTheme="minorHAnsi" w:cs="Arial"/>
          <w:bCs/>
          <w:snapToGrid w:val="0"/>
        </w:rPr>
        <w:t xml:space="preserve"> and interact with family and </w:t>
      </w:r>
      <w:r w:rsidR="009B645C" w:rsidRPr="45AB26B1">
        <w:rPr>
          <w:rFonts w:asciiTheme="minorHAnsi" w:hAnsiTheme="minorHAnsi" w:cs="Arial"/>
          <w:snapToGrid w:val="0"/>
        </w:rPr>
        <w:t>friends.</w:t>
      </w:r>
      <w:r w:rsidR="009B645C">
        <w:rPr>
          <w:rFonts w:asciiTheme="minorHAnsi" w:hAnsiTheme="minorHAnsi" w:cs="Arial"/>
          <w:bCs/>
          <w:snapToGrid w:val="0"/>
        </w:rPr>
        <w:t xml:space="preserve"> </w:t>
      </w:r>
      <w:r w:rsidR="00412FBA">
        <w:rPr>
          <w:rFonts w:asciiTheme="minorHAnsi" w:hAnsiTheme="minorHAnsi" w:cs="Arial"/>
          <w:bCs/>
          <w:snapToGrid w:val="0"/>
        </w:rPr>
        <w:t>The c</w:t>
      </w:r>
      <w:r w:rsidR="009B645C">
        <w:rPr>
          <w:rFonts w:asciiTheme="minorHAnsi" w:hAnsiTheme="minorHAnsi" w:cs="Arial"/>
          <w:bCs/>
          <w:snapToGrid w:val="0"/>
        </w:rPr>
        <w:t>omments</w:t>
      </w:r>
      <w:r w:rsidR="00C539D4">
        <w:rPr>
          <w:rFonts w:asciiTheme="minorHAnsi" w:hAnsiTheme="minorHAnsi" w:cs="Arial"/>
          <w:bCs/>
          <w:snapToGrid w:val="0"/>
        </w:rPr>
        <w:t xml:space="preserve"> support</w:t>
      </w:r>
      <w:r w:rsidR="00412FBA">
        <w:rPr>
          <w:rFonts w:asciiTheme="minorHAnsi" w:hAnsiTheme="minorHAnsi" w:cs="Arial"/>
          <w:bCs/>
          <w:snapToGrid w:val="0"/>
        </w:rPr>
        <w:t>ed</w:t>
      </w:r>
      <w:r w:rsidR="00C539D4">
        <w:rPr>
          <w:rFonts w:asciiTheme="minorHAnsi" w:hAnsiTheme="minorHAnsi" w:cs="Arial"/>
          <w:bCs/>
          <w:snapToGrid w:val="0"/>
        </w:rPr>
        <w:t xml:space="preserve"> the availability of methadone </w:t>
      </w:r>
      <w:r w:rsidR="008F1B09">
        <w:rPr>
          <w:rFonts w:asciiTheme="minorHAnsi" w:hAnsiTheme="minorHAnsi" w:cs="Arial"/>
          <w:bCs/>
          <w:snapToGrid w:val="0"/>
        </w:rPr>
        <w:t xml:space="preserve">5 mg </w:t>
      </w:r>
      <w:r w:rsidR="00C539D4">
        <w:rPr>
          <w:rFonts w:asciiTheme="minorHAnsi" w:hAnsiTheme="minorHAnsi" w:cs="Arial"/>
          <w:bCs/>
          <w:snapToGrid w:val="0"/>
        </w:rPr>
        <w:t xml:space="preserve">for </w:t>
      </w:r>
      <w:r w:rsidR="00A37707">
        <w:rPr>
          <w:rFonts w:asciiTheme="minorHAnsi" w:hAnsiTheme="minorHAnsi" w:cs="Arial"/>
          <w:bCs/>
          <w:snapToGrid w:val="0"/>
        </w:rPr>
        <w:t>chronic severe disabling pain.</w:t>
      </w:r>
    </w:p>
    <w:bookmarkEnd w:id="2"/>
    <w:bookmarkEnd w:id="3"/>
    <w:p w14:paraId="5ABCCB17" w14:textId="22AF0C78" w:rsidR="007917AE" w:rsidRPr="00997076" w:rsidRDefault="007917AE" w:rsidP="007917AE">
      <w:pPr>
        <w:pStyle w:val="4-SubsectionHeading"/>
        <w:rPr>
          <w:iCs/>
          <w:lang w:eastAsia="en-US"/>
        </w:rPr>
      </w:pPr>
      <w:r w:rsidRPr="00997076">
        <w:rPr>
          <w:iCs/>
          <w:lang w:eastAsia="en-US"/>
        </w:rPr>
        <w:t>Clinical claim</w:t>
      </w:r>
    </w:p>
    <w:p w14:paraId="5AE4E89D" w14:textId="77777777" w:rsidR="000D2EC4" w:rsidRPr="000D2EC4" w:rsidRDefault="007917AE" w:rsidP="00257E31">
      <w:pPr>
        <w:pStyle w:val="3-BodyText"/>
        <w:rPr>
          <w:iCs/>
        </w:rPr>
      </w:pPr>
      <w:bookmarkStart w:id="4" w:name="_Hlk201155595"/>
      <w:r w:rsidRPr="00DB1933">
        <w:t xml:space="preserve">The submission </w:t>
      </w:r>
      <w:r>
        <w:t xml:space="preserve">did not </w:t>
      </w:r>
      <w:r w:rsidR="00122AFF">
        <w:t xml:space="preserve">explicitly state </w:t>
      </w:r>
      <w:r>
        <w:t>a clinical claim</w:t>
      </w:r>
      <w:r w:rsidR="00122AFF">
        <w:t xml:space="preserve"> for Methadone-AFT</w:t>
      </w:r>
      <w:r w:rsidR="0071417A">
        <w:t xml:space="preserve"> 5 mg</w:t>
      </w:r>
      <w:r>
        <w:t>.</w:t>
      </w:r>
      <w:r w:rsidR="00DE6C5A">
        <w:t xml:space="preserve"> </w:t>
      </w:r>
    </w:p>
    <w:p w14:paraId="12C85804" w14:textId="0547D7FE" w:rsidR="000A1344" w:rsidRPr="009E47B2" w:rsidRDefault="000A1344" w:rsidP="00257E31">
      <w:pPr>
        <w:pStyle w:val="3-BodyText"/>
        <w:rPr>
          <w:iCs/>
        </w:rPr>
      </w:pPr>
      <w:r w:rsidRPr="009E47B2">
        <w:rPr>
          <w:iCs/>
        </w:rPr>
        <w:lastRenderedPageBreak/>
        <w:t xml:space="preserve">The PBAC </w:t>
      </w:r>
      <w:r w:rsidR="00B65109">
        <w:rPr>
          <w:iCs/>
        </w:rPr>
        <w:t>co</w:t>
      </w:r>
      <w:r w:rsidR="00900FEC">
        <w:rPr>
          <w:iCs/>
        </w:rPr>
        <w:t xml:space="preserve">nsidered </w:t>
      </w:r>
      <w:r w:rsidR="00FE421D">
        <w:rPr>
          <w:iCs/>
        </w:rPr>
        <w:t xml:space="preserve">that </w:t>
      </w:r>
      <w:r w:rsidR="000D2EC4">
        <w:rPr>
          <w:iCs/>
        </w:rPr>
        <w:t xml:space="preserve">a </w:t>
      </w:r>
      <w:r w:rsidRPr="009E47B2">
        <w:rPr>
          <w:iCs/>
        </w:rPr>
        <w:t xml:space="preserve">claim of non-inferior efficacy and non-inferior safety compared to methadone 10 mg tablets </w:t>
      </w:r>
      <w:r w:rsidR="00363A39" w:rsidRPr="009E47B2">
        <w:rPr>
          <w:iCs/>
        </w:rPr>
        <w:t xml:space="preserve">is </w:t>
      </w:r>
      <w:r w:rsidR="00FA7ADD">
        <w:t>reasonable</w:t>
      </w:r>
      <w:r w:rsidR="00363A39" w:rsidRPr="009E47B2">
        <w:rPr>
          <w:iCs/>
        </w:rPr>
        <w:t xml:space="preserve"> where two 5</w:t>
      </w:r>
      <w:r w:rsidR="006E3DAE">
        <w:rPr>
          <w:iCs/>
        </w:rPr>
        <w:t> </w:t>
      </w:r>
      <w:r w:rsidR="00363A39" w:rsidRPr="009E47B2">
        <w:rPr>
          <w:iCs/>
        </w:rPr>
        <w:t>mg tablets are used in place of one 10 mg tablet</w:t>
      </w:r>
      <w:r w:rsidR="00782586">
        <w:rPr>
          <w:iCs/>
        </w:rPr>
        <w:t xml:space="preserve">. The PBAC noted this </w:t>
      </w:r>
      <w:r w:rsidR="00E71BD5" w:rsidRPr="009E47B2">
        <w:rPr>
          <w:iCs/>
        </w:rPr>
        <w:t>aligns with the TGA’s bioequivalence statement.</w:t>
      </w:r>
    </w:p>
    <w:p w14:paraId="54CA80DD" w14:textId="45AAC322" w:rsidR="00A32FD7" w:rsidRPr="00997076" w:rsidRDefault="00A32FD7" w:rsidP="00A32FD7">
      <w:pPr>
        <w:pStyle w:val="4-SubsectionHeading"/>
        <w:rPr>
          <w:iCs/>
          <w:lang w:eastAsia="en-US"/>
        </w:rPr>
      </w:pPr>
      <w:r w:rsidRPr="00997076">
        <w:rPr>
          <w:iCs/>
          <w:lang w:eastAsia="en-US"/>
        </w:rPr>
        <w:t>Economic analysis</w:t>
      </w:r>
    </w:p>
    <w:p w14:paraId="194AC4AD" w14:textId="3408D6FC" w:rsidR="008E1363" w:rsidRPr="00AC3F81" w:rsidRDefault="00CF203E" w:rsidP="008E1363">
      <w:pPr>
        <w:pStyle w:val="3-BodyText"/>
      </w:pPr>
      <w:r w:rsidRPr="00AC3F81">
        <w:t xml:space="preserve">The submission </w:t>
      </w:r>
      <w:r w:rsidR="00AB3EA9" w:rsidRPr="00AC3F81">
        <w:t xml:space="preserve">proposed </w:t>
      </w:r>
      <w:r w:rsidR="00554FE2">
        <w:t>methadone</w:t>
      </w:r>
      <w:r w:rsidR="00516766">
        <w:t xml:space="preserve"> 5 mg</w:t>
      </w:r>
      <w:r w:rsidR="00BA399C" w:rsidRPr="00AC3F81">
        <w:t xml:space="preserve"> </w:t>
      </w:r>
      <w:r w:rsidR="00554FE2">
        <w:t xml:space="preserve">tablets </w:t>
      </w:r>
      <w:r w:rsidR="00BA399C" w:rsidRPr="00AC3F81">
        <w:t xml:space="preserve">be </w:t>
      </w:r>
      <w:r w:rsidR="0096051A" w:rsidRPr="00AC3F81">
        <w:t>cost-minimis</w:t>
      </w:r>
      <w:r w:rsidR="00BA399C" w:rsidRPr="00AC3F81">
        <w:t xml:space="preserve">ed to methadone </w:t>
      </w:r>
      <w:r w:rsidR="00FC7E66" w:rsidRPr="00AC3F81">
        <w:t>10</w:t>
      </w:r>
      <w:r w:rsidR="00FC7E66">
        <w:t> </w:t>
      </w:r>
      <w:r w:rsidR="00BA399C" w:rsidRPr="00AC3F81">
        <w:t>mg tablets.</w:t>
      </w:r>
    </w:p>
    <w:p w14:paraId="48F82AFA" w14:textId="587CB315" w:rsidR="003455D4" w:rsidRPr="00D858D2" w:rsidRDefault="003455D4" w:rsidP="00777017">
      <w:pPr>
        <w:pStyle w:val="3-BodyText"/>
      </w:pPr>
      <w:bookmarkStart w:id="5" w:name="_Ref203992111"/>
      <w:r>
        <w:t xml:space="preserve">The submission requested an approved ex-manufacturer price (AEMP) of $3.70 for </w:t>
      </w:r>
      <w:r w:rsidR="00554FE2">
        <w:t>a quantity of 20 tablets</w:t>
      </w:r>
      <w:r>
        <w:t xml:space="preserve">. </w:t>
      </w:r>
      <w:r w:rsidR="00CE354E">
        <w:t xml:space="preserve">The </w:t>
      </w:r>
      <w:r w:rsidR="005028C6">
        <w:t xml:space="preserve">proposed price </w:t>
      </w:r>
      <w:r w:rsidR="005227E1">
        <w:t xml:space="preserve">was not consistent with a cost-minimisation approach to </w:t>
      </w:r>
      <w:r w:rsidR="005227E1" w:rsidRPr="00AC3F81">
        <w:t>methadone 10</w:t>
      </w:r>
      <w:r w:rsidR="005227E1">
        <w:t> </w:t>
      </w:r>
      <w:r w:rsidR="005227E1" w:rsidRPr="00AC3F81">
        <w:t>mg tablets</w:t>
      </w:r>
      <w:r w:rsidR="005227E1">
        <w:t>. No</w:t>
      </w:r>
      <w:r w:rsidR="00CE354E">
        <w:t xml:space="preserve"> justification </w:t>
      </w:r>
      <w:r w:rsidR="005227E1">
        <w:t xml:space="preserve">was provided </w:t>
      </w:r>
      <w:r w:rsidR="00E7678B">
        <w:t>by the sponsor.</w:t>
      </w:r>
      <w:r>
        <w:t xml:space="preserve"> </w:t>
      </w:r>
      <w:bookmarkEnd w:id="5"/>
    </w:p>
    <w:bookmarkEnd w:id="4"/>
    <w:p w14:paraId="5EB16602" w14:textId="7F656F58" w:rsidR="00D70349" w:rsidRPr="00E03F4D" w:rsidRDefault="00D70349" w:rsidP="00D70349">
      <w:pPr>
        <w:pStyle w:val="4-SubsectionHeading"/>
        <w:rPr>
          <w:iCs/>
          <w:lang w:eastAsia="en-US"/>
        </w:rPr>
      </w:pPr>
      <w:r w:rsidRPr="00E03F4D">
        <w:rPr>
          <w:iCs/>
          <w:lang w:eastAsia="en-US"/>
        </w:rPr>
        <w:t xml:space="preserve">Estimated PBS </w:t>
      </w:r>
      <w:r w:rsidR="00276BE3" w:rsidRPr="00E03F4D">
        <w:rPr>
          <w:iCs/>
          <w:lang w:eastAsia="en-US"/>
        </w:rPr>
        <w:t>usage</w:t>
      </w:r>
      <w:r w:rsidRPr="00E03F4D">
        <w:rPr>
          <w:iCs/>
          <w:lang w:eastAsia="en-US"/>
        </w:rPr>
        <w:t xml:space="preserve"> and financial implications</w:t>
      </w:r>
    </w:p>
    <w:p w14:paraId="3C71CC3F" w14:textId="64ECCF6E" w:rsidR="00F26D80" w:rsidRDefault="008C0978" w:rsidP="00AC3F81">
      <w:pPr>
        <w:pStyle w:val="3-BodyText"/>
      </w:pPr>
      <w:r>
        <w:t xml:space="preserve">The submission </w:t>
      </w:r>
      <w:r w:rsidR="00D70349" w:rsidRPr="00A835B0">
        <w:t>present</w:t>
      </w:r>
      <w:r>
        <w:t>ed</w:t>
      </w:r>
      <w:r w:rsidR="00D70349" w:rsidRPr="00A835B0">
        <w:t xml:space="preserve"> </w:t>
      </w:r>
      <w:r w:rsidR="00D70349">
        <w:t>the</w:t>
      </w:r>
      <w:r w:rsidR="00D70349" w:rsidRPr="00A835B0" w:rsidDel="00E76506">
        <w:t xml:space="preserve"> </w:t>
      </w:r>
      <w:r w:rsidR="00D70349" w:rsidRPr="00A835B0">
        <w:t>estimate</w:t>
      </w:r>
      <w:r w:rsidR="00D70349" w:rsidRPr="00A835B0" w:rsidDel="00E76506">
        <w:t>d</w:t>
      </w:r>
      <w:r w:rsidR="00D70349" w:rsidRPr="00A835B0">
        <w:t xml:space="preserve"> extent of use, cost of </w:t>
      </w:r>
      <w:r w:rsidR="00D807D6" w:rsidRPr="00D858D2">
        <w:t>Methadone-AFT</w:t>
      </w:r>
      <w:r w:rsidR="00FC78D6" w:rsidRPr="00D858D2">
        <w:t xml:space="preserve"> 5</w:t>
      </w:r>
      <w:r w:rsidR="00F26232">
        <w:t xml:space="preserve"> </w:t>
      </w:r>
      <w:r w:rsidR="00FC78D6" w:rsidRPr="00D858D2">
        <w:t>mg</w:t>
      </w:r>
      <w:r w:rsidR="00D70349" w:rsidRPr="00A835B0">
        <w:t xml:space="preserve"> to the PBS/RPBS and the net financial implications to the PBS/RPBS</w:t>
      </w:r>
      <w:r w:rsidR="00B82350">
        <w:t xml:space="preserve">. </w:t>
      </w:r>
    </w:p>
    <w:p w14:paraId="424B1425" w14:textId="304CC097" w:rsidR="00472AA2" w:rsidRPr="009E47B2" w:rsidRDefault="00472AA2" w:rsidP="00472AA2">
      <w:pPr>
        <w:pStyle w:val="3-BodyText"/>
      </w:pPr>
      <w:bookmarkStart w:id="6" w:name="_Ref204327001"/>
      <w:r>
        <w:t xml:space="preserve">The submission proposed listings on both General Schedule and Palliative </w:t>
      </w:r>
      <w:r w:rsidR="005903DB">
        <w:t>C</w:t>
      </w:r>
      <w:r>
        <w:t xml:space="preserve">are </w:t>
      </w:r>
      <w:r w:rsidR="005903DB">
        <w:t>P</w:t>
      </w:r>
      <w:r>
        <w:t>rogram</w:t>
      </w:r>
      <w:r w:rsidR="00E20243">
        <w:t>.</w:t>
      </w:r>
      <w:r>
        <w:t xml:space="preserve"> </w:t>
      </w:r>
      <w:r w:rsidR="00E20243">
        <w:t>E</w:t>
      </w:r>
      <w:r>
        <w:t xml:space="preserve">ach program has different maximum quantities and </w:t>
      </w:r>
      <w:r w:rsidR="00FC397A">
        <w:t xml:space="preserve">therefore </w:t>
      </w:r>
      <w:r>
        <w:t xml:space="preserve">different Dispensed Price for Maximum Quantity (DPMQ). </w:t>
      </w:r>
      <w:r w:rsidR="00E70D43">
        <w:rPr>
          <w:rFonts w:ascii="Calibri" w:hAnsi="Calibri" w:cs="Calibri"/>
        </w:rPr>
        <w:t>Consequently</w:t>
      </w:r>
      <w:r w:rsidRPr="45AB26B1" w:rsidDel="003F2571">
        <w:rPr>
          <w:rFonts w:ascii="Calibri" w:hAnsi="Calibri" w:cs="Calibri"/>
        </w:rPr>
        <w:t xml:space="preserve"> </w:t>
      </w:r>
      <w:r w:rsidRPr="45AB26B1">
        <w:rPr>
          <w:rFonts w:ascii="Calibri" w:hAnsi="Calibri" w:cs="Calibri"/>
        </w:rPr>
        <w:t xml:space="preserve">the UCM should </w:t>
      </w:r>
      <w:r w:rsidR="0065623D">
        <w:rPr>
          <w:rFonts w:ascii="Calibri" w:hAnsi="Calibri" w:cs="Calibri"/>
        </w:rPr>
        <w:t xml:space="preserve">have </w:t>
      </w:r>
      <w:r w:rsidR="00577A65">
        <w:rPr>
          <w:rFonts w:ascii="Calibri" w:hAnsi="Calibri" w:cs="Calibri"/>
        </w:rPr>
        <w:t>separate</w:t>
      </w:r>
      <w:r w:rsidR="0065623D">
        <w:rPr>
          <w:rFonts w:ascii="Calibri" w:hAnsi="Calibri" w:cs="Calibri"/>
        </w:rPr>
        <w:t>d</w:t>
      </w:r>
      <w:r w:rsidR="00577A65">
        <w:rPr>
          <w:rFonts w:ascii="Calibri" w:hAnsi="Calibri" w:cs="Calibri"/>
        </w:rPr>
        <w:t xml:space="preserve"> </w:t>
      </w:r>
      <w:r w:rsidRPr="45AB26B1">
        <w:rPr>
          <w:rFonts w:ascii="Calibri" w:hAnsi="Calibri" w:cs="Calibri"/>
        </w:rPr>
        <w:t>the general and palliative care programs</w:t>
      </w:r>
      <w:r w:rsidR="004100FE">
        <w:rPr>
          <w:rFonts w:ascii="Calibri" w:hAnsi="Calibri" w:cs="Calibri"/>
        </w:rPr>
        <w:t>.</w:t>
      </w:r>
      <w:bookmarkEnd w:id="6"/>
    </w:p>
    <w:p w14:paraId="6F4D9086" w14:textId="600C5E33" w:rsidR="00247A13" w:rsidRPr="00814A70" w:rsidRDefault="00247A13" w:rsidP="00247A13">
      <w:pPr>
        <w:pStyle w:val="3-BodyText"/>
      </w:pPr>
      <w:r w:rsidRPr="00AC3F81">
        <w:t xml:space="preserve">The submission’s assumption for </w:t>
      </w:r>
      <w:r>
        <w:t xml:space="preserve">market growth </w:t>
      </w:r>
      <w:r w:rsidRPr="00AC3F81">
        <w:t xml:space="preserve">rates were </w:t>
      </w:r>
      <w:r>
        <w:t>b</w:t>
      </w:r>
      <w:r w:rsidRPr="00814A70">
        <w:t xml:space="preserve">ased on PBS Item Reports of </w:t>
      </w:r>
      <w:r>
        <w:t>m</w:t>
      </w:r>
      <w:r w:rsidRPr="00814A70">
        <w:t>ethadone 10</w:t>
      </w:r>
      <w:r>
        <w:t> </w:t>
      </w:r>
      <w:r w:rsidRPr="00814A70">
        <w:t xml:space="preserve">mg script for PBS/RPBS </w:t>
      </w:r>
      <w:r>
        <w:t xml:space="preserve">over </w:t>
      </w:r>
      <w:r w:rsidRPr="00814A70">
        <w:t>the last 10 years</w:t>
      </w:r>
      <w:r>
        <w:t>. T</w:t>
      </w:r>
      <w:r w:rsidRPr="00814A70">
        <w:t>he submission noted there has been a decrease in the total number of prescriptions of methadone 10 mg supplied each year (</w:t>
      </w:r>
      <w:r w:rsidR="00F96539">
        <w:fldChar w:fldCharType="begin"/>
      </w:r>
      <w:r w:rsidR="00F96539">
        <w:instrText xml:space="preserve"> REF _Ref204325715 \h </w:instrText>
      </w:r>
      <w:r w:rsidR="00F96539">
        <w:fldChar w:fldCharType="separate"/>
      </w:r>
      <w:r w:rsidR="00127677">
        <w:t xml:space="preserve">Figure </w:t>
      </w:r>
      <w:r w:rsidR="00127677">
        <w:rPr>
          <w:noProof/>
        </w:rPr>
        <w:t>1</w:t>
      </w:r>
      <w:r w:rsidR="00F96539">
        <w:fldChar w:fldCharType="end"/>
      </w:r>
      <w:r w:rsidRPr="00814A70">
        <w:t xml:space="preserve">). </w:t>
      </w:r>
      <w:r>
        <w:t xml:space="preserve">The submission also noted </w:t>
      </w:r>
      <w:r w:rsidRPr="00814A70">
        <w:t xml:space="preserve">there has been an increase in the number of opioid scripts for palliative care patients from the second quarter of 2021 </w:t>
      </w:r>
      <w:r>
        <w:t xml:space="preserve">which was </w:t>
      </w:r>
      <w:r w:rsidRPr="00814A70">
        <w:t xml:space="preserve">likely due to a change in the palliative care schedule on 1 June 2020. The submission stated it is estimated a small incremental increase on methadone scripts are expected in palliative care schedule in the coming years. </w:t>
      </w:r>
    </w:p>
    <w:p w14:paraId="0DAE5DD8" w14:textId="23AA2C7B" w:rsidR="00247A13" w:rsidRDefault="00F96539" w:rsidP="00F96539">
      <w:pPr>
        <w:pStyle w:val="Caption"/>
        <w:jc w:val="left"/>
      </w:pPr>
      <w:bookmarkStart w:id="7" w:name="_Ref204325715"/>
      <w:bookmarkStart w:id="8" w:name="_Ref204325709"/>
      <w:r>
        <w:t xml:space="preserve">Figure </w:t>
      </w:r>
      <w:r>
        <w:fldChar w:fldCharType="begin"/>
      </w:r>
      <w:r>
        <w:instrText xml:space="preserve"> SEQ Figure \* ARABIC </w:instrText>
      </w:r>
      <w:r>
        <w:fldChar w:fldCharType="separate"/>
      </w:r>
      <w:r w:rsidR="00127677">
        <w:rPr>
          <w:noProof/>
        </w:rPr>
        <w:t>1</w:t>
      </w:r>
      <w:r>
        <w:fldChar w:fldCharType="end"/>
      </w:r>
      <w:bookmarkEnd w:id="7"/>
      <w:r w:rsidR="00247A13">
        <w:t>. Number of methadone 10 mg prescriptions and rate of growth from 2015-2024</w:t>
      </w:r>
      <w:bookmarkEnd w:id="8"/>
    </w:p>
    <w:p w14:paraId="7552D001" w14:textId="77777777" w:rsidR="00247A13" w:rsidRDefault="00247A13" w:rsidP="00247A13">
      <w:pPr>
        <w:pStyle w:val="3-BodyText"/>
        <w:numPr>
          <w:ilvl w:val="0"/>
          <w:numId w:val="0"/>
        </w:numPr>
      </w:pPr>
      <w:r w:rsidRPr="00E424D2">
        <w:rPr>
          <w:noProof/>
        </w:rPr>
        <w:lastRenderedPageBreak/>
        <w:drawing>
          <wp:inline distT="0" distB="0" distL="0" distR="0" wp14:anchorId="7E959864" wp14:editId="59B559BF">
            <wp:extent cx="5731510" cy="3678555"/>
            <wp:effectExtent l="0" t="0" r="2540" b="0"/>
            <wp:docPr id="229993756" name="Picture 1" descr="Number of methadone 10 mg prescriptions and rate of growth from 2015-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993756" name="Picture 1" descr="Number of methadone 10 mg prescriptions and rate of growth from 2015-20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678555"/>
                    </a:xfrm>
                    <a:prstGeom prst="rect">
                      <a:avLst/>
                    </a:prstGeom>
                    <a:noFill/>
                    <a:ln>
                      <a:noFill/>
                    </a:ln>
                  </pic:spPr>
                </pic:pic>
              </a:graphicData>
            </a:graphic>
          </wp:inline>
        </w:drawing>
      </w:r>
    </w:p>
    <w:p w14:paraId="05029A79" w14:textId="77777777" w:rsidR="00247A13" w:rsidRDefault="00247A13" w:rsidP="00247A13">
      <w:pPr>
        <w:pStyle w:val="TableFooter"/>
      </w:pPr>
      <w:r>
        <w:t>Source: Figure 1 of submission (p7)</w:t>
      </w:r>
    </w:p>
    <w:p w14:paraId="088E104E" w14:textId="17B5AD72" w:rsidR="00472AA2" w:rsidRDefault="00247A13" w:rsidP="006D1D40">
      <w:pPr>
        <w:pStyle w:val="3-BodyText"/>
      </w:pPr>
      <w:bookmarkStart w:id="9" w:name="_Ref204327041"/>
      <w:r>
        <w:t xml:space="preserve">The submission’s estimate for number of scripts was based on a 4% decline in methadone 10 mg tablets and 10% growth in Methadone-AFT 5 mg over the forward 6 years. </w:t>
      </w:r>
      <w:r w:rsidRPr="009E47B2">
        <w:rPr>
          <w:iCs/>
        </w:rPr>
        <w:t xml:space="preserve">It was unclear how </w:t>
      </w:r>
      <w:r w:rsidR="006E32DB">
        <w:rPr>
          <w:iCs/>
        </w:rPr>
        <w:t>the fixed</w:t>
      </w:r>
      <w:r w:rsidRPr="009E47B2">
        <w:rPr>
          <w:iCs/>
        </w:rPr>
        <w:t xml:space="preserve"> growth rate</w:t>
      </w:r>
      <w:r w:rsidR="006E32DB">
        <w:rPr>
          <w:iCs/>
        </w:rPr>
        <w:t>s</w:t>
      </w:r>
      <w:r w:rsidRPr="009E47B2">
        <w:rPr>
          <w:iCs/>
        </w:rPr>
        <w:t xml:space="preserve"> </w:t>
      </w:r>
      <w:r w:rsidR="00C81BB8">
        <w:rPr>
          <w:iCs/>
        </w:rPr>
        <w:t>were</w:t>
      </w:r>
      <w:r w:rsidRPr="009E47B2">
        <w:rPr>
          <w:iCs/>
        </w:rPr>
        <w:t xml:space="preserve"> derived</w:t>
      </w:r>
      <w:r w:rsidR="00C81BB8">
        <w:rPr>
          <w:iCs/>
        </w:rPr>
        <w:t>.</w:t>
      </w:r>
      <w:r w:rsidR="006E32DB">
        <w:rPr>
          <w:iCs/>
        </w:rPr>
        <w:t xml:space="preserve"> </w:t>
      </w:r>
      <w:r w:rsidR="00184FC6">
        <w:rPr>
          <w:iCs/>
        </w:rPr>
        <w:t xml:space="preserve">The projected growth rates should be </w:t>
      </w:r>
      <w:r w:rsidR="00D33CEB">
        <w:rPr>
          <w:iCs/>
        </w:rPr>
        <w:t>de</w:t>
      </w:r>
      <w:r w:rsidR="00955378">
        <w:rPr>
          <w:iCs/>
        </w:rPr>
        <w:t xml:space="preserve">termined </w:t>
      </w:r>
      <w:r w:rsidR="00B911D1">
        <w:rPr>
          <w:iCs/>
        </w:rPr>
        <w:t xml:space="preserve">by </w:t>
      </w:r>
      <w:r w:rsidR="007E7702">
        <w:rPr>
          <w:iCs/>
        </w:rPr>
        <w:t>applying an appropriate trend line</w:t>
      </w:r>
      <w:r w:rsidR="00412825">
        <w:rPr>
          <w:iCs/>
        </w:rPr>
        <w:t xml:space="preserve"> and extrapolating</w:t>
      </w:r>
      <w:r w:rsidR="007E7702">
        <w:rPr>
          <w:iCs/>
        </w:rPr>
        <w:t xml:space="preserve"> </w:t>
      </w:r>
      <w:r w:rsidR="00412825">
        <w:rPr>
          <w:iCs/>
        </w:rPr>
        <w:t>based on the historical data.</w:t>
      </w:r>
      <w:bookmarkEnd w:id="9"/>
    </w:p>
    <w:p w14:paraId="5776D7DB" w14:textId="21A207DC" w:rsidR="00272DE5" w:rsidRPr="00D858D2" w:rsidRDefault="009D4606" w:rsidP="00D858D2">
      <w:pPr>
        <w:pStyle w:val="Caption"/>
        <w:keepNext/>
      </w:pPr>
      <w:bookmarkStart w:id="10" w:name="_Ref200620898"/>
      <w:r>
        <w:lastRenderedPageBreak/>
        <w:t xml:space="preserve">Table </w:t>
      </w:r>
      <w:r>
        <w:fldChar w:fldCharType="begin"/>
      </w:r>
      <w:r>
        <w:instrText xml:space="preserve"> SEQ Table \* ARABIC </w:instrText>
      </w:r>
      <w:r>
        <w:fldChar w:fldCharType="separate"/>
      </w:r>
      <w:r w:rsidR="00127677">
        <w:rPr>
          <w:noProof/>
        </w:rPr>
        <w:t>1</w:t>
      </w:r>
      <w:r>
        <w:fldChar w:fldCharType="end"/>
      </w:r>
      <w:bookmarkStart w:id="11" w:name="_Hlk121755068"/>
      <w:bookmarkEnd w:id="10"/>
      <w:r w:rsidR="00D70349" w:rsidRPr="00A6439B">
        <w:rPr>
          <w:rFonts w:eastAsiaTheme="majorEastAsia"/>
        </w:rPr>
        <w:t>:</w:t>
      </w:r>
      <w:bookmarkEnd w:id="11"/>
      <w:r w:rsidR="00D70349" w:rsidRPr="00A6439B">
        <w:rPr>
          <w:rFonts w:eastAsiaTheme="majorEastAsia"/>
        </w:rPr>
        <w:t xml:space="preserve"> </w:t>
      </w:r>
      <w:r w:rsidR="00D70349" w:rsidRPr="00A6439B">
        <w:rPr>
          <w:rStyle w:val="CommentReference"/>
          <w:sz w:val="20"/>
          <w:szCs w:val="22"/>
        </w:rPr>
        <w:t xml:space="preserve">Estimated use and financial implications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use and financial implications "/>
      </w:tblPr>
      <w:tblGrid>
        <w:gridCol w:w="922"/>
        <w:gridCol w:w="1318"/>
        <w:gridCol w:w="1318"/>
        <w:gridCol w:w="1318"/>
        <w:gridCol w:w="1318"/>
        <w:gridCol w:w="1410"/>
        <w:gridCol w:w="1412"/>
      </w:tblGrid>
      <w:tr w:rsidR="00D70349" w:rsidRPr="00A6439B" w14:paraId="50517F09" w14:textId="77777777" w:rsidTr="004250F7">
        <w:trPr>
          <w:cantSplit/>
          <w:trHeight w:val="300"/>
          <w:tblHeader/>
          <w:jc w:val="center"/>
        </w:trPr>
        <w:tc>
          <w:tcPr>
            <w:tcW w:w="511" w:type="pct"/>
            <w:vAlign w:val="center"/>
          </w:tcPr>
          <w:p w14:paraId="146FDDC6" w14:textId="77777777" w:rsidR="00D70349" w:rsidRPr="00A6439B" w:rsidRDefault="00D70349" w:rsidP="00222680">
            <w:pPr>
              <w:pStyle w:val="TableText0"/>
              <w:keepLines/>
            </w:pPr>
          </w:p>
        </w:tc>
        <w:tc>
          <w:tcPr>
            <w:tcW w:w="731" w:type="pct"/>
            <w:vAlign w:val="center"/>
          </w:tcPr>
          <w:p w14:paraId="229BAAA8" w14:textId="77777777" w:rsidR="00D70349" w:rsidRPr="00A6439B" w:rsidRDefault="00D70349" w:rsidP="00222680">
            <w:pPr>
              <w:pStyle w:val="TableText0"/>
              <w:keepLines/>
              <w:rPr>
                <w:b/>
              </w:rPr>
            </w:pPr>
            <w:r w:rsidRPr="00A6439B">
              <w:rPr>
                <w:b/>
              </w:rPr>
              <w:t>Year 1</w:t>
            </w:r>
          </w:p>
        </w:tc>
        <w:tc>
          <w:tcPr>
            <w:tcW w:w="731" w:type="pct"/>
            <w:vAlign w:val="center"/>
          </w:tcPr>
          <w:p w14:paraId="48EEAB93" w14:textId="77777777" w:rsidR="00D70349" w:rsidRPr="00A6439B" w:rsidRDefault="00D70349" w:rsidP="00222680">
            <w:pPr>
              <w:pStyle w:val="TableText0"/>
              <w:keepLines/>
              <w:rPr>
                <w:b/>
              </w:rPr>
            </w:pPr>
            <w:r w:rsidRPr="00A6439B">
              <w:rPr>
                <w:b/>
              </w:rPr>
              <w:t>Year 2</w:t>
            </w:r>
          </w:p>
        </w:tc>
        <w:tc>
          <w:tcPr>
            <w:tcW w:w="731" w:type="pct"/>
            <w:vAlign w:val="center"/>
          </w:tcPr>
          <w:p w14:paraId="0738F741" w14:textId="77777777" w:rsidR="00D70349" w:rsidRPr="00A6439B" w:rsidRDefault="00D70349" w:rsidP="00222680">
            <w:pPr>
              <w:pStyle w:val="TableText0"/>
              <w:keepLines/>
              <w:rPr>
                <w:b/>
              </w:rPr>
            </w:pPr>
            <w:r w:rsidRPr="00A6439B">
              <w:rPr>
                <w:b/>
              </w:rPr>
              <w:t>Year 3</w:t>
            </w:r>
          </w:p>
        </w:tc>
        <w:tc>
          <w:tcPr>
            <w:tcW w:w="731" w:type="pct"/>
            <w:vAlign w:val="center"/>
          </w:tcPr>
          <w:p w14:paraId="2F722BB7" w14:textId="77777777" w:rsidR="00D70349" w:rsidRPr="00A6439B" w:rsidRDefault="00D70349" w:rsidP="00222680">
            <w:pPr>
              <w:pStyle w:val="TableText0"/>
              <w:keepLines/>
              <w:rPr>
                <w:b/>
              </w:rPr>
            </w:pPr>
            <w:r w:rsidRPr="00A6439B">
              <w:rPr>
                <w:b/>
              </w:rPr>
              <w:t>Year 4</w:t>
            </w:r>
          </w:p>
        </w:tc>
        <w:tc>
          <w:tcPr>
            <w:tcW w:w="782" w:type="pct"/>
            <w:vAlign w:val="center"/>
          </w:tcPr>
          <w:p w14:paraId="4A03E0AC" w14:textId="77777777" w:rsidR="00D70349" w:rsidRPr="00A6439B" w:rsidRDefault="00D70349" w:rsidP="00222680">
            <w:pPr>
              <w:pStyle w:val="TableText0"/>
              <w:keepLines/>
              <w:rPr>
                <w:b/>
              </w:rPr>
            </w:pPr>
            <w:r w:rsidRPr="00A6439B">
              <w:rPr>
                <w:b/>
              </w:rPr>
              <w:t>Year 5</w:t>
            </w:r>
          </w:p>
        </w:tc>
        <w:tc>
          <w:tcPr>
            <w:tcW w:w="782" w:type="pct"/>
          </w:tcPr>
          <w:p w14:paraId="11CF147B" w14:textId="77777777" w:rsidR="00D70349" w:rsidRPr="00A6439B" w:rsidRDefault="00D70349" w:rsidP="00222680">
            <w:pPr>
              <w:pStyle w:val="TableText0"/>
              <w:keepLines/>
              <w:rPr>
                <w:b/>
              </w:rPr>
            </w:pPr>
            <w:r w:rsidRPr="00A6439B">
              <w:rPr>
                <w:b/>
              </w:rPr>
              <w:t>Year 6</w:t>
            </w:r>
          </w:p>
        </w:tc>
      </w:tr>
      <w:tr w:rsidR="00D70349" w:rsidRPr="00A6439B" w14:paraId="07125BC5" w14:textId="77777777" w:rsidTr="004250F7">
        <w:trPr>
          <w:cantSplit/>
          <w:jc w:val="center"/>
        </w:trPr>
        <w:tc>
          <w:tcPr>
            <w:tcW w:w="5000" w:type="pct"/>
            <w:gridSpan w:val="7"/>
            <w:vAlign w:val="center"/>
          </w:tcPr>
          <w:p w14:paraId="618359A1" w14:textId="77777777" w:rsidR="00D70349" w:rsidRPr="00A6439B" w:rsidRDefault="00D70349" w:rsidP="00222680">
            <w:pPr>
              <w:pStyle w:val="TableText0"/>
              <w:keepLines/>
              <w:rPr>
                <w:b/>
                <w:color w:val="000000"/>
              </w:rPr>
            </w:pPr>
            <w:r w:rsidRPr="00A6439B">
              <w:rPr>
                <w:b/>
                <w:color w:val="000000"/>
              </w:rPr>
              <w:t>Estimated extent of use</w:t>
            </w:r>
          </w:p>
        </w:tc>
      </w:tr>
      <w:tr w:rsidR="00D70349" w:rsidRPr="00A6439B" w14:paraId="5D5D440C" w14:textId="77777777" w:rsidTr="004250F7">
        <w:trPr>
          <w:cantSplit/>
          <w:trHeight w:val="300"/>
          <w:jc w:val="center"/>
        </w:trPr>
        <w:tc>
          <w:tcPr>
            <w:tcW w:w="511" w:type="pct"/>
            <w:vAlign w:val="center"/>
          </w:tcPr>
          <w:p w14:paraId="359E474F" w14:textId="77777777" w:rsidR="00D70349" w:rsidRPr="00A6439B" w:rsidRDefault="00D70349" w:rsidP="00222680">
            <w:pPr>
              <w:pStyle w:val="TableText0"/>
              <w:keepLines/>
              <w:rPr>
                <w:vertAlign w:val="superscript"/>
              </w:rPr>
            </w:pPr>
            <w:r w:rsidRPr="00A6439B">
              <w:t xml:space="preserve">Number of scripts </w:t>
            </w:r>
            <w:proofErr w:type="spellStart"/>
            <w:r w:rsidRPr="00A6439B">
              <w:t>dispensed</w:t>
            </w:r>
            <w:r w:rsidRPr="00A6439B">
              <w:rPr>
                <w:vertAlign w:val="superscript"/>
              </w:rPr>
              <w:t>a</w:t>
            </w:r>
            <w:proofErr w:type="spellEnd"/>
          </w:p>
        </w:tc>
        <w:tc>
          <w:tcPr>
            <w:tcW w:w="731" w:type="pct"/>
            <w:vAlign w:val="center"/>
          </w:tcPr>
          <w:p w14:paraId="14228129" w14:textId="0C1C7669" w:rsidR="00D70349" w:rsidRPr="00025E84" w:rsidRDefault="00E65ACC" w:rsidP="00275206">
            <w:pPr>
              <w:pStyle w:val="TableText0"/>
              <w:keepLines/>
              <w:jc w:val="right"/>
              <w:rPr>
                <w:color w:val="000000"/>
                <w:highlight w:val="darkGray"/>
              </w:rPr>
            </w:pPr>
            <w:r w:rsidRPr="00E65ACC">
              <w:rPr>
                <w:color w:val="000000" w:themeColor="text1"/>
                <w:spacing w:val="53"/>
                <w:shd w:val="solid" w:color="000000" w:fill="000000"/>
                <w:fitText w:val="330" w:id="-632582144"/>
                <w14:textFill>
                  <w14:solidFill>
                    <w14:schemeClr w14:val="tx1">
                      <w14:alpha w14:val="100000"/>
                    </w14:schemeClr>
                  </w14:solidFill>
                </w14:textFill>
              </w:rPr>
              <w:t>|||</w:t>
            </w:r>
            <w:r w:rsidRPr="00E65ACC">
              <w:rPr>
                <w:color w:val="000000" w:themeColor="text1"/>
                <w:spacing w:val="1"/>
                <w:shd w:val="solid" w:color="000000" w:fill="000000"/>
                <w:fitText w:val="330" w:id="-632582144"/>
                <w14:textFill>
                  <w14:solidFill>
                    <w14:schemeClr w14:val="tx1">
                      <w14:alpha w14:val="100000"/>
                    </w14:schemeClr>
                  </w14:solidFill>
                </w14:textFill>
              </w:rPr>
              <w:t>|</w:t>
            </w:r>
            <w:r w:rsidR="00455F2A" w:rsidRPr="00025E84">
              <w:rPr>
                <w:color w:val="000000" w:themeColor="text1"/>
              </w:rPr>
              <w:t>1</w:t>
            </w:r>
          </w:p>
        </w:tc>
        <w:tc>
          <w:tcPr>
            <w:tcW w:w="731" w:type="pct"/>
            <w:vAlign w:val="center"/>
          </w:tcPr>
          <w:p w14:paraId="0AC1C51C" w14:textId="464FC30A" w:rsidR="00D70349" w:rsidRPr="00025E84" w:rsidRDefault="00E65ACC" w:rsidP="00275206">
            <w:pPr>
              <w:pStyle w:val="TableText0"/>
              <w:keepLines/>
              <w:jc w:val="right"/>
              <w:rPr>
                <w:color w:val="000000"/>
                <w:highlight w:val="darkGray"/>
              </w:rPr>
            </w:pPr>
            <w:r w:rsidRPr="00E65ACC">
              <w:rPr>
                <w:color w:val="000000" w:themeColor="text1"/>
                <w:spacing w:val="51"/>
                <w:shd w:val="solid" w:color="000000" w:fill="000000"/>
                <w:fitText w:val="324" w:id="-632582143"/>
                <w14:textFill>
                  <w14:solidFill>
                    <w14:schemeClr w14:val="tx1">
                      <w14:alpha w14:val="100000"/>
                    </w14:schemeClr>
                  </w14:solidFill>
                </w14:textFill>
              </w:rPr>
              <w:t>|||</w:t>
            </w:r>
            <w:r w:rsidRPr="00E65ACC">
              <w:rPr>
                <w:color w:val="000000" w:themeColor="text1"/>
                <w:spacing w:val="1"/>
                <w:shd w:val="solid" w:color="000000" w:fill="000000"/>
                <w:fitText w:val="324" w:id="-632582143"/>
                <w14:textFill>
                  <w14:solidFill>
                    <w14:schemeClr w14:val="tx1">
                      <w14:alpha w14:val="100000"/>
                    </w14:schemeClr>
                  </w14:solidFill>
                </w14:textFill>
              </w:rPr>
              <w:t>|</w:t>
            </w:r>
            <w:r w:rsidR="009B0C07" w:rsidRPr="00025E84">
              <w:rPr>
                <w:color w:val="000000" w:themeColor="text1"/>
                <w:vertAlign w:val="superscript"/>
              </w:rPr>
              <w:t>2</w:t>
            </w:r>
          </w:p>
        </w:tc>
        <w:tc>
          <w:tcPr>
            <w:tcW w:w="731" w:type="pct"/>
            <w:vAlign w:val="center"/>
          </w:tcPr>
          <w:p w14:paraId="46B37406" w14:textId="7EF1C21C" w:rsidR="00D70349" w:rsidRPr="00025E84" w:rsidRDefault="00E65ACC" w:rsidP="00275206">
            <w:pPr>
              <w:pStyle w:val="TableText0"/>
              <w:keepLines/>
              <w:jc w:val="right"/>
              <w:rPr>
                <w:color w:val="000000"/>
                <w:highlight w:val="darkGray"/>
              </w:rPr>
            </w:pPr>
            <w:r w:rsidRPr="00E65ACC">
              <w:rPr>
                <w:color w:val="000000" w:themeColor="text1"/>
                <w:spacing w:val="51"/>
                <w:shd w:val="solid" w:color="000000" w:fill="000000"/>
                <w:fitText w:val="324" w:id="-632582142"/>
                <w14:textFill>
                  <w14:solidFill>
                    <w14:schemeClr w14:val="tx1">
                      <w14:alpha w14:val="100000"/>
                    </w14:schemeClr>
                  </w14:solidFill>
                </w14:textFill>
              </w:rPr>
              <w:t>|||</w:t>
            </w:r>
            <w:r w:rsidRPr="00E65ACC">
              <w:rPr>
                <w:color w:val="000000" w:themeColor="text1"/>
                <w:spacing w:val="1"/>
                <w:shd w:val="solid" w:color="000000" w:fill="000000"/>
                <w:fitText w:val="324" w:id="-632582142"/>
                <w14:textFill>
                  <w14:solidFill>
                    <w14:schemeClr w14:val="tx1">
                      <w14:alpha w14:val="100000"/>
                    </w14:schemeClr>
                  </w14:solidFill>
                </w14:textFill>
              </w:rPr>
              <w:t>|</w:t>
            </w:r>
            <w:r w:rsidR="00076E9F" w:rsidRPr="00025E84">
              <w:rPr>
                <w:color w:val="000000" w:themeColor="text1"/>
                <w:vertAlign w:val="superscript"/>
              </w:rPr>
              <w:t>2</w:t>
            </w:r>
          </w:p>
        </w:tc>
        <w:tc>
          <w:tcPr>
            <w:tcW w:w="731" w:type="pct"/>
            <w:vAlign w:val="center"/>
          </w:tcPr>
          <w:p w14:paraId="6D76F480" w14:textId="7E686CFD" w:rsidR="00D70349" w:rsidRPr="00025E84" w:rsidRDefault="00E65ACC" w:rsidP="00275206">
            <w:pPr>
              <w:pStyle w:val="TableText0"/>
              <w:keepLines/>
              <w:jc w:val="right"/>
              <w:rPr>
                <w:color w:val="000000"/>
                <w:highlight w:val="darkGray"/>
              </w:rPr>
            </w:pPr>
            <w:r w:rsidRPr="00E65ACC">
              <w:rPr>
                <w:color w:val="000000" w:themeColor="text1"/>
                <w:spacing w:val="51"/>
                <w:shd w:val="solid" w:color="000000" w:fill="000000"/>
                <w:fitText w:val="324" w:id="-632582141"/>
                <w14:textFill>
                  <w14:solidFill>
                    <w14:schemeClr w14:val="tx1">
                      <w14:alpha w14:val="100000"/>
                    </w14:schemeClr>
                  </w14:solidFill>
                </w14:textFill>
              </w:rPr>
              <w:t>|||</w:t>
            </w:r>
            <w:r w:rsidRPr="00E65ACC">
              <w:rPr>
                <w:color w:val="000000" w:themeColor="text1"/>
                <w:spacing w:val="1"/>
                <w:shd w:val="solid" w:color="000000" w:fill="000000"/>
                <w:fitText w:val="324" w:id="-632582141"/>
                <w14:textFill>
                  <w14:solidFill>
                    <w14:schemeClr w14:val="tx1">
                      <w14:alpha w14:val="100000"/>
                    </w14:schemeClr>
                  </w14:solidFill>
                </w14:textFill>
              </w:rPr>
              <w:t>|</w:t>
            </w:r>
            <w:r w:rsidR="00076E9F" w:rsidRPr="00721BCB">
              <w:rPr>
                <w:color w:val="000000" w:themeColor="text1"/>
                <w:vertAlign w:val="superscript"/>
              </w:rPr>
              <w:t>2</w:t>
            </w:r>
          </w:p>
        </w:tc>
        <w:tc>
          <w:tcPr>
            <w:tcW w:w="782" w:type="pct"/>
            <w:vAlign w:val="center"/>
          </w:tcPr>
          <w:p w14:paraId="078EC90A" w14:textId="3B2EE3EF" w:rsidR="00D70349" w:rsidRPr="00025E84" w:rsidRDefault="00E65ACC" w:rsidP="00275206">
            <w:pPr>
              <w:pStyle w:val="TableText0"/>
              <w:keepLines/>
              <w:jc w:val="right"/>
              <w:rPr>
                <w:color w:val="000000"/>
                <w:highlight w:val="darkGray"/>
              </w:rPr>
            </w:pPr>
            <w:r w:rsidRPr="00E65ACC">
              <w:rPr>
                <w:color w:val="000000" w:themeColor="text1"/>
                <w:spacing w:val="53"/>
                <w:shd w:val="solid" w:color="000000" w:fill="000000"/>
                <w:fitText w:val="330" w:id="-632582140"/>
                <w14:textFill>
                  <w14:solidFill>
                    <w14:schemeClr w14:val="tx1">
                      <w14:alpha w14:val="100000"/>
                    </w14:schemeClr>
                  </w14:solidFill>
                </w14:textFill>
              </w:rPr>
              <w:t>|||</w:t>
            </w:r>
            <w:r w:rsidRPr="00E65ACC">
              <w:rPr>
                <w:color w:val="000000" w:themeColor="text1"/>
                <w:spacing w:val="1"/>
                <w:shd w:val="solid" w:color="000000" w:fill="000000"/>
                <w:fitText w:val="330" w:id="-632582140"/>
                <w14:textFill>
                  <w14:solidFill>
                    <w14:schemeClr w14:val="tx1">
                      <w14:alpha w14:val="100000"/>
                    </w14:schemeClr>
                  </w14:solidFill>
                </w14:textFill>
              </w:rPr>
              <w:t>|</w:t>
            </w:r>
            <w:r w:rsidR="00076E9F" w:rsidRPr="00025E84">
              <w:rPr>
                <w:color w:val="000000" w:themeColor="text1"/>
                <w:vertAlign w:val="superscript"/>
              </w:rPr>
              <w:t>3</w:t>
            </w:r>
          </w:p>
        </w:tc>
        <w:tc>
          <w:tcPr>
            <w:tcW w:w="782" w:type="pct"/>
            <w:vAlign w:val="center"/>
          </w:tcPr>
          <w:p w14:paraId="0BC345E6" w14:textId="7C493E12" w:rsidR="00D70349" w:rsidRPr="00025E84" w:rsidRDefault="00E65ACC" w:rsidP="00275206">
            <w:pPr>
              <w:pStyle w:val="TableText0"/>
              <w:keepLines/>
              <w:jc w:val="right"/>
              <w:rPr>
                <w:color w:val="000000"/>
                <w:highlight w:val="darkGray"/>
              </w:rPr>
            </w:pPr>
            <w:r w:rsidRPr="00E65ACC">
              <w:rPr>
                <w:color w:val="000000" w:themeColor="text1"/>
                <w:spacing w:val="53"/>
                <w:shd w:val="solid" w:color="000000" w:fill="000000"/>
                <w:fitText w:val="330" w:id="-632582139"/>
                <w14:textFill>
                  <w14:solidFill>
                    <w14:schemeClr w14:val="tx1">
                      <w14:alpha w14:val="100000"/>
                    </w14:schemeClr>
                  </w14:solidFill>
                </w14:textFill>
              </w:rPr>
              <w:t>|||</w:t>
            </w:r>
            <w:r w:rsidRPr="00E65ACC">
              <w:rPr>
                <w:color w:val="000000" w:themeColor="text1"/>
                <w:spacing w:val="1"/>
                <w:shd w:val="solid" w:color="000000" w:fill="000000"/>
                <w:fitText w:val="330" w:id="-632582139"/>
                <w14:textFill>
                  <w14:solidFill>
                    <w14:schemeClr w14:val="tx1">
                      <w14:alpha w14:val="100000"/>
                    </w14:schemeClr>
                  </w14:solidFill>
                </w14:textFill>
              </w:rPr>
              <w:t>|</w:t>
            </w:r>
            <w:r w:rsidR="00076E9F" w:rsidRPr="00721BCB">
              <w:rPr>
                <w:color w:val="000000" w:themeColor="text1"/>
                <w:vertAlign w:val="superscript"/>
              </w:rPr>
              <w:t>3</w:t>
            </w:r>
          </w:p>
        </w:tc>
      </w:tr>
      <w:tr w:rsidR="000C1AFF" w:rsidRPr="00A6439B" w14:paraId="046AEB1E" w14:textId="77777777" w:rsidTr="004250F7">
        <w:trPr>
          <w:cantSplit/>
          <w:jc w:val="center"/>
        </w:trPr>
        <w:tc>
          <w:tcPr>
            <w:tcW w:w="5000" w:type="pct"/>
            <w:gridSpan w:val="7"/>
            <w:vAlign w:val="center"/>
          </w:tcPr>
          <w:p w14:paraId="750CBAE5" w14:textId="7B31B59F" w:rsidR="000C1AFF" w:rsidRPr="00A6439B" w:rsidRDefault="000C1AFF" w:rsidP="00455F2A">
            <w:pPr>
              <w:pStyle w:val="TableText0"/>
              <w:keepLines/>
              <w:rPr>
                <w:b/>
                <w:color w:val="000000"/>
              </w:rPr>
            </w:pPr>
            <w:r w:rsidRPr="00A6439B">
              <w:rPr>
                <w:b/>
                <w:color w:val="000000"/>
              </w:rPr>
              <w:t xml:space="preserve">Estimated financial implications of </w:t>
            </w:r>
            <w:r w:rsidR="004F4C82" w:rsidRPr="00D858D2">
              <w:rPr>
                <w:b/>
                <w:bCs w:val="0"/>
              </w:rPr>
              <w:t>Methadone-AFT 5mg</w:t>
            </w:r>
          </w:p>
        </w:tc>
      </w:tr>
      <w:tr w:rsidR="000C1AFF" w:rsidRPr="00A6439B" w14:paraId="3993658E" w14:textId="77777777" w:rsidTr="004250F7">
        <w:trPr>
          <w:cantSplit/>
          <w:trHeight w:val="300"/>
          <w:jc w:val="center"/>
        </w:trPr>
        <w:tc>
          <w:tcPr>
            <w:tcW w:w="511" w:type="pct"/>
            <w:vAlign w:val="center"/>
          </w:tcPr>
          <w:p w14:paraId="375802A8" w14:textId="5DC6E54E" w:rsidR="000C1AFF" w:rsidRPr="00A6439B" w:rsidRDefault="000C1AFF" w:rsidP="001C20E1">
            <w:pPr>
              <w:pStyle w:val="TableText0"/>
              <w:keepLines/>
            </w:pPr>
            <w:r w:rsidRPr="00A6439B" w:rsidDel="00942C56">
              <w:t>Cost to PBS/RPBS less co-payment</w:t>
            </w:r>
          </w:p>
        </w:tc>
        <w:tc>
          <w:tcPr>
            <w:tcW w:w="731" w:type="pct"/>
            <w:vAlign w:val="center"/>
          </w:tcPr>
          <w:p w14:paraId="466AAD3D" w14:textId="61CE5639" w:rsidR="000C1AFF" w:rsidRPr="00025E84" w:rsidRDefault="00E65ACC" w:rsidP="00275206">
            <w:pPr>
              <w:pStyle w:val="TableText0"/>
              <w:keepLines/>
              <w:jc w:val="right"/>
              <w:rPr>
                <w:color w:val="000000"/>
                <w:highlight w:val="darkGray"/>
              </w:rPr>
            </w:pPr>
            <w:r w:rsidRPr="00E65ACC">
              <w:rPr>
                <w:color w:val="000000"/>
                <w:spacing w:val="51"/>
                <w:shd w:val="solid" w:color="000000" w:fill="000000"/>
                <w:fitText w:val="324" w:id="-632582138"/>
                <w14:textFill>
                  <w14:solidFill>
                    <w14:srgbClr w14:val="000000">
                      <w14:alpha w14:val="100000"/>
                    </w14:srgbClr>
                  </w14:solidFill>
                </w14:textFill>
              </w:rPr>
              <w:t>|||</w:t>
            </w:r>
            <w:r w:rsidRPr="00E65ACC">
              <w:rPr>
                <w:color w:val="000000"/>
                <w:spacing w:val="1"/>
                <w:shd w:val="solid" w:color="000000" w:fill="000000"/>
                <w:fitText w:val="324" w:id="-632582138"/>
                <w14:textFill>
                  <w14:solidFill>
                    <w14:srgbClr w14:val="000000">
                      <w14:alpha w14:val="100000"/>
                    </w14:srgbClr>
                  </w14:solidFill>
                </w14:textFill>
              </w:rPr>
              <w:t>|</w:t>
            </w:r>
            <w:r w:rsidR="00D517B3" w:rsidRPr="00025E84">
              <w:rPr>
                <w:color w:val="000000"/>
                <w:vertAlign w:val="superscript"/>
              </w:rPr>
              <w:t>4</w:t>
            </w:r>
          </w:p>
        </w:tc>
        <w:tc>
          <w:tcPr>
            <w:tcW w:w="731" w:type="pct"/>
            <w:vAlign w:val="center"/>
          </w:tcPr>
          <w:p w14:paraId="0584DE92" w14:textId="3BB33EE2" w:rsidR="000C1AFF" w:rsidRPr="00025E84" w:rsidRDefault="00E65ACC" w:rsidP="00275206">
            <w:pPr>
              <w:pStyle w:val="TableText0"/>
              <w:keepLines/>
              <w:jc w:val="right"/>
              <w:rPr>
                <w:color w:val="000000"/>
                <w:highlight w:val="darkGray"/>
              </w:rPr>
            </w:pPr>
            <w:r w:rsidRPr="00E65ACC">
              <w:rPr>
                <w:color w:val="000000"/>
                <w:spacing w:val="51"/>
                <w:shd w:val="solid" w:color="000000" w:fill="000000"/>
                <w:fitText w:val="324" w:id="-632582137"/>
                <w14:textFill>
                  <w14:solidFill>
                    <w14:srgbClr w14:val="000000">
                      <w14:alpha w14:val="100000"/>
                    </w14:srgbClr>
                  </w14:solidFill>
                </w14:textFill>
              </w:rPr>
              <w:t>|||</w:t>
            </w:r>
            <w:r w:rsidRPr="00E65ACC">
              <w:rPr>
                <w:color w:val="000000"/>
                <w:spacing w:val="1"/>
                <w:shd w:val="solid" w:color="000000" w:fill="000000"/>
                <w:fitText w:val="324" w:id="-632582137"/>
                <w14:textFill>
                  <w14:solidFill>
                    <w14:srgbClr w14:val="000000">
                      <w14:alpha w14:val="100000"/>
                    </w14:srgbClr>
                  </w14:solidFill>
                </w14:textFill>
              </w:rPr>
              <w:t>|</w:t>
            </w:r>
            <w:r w:rsidR="00D517B3" w:rsidRPr="00721BCB">
              <w:rPr>
                <w:color w:val="000000"/>
                <w:vertAlign w:val="superscript"/>
              </w:rPr>
              <w:t>4</w:t>
            </w:r>
          </w:p>
        </w:tc>
        <w:tc>
          <w:tcPr>
            <w:tcW w:w="731" w:type="pct"/>
            <w:vAlign w:val="center"/>
          </w:tcPr>
          <w:p w14:paraId="555B3F9C" w14:textId="49148B8F" w:rsidR="000C1AFF" w:rsidRPr="00025E84" w:rsidRDefault="00E65ACC" w:rsidP="00275206">
            <w:pPr>
              <w:pStyle w:val="TableText0"/>
              <w:keepLines/>
              <w:jc w:val="right"/>
              <w:rPr>
                <w:color w:val="000000"/>
                <w:highlight w:val="darkGray"/>
              </w:rPr>
            </w:pPr>
            <w:r w:rsidRPr="007C3806">
              <w:rPr>
                <w:color w:val="000000"/>
                <w:spacing w:val="51"/>
                <w:shd w:val="solid" w:color="000000" w:fill="000000"/>
                <w:fitText w:val="324" w:id="-632582136"/>
                <w14:textFill>
                  <w14:solidFill>
                    <w14:srgbClr w14:val="000000">
                      <w14:alpha w14:val="100000"/>
                    </w14:srgbClr>
                  </w14:solidFill>
                </w14:textFill>
              </w:rPr>
              <w:t>|||</w:t>
            </w:r>
            <w:r w:rsidRPr="007C3806">
              <w:rPr>
                <w:color w:val="000000"/>
                <w:spacing w:val="1"/>
                <w:shd w:val="solid" w:color="000000" w:fill="000000"/>
                <w:fitText w:val="324" w:id="-632582136"/>
                <w14:textFill>
                  <w14:solidFill>
                    <w14:srgbClr w14:val="000000">
                      <w14:alpha w14:val="100000"/>
                    </w14:srgbClr>
                  </w14:solidFill>
                </w14:textFill>
              </w:rPr>
              <w:t>|</w:t>
            </w:r>
            <w:r w:rsidR="00D517B3" w:rsidRPr="00721BCB">
              <w:rPr>
                <w:color w:val="000000"/>
                <w:vertAlign w:val="superscript"/>
              </w:rPr>
              <w:t>4</w:t>
            </w:r>
          </w:p>
        </w:tc>
        <w:tc>
          <w:tcPr>
            <w:tcW w:w="731" w:type="pct"/>
            <w:vAlign w:val="center"/>
          </w:tcPr>
          <w:p w14:paraId="28A422D5" w14:textId="1D81137E" w:rsidR="000C1AFF" w:rsidRPr="00025E84" w:rsidRDefault="00E65ACC" w:rsidP="00275206">
            <w:pPr>
              <w:pStyle w:val="TableText0"/>
              <w:keepLines/>
              <w:jc w:val="right"/>
              <w:rPr>
                <w:color w:val="000000"/>
                <w:highlight w:val="darkGray"/>
              </w:rPr>
            </w:pPr>
            <w:r w:rsidRPr="00E65ACC">
              <w:rPr>
                <w:color w:val="000000"/>
                <w:spacing w:val="51"/>
                <w:shd w:val="solid" w:color="000000" w:fill="000000"/>
                <w:fitText w:val="324" w:id="-632582135"/>
                <w14:textFill>
                  <w14:solidFill>
                    <w14:srgbClr w14:val="000000">
                      <w14:alpha w14:val="100000"/>
                    </w14:srgbClr>
                  </w14:solidFill>
                </w14:textFill>
              </w:rPr>
              <w:t>|||</w:t>
            </w:r>
            <w:r w:rsidRPr="00E65ACC">
              <w:rPr>
                <w:color w:val="000000"/>
                <w:spacing w:val="1"/>
                <w:shd w:val="solid" w:color="000000" w:fill="000000"/>
                <w:fitText w:val="324" w:id="-632582135"/>
                <w14:textFill>
                  <w14:solidFill>
                    <w14:srgbClr w14:val="000000">
                      <w14:alpha w14:val="100000"/>
                    </w14:srgbClr>
                  </w14:solidFill>
                </w14:textFill>
              </w:rPr>
              <w:t>|</w:t>
            </w:r>
            <w:r w:rsidR="00D517B3" w:rsidRPr="00721BCB">
              <w:rPr>
                <w:color w:val="000000"/>
                <w:vertAlign w:val="superscript"/>
              </w:rPr>
              <w:t>4</w:t>
            </w:r>
          </w:p>
        </w:tc>
        <w:tc>
          <w:tcPr>
            <w:tcW w:w="782" w:type="pct"/>
            <w:vAlign w:val="center"/>
          </w:tcPr>
          <w:p w14:paraId="3BD91315" w14:textId="213037D3" w:rsidR="000C1AFF" w:rsidRPr="00025E84" w:rsidRDefault="00E65ACC" w:rsidP="00275206">
            <w:pPr>
              <w:pStyle w:val="TableText0"/>
              <w:keepLines/>
              <w:jc w:val="right"/>
              <w:rPr>
                <w:color w:val="000000"/>
                <w:highlight w:val="darkGray"/>
              </w:rPr>
            </w:pPr>
            <w:r w:rsidRPr="00E65ACC">
              <w:rPr>
                <w:color w:val="000000"/>
                <w:spacing w:val="53"/>
                <w:shd w:val="solid" w:color="000000" w:fill="000000"/>
                <w:fitText w:val="330" w:id="-632582134"/>
                <w14:textFill>
                  <w14:solidFill>
                    <w14:srgbClr w14:val="000000">
                      <w14:alpha w14:val="100000"/>
                    </w14:srgbClr>
                  </w14:solidFill>
                </w14:textFill>
              </w:rPr>
              <w:t>|||</w:t>
            </w:r>
            <w:r w:rsidRPr="00E65ACC">
              <w:rPr>
                <w:color w:val="000000"/>
                <w:spacing w:val="1"/>
                <w:shd w:val="solid" w:color="000000" w:fill="000000"/>
                <w:fitText w:val="330" w:id="-632582134"/>
                <w14:textFill>
                  <w14:solidFill>
                    <w14:srgbClr w14:val="000000">
                      <w14:alpha w14:val="100000"/>
                    </w14:srgbClr>
                  </w14:solidFill>
                </w14:textFill>
              </w:rPr>
              <w:t>|</w:t>
            </w:r>
            <w:r w:rsidR="00D517B3" w:rsidRPr="00721BCB">
              <w:rPr>
                <w:color w:val="000000"/>
                <w:vertAlign w:val="superscript"/>
              </w:rPr>
              <w:t>4</w:t>
            </w:r>
          </w:p>
        </w:tc>
        <w:tc>
          <w:tcPr>
            <w:tcW w:w="782" w:type="pct"/>
            <w:vAlign w:val="center"/>
          </w:tcPr>
          <w:p w14:paraId="11BDCDF8" w14:textId="4B4BCCC1" w:rsidR="000C1AFF" w:rsidRPr="00025E84" w:rsidRDefault="00E65ACC" w:rsidP="00275206">
            <w:pPr>
              <w:pStyle w:val="TableText0"/>
              <w:keepLines/>
              <w:jc w:val="right"/>
              <w:rPr>
                <w:color w:val="000000"/>
                <w:highlight w:val="darkGray"/>
              </w:rPr>
            </w:pPr>
            <w:r w:rsidRPr="00E65ACC">
              <w:rPr>
                <w:color w:val="000000"/>
                <w:spacing w:val="53"/>
                <w:shd w:val="solid" w:color="000000" w:fill="000000"/>
                <w:fitText w:val="330" w:id="-632582133"/>
                <w14:textFill>
                  <w14:solidFill>
                    <w14:srgbClr w14:val="000000">
                      <w14:alpha w14:val="100000"/>
                    </w14:srgbClr>
                  </w14:solidFill>
                </w14:textFill>
              </w:rPr>
              <w:t>|||</w:t>
            </w:r>
            <w:r w:rsidRPr="00E65ACC">
              <w:rPr>
                <w:color w:val="000000"/>
                <w:spacing w:val="1"/>
                <w:shd w:val="solid" w:color="000000" w:fill="000000"/>
                <w:fitText w:val="330" w:id="-632582133"/>
                <w14:textFill>
                  <w14:solidFill>
                    <w14:srgbClr w14:val="000000">
                      <w14:alpha w14:val="100000"/>
                    </w14:srgbClr>
                  </w14:solidFill>
                </w14:textFill>
              </w:rPr>
              <w:t>|</w:t>
            </w:r>
            <w:r w:rsidR="00D517B3" w:rsidRPr="00721BCB">
              <w:rPr>
                <w:color w:val="000000"/>
                <w:vertAlign w:val="superscript"/>
              </w:rPr>
              <w:t>4</w:t>
            </w:r>
          </w:p>
        </w:tc>
      </w:tr>
      <w:tr w:rsidR="005641E1" w:rsidRPr="00A6439B" w14:paraId="53111359" w14:textId="77777777" w:rsidTr="004250F7">
        <w:trPr>
          <w:cantSplit/>
          <w:jc w:val="center"/>
        </w:trPr>
        <w:tc>
          <w:tcPr>
            <w:tcW w:w="5000" w:type="pct"/>
            <w:gridSpan w:val="7"/>
            <w:vAlign w:val="center"/>
          </w:tcPr>
          <w:p w14:paraId="53C1F642" w14:textId="4535BF15" w:rsidR="005641E1" w:rsidRDefault="005641E1" w:rsidP="005641E1">
            <w:pPr>
              <w:pStyle w:val="TableText0"/>
              <w:keepLines/>
              <w:rPr>
                <w:color w:val="000000"/>
              </w:rPr>
            </w:pPr>
            <w:r w:rsidRPr="00A6439B">
              <w:rPr>
                <w:b/>
                <w:color w:val="000000"/>
              </w:rPr>
              <w:t xml:space="preserve">Estimated financial implications of </w:t>
            </w:r>
            <w:r w:rsidDel="00E9471E">
              <w:rPr>
                <w:b/>
                <w:color w:val="000000"/>
              </w:rPr>
              <w:t>methadone 10 mg tablet</w:t>
            </w:r>
            <w:r w:rsidRPr="00A6439B" w:rsidDel="00E9471E">
              <w:rPr>
                <w:b/>
                <w:color w:val="000000"/>
              </w:rPr>
              <w:t xml:space="preserve"> </w:t>
            </w:r>
          </w:p>
        </w:tc>
      </w:tr>
      <w:tr w:rsidR="00E9471E" w:rsidRPr="00A6439B" w14:paraId="23FFCE20" w14:textId="77777777" w:rsidTr="004250F7">
        <w:trPr>
          <w:cantSplit/>
          <w:trHeight w:val="300"/>
          <w:jc w:val="center"/>
        </w:trPr>
        <w:tc>
          <w:tcPr>
            <w:tcW w:w="511" w:type="pct"/>
            <w:vAlign w:val="center"/>
          </w:tcPr>
          <w:p w14:paraId="3AD8803A" w14:textId="49D1942A" w:rsidR="00E9471E" w:rsidRPr="00A6439B" w:rsidRDefault="276E09A5" w:rsidP="00E9471E">
            <w:pPr>
              <w:pStyle w:val="TableText0"/>
              <w:keepLines/>
            </w:pPr>
            <w:r>
              <w:t>Cost to PBS/RPBS less co-payment</w:t>
            </w:r>
          </w:p>
        </w:tc>
        <w:tc>
          <w:tcPr>
            <w:tcW w:w="731" w:type="pct"/>
            <w:vAlign w:val="center"/>
          </w:tcPr>
          <w:p w14:paraId="1EBBFDE0" w14:textId="15D0F7AF" w:rsidR="00E9471E" w:rsidRPr="00025E84" w:rsidRDefault="00E65ACC" w:rsidP="00275206">
            <w:pPr>
              <w:pStyle w:val="TableText0"/>
              <w:jc w:val="right"/>
              <w:rPr>
                <w:highlight w:val="darkGray"/>
              </w:rPr>
            </w:pPr>
            <w:r w:rsidRPr="00E65ACC">
              <w:rPr>
                <w:color w:val="000000"/>
                <w:spacing w:val="51"/>
                <w:shd w:val="solid" w:color="000000" w:fill="000000"/>
                <w:fitText w:val="324" w:id="-632582132"/>
                <w14:textFill>
                  <w14:solidFill>
                    <w14:srgbClr w14:val="000000">
                      <w14:alpha w14:val="100000"/>
                    </w14:srgbClr>
                  </w14:solidFill>
                </w14:textFill>
              </w:rPr>
              <w:t>|||</w:t>
            </w:r>
            <w:r w:rsidRPr="00E65ACC">
              <w:rPr>
                <w:color w:val="000000"/>
                <w:spacing w:val="1"/>
                <w:shd w:val="solid" w:color="000000" w:fill="000000"/>
                <w:fitText w:val="324" w:id="-632582132"/>
                <w14:textFill>
                  <w14:solidFill>
                    <w14:srgbClr w14:val="000000">
                      <w14:alpha w14:val="100000"/>
                    </w14:srgbClr>
                  </w14:solidFill>
                </w14:textFill>
              </w:rPr>
              <w:t>|</w:t>
            </w:r>
            <w:r w:rsidR="00D517B3" w:rsidRPr="00025E84">
              <w:rPr>
                <w:vertAlign w:val="superscript"/>
              </w:rPr>
              <w:t>5</w:t>
            </w:r>
          </w:p>
        </w:tc>
        <w:tc>
          <w:tcPr>
            <w:tcW w:w="731" w:type="pct"/>
            <w:vAlign w:val="center"/>
          </w:tcPr>
          <w:p w14:paraId="2D0734D2" w14:textId="56E18BAE" w:rsidR="00E9471E" w:rsidRPr="00025E84" w:rsidRDefault="00E65ACC" w:rsidP="00275206">
            <w:pPr>
              <w:pStyle w:val="TableText0"/>
              <w:jc w:val="right"/>
              <w:rPr>
                <w:highlight w:val="darkGray"/>
              </w:rPr>
            </w:pPr>
            <w:r w:rsidRPr="00E65ACC">
              <w:rPr>
                <w:color w:val="000000"/>
                <w:spacing w:val="51"/>
                <w:shd w:val="solid" w:color="000000" w:fill="000000"/>
                <w:fitText w:val="324" w:id="-632582131"/>
                <w14:textFill>
                  <w14:solidFill>
                    <w14:srgbClr w14:val="000000">
                      <w14:alpha w14:val="100000"/>
                    </w14:srgbClr>
                  </w14:solidFill>
                </w14:textFill>
              </w:rPr>
              <w:t>|||</w:t>
            </w:r>
            <w:r w:rsidRPr="00E65ACC">
              <w:rPr>
                <w:color w:val="000000"/>
                <w:spacing w:val="1"/>
                <w:shd w:val="solid" w:color="000000" w:fill="000000"/>
                <w:fitText w:val="324" w:id="-632582131"/>
                <w14:textFill>
                  <w14:solidFill>
                    <w14:srgbClr w14:val="000000">
                      <w14:alpha w14:val="100000"/>
                    </w14:srgbClr>
                  </w14:solidFill>
                </w14:textFill>
              </w:rPr>
              <w:t>|</w:t>
            </w:r>
            <w:r w:rsidR="00D517B3" w:rsidRPr="00721BCB">
              <w:rPr>
                <w:vertAlign w:val="superscript"/>
              </w:rPr>
              <w:t>5</w:t>
            </w:r>
          </w:p>
        </w:tc>
        <w:tc>
          <w:tcPr>
            <w:tcW w:w="731" w:type="pct"/>
            <w:vAlign w:val="center"/>
          </w:tcPr>
          <w:p w14:paraId="088229D8" w14:textId="4051EF0F" w:rsidR="00E9471E" w:rsidRPr="00025E84" w:rsidRDefault="00E65ACC" w:rsidP="00275206">
            <w:pPr>
              <w:pStyle w:val="TableText0"/>
              <w:jc w:val="right"/>
              <w:rPr>
                <w:highlight w:val="darkGray"/>
              </w:rPr>
            </w:pPr>
            <w:r w:rsidRPr="00E65ACC">
              <w:rPr>
                <w:color w:val="000000"/>
                <w:spacing w:val="51"/>
                <w:shd w:val="solid" w:color="000000" w:fill="000000"/>
                <w:fitText w:val="324" w:id="-632582130"/>
                <w14:textFill>
                  <w14:solidFill>
                    <w14:srgbClr w14:val="000000">
                      <w14:alpha w14:val="100000"/>
                    </w14:srgbClr>
                  </w14:solidFill>
                </w14:textFill>
              </w:rPr>
              <w:t>|||</w:t>
            </w:r>
            <w:r w:rsidRPr="00E65ACC">
              <w:rPr>
                <w:color w:val="000000"/>
                <w:spacing w:val="1"/>
                <w:shd w:val="solid" w:color="000000" w:fill="000000"/>
                <w:fitText w:val="324" w:id="-632582130"/>
                <w14:textFill>
                  <w14:solidFill>
                    <w14:srgbClr w14:val="000000">
                      <w14:alpha w14:val="100000"/>
                    </w14:srgbClr>
                  </w14:solidFill>
                </w14:textFill>
              </w:rPr>
              <w:t>|</w:t>
            </w:r>
            <w:r w:rsidR="00D517B3" w:rsidRPr="00721BCB">
              <w:rPr>
                <w:vertAlign w:val="superscript"/>
              </w:rPr>
              <w:t>5</w:t>
            </w:r>
          </w:p>
        </w:tc>
        <w:tc>
          <w:tcPr>
            <w:tcW w:w="731" w:type="pct"/>
            <w:vAlign w:val="center"/>
          </w:tcPr>
          <w:p w14:paraId="048BF6E0" w14:textId="6D33B23B" w:rsidR="00E9471E" w:rsidRPr="00025E84" w:rsidRDefault="00E65ACC" w:rsidP="00275206">
            <w:pPr>
              <w:pStyle w:val="TableText0"/>
              <w:jc w:val="right"/>
              <w:rPr>
                <w:highlight w:val="darkGray"/>
              </w:rPr>
            </w:pPr>
            <w:r w:rsidRPr="00E65ACC">
              <w:rPr>
                <w:color w:val="000000"/>
                <w:spacing w:val="51"/>
                <w:shd w:val="solid" w:color="000000" w:fill="000000"/>
                <w:fitText w:val="324" w:id="-632582129"/>
                <w14:textFill>
                  <w14:solidFill>
                    <w14:srgbClr w14:val="000000">
                      <w14:alpha w14:val="100000"/>
                    </w14:srgbClr>
                  </w14:solidFill>
                </w14:textFill>
              </w:rPr>
              <w:t>|||</w:t>
            </w:r>
            <w:r w:rsidRPr="00E65ACC">
              <w:rPr>
                <w:color w:val="000000"/>
                <w:spacing w:val="1"/>
                <w:shd w:val="solid" w:color="000000" w:fill="000000"/>
                <w:fitText w:val="324" w:id="-632582129"/>
                <w14:textFill>
                  <w14:solidFill>
                    <w14:srgbClr w14:val="000000">
                      <w14:alpha w14:val="100000"/>
                    </w14:srgbClr>
                  </w14:solidFill>
                </w14:textFill>
              </w:rPr>
              <w:t>|</w:t>
            </w:r>
            <w:r w:rsidR="00D517B3" w:rsidRPr="00721BCB">
              <w:rPr>
                <w:vertAlign w:val="superscript"/>
              </w:rPr>
              <w:t>5</w:t>
            </w:r>
          </w:p>
        </w:tc>
        <w:tc>
          <w:tcPr>
            <w:tcW w:w="782" w:type="pct"/>
            <w:vAlign w:val="center"/>
          </w:tcPr>
          <w:p w14:paraId="088A93B8" w14:textId="488E3B5F" w:rsidR="00E9471E" w:rsidRPr="00025E84" w:rsidRDefault="00E65ACC" w:rsidP="00275206">
            <w:pPr>
              <w:pStyle w:val="TableText0"/>
              <w:jc w:val="right"/>
              <w:rPr>
                <w:highlight w:val="darkGray"/>
              </w:rPr>
            </w:pPr>
            <w:r w:rsidRPr="00E65ACC">
              <w:rPr>
                <w:color w:val="000000"/>
                <w:spacing w:val="53"/>
                <w:shd w:val="solid" w:color="000000" w:fill="000000"/>
                <w:fitText w:val="330" w:id="-632582128"/>
                <w14:textFill>
                  <w14:solidFill>
                    <w14:srgbClr w14:val="000000">
                      <w14:alpha w14:val="100000"/>
                    </w14:srgbClr>
                  </w14:solidFill>
                </w14:textFill>
              </w:rPr>
              <w:t>|||</w:t>
            </w:r>
            <w:r w:rsidRPr="00E65ACC">
              <w:rPr>
                <w:color w:val="000000"/>
                <w:spacing w:val="1"/>
                <w:shd w:val="solid" w:color="000000" w:fill="000000"/>
                <w:fitText w:val="330" w:id="-632582128"/>
                <w14:textFill>
                  <w14:solidFill>
                    <w14:srgbClr w14:val="000000">
                      <w14:alpha w14:val="100000"/>
                    </w14:srgbClr>
                  </w14:solidFill>
                </w14:textFill>
              </w:rPr>
              <w:t>|</w:t>
            </w:r>
            <w:r w:rsidR="00D517B3" w:rsidRPr="00721BCB">
              <w:rPr>
                <w:vertAlign w:val="superscript"/>
              </w:rPr>
              <w:t>5</w:t>
            </w:r>
          </w:p>
        </w:tc>
        <w:tc>
          <w:tcPr>
            <w:tcW w:w="782" w:type="pct"/>
            <w:vAlign w:val="center"/>
          </w:tcPr>
          <w:p w14:paraId="4751B0FE" w14:textId="201FEB38" w:rsidR="00E9471E" w:rsidRPr="00025E84" w:rsidRDefault="00E65ACC" w:rsidP="00275206">
            <w:pPr>
              <w:pStyle w:val="TableText0"/>
              <w:keepLines/>
              <w:jc w:val="right"/>
              <w:rPr>
                <w:highlight w:val="darkGray"/>
              </w:rPr>
            </w:pPr>
            <w:r w:rsidRPr="00E65ACC">
              <w:rPr>
                <w:color w:val="000000"/>
                <w:spacing w:val="53"/>
                <w:shd w:val="solid" w:color="000000" w:fill="000000"/>
                <w:fitText w:val="330" w:id="-632582144"/>
                <w14:textFill>
                  <w14:solidFill>
                    <w14:srgbClr w14:val="000000">
                      <w14:alpha w14:val="100000"/>
                    </w14:srgbClr>
                  </w14:solidFill>
                </w14:textFill>
              </w:rPr>
              <w:t>|||</w:t>
            </w:r>
            <w:r w:rsidRPr="00E65ACC">
              <w:rPr>
                <w:color w:val="000000"/>
                <w:spacing w:val="1"/>
                <w:shd w:val="solid" w:color="000000" w:fill="000000"/>
                <w:fitText w:val="330" w:id="-632582144"/>
                <w14:textFill>
                  <w14:solidFill>
                    <w14:srgbClr w14:val="000000">
                      <w14:alpha w14:val="100000"/>
                    </w14:srgbClr>
                  </w14:solidFill>
                </w14:textFill>
              </w:rPr>
              <w:t>|</w:t>
            </w:r>
            <w:r w:rsidR="00D517B3" w:rsidRPr="00721BCB">
              <w:rPr>
                <w:vertAlign w:val="superscript"/>
              </w:rPr>
              <w:t>5</w:t>
            </w:r>
          </w:p>
        </w:tc>
      </w:tr>
      <w:tr w:rsidR="00E9471E" w:rsidRPr="00A6439B" w14:paraId="142E20D2" w14:textId="77777777" w:rsidTr="004250F7">
        <w:trPr>
          <w:cantSplit/>
          <w:jc w:val="center"/>
        </w:trPr>
        <w:tc>
          <w:tcPr>
            <w:tcW w:w="5000" w:type="pct"/>
            <w:gridSpan w:val="7"/>
            <w:vAlign w:val="center"/>
          </w:tcPr>
          <w:p w14:paraId="66924356" w14:textId="396B98DA" w:rsidR="00E9471E" w:rsidRDefault="00E9471E" w:rsidP="00E9471E">
            <w:pPr>
              <w:pStyle w:val="TableText0"/>
              <w:keepLines/>
              <w:rPr>
                <w:color w:val="000000"/>
              </w:rPr>
            </w:pPr>
            <w:r w:rsidRPr="00A6439B">
              <w:rPr>
                <w:b/>
                <w:bCs w:val="0"/>
                <w:color w:val="000000"/>
              </w:rPr>
              <w:t>Net financial implications</w:t>
            </w:r>
          </w:p>
        </w:tc>
      </w:tr>
      <w:tr w:rsidR="00E9471E" w:rsidRPr="00A6439B" w14:paraId="39CD29CF" w14:textId="77777777" w:rsidTr="004250F7">
        <w:trPr>
          <w:cantSplit/>
          <w:trHeight w:val="300"/>
          <w:jc w:val="center"/>
        </w:trPr>
        <w:tc>
          <w:tcPr>
            <w:tcW w:w="511" w:type="pct"/>
            <w:vAlign w:val="center"/>
          </w:tcPr>
          <w:p w14:paraId="54CB1AFD" w14:textId="0EC9AEC3" w:rsidR="00E9471E" w:rsidRPr="00A6439B" w:rsidRDefault="00E9471E" w:rsidP="00E9471E">
            <w:pPr>
              <w:pStyle w:val="TableText0"/>
              <w:keepLines/>
              <w:rPr>
                <w:b/>
                <w:bCs w:val="0"/>
                <w:color w:val="000000"/>
              </w:rPr>
            </w:pPr>
            <w:r w:rsidRPr="00A6439B">
              <w:t>Net cost to PBS/RPBS</w:t>
            </w:r>
          </w:p>
        </w:tc>
        <w:tc>
          <w:tcPr>
            <w:tcW w:w="731" w:type="pct"/>
            <w:vAlign w:val="center"/>
          </w:tcPr>
          <w:p w14:paraId="0ED73E4B" w14:textId="5DD509D8" w:rsidR="00E9471E" w:rsidRPr="00025E84" w:rsidRDefault="00E65ACC" w:rsidP="00275206">
            <w:pPr>
              <w:pStyle w:val="TableText0"/>
              <w:keepLines/>
              <w:jc w:val="right"/>
              <w:rPr>
                <w:color w:val="000000"/>
                <w:highlight w:val="darkGray"/>
              </w:rPr>
            </w:pPr>
            <w:r w:rsidRPr="00E65ACC">
              <w:rPr>
                <w:color w:val="000000"/>
                <w:spacing w:val="51"/>
                <w:shd w:val="solid" w:color="000000" w:fill="000000"/>
                <w:fitText w:val="324" w:id="-632582143"/>
                <w14:textFill>
                  <w14:solidFill>
                    <w14:srgbClr w14:val="000000">
                      <w14:alpha w14:val="100000"/>
                    </w14:srgbClr>
                  </w14:solidFill>
                </w14:textFill>
              </w:rPr>
              <w:t>|||</w:t>
            </w:r>
            <w:r w:rsidRPr="00E65ACC">
              <w:rPr>
                <w:color w:val="000000"/>
                <w:spacing w:val="1"/>
                <w:shd w:val="solid" w:color="000000" w:fill="000000"/>
                <w:fitText w:val="324" w:id="-632582143"/>
                <w14:textFill>
                  <w14:solidFill>
                    <w14:srgbClr w14:val="000000">
                      <w14:alpha w14:val="100000"/>
                    </w14:srgbClr>
                  </w14:solidFill>
                </w14:textFill>
              </w:rPr>
              <w:t>|</w:t>
            </w:r>
            <w:r w:rsidR="00D517B3" w:rsidRPr="00721BCB">
              <w:rPr>
                <w:vertAlign w:val="superscript"/>
              </w:rPr>
              <w:t>5</w:t>
            </w:r>
          </w:p>
        </w:tc>
        <w:tc>
          <w:tcPr>
            <w:tcW w:w="731" w:type="pct"/>
            <w:vAlign w:val="center"/>
          </w:tcPr>
          <w:p w14:paraId="727D89AD" w14:textId="385CBDEF" w:rsidR="00E9471E" w:rsidRPr="00025E84" w:rsidRDefault="00E65ACC" w:rsidP="00275206">
            <w:pPr>
              <w:pStyle w:val="TableText0"/>
              <w:keepLines/>
              <w:jc w:val="right"/>
              <w:rPr>
                <w:color w:val="000000"/>
                <w:highlight w:val="darkGray"/>
              </w:rPr>
            </w:pPr>
            <w:r w:rsidRPr="00E65ACC">
              <w:rPr>
                <w:color w:val="000000"/>
                <w:spacing w:val="51"/>
                <w:shd w:val="solid" w:color="000000" w:fill="000000"/>
                <w:fitText w:val="324" w:id="-632582142"/>
                <w14:textFill>
                  <w14:solidFill>
                    <w14:srgbClr w14:val="000000">
                      <w14:alpha w14:val="100000"/>
                    </w14:srgbClr>
                  </w14:solidFill>
                </w14:textFill>
              </w:rPr>
              <w:t>|||</w:t>
            </w:r>
            <w:r w:rsidRPr="00E65ACC">
              <w:rPr>
                <w:color w:val="000000"/>
                <w:spacing w:val="1"/>
                <w:shd w:val="solid" w:color="000000" w:fill="000000"/>
                <w:fitText w:val="324" w:id="-632582142"/>
                <w14:textFill>
                  <w14:solidFill>
                    <w14:srgbClr w14:val="000000">
                      <w14:alpha w14:val="100000"/>
                    </w14:srgbClr>
                  </w14:solidFill>
                </w14:textFill>
              </w:rPr>
              <w:t>|</w:t>
            </w:r>
            <w:r w:rsidR="00D517B3" w:rsidRPr="00721BCB">
              <w:rPr>
                <w:vertAlign w:val="superscript"/>
              </w:rPr>
              <w:t>5</w:t>
            </w:r>
          </w:p>
        </w:tc>
        <w:tc>
          <w:tcPr>
            <w:tcW w:w="731" w:type="pct"/>
            <w:vAlign w:val="center"/>
          </w:tcPr>
          <w:p w14:paraId="5517A829" w14:textId="5548680B" w:rsidR="00E9471E" w:rsidRPr="00025E84" w:rsidRDefault="00E65ACC" w:rsidP="00275206">
            <w:pPr>
              <w:pStyle w:val="TableText0"/>
              <w:keepLines/>
              <w:jc w:val="right"/>
              <w:rPr>
                <w:color w:val="000000"/>
                <w:highlight w:val="darkGray"/>
              </w:rPr>
            </w:pPr>
            <w:r w:rsidRPr="00E65ACC">
              <w:rPr>
                <w:color w:val="000000"/>
                <w:spacing w:val="51"/>
                <w:shd w:val="solid" w:color="000000" w:fill="000000"/>
                <w:fitText w:val="324" w:id="-632582141"/>
                <w14:textFill>
                  <w14:solidFill>
                    <w14:srgbClr w14:val="000000">
                      <w14:alpha w14:val="100000"/>
                    </w14:srgbClr>
                  </w14:solidFill>
                </w14:textFill>
              </w:rPr>
              <w:t>|||</w:t>
            </w:r>
            <w:r w:rsidRPr="00E65ACC">
              <w:rPr>
                <w:color w:val="000000"/>
                <w:spacing w:val="1"/>
                <w:shd w:val="solid" w:color="000000" w:fill="000000"/>
                <w:fitText w:val="324" w:id="-632582141"/>
                <w14:textFill>
                  <w14:solidFill>
                    <w14:srgbClr w14:val="000000">
                      <w14:alpha w14:val="100000"/>
                    </w14:srgbClr>
                  </w14:solidFill>
                </w14:textFill>
              </w:rPr>
              <w:t>|</w:t>
            </w:r>
            <w:r w:rsidR="00D517B3" w:rsidRPr="00721BCB">
              <w:rPr>
                <w:vertAlign w:val="superscript"/>
              </w:rPr>
              <w:t>5</w:t>
            </w:r>
          </w:p>
        </w:tc>
        <w:tc>
          <w:tcPr>
            <w:tcW w:w="731" w:type="pct"/>
            <w:vAlign w:val="center"/>
          </w:tcPr>
          <w:p w14:paraId="079AFF8B" w14:textId="11E3F75A" w:rsidR="00E9471E" w:rsidRPr="00025E84" w:rsidRDefault="00E65ACC" w:rsidP="00275206">
            <w:pPr>
              <w:pStyle w:val="TableText0"/>
              <w:keepLines/>
              <w:jc w:val="right"/>
              <w:rPr>
                <w:color w:val="000000"/>
                <w:highlight w:val="darkGray"/>
              </w:rPr>
            </w:pPr>
            <w:r w:rsidRPr="00E65ACC">
              <w:rPr>
                <w:color w:val="000000"/>
                <w:spacing w:val="51"/>
                <w:shd w:val="solid" w:color="000000" w:fill="000000"/>
                <w:fitText w:val="324" w:id="-632582140"/>
                <w14:textFill>
                  <w14:solidFill>
                    <w14:srgbClr w14:val="000000">
                      <w14:alpha w14:val="100000"/>
                    </w14:srgbClr>
                  </w14:solidFill>
                </w14:textFill>
              </w:rPr>
              <w:t>|||</w:t>
            </w:r>
            <w:r w:rsidRPr="00E65ACC">
              <w:rPr>
                <w:color w:val="000000"/>
                <w:spacing w:val="1"/>
                <w:shd w:val="solid" w:color="000000" w:fill="000000"/>
                <w:fitText w:val="324" w:id="-632582140"/>
                <w14:textFill>
                  <w14:solidFill>
                    <w14:srgbClr w14:val="000000">
                      <w14:alpha w14:val="100000"/>
                    </w14:srgbClr>
                  </w14:solidFill>
                </w14:textFill>
              </w:rPr>
              <w:t>|</w:t>
            </w:r>
            <w:r w:rsidR="00D517B3" w:rsidRPr="00721BCB">
              <w:rPr>
                <w:vertAlign w:val="superscript"/>
              </w:rPr>
              <w:t>5</w:t>
            </w:r>
          </w:p>
        </w:tc>
        <w:tc>
          <w:tcPr>
            <w:tcW w:w="782" w:type="pct"/>
            <w:vAlign w:val="center"/>
          </w:tcPr>
          <w:p w14:paraId="604A3862" w14:textId="67AC3CC7" w:rsidR="00E9471E" w:rsidRPr="00025E84" w:rsidRDefault="00E65ACC" w:rsidP="00275206">
            <w:pPr>
              <w:pStyle w:val="TableText0"/>
              <w:keepLines/>
              <w:jc w:val="right"/>
              <w:rPr>
                <w:color w:val="000000"/>
                <w:highlight w:val="darkGray"/>
              </w:rPr>
            </w:pPr>
            <w:r w:rsidRPr="00E65ACC">
              <w:rPr>
                <w:color w:val="000000"/>
                <w:spacing w:val="53"/>
                <w:shd w:val="solid" w:color="000000" w:fill="000000"/>
                <w:fitText w:val="330" w:id="-632582139"/>
                <w14:textFill>
                  <w14:solidFill>
                    <w14:srgbClr w14:val="000000">
                      <w14:alpha w14:val="100000"/>
                    </w14:srgbClr>
                  </w14:solidFill>
                </w14:textFill>
              </w:rPr>
              <w:t>|||</w:t>
            </w:r>
            <w:r w:rsidRPr="00E65ACC">
              <w:rPr>
                <w:color w:val="000000"/>
                <w:spacing w:val="1"/>
                <w:shd w:val="solid" w:color="000000" w:fill="000000"/>
                <w:fitText w:val="330" w:id="-632582139"/>
                <w14:textFill>
                  <w14:solidFill>
                    <w14:srgbClr w14:val="000000">
                      <w14:alpha w14:val="100000"/>
                    </w14:srgbClr>
                  </w14:solidFill>
                </w14:textFill>
              </w:rPr>
              <w:t>|</w:t>
            </w:r>
            <w:r w:rsidR="00D517B3" w:rsidRPr="00721BCB">
              <w:rPr>
                <w:vertAlign w:val="superscript"/>
              </w:rPr>
              <w:t>5</w:t>
            </w:r>
          </w:p>
        </w:tc>
        <w:tc>
          <w:tcPr>
            <w:tcW w:w="782" w:type="pct"/>
            <w:vAlign w:val="center"/>
          </w:tcPr>
          <w:p w14:paraId="1A61ECFB" w14:textId="0CAEA423" w:rsidR="00E9471E" w:rsidRPr="00025E84" w:rsidRDefault="00E65ACC" w:rsidP="00275206">
            <w:pPr>
              <w:pStyle w:val="TableText0"/>
              <w:keepLines/>
              <w:jc w:val="right"/>
              <w:rPr>
                <w:color w:val="000000"/>
                <w:highlight w:val="darkGray"/>
              </w:rPr>
            </w:pPr>
            <w:r w:rsidRPr="00E65ACC">
              <w:rPr>
                <w:color w:val="000000"/>
                <w:spacing w:val="53"/>
                <w:shd w:val="solid" w:color="000000" w:fill="000000"/>
                <w:fitText w:val="330" w:id="-632582138"/>
                <w14:textFill>
                  <w14:solidFill>
                    <w14:srgbClr w14:val="000000">
                      <w14:alpha w14:val="100000"/>
                    </w14:srgbClr>
                  </w14:solidFill>
                </w14:textFill>
              </w:rPr>
              <w:t>|||</w:t>
            </w:r>
            <w:r w:rsidRPr="00E65ACC">
              <w:rPr>
                <w:color w:val="000000"/>
                <w:spacing w:val="1"/>
                <w:shd w:val="solid" w:color="000000" w:fill="000000"/>
                <w:fitText w:val="330" w:id="-632582138"/>
                <w14:textFill>
                  <w14:solidFill>
                    <w14:srgbClr w14:val="000000">
                      <w14:alpha w14:val="100000"/>
                    </w14:srgbClr>
                  </w14:solidFill>
                </w14:textFill>
              </w:rPr>
              <w:t>|</w:t>
            </w:r>
            <w:r w:rsidR="00D517B3" w:rsidRPr="00721BCB">
              <w:rPr>
                <w:vertAlign w:val="superscript"/>
              </w:rPr>
              <w:t>5</w:t>
            </w:r>
          </w:p>
        </w:tc>
      </w:tr>
    </w:tbl>
    <w:p w14:paraId="42320224" w14:textId="489B63F4" w:rsidR="00D70349" w:rsidRPr="00A6439B" w:rsidRDefault="00AB4684" w:rsidP="00D70349">
      <w:pPr>
        <w:pStyle w:val="TableFigureFooter"/>
        <w:keepNext/>
        <w:jc w:val="left"/>
      </w:pPr>
      <w:r w:rsidRPr="00A6439B">
        <w:t>Abbreviations: MBS = Medical Benefits Scheme; PBS = Pharmaceutical Benefits Scheme; RPBS = Repatriation Pharmaceutical Benefits Scheme.</w:t>
      </w:r>
    </w:p>
    <w:p w14:paraId="1CB619CC" w14:textId="77777777" w:rsidR="00D06CAE" w:rsidRDefault="00D70349" w:rsidP="00D06CAE">
      <w:pPr>
        <w:pStyle w:val="TableFigureFooter"/>
        <w:keepNext/>
        <w:rPr>
          <w:bCs/>
          <w:sz w:val="20"/>
          <w:szCs w:val="18"/>
        </w:rPr>
      </w:pPr>
      <w:r w:rsidRPr="00A6439B">
        <w:t xml:space="preserve">Source: </w:t>
      </w:r>
      <w:r w:rsidR="0071486A" w:rsidRPr="45AB26B1">
        <w:rPr>
          <w:rStyle w:val="normaltextrun"/>
          <w:rFonts w:cs="Calibri"/>
          <w:color w:val="000000"/>
          <w:shd w:val="clear" w:color="auto" w:fill="FFFFFF"/>
        </w:rPr>
        <w:t>Utilisation and Cost Model Workbook</w:t>
      </w:r>
      <w:r w:rsidR="00CA3203">
        <w:rPr>
          <w:color w:val="FF0000"/>
        </w:rPr>
        <w:t xml:space="preserve"> </w:t>
      </w:r>
      <w:r w:rsidR="006A7BE6" w:rsidRPr="00C67589">
        <w:t>(</w:t>
      </w:r>
      <w:r w:rsidR="00260487" w:rsidRPr="00C67589">
        <w:t xml:space="preserve">Further </w:t>
      </w:r>
      <w:r w:rsidR="00774841" w:rsidRPr="00C67589">
        <w:t xml:space="preserve">updates to the UCM was </w:t>
      </w:r>
      <w:r w:rsidR="00260487" w:rsidRPr="00C67589">
        <w:t>provided by the Department)</w:t>
      </w:r>
      <w:r w:rsidR="00D06CAE" w:rsidRPr="00D06CAE">
        <w:rPr>
          <w:bCs/>
          <w:sz w:val="20"/>
          <w:szCs w:val="18"/>
        </w:rPr>
        <w:t xml:space="preserve"> </w:t>
      </w:r>
    </w:p>
    <w:p w14:paraId="0D753E91" w14:textId="77777777" w:rsidR="00455F2A" w:rsidRDefault="00D06CAE" w:rsidP="00455F2A">
      <w:pPr>
        <w:pStyle w:val="TableFigureFooter"/>
        <w:keepNext/>
        <w:rPr>
          <w:bCs/>
        </w:rPr>
      </w:pPr>
      <w:r w:rsidRPr="00D06CAE">
        <w:rPr>
          <w:bCs/>
        </w:rPr>
        <w:t>The redacted values correspond to the following ranges:</w:t>
      </w:r>
    </w:p>
    <w:p w14:paraId="7703B823" w14:textId="3A348F96" w:rsidR="00455F2A" w:rsidRPr="00455F2A" w:rsidRDefault="00455F2A" w:rsidP="00455F2A">
      <w:pPr>
        <w:pStyle w:val="TableFigureFooter"/>
        <w:keepNext/>
        <w:rPr>
          <w:bCs/>
        </w:rPr>
      </w:pPr>
      <w:r w:rsidRPr="00025E84">
        <w:rPr>
          <w:bCs/>
          <w:vertAlign w:val="superscript"/>
        </w:rPr>
        <w:t>1</w:t>
      </w:r>
      <w:r>
        <w:rPr>
          <w:bCs/>
        </w:rPr>
        <w:t xml:space="preserve"> </w:t>
      </w:r>
      <w:bookmarkStart w:id="12" w:name="_Hlk113629046"/>
      <w:r w:rsidRPr="00455F2A">
        <w:rPr>
          <w:bCs/>
        </w:rPr>
        <w:t>500 to &lt; 5,000</w:t>
      </w:r>
    </w:p>
    <w:bookmarkEnd w:id="12"/>
    <w:p w14:paraId="41A52AE4" w14:textId="64F224C8" w:rsidR="00D06CAE" w:rsidRPr="00D06CAE" w:rsidRDefault="00947A5A" w:rsidP="00D06CAE">
      <w:pPr>
        <w:pStyle w:val="TableFigureFooter"/>
        <w:keepNext/>
      </w:pPr>
      <w:r>
        <w:rPr>
          <w:vertAlign w:val="superscript"/>
        </w:rPr>
        <w:t>2</w:t>
      </w:r>
      <w:r w:rsidR="00D06CAE" w:rsidRPr="00D06CAE">
        <w:t xml:space="preserve"> 5,000 to &lt; 10,000</w:t>
      </w:r>
      <w:r w:rsidR="00D06CAE" w:rsidRPr="00D06CAE">
        <w:rPr>
          <w:vertAlign w:val="superscript"/>
        </w:rPr>
        <w:t>1</w:t>
      </w:r>
      <w:r w:rsidR="00D06CAE" w:rsidRPr="00D06CAE">
        <w:t xml:space="preserve"> </w:t>
      </w:r>
    </w:p>
    <w:p w14:paraId="71B651E3" w14:textId="77777777" w:rsidR="00D517B3" w:rsidRDefault="002521DD" w:rsidP="00D517B3">
      <w:pPr>
        <w:pStyle w:val="TableFigureFooter"/>
        <w:keepNext/>
        <w:rPr>
          <w:rFonts w:cs="Calibri"/>
          <w:color w:val="000000" w:themeColor="text1"/>
        </w:rPr>
      </w:pPr>
      <w:r w:rsidRPr="00025E84">
        <w:rPr>
          <w:rStyle w:val="normaltextrun"/>
          <w:rFonts w:cs="Calibri"/>
          <w:color w:val="000000" w:themeColor="text1"/>
          <w:vertAlign w:val="superscript"/>
        </w:rPr>
        <w:t xml:space="preserve">3 </w:t>
      </w:r>
      <w:r w:rsidRPr="002521DD">
        <w:rPr>
          <w:rFonts w:cs="Calibri"/>
          <w:color w:val="000000" w:themeColor="text1"/>
        </w:rPr>
        <w:t>10,000 to &lt; 20,000</w:t>
      </w:r>
    </w:p>
    <w:p w14:paraId="6D799D61" w14:textId="7B5E8EC8" w:rsidR="00D517B3" w:rsidRPr="00D517B3" w:rsidRDefault="00D517B3" w:rsidP="00D517B3">
      <w:pPr>
        <w:pStyle w:val="TableFigureFooter"/>
        <w:keepNext/>
        <w:rPr>
          <w:rFonts w:cs="Calibri"/>
          <w:color w:val="000000" w:themeColor="text1"/>
        </w:rPr>
      </w:pPr>
      <w:r w:rsidRPr="00025E84">
        <w:rPr>
          <w:rFonts w:cs="Calibri"/>
          <w:color w:val="000000" w:themeColor="text1"/>
          <w:vertAlign w:val="superscript"/>
        </w:rPr>
        <w:t>4</w:t>
      </w:r>
      <w:r>
        <w:rPr>
          <w:rFonts w:cs="Calibri"/>
          <w:color w:val="000000" w:themeColor="text1"/>
        </w:rPr>
        <w:t xml:space="preserve"> </w:t>
      </w:r>
      <w:bookmarkStart w:id="13" w:name="_Hlk113629090"/>
      <w:r w:rsidRPr="00D517B3">
        <w:rPr>
          <w:rFonts w:cs="Calibri"/>
          <w:color w:val="000000" w:themeColor="text1"/>
        </w:rPr>
        <w:t>$0 to &lt; $10 million</w:t>
      </w:r>
    </w:p>
    <w:bookmarkEnd w:id="13"/>
    <w:p w14:paraId="75DC8958" w14:textId="77777777" w:rsidR="00A23C7F" w:rsidRPr="00A23C7F" w:rsidRDefault="00A23C7F" w:rsidP="00A23C7F">
      <w:pPr>
        <w:pStyle w:val="TableFigureFooter"/>
        <w:keepNext/>
        <w:rPr>
          <w:rFonts w:cs="Calibri"/>
          <w:color w:val="000000" w:themeColor="text1"/>
        </w:rPr>
      </w:pPr>
      <w:r w:rsidRPr="00025E84">
        <w:rPr>
          <w:rFonts w:cs="Calibri"/>
          <w:color w:val="000000" w:themeColor="text1"/>
          <w:vertAlign w:val="superscript"/>
        </w:rPr>
        <w:t>5</w:t>
      </w:r>
      <w:r>
        <w:rPr>
          <w:rFonts w:cs="Calibri"/>
          <w:color w:val="000000" w:themeColor="text1"/>
        </w:rPr>
        <w:t xml:space="preserve"> </w:t>
      </w:r>
      <w:bookmarkStart w:id="14" w:name="_Hlk113629082"/>
      <w:r w:rsidRPr="00A23C7F">
        <w:rPr>
          <w:rFonts w:cs="Calibri"/>
          <w:color w:val="000000" w:themeColor="text1"/>
        </w:rPr>
        <w:t>net cost saving</w:t>
      </w:r>
    </w:p>
    <w:bookmarkEnd w:id="14"/>
    <w:p w14:paraId="1D797C52" w14:textId="3BA1DD4C" w:rsidR="006258FD" w:rsidRPr="00F26D80" w:rsidRDefault="006258FD" w:rsidP="006258FD">
      <w:pPr>
        <w:pStyle w:val="3-BodyText"/>
      </w:pPr>
      <w:r w:rsidRPr="00A835B0">
        <w:t>The submission estimated that</w:t>
      </w:r>
      <w:r>
        <w:t xml:space="preserve"> </w:t>
      </w:r>
      <w:r w:rsidRPr="00A835B0" w:rsidDel="003C6108">
        <w:t>44,</w:t>
      </w:r>
      <w:r w:rsidR="003C6108">
        <w:t>55</w:t>
      </w:r>
      <w:r w:rsidR="0064183E">
        <w:t>0</w:t>
      </w:r>
      <w:r w:rsidRPr="00A835B0">
        <w:t xml:space="preserve"> </w:t>
      </w:r>
      <w:r w:rsidRPr="006D1E5E">
        <w:t xml:space="preserve">scripts </w:t>
      </w:r>
      <w:r w:rsidR="005F2FF9">
        <w:t xml:space="preserve">for </w:t>
      </w:r>
      <w:r w:rsidR="005F2FF9" w:rsidRPr="006D1E5E">
        <w:t>Methadone-AFT</w:t>
      </w:r>
      <w:r w:rsidR="005F2FF9" w:rsidRPr="00A835B0">
        <w:t xml:space="preserve"> </w:t>
      </w:r>
      <w:r w:rsidR="00B620AA">
        <w:t xml:space="preserve">5 mg </w:t>
      </w:r>
      <w:r w:rsidRPr="00A835B0">
        <w:t>would be supplied over the first six years of listing (</w:t>
      </w:r>
      <w:r w:rsidR="00FD1290">
        <w:t xml:space="preserve">assuming </w:t>
      </w:r>
      <w:r w:rsidR="00266D27">
        <w:t xml:space="preserve">uptake </w:t>
      </w:r>
      <w:r w:rsidR="004071B8">
        <w:t xml:space="preserve">is </w:t>
      </w:r>
      <w:r w:rsidRPr="00A835B0">
        <w:t>5% in Year 1</w:t>
      </w:r>
      <w:r w:rsidR="004071B8">
        <w:t xml:space="preserve">, increasing to </w:t>
      </w:r>
      <w:r w:rsidRPr="00A835B0">
        <w:t>25% in Year 6).</w:t>
      </w:r>
    </w:p>
    <w:p w14:paraId="58A315A0" w14:textId="1638C808" w:rsidR="006258FD" w:rsidRDefault="00AF45F9" w:rsidP="006258FD">
      <w:pPr>
        <w:pStyle w:val="3-BodyText"/>
      </w:pPr>
      <w:r w:rsidRPr="00A6439B">
        <w:rPr>
          <w:rFonts w:cstheme="minorHAnsi"/>
          <w:szCs w:val="24"/>
        </w:rPr>
        <w:t>The submission estimated</w:t>
      </w:r>
      <w:r>
        <w:rPr>
          <w:rFonts w:cstheme="minorHAnsi"/>
          <w:szCs w:val="24"/>
        </w:rPr>
        <w:t xml:space="preserve"> </w:t>
      </w:r>
      <w:r w:rsidRPr="00A6439B">
        <w:t xml:space="preserve">a </w:t>
      </w:r>
      <w:r w:rsidRPr="00435E9B">
        <w:t>net save to the PBS</w:t>
      </w:r>
      <w:r w:rsidR="002432A0">
        <w:t>/RPBS</w:t>
      </w:r>
      <w:r w:rsidRPr="00435E9B">
        <w:t xml:space="preserve"> of </w:t>
      </w:r>
      <w:r w:rsidR="007746FF" w:rsidRPr="007746FF">
        <w:t>$0 to &lt; $10 million</w:t>
      </w:r>
      <w:r w:rsidRPr="00435E9B">
        <w:t xml:space="preserve"> in Year 6 of listing</w:t>
      </w:r>
      <w:r w:rsidR="00C80A5C">
        <w:t xml:space="preserve"> Methadone-AFT</w:t>
      </w:r>
      <w:r w:rsidRPr="00435E9B">
        <w:t xml:space="preserve">, with a total net save to the PBS of </w:t>
      </w:r>
      <w:r w:rsidR="007746FF" w:rsidRPr="007746FF">
        <w:t>$0 to &lt; $10 million</w:t>
      </w:r>
      <w:r w:rsidRPr="00435E9B">
        <w:t xml:space="preserve"> over the first 6 years of listing</w:t>
      </w:r>
      <w:r w:rsidR="00AA035C">
        <w:t>.</w:t>
      </w:r>
      <w:r w:rsidRPr="00435E9B">
        <w:t xml:space="preserve"> </w:t>
      </w:r>
    </w:p>
    <w:p w14:paraId="3A311D17" w14:textId="0AC42731" w:rsidR="00096FEF" w:rsidRPr="00E03F4D" w:rsidRDefault="00353C7D" w:rsidP="00353C7D">
      <w:pPr>
        <w:pStyle w:val="4-SubsectionHeading"/>
        <w:rPr>
          <w:iCs/>
          <w:lang w:eastAsia="en-US"/>
        </w:rPr>
      </w:pPr>
      <w:r w:rsidRPr="00E03F4D">
        <w:rPr>
          <w:iCs/>
          <w:lang w:eastAsia="en-US"/>
        </w:rPr>
        <w:t>Quality use of medicines</w:t>
      </w:r>
    </w:p>
    <w:p w14:paraId="6384B5C4" w14:textId="2147FD9A" w:rsidR="00353C7D" w:rsidRDefault="00353C7D" w:rsidP="00353C7D">
      <w:pPr>
        <w:pStyle w:val="3-BodyText"/>
        <w:rPr>
          <w:lang w:eastAsia="en-US"/>
        </w:rPr>
      </w:pPr>
      <w:r>
        <w:rPr>
          <w:lang w:eastAsia="en-US"/>
        </w:rPr>
        <w:t xml:space="preserve">The submission claimed that Methadone-AFT offers </w:t>
      </w:r>
      <w:r w:rsidR="00F02F7A">
        <w:rPr>
          <w:lang w:eastAsia="en-US"/>
        </w:rPr>
        <w:t xml:space="preserve">additional benefits and may serve to further improve health and economic outcomes </w:t>
      </w:r>
      <w:r w:rsidR="00F678BB" w:rsidRPr="00F678BB">
        <w:rPr>
          <w:lang w:eastAsia="en-US"/>
        </w:rPr>
        <w:t>an alternative option rather than a replacement for higher dose formulations</w:t>
      </w:r>
      <w:r w:rsidR="00F678BB">
        <w:rPr>
          <w:lang w:eastAsia="en-US"/>
        </w:rPr>
        <w:t xml:space="preserve"> </w:t>
      </w:r>
      <w:r w:rsidR="00F02F7A">
        <w:rPr>
          <w:lang w:eastAsia="en-US"/>
        </w:rPr>
        <w:t xml:space="preserve">by: </w:t>
      </w:r>
    </w:p>
    <w:p w14:paraId="54E2EA38" w14:textId="64766671" w:rsidR="00A44171" w:rsidRDefault="0024111C" w:rsidP="00F30844">
      <w:pPr>
        <w:pStyle w:val="3-BodyText"/>
        <w:numPr>
          <w:ilvl w:val="0"/>
          <w:numId w:val="13"/>
        </w:numPr>
        <w:rPr>
          <w:lang w:eastAsia="en-US"/>
        </w:rPr>
      </w:pPr>
      <w:r>
        <w:t>A</w:t>
      </w:r>
      <w:r w:rsidR="00116321">
        <w:t>llow</w:t>
      </w:r>
      <w:r>
        <w:t xml:space="preserve">ing </w:t>
      </w:r>
      <w:r w:rsidR="00116321">
        <w:t xml:space="preserve">for </w:t>
      </w:r>
      <w:r w:rsidR="00983172">
        <w:t xml:space="preserve">more </w:t>
      </w:r>
      <w:r w:rsidR="00116321">
        <w:t>precise dose titration</w:t>
      </w:r>
      <w:r>
        <w:t>.</w:t>
      </w:r>
    </w:p>
    <w:p w14:paraId="5AC038FB" w14:textId="76FC0747" w:rsidR="00983172" w:rsidRDefault="000227A1" w:rsidP="00F30844">
      <w:pPr>
        <w:pStyle w:val="3-BodyText"/>
        <w:numPr>
          <w:ilvl w:val="0"/>
          <w:numId w:val="13"/>
        </w:numPr>
        <w:rPr>
          <w:lang w:eastAsia="en-US"/>
        </w:rPr>
      </w:pPr>
      <w:r>
        <w:t xml:space="preserve">Minimising the </w:t>
      </w:r>
      <w:r w:rsidR="0024111C">
        <w:t xml:space="preserve">risk </w:t>
      </w:r>
      <w:r w:rsidR="00983172">
        <w:t>of adverse events</w:t>
      </w:r>
      <w:r w:rsidR="0024111C">
        <w:t>.</w:t>
      </w:r>
    </w:p>
    <w:p w14:paraId="758DC845" w14:textId="27DA42E9" w:rsidR="00170C4D" w:rsidRPr="00D858D2" w:rsidRDefault="0024111C" w:rsidP="00F30844">
      <w:pPr>
        <w:pStyle w:val="3-BodyText"/>
        <w:numPr>
          <w:ilvl w:val="0"/>
          <w:numId w:val="13"/>
        </w:numPr>
        <w:rPr>
          <w:sz w:val="22"/>
        </w:rPr>
      </w:pPr>
      <w:r>
        <w:t>I</w:t>
      </w:r>
      <w:r w:rsidR="00817B2F">
        <w:t>mprov</w:t>
      </w:r>
      <w:r w:rsidR="0068293C">
        <w:t>ing</w:t>
      </w:r>
      <w:r w:rsidR="00817B2F">
        <w:t xml:space="preserve"> patient adherence </w:t>
      </w:r>
      <w:r w:rsidR="0068293C">
        <w:t xml:space="preserve">by reducing </w:t>
      </w:r>
      <w:r w:rsidR="00817B2F">
        <w:t xml:space="preserve">the need of tablet splitting </w:t>
      </w:r>
    </w:p>
    <w:p w14:paraId="6A11B828" w14:textId="15A8BA2E" w:rsidR="004E4380" w:rsidRPr="0090150D" w:rsidRDefault="004E4380" w:rsidP="45AB26B1">
      <w:pPr>
        <w:pStyle w:val="2-SectionHeading"/>
      </w:pPr>
      <w:bookmarkStart w:id="15" w:name="_Hlk76377955"/>
      <w:r w:rsidRPr="0090150D">
        <w:t>PBAC Outcome</w:t>
      </w:r>
    </w:p>
    <w:p w14:paraId="7E5984DD" w14:textId="53A0EBF1" w:rsidR="00694D41" w:rsidRPr="008342D9" w:rsidRDefault="007A0A77" w:rsidP="00690C8E">
      <w:pPr>
        <w:pStyle w:val="3-BodyText"/>
        <w:rPr>
          <w:rFonts w:cs="Arial"/>
          <w:snapToGrid w:val="0"/>
          <w:lang w:val="en-GB"/>
        </w:rPr>
      </w:pPr>
      <w:bookmarkStart w:id="16" w:name="_Hlk111543188"/>
      <w:r>
        <w:rPr>
          <w:rFonts w:cs="Arial"/>
          <w:snapToGrid w:val="0"/>
          <w:lang w:val="en-GB"/>
        </w:rPr>
        <w:t xml:space="preserve">The </w:t>
      </w:r>
      <w:r w:rsidR="004E0DAC">
        <w:rPr>
          <w:rFonts w:cs="Arial"/>
          <w:snapToGrid w:val="0"/>
          <w:lang w:val="en-GB"/>
        </w:rPr>
        <w:t xml:space="preserve">PBAC recommended the listing </w:t>
      </w:r>
      <w:r w:rsidR="00820EE1">
        <w:rPr>
          <w:rFonts w:cs="Arial"/>
          <w:snapToGrid w:val="0"/>
          <w:lang w:val="en-GB"/>
        </w:rPr>
        <w:t>of methadone 5</w:t>
      </w:r>
      <w:r w:rsidR="004644B5">
        <w:rPr>
          <w:rFonts w:cs="Arial"/>
          <w:snapToGrid w:val="0"/>
          <w:lang w:val="en-GB"/>
        </w:rPr>
        <w:t xml:space="preserve"> </w:t>
      </w:r>
      <w:r w:rsidR="00820EE1">
        <w:rPr>
          <w:rFonts w:cs="Arial"/>
          <w:snapToGrid w:val="0"/>
          <w:lang w:val="en-GB"/>
        </w:rPr>
        <w:t xml:space="preserve">mg tablet </w:t>
      </w:r>
      <w:r w:rsidR="0081046B">
        <w:rPr>
          <w:rFonts w:cs="Arial"/>
          <w:snapToGrid w:val="0"/>
          <w:lang w:val="en-GB"/>
        </w:rPr>
        <w:t>as a General Schedul</w:t>
      </w:r>
      <w:r w:rsidR="004D122D">
        <w:rPr>
          <w:rFonts w:cs="Arial"/>
          <w:snapToGrid w:val="0"/>
          <w:lang w:val="en-GB"/>
        </w:rPr>
        <w:t>e</w:t>
      </w:r>
      <w:r w:rsidR="0081046B">
        <w:rPr>
          <w:rFonts w:cs="Arial"/>
          <w:snapToGrid w:val="0"/>
          <w:lang w:val="en-GB"/>
        </w:rPr>
        <w:t xml:space="preserve"> (STREAMLINED) </w:t>
      </w:r>
      <w:r w:rsidR="004D122D">
        <w:rPr>
          <w:rFonts w:cs="Arial"/>
          <w:snapToGrid w:val="0"/>
          <w:lang w:val="en-GB"/>
        </w:rPr>
        <w:t xml:space="preserve">and Palliative </w:t>
      </w:r>
      <w:r w:rsidR="00766D6B">
        <w:rPr>
          <w:rFonts w:cs="Arial"/>
          <w:snapToGrid w:val="0"/>
          <w:lang w:val="en-GB"/>
        </w:rPr>
        <w:t>C</w:t>
      </w:r>
      <w:r w:rsidR="004D122D">
        <w:rPr>
          <w:rFonts w:cs="Arial"/>
          <w:snapToGrid w:val="0"/>
          <w:lang w:val="en-GB"/>
        </w:rPr>
        <w:t xml:space="preserve">are (Telephone/Online) listing </w:t>
      </w:r>
      <w:r w:rsidR="0075342C" w:rsidRPr="00690C8E">
        <w:rPr>
          <w:rFonts w:cs="Arial"/>
          <w:snapToGrid w:val="0"/>
          <w:lang w:val="en-GB"/>
        </w:rPr>
        <w:t xml:space="preserve">under the same </w:t>
      </w:r>
      <w:r w:rsidR="00820EE1" w:rsidRPr="45AB26B1">
        <w:rPr>
          <w:rFonts w:eastAsia="Times New Roman" w:cs="Arial"/>
          <w:snapToGrid w:val="0"/>
          <w:lang w:val="en-GB"/>
        </w:rPr>
        <w:lastRenderedPageBreak/>
        <w:t>circumstances as the currently listed methadone 10 mg tablet</w:t>
      </w:r>
      <w:r w:rsidR="00694D41" w:rsidRPr="00694D41">
        <w:rPr>
          <w:rFonts w:cs="Arial"/>
          <w:snapToGrid w:val="0"/>
          <w:lang w:val="en-GB"/>
        </w:rPr>
        <w:t xml:space="preserve"> </w:t>
      </w:r>
      <w:r w:rsidR="00694D41">
        <w:rPr>
          <w:rFonts w:cs="Arial"/>
          <w:snapToGrid w:val="0"/>
          <w:lang w:val="en-GB"/>
        </w:rPr>
        <w:t xml:space="preserve">for the management of </w:t>
      </w:r>
      <w:r w:rsidR="00694D41">
        <w:rPr>
          <w:snapToGrid w:val="0"/>
          <w:lang w:val="en-GB"/>
        </w:rPr>
        <w:t>c</w:t>
      </w:r>
      <w:r w:rsidR="00694D41" w:rsidRPr="00690C8E">
        <w:rPr>
          <w:snapToGrid w:val="0"/>
          <w:lang w:val="en-GB"/>
        </w:rPr>
        <w:t xml:space="preserve">hronic severe </w:t>
      </w:r>
      <w:r w:rsidR="00694D41" w:rsidRPr="00690C8E">
        <w:rPr>
          <w:rFonts w:cs="Arial"/>
          <w:snapToGrid w:val="0"/>
          <w:lang w:val="en-GB"/>
        </w:rPr>
        <w:t>disabling pain</w:t>
      </w:r>
      <w:r w:rsidR="00694D41">
        <w:rPr>
          <w:rFonts w:cs="Arial"/>
          <w:snapToGrid w:val="0"/>
          <w:lang w:val="en-GB"/>
        </w:rPr>
        <w:t xml:space="preserve"> </w:t>
      </w:r>
      <w:r w:rsidR="00694D41">
        <w:rPr>
          <w:snapToGrid w:val="0"/>
          <w:lang w:val="en-GB"/>
        </w:rPr>
        <w:t>and</w:t>
      </w:r>
      <w:r w:rsidR="00694D41" w:rsidRPr="00690C8E">
        <w:rPr>
          <w:snapToGrid w:val="0"/>
          <w:lang w:val="en-GB"/>
        </w:rPr>
        <w:t xml:space="preserve"> </w:t>
      </w:r>
      <w:r w:rsidR="00694D41">
        <w:rPr>
          <w:rFonts w:cs="Arial"/>
          <w:snapToGrid w:val="0"/>
          <w:lang w:val="en-GB"/>
        </w:rPr>
        <w:t>s</w:t>
      </w:r>
      <w:r w:rsidR="00694D41" w:rsidRPr="00690C8E">
        <w:rPr>
          <w:rFonts w:cs="Arial"/>
          <w:snapToGrid w:val="0"/>
          <w:lang w:val="en-GB"/>
        </w:rPr>
        <w:t>evere disabling pain</w:t>
      </w:r>
      <w:r w:rsidR="00820EE1" w:rsidRPr="45AB26B1">
        <w:rPr>
          <w:rFonts w:eastAsia="Times New Roman" w:cs="Arial"/>
          <w:snapToGrid w:val="0"/>
          <w:lang w:val="en-GB"/>
        </w:rPr>
        <w:t>.</w:t>
      </w:r>
    </w:p>
    <w:p w14:paraId="697529E1" w14:textId="77777777" w:rsidR="00CD57EE" w:rsidRPr="008342D9" w:rsidRDefault="008648A7" w:rsidP="00CD57EE">
      <w:pPr>
        <w:pStyle w:val="3-BodyText"/>
        <w:rPr>
          <w:rFonts w:cs="Arial"/>
          <w:snapToGrid w:val="0"/>
          <w:lang w:val="en-GB"/>
        </w:rPr>
      </w:pPr>
      <w:r>
        <w:rPr>
          <w:rFonts w:cs="Arial"/>
          <w:snapToGrid w:val="0"/>
          <w:lang w:val="en-GB"/>
        </w:rPr>
        <w:t xml:space="preserve">The PBAC noted that the TGA </w:t>
      </w:r>
      <w:r w:rsidR="00BA285C">
        <w:rPr>
          <w:rFonts w:cs="Arial"/>
          <w:snapToGrid w:val="0"/>
          <w:lang w:val="en-GB"/>
        </w:rPr>
        <w:t xml:space="preserve">established </w:t>
      </w:r>
      <w:r w:rsidR="00D0095D">
        <w:rPr>
          <w:rFonts w:cs="Arial"/>
          <w:snapToGrid w:val="0"/>
          <w:lang w:val="en-GB"/>
        </w:rPr>
        <w:t xml:space="preserve">2 x </w:t>
      </w:r>
      <w:r w:rsidR="00BA285C">
        <w:rPr>
          <w:rFonts w:cs="Arial"/>
          <w:snapToGrid w:val="0"/>
          <w:lang w:val="en-GB"/>
        </w:rPr>
        <w:t>5 mg methadone</w:t>
      </w:r>
      <w:r w:rsidR="000D5DE0">
        <w:rPr>
          <w:rFonts w:cs="Arial"/>
          <w:snapToGrid w:val="0"/>
          <w:lang w:val="en-GB"/>
        </w:rPr>
        <w:t xml:space="preserve"> tablet is bioequivalent to </w:t>
      </w:r>
      <w:r w:rsidR="00D0095D">
        <w:rPr>
          <w:rFonts w:cs="Arial"/>
          <w:snapToGrid w:val="0"/>
          <w:lang w:val="en-GB"/>
        </w:rPr>
        <w:t>1</w:t>
      </w:r>
      <w:r w:rsidR="001C641D">
        <w:rPr>
          <w:rFonts w:cs="Arial"/>
          <w:snapToGrid w:val="0"/>
          <w:lang w:val="en-GB"/>
        </w:rPr>
        <w:t xml:space="preserve"> </w:t>
      </w:r>
      <w:r w:rsidR="007A48DC">
        <w:rPr>
          <w:rFonts w:cs="Arial"/>
          <w:snapToGrid w:val="0"/>
          <w:lang w:val="en-GB"/>
        </w:rPr>
        <w:t>x methadone 10 mg tablet.</w:t>
      </w:r>
      <w:r w:rsidR="009E668F" w:rsidRPr="009E668F">
        <w:t xml:space="preserve"> </w:t>
      </w:r>
    </w:p>
    <w:p w14:paraId="77B2613D" w14:textId="5E2447EA" w:rsidR="009E668F" w:rsidRPr="008342D9" w:rsidRDefault="00CD57EE" w:rsidP="45AB26B1">
      <w:pPr>
        <w:pStyle w:val="3-BodyText"/>
        <w:rPr>
          <w:rFonts w:cs="Arial"/>
          <w:snapToGrid w:val="0"/>
          <w:lang w:val="en-GB"/>
        </w:rPr>
      </w:pPr>
      <w:r w:rsidRPr="45AB26B1">
        <w:rPr>
          <w:rFonts w:cs="Arial"/>
          <w:lang w:val="en-GB"/>
        </w:rPr>
        <w:t>The PBAC considered methadone 10 mg tablet as the appropriate comparator</w:t>
      </w:r>
      <w:r>
        <w:rPr>
          <w:rFonts w:cs="Arial"/>
          <w:snapToGrid w:val="0"/>
          <w:lang w:val="en-GB"/>
        </w:rPr>
        <w:t>.</w:t>
      </w:r>
    </w:p>
    <w:p w14:paraId="028DBA52" w14:textId="1C6F90FA" w:rsidR="00144D0B" w:rsidRDefault="00065584" w:rsidP="00144D0B">
      <w:pPr>
        <w:widowControl w:val="0"/>
        <w:numPr>
          <w:ilvl w:val="1"/>
          <w:numId w:val="2"/>
        </w:numPr>
        <w:spacing w:after="120"/>
        <w:ind w:left="720"/>
      </w:pPr>
      <w:r>
        <w:t>The PBAC noted the submission did not provide a</w:t>
      </w:r>
      <w:r w:rsidR="00337AFE">
        <w:t>ny</w:t>
      </w:r>
      <w:r>
        <w:t xml:space="preserve"> justification </w:t>
      </w:r>
      <w:r w:rsidR="00692F4B">
        <w:t xml:space="preserve">for </w:t>
      </w:r>
      <w:r>
        <w:t xml:space="preserve">the proposed </w:t>
      </w:r>
      <w:r w:rsidR="000F2351">
        <w:t>price</w:t>
      </w:r>
      <w:r w:rsidR="009F49D2">
        <w:t xml:space="preserve">. </w:t>
      </w:r>
      <w:r w:rsidR="009E668F">
        <w:t xml:space="preserve">The PBAC </w:t>
      </w:r>
      <w:r w:rsidR="00B967F5">
        <w:t xml:space="preserve">considered that </w:t>
      </w:r>
      <w:r w:rsidR="00AB0248">
        <w:t xml:space="preserve">an equivalent cost per mg </w:t>
      </w:r>
      <w:r w:rsidR="00CC4641">
        <w:t>to methadone 10</w:t>
      </w:r>
      <w:r w:rsidR="00121EFA">
        <w:t> </w:t>
      </w:r>
      <w:r w:rsidR="00CC4641">
        <w:t xml:space="preserve">mg tablets </w:t>
      </w:r>
      <w:r w:rsidR="00AB0248">
        <w:t xml:space="preserve">would be </w:t>
      </w:r>
      <w:r w:rsidR="0048564D">
        <w:t xml:space="preserve">an </w:t>
      </w:r>
      <w:r w:rsidR="00AB0248">
        <w:t>appropriate</w:t>
      </w:r>
      <w:r w:rsidR="00F15B22">
        <w:t xml:space="preserve"> </w:t>
      </w:r>
      <w:r w:rsidR="0048564D">
        <w:t xml:space="preserve">approach </w:t>
      </w:r>
      <w:r w:rsidR="00F971E4">
        <w:t xml:space="preserve">or </w:t>
      </w:r>
      <w:r w:rsidR="00F15B22">
        <w:t xml:space="preserve">that </w:t>
      </w:r>
      <w:r w:rsidR="00D26FF7">
        <w:t>the</w:t>
      </w:r>
      <w:r w:rsidR="00F15B22">
        <w:t xml:space="preserve"> Department </w:t>
      </w:r>
      <w:r w:rsidR="00663BB2">
        <w:t>may</w:t>
      </w:r>
      <w:r w:rsidR="00480F03">
        <w:t xml:space="preserve"> take into account</w:t>
      </w:r>
      <w:r w:rsidR="00F15B22">
        <w:t xml:space="preserve"> </w:t>
      </w:r>
      <w:r w:rsidR="001F708D">
        <w:t>guidelines for the pricing of half strength formulations in this instance</w:t>
      </w:r>
      <w:r w:rsidR="009E668F">
        <w:t>.</w:t>
      </w:r>
    </w:p>
    <w:p w14:paraId="77FB4AD2" w14:textId="150AD506" w:rsidR="008648A7" w:rsidRPr="008342D9" w:rsidRDefault="00BC6779" w:rsidP="00144D0B">
      <w:pPr>
        <w:widowControl w:val="0"/>
        <w:numPr>
          <w:ilvl w:val="1"/>
          <w:numId w:val="2"/>
        </w:numPr>
        <w:spacing w:after="120"/>
        <w:ind w:left="720"/>
      </w:pPr>
      <w:r w:rsidRPr="00144D0B">
        <w:rPr>
          <w:rFonts w:cs="Arial"/>
          <w:snapToGrid w:val="0"/>
          <w:lang w:val="en-GB"/>
        </w:rPr>
        <w:t xml:space="preserve">The PBAC noted the </w:t>
      </w:r>
      <w:r w:rsidR="00F16C1A">
        <w:rPr>
          <w:rFonts w:cs="Arial"/>
          <w:snapToGrid w:val="0"/>
          <w:lang w:val="en-GB"/>
        </w:rPr>
        <w:t xml:space="preserve">UCM would need to be revised </w:t>
      </w:r>
      <w:r w:rsidR="003F1CB3">
        <w:rPr>
          <w:rFonts w:cs="Arial"/>
          <w:snapToGrid w:val="0"/>
          <w:lang w:val="en-GB"/>
        </w:rPr>
        <w:t>as detailed in paragraph</w:t>
      </w:r>
      <w:r w:rsidR="000B3C53">
        <w:rPr>
          <w:rFonts w:cs="Arial"/>
          <w:snapToGrid w:val="0"/>
          <w:lang w:val="en-GB"/>
        </w:rPr>
        <w:t xml:space="preserve"> </w:t>
      </w:r>
      <w:r w:rsidR="000B3C53">
        <w:rPr>
          <w:rFonts w:cs="Arial"/>
          <w:snapToGrid w:val="0"/>
          <w:lang w:val="en-GB"/>
        </w:rPr>
        <w:fldChar w:fldCharType="begin"/>
      </w:r>
      <w:r w:rsidR="000B3C53">
        <w:rPr>
          <w:rFonts w:cs="Arial"/>
          <w:snapToGrid w:val="0"/>
          <w:lang w:val="en-GB"/>
        </w:rPr>
        <w:instrText xml:space="preserve"> REF _Ref204327001 \r \h </w:instrText>
      </w:r>
      <w:r w:rsidR="000B3C53">
        <w:rPr>
          <w:rFonts w:cs="Arial"/>
          <w:snapToGrid w:val="0"/>
          <w:lang w:val="en-GB"/>
        </w:rPr>
      </w:r>
      <w:r w:rsidR="000B3C53">
        <w:rPr>
          <w:rFonts w:cs="Arial"/>
          <w:snapToGrid w:val="0"/>
          <w:lang w:val="en-GB"/>
        </w:rPr>
        <w:fldChar w:fldCharType="separate"/>
      </w:r>
      <w:r w:rsidR="00127677">
        <w:rPr>
          <w:rFonts w:cs="Arial"/>
          <w:snapToGrid w:val="0"/>
          <w:lang w:val="en-GB"/>
        </w:rPr>
        <w:t>5.8</w:t>
      </w:r>
      <w:r w:rsidR="000B3C53">
        <w:rPr>
          <w:rFonts w:cs="Arial"/>
          <w:snapToGrid w:val="0"/>
          <w:lang w:val="en-GB"/>
        </w:rPr>
        <w:fldChar w:fldCharType="end"/>
      </w:r>
      <w:r w:rsidR="000B3C53">
        <w:rPr>
          <w:rFonts w:cs="Arial"/>
          <w:snapToGrid w:val="0"/>
          <w:lang w:val="en-GB"/>
        </w:rPr>
        <w:t xml:space="preserve"> </w:t>
      </w:r>
      <w:r w:rsidR="003F1CB3">
        <w:rPr>
          <w:rFonts w:cs="Arial"/>
          <w:snapToGrid w:val="0"/>
          <w:lang w:val="en-GB"/>
        </w:rPr>
        <w:t xml:space="preserve">and </w:t>
      </w:r>
      <w:r w:rsidR="000B3C53">
        <w:rPr>
          <w:rFonts w:cs="Arial"/>
          <w:snapToGrid w:val="0"/>
          <w:lang w:val="en-GB"/>
        </w:rPr>
        <w:fldChar w:fldCharType="begin"/>
      </w:r>
      <w:r w:rsidR="000B3C53">
        <w:rPr>
          <w:rFonts w:cs="Arial"/>
          <w:snapToGrid w:val="0"/>
          <w:lang w:val="en-GB"/>
        </w:rPr>
        <w:instrText xml:space="preserve"> REF _Ref204327041 \r \h </w:instrText>
      </w:r>
      <w:r w:rsidR="000B3C53">
        <w:rPr>
          <w:rFonts w:cs="Arial"/>
          <w:snapToGrid w:val="0"/>
          <w:lang w:val="en-GB"/>
        </w:rPr>
      </w:r>
      <w:r w:rsidR="000B3C53">
        <w:rPr>
          <w:rFonts w:cs="Arial"/>
          <w:snapToGrid w:val="0"/>
          <w:lang w:val="en-GB"/>
        </w:rPr>
        <w:fldChar w:fldCharType="separate"/>
      </w:r>
      <w:r w:rsidR="00127677">
        <w:rPr>
          <w:rFonts w:cs="Arial"/>
          <w:snapToGrid w:val="0"/>
          <w:lang w:val="en-GB"/>
        </w:rPr>
        <w:t>5.10</w:t>
      </w:r>
      <w:r w:rsidR="000B3C53">
        <w:rPr>
          <w:rFonts w:cs="Arial"/>
          <w:snapToGrid w:val="0"/>
          <w:lang w:val="en-GB"/>
        </w:rPr>
        <w:fldChar w:fldCharType="end"/>
      </w:r>
      <w:r w:rsidR="003F1CB3">
        <w:rPr>
          <w:rFonts w:cs="Arial"/>
          <w:snapToGrid w:val="0"/>
          <w:lang w:val="en-GB"/>
        </w:rPr>
        <w:t xml:space="preserve">. </w:t>
      </w:r>
    </w:p>
    <w:bookmarkEnd w:id="16"/>
    <w:p w14:paraId="3B936DEF" w14:textId="551B2537" w:rsidR="004E4380" w:rsidRPr="00D92B2F" w:rsidRDefault="00D92B2F" w:rsidP="45AB26B1">
      <w:pPr>
        <w:widowControl w:val="0"/>
        <w:numPr>
          <w:ilvl w:val="1"/>
          <w:numId w:val="2"/>
        </w:numPr>
        <w:spacing w:after="120"/>
        <w:ind w:left="720"/>
        <w:rPr>
          <w:rFonts w:cs="Arial"/>
          <w:lang w:val="en-GB"/>
        </w:rPr>
      </w:pPr>
      <w:r>
        <w:rPr>
          <w:rFonts w:asciiTheme="minorHAnsi" w:hAnsiTheme="minorHAnsi" w:cs="Arial"/>
          <w:snapToGrid w:val="0"/>
          <w:lang w:val="en-GB"/>
        </w:rPr>
        <w:t>The PBAC advised that, because methadone 5</w:t>
      </w:r>
      <w:r w:rsidR="00DA7864">
        <w:rPr>
          <w:rFonts w:asciiTheme="minorHAnsi" w:hAnsiTheme="minorHAnsi" w:cs="Arial"/>
          <w:snapToGrid w:val="0"/>
          <w:lang w:val="en-GB"/>
        </w:rPr>
        <w:t xml:space="preserve"> </w:t>
      </w:r>
      <w:r>
        <w:rPr>
          <w:rFonts w:asciiTheme="minorHAnsi" w:hAnsiTheme="minorHAnsi" w:cs="Arial"/>
          <w:snapToGrid w:val="0"/>
          <w:lang w:val="en-GB"/>
        </w:rPr>
        <w:t xml:space="preserve">mg tablet is not expected to provide a substantial and clinically relevant improvement in efficacy, or reduction of toxicity, over the other listed strengths of methadone, or not expected to address a high and urgent unmet clinical need given the presence of an alternative therapy, the criteria prescribed by the </w:t>
      </w:r>
      <w:r w:rsidRPr="008A1D0E">
        <w:rPr>
          <w:rFonts w:asciiTheme="minorHAnsi" w:hAnsiTheme="minorHAnsi"/>
          <w:bCs/>
          <w:i/>
          <w:lang w:val="en-GB"/>
        </w:rPr>
        <w:t>National Health (Pharmaceuticals and Vaccines – Cost Recovery) Regulations 2022</w:t>
      </w:r>
      <w:r w:rsidRPr="008A1D0E">
        <w:rPr>
          <w:rFonts w:asciiTheme="minorHAnsi" w:hAnsiTheme="minorHAnsi"/>
          <w:bCs/>
          <w:lang w:val="en-GB"/>
        </w:rPr>
        <w:t xml:space="preserve"> for Pricing Pathway A were not met</w:t>
      </w:r>
      <w:r>
        <w:rPr>
          <w:rFonts w:asciiTheme="minorHAnsi" w:hAnsiTheme="minorHAnsi"/>
          <w:bCs/>
          <w:lang w:val="en-GB"/>
        </w:rPr>
        <w:t>.</w:t>
      </w:r>
    </w:p>
    <w:p w14:paraId="4CF80C63" w14:textId="7ECC9219" w:rsidR="004E4380" w:rsidRPr="007D4707" w:rsidRDefault="004E4380" w:rsidP="45AB26B1">
      <w:pPr>
        <w:widowControl w:val="0"/>
        <w:numPr>
          <w:ilvl w:val="1"/>
          <w:numId w:val="2"/>
        </w:numPr>
        <w:spacing w:after="120"/>
        <w:ind w:left="720"/>
        <w:rPr>
          <w:rFonts w:asciiTheme="minorHAnsi" w:hAnsiTheme="minorHAnsi" w:cs="Arial"/>
          <w:bCs/>
          <w:snapToGrid w:val="0"/>
          <w:lang w:val="en-GB"/>
        </w:rPr>
      </w:pPr>
      <w:r w:rsidRPr="00525B39">
        <w:rPr>
          <w:rFonts w:asciiTheme="minorHAnsi" w:hAnsiTheme="minorHAnsi" w:cs="Arial"/>
          <w:bCs/>
          <w:snapToGrid w:val="0"/>
          <w:lang w:val="en-GB"/>
        </w:rPr>
        <w:t>The PBAC noted that this submission is not eligible for an Independent Review</w:t>
      </w:r>
      <w:r w:rsidR="001E1935">
        <w:rPr>
          <w:rFonts w:asciiTheme="minorHAnsi" w:hAnsiTheme="minorHAnsi" w:cs="Arial"/>
          <w:bCs/>
          <w:snapToGrid w:val="0"/>
          <w:lang w:val="en-GB"/>
        </w:rPr>
        <w:t xml:space="preserve"> because it received a positive recommendation.</w:t>
      </w:r>
    </w:p>
    <w:p w14:paraId="6300110C" w14:textId="77777777" w:rsidR="004E4380" w:rsidRPr="00525B39" w:rsidRDefault="004E4380" w:rsidP="004E4380">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149AE675" w14:textId="2A52973F" w:rsidR="004E4380" w:rsidRPr="00525B39" w:rsidRDefault="004E4380" w:rsidP="004E4380">
      <w:pPr>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p w14:paraId="220B2441" w14:textId="52C7C75A" w:rsidR="004E4380" w:rsidRPr="00E65628" w:rsidRDefault="00574BF3" w:rsidP="00E65628">
      <w:pPr>
        <w:pStyle w:val="Heading1"/>
        <w:keepLines/>
        <w:numPr>
          <w:ilvl w:val="0"/>
          <w:numId w:val="2"/>
        </w:numPr>
        <w:spacing w:before="240"/>
        <w:ind w:left="709" w:hanging="709"/>
        <w:rPr>
          <w:sz w:val="32"/>
          <w:szCs w:val="32"/>
        </w:rPr>
      </w:pPr>
      <w:r w:rsidRPr="00E65628">
        <w:rPr>
          <w:sz w:val="32"/>
          <w:szCs w:val="32"/>
        </w:rPr>
        <w:t xml:space="preserve">Recommended </w:t>
      </w:r>
      <w:r w:rsidR="004E4380" w:rsidRPr="00E65628">
        <w:rPr>
          <w:sz w:val="32"/>
          <w:szCs w:val="32"/>
        </w:rPr>
        <w:t>listing</w:t>
      </w:r>
    </w:p>
    <w:p w14:paraId="187E6773" w14:textId="0EAA3687" w:rsidR="004E4380" w:rsidRPr="00987098" w:rsidRDefault="004E4380" w:rsidP="00A65365">
      <w:pPr>
        <w:widowControl w:val="0"/>
        <w:spacing w:after="120"/>
        <w:contextualSpacing/>
        <w:rPr>
          <w:rFonts w:asciiTheme="minorHAnsi" w:hAnsiTheme="minorHAnsi" w:cs="Arial"/>
          <w:b/>
          <w:snapToGrid w:val="0"/>
        </w:rPr>
      </w:pPr>
      <w:r w:rsidRPr="001C6E8D">
        <w:rPr>
          <w:rFonts w:asciiTheme="minorHAnsi" w:hAnsiTheme="minorHAnsi" w:cs="Arial"/>
          <w:bCs/>
          <w:snapToGrid w:val="0"/>
        </w:rPr>
        <w:t>Add new item:</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491"/>
        <w:gridCol w:w="784"/>
        <w:gridCol w:w="2662"/>
        <w:gridCol w:w="811"/>
        <w:gridCol w:w="812"/>
        <w:gridCol w:w="811"/>
        <w:gridCol w:w="812"/>
        <w:gridCol w:w="1838"/>
      </w:tblGrid>
      <w:tr w:rsidR="000C14CD" w:rsidRPr="001428E9" w14:paraId="3A9D4335" w14:textId="77777777" w:rsidTr="000C14CD">
        <w:trPr>
          <w:cantSplit/>
          <w:trHeight w:val="20"/>
        </w:trPr>
        <w:tc>
          <w:tcPr>
            <w:tcW w:w="3937" w:type="dxa"/>
            <w:gridSpan w:val="3"/>
            <w:vAlign w:val="center"/>
          </w:tcPr>
          <w:p w14:paraId="62BD6F38" w14:textId="77777777" w:rsidR="000C14CD" w:rsidRPr="001428E9" w:rsidRDefault="000C14CD" w:rsidP="00A308CB">
            <w:pPr>
              <w:keepLines/>
              <w:rPr>
                <w:rFonts w:ascii="Arial Narrow" w:hAnsi="Arial Narrow" w:cs="Arial"/>
                <w:b/>
                <w:bCs/>
                <w:sz w:val="20"/>
                <w:szCs w:val="20"/>
              </w:rPr>
            </w:pPr>
            <w:r w:rsidRPr="001428E9">
              <w:rPr>
                <w:rFonts w:ascii="Arial Narrow" w:hAnsi="Arial Narrow" w:cs="Arial"/>
                <w:b/>
                <w:bCs/>
                <w:sz w:val="20"/>
                <w:szCs w:val="20"/>
              </w:rPr>
              <w:t>MEDICINAL PRODUCT</w:t>
            </w:r>
          </w:p>
          <w:p w14:paraId="18609C0D" w14:textId="77777777" w:rsidR="000C14CD" w:rsidRPr="001428E9" w:rsidRDefault="000C14CD" w:rsidP="00A308CB">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4D4F56FE" w14:textId="77777777" w:rsidR="000C14CD" w:rsidRPr="001428E9" w:rsidRDefault="000C14CD" w:rsidP="00A308CB">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77C937EB" w14:textId="77777777" w:rsidR="000C14CD" w:rsidRPr="001428E9" w:rsidRDefault="000C14CD" w:rsidP="00A308CB">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7D7336EA" w14:textId="77777777" w:rsidR="000C14CD" w:rsidRPr="001428E9" w:rsidRDefault="000C14CD" w:rsidP="00A308CB">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480EBBA6" w14:textId="77777777" w:rsidR="000C14CD" w:rsidRPr="001428E9" w:rsidRDefault="000C14CD" w:rsidP="00A308CB">
            <w:pPr>
              <w:keepLines/>
              <w:jc w:val="center"/>
              <w:rPr>
                <w:rFonts w:ascii="Arial Narrow" w:hAnsi="Arial Narrow" w:cs="Arial"/>
                <w:b/>
                <w:sz w:val="20"/>
                <w:szCs w:val="20"/>
              </w:rPr>
            </w:pPr>
            <w:r w:rsidRPr="001428E9">
              <w:rPr>
                <w:rFonts w:ascii="Arial Narrow" w:hAnsi="Arial Narrow" w:cs="Arial"/>
                <w:b/>
                <w:sz w:val="20"/>
                <w:szCs w:val="20"/>
              </w:rPr>
              <w:t>№.of</w:t>
            </w:r>
          </w:p>
          <w:p w14:paraId="7841A6E5" w14:textId="77777777" w:rsidR="000C14CD" w:rsidRPr="001428E9" w:rsidRDefault="000C14CD" w:rsidP="00A308CB">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8" w:type="dxa"/>
            <w:vAlign w:val="center"/>
          </w:tcPr>
          <w:p w14:paraId="09AC85FF" w14:textId="77777777" w:rsidR="000C14CD" w:rsidRPr="001428E9" w:rsidRDefault="000C14CD" w:rsidP="00A308CB">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0C14CD" w:rsidRPr="001428E9" w14:paraId="21440BD6" w14:textId="77777777" w:rsidTr="000C14CD">
        <w:trPr>
          <w:cantSplit/>
          <w:trHeight w:val="20"/>
        </w:trPr>
        <w:tc>
          <w:tcPr>
            <w:tcW w:w="9021" w:type="dxa"/>
            <w:gridSpan w:val="8"/>
            <w:vAlign w:val="center"/>
          </w:tcPr>
          <w:p w14:paraId="3E280B3E" w14:textId="77777777" w:rsidR="000C14CD" w:rsidRPr="001428E9" w:rsidRDefault="000C14CD" w:rsidP="00A308CB">
            <w:pPr>
              <w:keepLines/>
              <w:rPr>
                <w:rFonts w:ascii="Arial Narrow" w:hAnsi="Arial Narrow" w:cs="Arial"/>
                <w:sz w:val="20"/>
                <w:szCs w:val="20"/>
              </w:rPr>
            </w:pPr>
            <w:r>
              <w:rPr>
                <w:rFonts w:ascii="Arial Narrow" w:hAnsi="Arial Narrow" w:cs="Arial"/>
                <w:sz w:val="20"/>
                <w:szCs w:val="20"/>
              </w:rPr>
              <w:t>METHADONE</w:t>
            </w:r>
            <w:r w:rsidRPr="001428E9">
              <w:rPr>
                <w:rFonts w:ascii="Arial Narrow" w:hAnsi="Arial Narrow" w:cs="Arial"/>
                <w:color w:val="FF0000"/>
                <w:sz w:val="20"/>
                <w:szCs w:val="20"/>
              </w:rPr>
              <w:t xml:space="preserve"> </w:t>
            </w:r>
          </w:p>
        </w:tc>
      </w:tr>
      <w:tr w:rsidR="000C14CD" w:rsidRPr="001428E9" w14:paraId="1DB6AD2F" w14:textId="77777777" w:rsidTr="000C14CD">
        <w:trPr>
          <w:cantSplit/>
          <w:trHeight w:val="20"/>
        </w:trPr>
        <w:tc>
          <w:tcPr>
            <w:tcW w:w="3937" w:type="dxa"/>
            <w:gridSpan w:val="3"/>
            <w:vAlign w:val="center"/>
          </w:tcPr>
          <w:p w14:paraId="4A86E111" w14:textId="77777777" w:rsidR="000C14CD" w:rsidRPr="001428E9" w:rsidRDefault="000C14CD" w:rsidP="00A308CB">
            <w:pPr>
              <w:keepLines/>
              <w:rPr>
                <w:rFonts w:ascii="Arial Narrow" w:hAnsi="Arial Narrow" w:cs="Arial"/>
                <w:sz w:val="20"/>
                <w:szCs w:val="20"/>
              </w:rPr>
            </w:pPr>
            <w:r>
              <w:rPr>
                <w:rFonts w:ascii="Arial Narrow" w:hAnsi="Arial Narrow" w:cs="Arial"/>
                <w:sz w:val="20"/>
                <w:szCs w:val="20"/>
              </w:rPr>
              <w:t>methadone hydrochloride 5 mg tablet, 20</w:t>
            </w:r>
          </w:p>
        </w:tc>
        <w:tc>
          <w:tcPr>
            <w:tcW w:w="811" w:type="dxa"/>
            <w:vAlign w:val="center"/>
          </w:tcPr>
          <w:p w14:paraId="3375183A" w14:textId="77777777" w:rsidR="000C14CD" w:rsidRPr="001428E9" w:rsidRDefault="000C14CD" w:rsidP="00A308CB">
            <w:pPr>
              <w:keepLines/>
              <w:jc w:val="center"/>
              <w:rPr>
                <w:rFonts w:ascii="Arial Narrow" w:hAnsi="Arial Narrow" w:cs="Arial"/>
                <w:sz w:val="20"/>
                <w:szCs w:val="20"/>
              </w:rPr>
            </w:pPr>
            <w:r w:rsidRPr="001428E9">
              <w:rPr>
                <w:rFonts w:ascii="Arial Narrow" w:hAnsi="Arial Narrow" w:cs="Arial"/>
                <w:sz w:val="20"/>
                <w:szCs w:val="20"/>
              </w:rPr>
              <w:t>NEW</w:t>
            </w:r>
          </w:p>
        </w:tc>
        <w:tc>
          <w:tcPr>
            <w:tcW w:w="812" w:type="dxa"/>
            <w:vAlign w:val="center"/>
          </w:tcPr>
          <w:p w14:paraId="2E2F34C0" w14:textId="77777777" w:rsidR="000C14CD" w:rsidRPr="001428E9" w:rsidRDefault="000C14CD" w:rsidP="00A308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64076EC2" w14:textId="5F2982BD" w:rsidR="000C14CD" w:rsidRPr="001428E9" w:rsidRDefault="000C14CD" w:rsidP="00A308CB">
            <w:pPr>
              <w:keepLines/>
              <w:jc w:val="center"/>
              <w:rPr>
                <w:rFonts w:ascii="Arial Narrow" w:hAnsi="Arial Narrow" w:cs="Arial"/>
                <w:sz w:val="20"/>
                <w:szCs w:val="20"/>
              </w:rPr>
            </w:pPr>
            <w:r>
              <w:rPr>
                <w:rFonts w:ascii="Arial Narrow" w:hAnsi="Arial Narrow" w:cs="Arial"/>
                <w:sz w:val="20"/>
                <w:szCs w:val="20"/>
              </w:rPr>
              <w:t>20</w:t>
            </w:r>
          </w:p>
        </w:tc>
        <w:tc>
          <w:tcPr>
            <w:tcW w:w="812" w:type="dxa"/>
            <w:vAlign w:val="center"/>
          </w:tcPr>
          <w:p w14:paraId="0C30ED7C" w14:textId="77777777" w:rsidR="000C14CD" w:rsidRPr="001428E9" w:rsidRDefault="000C14CD" w:rsidP="00A308CB">
            <w:pPr>
              <w:keepLines/>
              <w:jc w:val="center"/>
              <w:rPr>
                <w:rFonts w:ascii="Arial Narrow" w:hAnsi="Arial Narrow" w:cs="Arial"/>
                <w:sz w:val="20"/>
                <w:szCs w:val="20"/>
              </w:rPr>
            </w:pPr>
            <w:r>
              <w:rPr>
                <w:rFonts w:ascii="Arial Narrow" w:hAnsi="Arial Narrow" w:cs="Arial"/>
                <w:sz w:val="20"/>
                <w:szCs w:val="20"/>
              </w:rPr>
              <w:t>0</w:t>
            </w:r>
          </w:p>
        </w:tc>
        <w:tc>
          <w:tcPr>
            <w:tcW w:w="1838" w:type="dxa"/>
            <w:vAlign w:val="center"/>
          </w:tcPr>
          <w:p w14:paraId="4C135BD4" w14:textId="77777777" w:rsidR="000C14CD" w:rsidRPr="001428E9" w:rsidRDefault="000C14CD" w:rsidP="00A308CB">
            <w:pPr>
              <w:keepLines/>
              <w:rPr>
                <w:rFonts w:ascii="Arial Narrow" w:hAnsi="Arial Narrow" w:cs="Arial"/>
                <w:sz w:val="20"/>
                <w:szCs w:val="20"/>
              </w:rPr>
            </w:pPr>
            <w:r>
              <w:rPr>
                <w:rFonts w:ascii="Arial Narrow" w:hAnsi="Arial Narrow" w:cs="Arial"/>
                <w:sz w:val="20"/>
                <w:szCs w:val="20"/>
              </w:rPr>
              <w:t>METHADONE-AFT</w:t>
            </w:r>
          </w:p>
        </w:tc>
      </w:tr>
      <w:tr w:rsidR="000C14CD" w:rsidRPr="001428E9" w14:paraId="258903CF" w14:textId="77777777" w:rsidTr="000C14CD">
        <w:tblPrEx>
          <w:tblCellMar>
            <w:top w:w="15" w:type="dxa"/>
            <w:bottom w:w="15" w:type="dxa"/>
          </w:tblCellMar>
          <w:tblLook w:val="04A0" w:firstRow="1" w:lastRow="0" w:firstColumn="1" w:lastColumn="0" w:noHBand="0" w:noVBand="1"/>
        </w:tblPrEx>
        <w:trPr>
          <w:trHeight w:val="20"/>
        </w:trPr>
        <w:tc>
          <w:tcPr>
            <w:tcW w:w="9021" w:type="dxa"/>
            <w:gridSpan w:val="8"/>
            <w:tcBorders>
              <w:top w:val="single" w:sz="4" w:space="0" w:color="auto"/>
              <w:left w:val="single" w:sz="4" w:space="0" w:color="auto"/>
              <w:right w:val="single" w:sz="4" w:space="0" w:color="auto"/>
            </w:tcBorders>
            <w:vAlign w:val="center"/>
          </w:tcPr>
          <w:p w14:paraId="041E9D66" w14:textId="77777777" w:rsidR="000C14CD" w:rsidRPr="001428E9" w:rsidRDefault="000C14CD" w:rsidP="00A308CB">
            <w:pPr>
              <w:rPr>
                <w:rFonts w:ascii="Arial Narrow" w:hAnsi="Arial Narrow" w:cs="Arial"/>
                <w:sz w:val="20"/>
                <w:szCs w:val="20"/>
              </w:rPr>
            </w:pPr>
          </w:p>
        </w:tc>
      </w:tr>
      <w:tr w:rsidR="000C14CD" w:rsidRPr="001428E9" w14:paraId="57A3C92B" w14:textId="77777777" w:rsidTr="000C14CD">
        <w:tblPrEx>
          <w:tblCellMar>
            <w:top w:w="15" w:type="dxa"/>
            <w:bottom w:w="15" w:type="dxa"/>
          </w:tblCellMar>
          <w:tblLook w:val="04A0" w:firstRow="1" w:lastRow="0" w:firstColumn="1" w:lastColumn="0" w:noHBand="0" w:noVBand="1"/>
        </w:tblPrEx>
        <w:trPr>
          <w:trHeight w:val="20"/>
        </w:trPr>
        <w:tc>
          <w:tcPr>
            <w:tcW w:w="9021" w:type="dxa"/>
            <w:gridSpan w:val="8"/>
            <w:tcBorders>
              <w:top w:val="single" w:sz="4" w:space="0" w:color="auto"/>
              <w:left w:val="single" w:sz="4" w:space="0" w:color="auto"/>
              <w:right w:val="single" w:sz="4" w:space="0" w:color="auto"/>
            </w:tcBorders>
            <w:vAlign w:val="center"/>
          </w:tcPr>
          <w:p w14:paraId="1463E70E" w14:textId="77777777" w:rsidR="000C14CD" w:rsidRPr="001428E9" w:rsidRDefault="000C14CD" w:rsidP="00A308CB">
            <w:pPr>
              <w:keepLines/>
              <w:rPr>
                <w:rFonts w:ascii="Arial Narrow" w:hAnsi="Arial Narrow" w:cs="Arial"/>
                <w:b/>
                <w:sz w:val="20"/>
                <w:szCs w:val="20"/>
              </w:rPr>
            </w:pPr>
            <w:r w:rsidRPr="001428E9">
              <w:rPr>
                <w:rFonts w:ascii="Arial Narrow" w:hAnsi="Arial Narrow"/>
                <w:b/>
                <w:sz w:val="20"/>
                <w:szCs w:val="20"/>
              </w:rPr>
              <w:t xml:space="preserve">Restriction </w:t>
            </w:r>
            <w:r w:rsidRPr="00C432E7">
              <w:rPr>
                <w:rFonts w:ascii="Arial Narrow" w:hAnsi="Arial Narrow"/>
                <w:b/>
                <w:sz w:val="20"/>
                <w:szCs w:val="20"/>
              </w:rPr>
              <w:t>Summary</w:t>
            </w:r>
            <w:r>
              <w:rPr>
                <w:rFonts w:ascii="Arial Narrow" w:hAnsi="Arial Narrow"/>
                <w:b/>
                <w:sz w:val="20"/>
                <w:szCs w:val="20"/>
              </w:rPr>
              <w:t>:</w:t>
            </w:r>
            <w:r w:rsidRPr="00D858D2">
              <w:rPr>
                <w:rFonts w:ascii="Arial Narrow" w:hAnsi="Arial Narrow"/>
                <w:b/>
                <w:sz w:val="20"/>
                <w:szCs w:val="20"/>
              </w:rPr>
              <w:t xml:space="preserve"> 15995</w:t>
            </w:r>
            <w:r>
              <w:rPr>
                <w:rFonts w:ascii="Arial Narrow" w:hAnsi="Arial Narrow"/>
                <w:b/>
                <w:sz w:val="20"/>
                <w:szCs w:val="20"/>
              </w:rPr>
              <w:t xml:space="preserve"> </w:t>
            </w:r>
            <w:r w:rsidRPr="00C432E7">
              <w:rPr>
                <w:rFonts w:ascii="Arial Narrow" w:hAnsi="Arial Narrow"/>
                <w:b/>
                <w:sz w:val="20"/>
                <w:szCs w:val="20"/>
              </w:rPr>
              <w:t>/ Treatment of Concept:</w:t>
            </w:r>
            <w:r w:rsidRPr="00D858D2">
              <w:rPr>
                <w:rFonts w:ascii="Arial Narrow" w:hAnsi="Arial Narrow"/>
                <w:b/>
                <w:sz w:val="20"/>
                <w:szCs w:val="20"/>
              </w:rPr>
              <w:t>15996</w:t>
            </w:r>
          </w:p>
        </w:tc>
      </w:tr>
      <w:tr w:rsidR="000C14CD" w:rsidRPr="001428E9" w14:paraId="5B7DCEFA" w14:textId="77777777" w:rsidTr="007876D0">
        <w:tblPrEx>
          <w:tblCellMar>
            <w:top w:w="15" w:type="dxa"/>
            <w:bottom w:w="15" w:type="dxa"/>
          </w:tblCellMar>
          <w:tblLook w:val="04A0" w:firstRow="1" w:lastRow="0" w:firstColumn="1" w:lastColumn="0" w:noHBand="0" w:noVBand="1"/>
        </w:tblPrEx>
        <w:trPr>
          <w:trHeight w:val="20"/>
        </w:trPr>
        <w:tc>
          <w:tcPr>
            <w:tcW w:w="1275" w:type="dxa"/>
            <w:gridSpan w:val="2"/>
            <w:vMerge w:val="restart"/>
            <w:tcBorders>
              <w:top w:val="single" w:sz="4" w:space="0" w:color="auto"/>
              <w:left w:val="single" w:sz="4" w:space="0" w:color="auto"/>
              <w:right w:val="single" w:sz="4" w:space="0" w:color="auto"/>
            </w:tcBorders>
          </w:tcPr>
          <w:p w14:paraId="41696298" w14:textId="77777777" w:rsidR="000C14CD" w:rsidRPr="001428E9" w:rsidRDefault="000C14CD" w:rsidP="00A308CB">
            <w:pPr>
              <w:jc w:val="center"/>
              <w:rPr>
                <w:rFonts w:ascii="Arial Narrow" w:hAnsi="Arial Narrow" w:cs="Arial"/>
                <w:b/>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r w:rsidRPr="001428E9">
              <w:rPr>
                <w:rFonts w:ascii="Arial Narrow" w:hAnsi="Arial Narrow" w:cs="Arial"/>
                <w:sz w:val="20"/>
                <w:szCs w:val="20"/>
              </w:rPr>
              <w:t>(for internal Dept. use)</w:t>
            </w: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02F8313F" w14:textId="77777777" w:rsidR="000C14CD" w:rsidRPr="001428E9" w:rsidRDefault="000C14CD" w:rsidP="00A308CB">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p>
          <w:p w14:paraId="0685F111" w14:textId="77777777" w:rsidR="000C14CD" w:rsidRPr="001428E9" w:rsidRDefault="000C14CD" w:rsidP="00A308CB">
            <w:pPr>
              <w:keepLines/>
              <w:jc w:val="left"/>
              <w:rPr>
                <w:rFonts w:ascii="Arial Narrow" w:hAnsi="Arial Narrow" w:cs="Arial"/>
                <w:sz w:val="20"/>
                <w:szCs w:val="20"/>
              </w:rPr>
            </w:pP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0C14CD" w:rsidRPr="001428E9" w14:paraId="47F9E4FE" w14:textId="77777777" w:rsidTr="007876D0">
        <w:tblPrEx>
          <w:tblCellMar>
            <w:top w:w="15" w:type="dxa"/>
            <w:bottom w:w="15" w:type="dxa"/>
          </w:tblCellMar>
          <w:tblLook w:val="04A0" w:firstRow="1" w:lastRow="0" w:firstColumn="1" w:lastColumn="0" w:noHBand="0" w:noVBand="1"/>
        </w:tblPrEx>
        <w:trPr>
          <w:trHeight w:val="20"/>
        </w:trPr>
        <w:tc>
          <w:tcPr>
            <w:tcW w:w="1275" w:type="dxa"/>
            <w:gridSpan w:val="2"/>
            <w:vMerge/>
            <w:tcBorders>
              <w:left w:val="single" w:sz="4" w:space="0" w:color="auto"/>
              <w:right w:val="single" w:sz="4" w:space="0" w:color="auto"/>
            </w:tcBorders>
          </w:tcPr>
          <w:p w14:paraId="047A2754" w14:textId="77777777" w:rsidR="000C14CD" w:rsidRPr="001428E9" w:rsidRDefault="000C14CD" w:rsidP="00A308CB">
            <w:pPr>
              <w:rPr>
                <w:rFonts w:ascii="Arial Narrow" w:hAnsi="Arial Narrow" w:cs="Arial"/>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5D4375E4" w14:textId="77777777" w:rsidR="000C14CD" w:rsidRDefault="000C14CD" w:rsidP="00A308CB">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p>
          <w:p w14:paraId="000E8466" w14:textId="77777777" w:rsidR="000C14CD" w:rsidRPr="001428E9" w:rsidRDefault="000C14CD" w:rsidP="00A308CB">
            <w:pPr>
              <w:keepLines/>
              <w:rPr>
                <w:rFonts w:ascii="Arial Narrow" w:hAnsi="Arial Narrow" w:cs="Arial"/>
                <w:b/>
                <w:sz w:val="20"/>
                <w:szCs w:val="20"/>
              </w:rPr>
            </w:pPr>
            <w:r w:rsidRPr="001428E9">
              <w:rPr>
                <w:rFonts w:ascii="Arial Narrow" w:hAnsi="Arial Narrow" w:cs="Arial"/>
                <w:b/>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0C14CD" w:rsidRPr="00D56F94" w14:paraId="2834177F" w14:textId="77777777" w:rsidTr="007876D0">
        <w:tblPrEx>
          <w:tblCellMar>
            <w:top w:w="15" w:type="dxa"/>
            <w:bottom w:w="15" w:type="dxa"/>
          </w:tblCellMar>
          <w:tblLook w:val="04A0" w:firstRow="1" w:lastRow="0" w:firstColumn="1" w:lastColumn="0" w:noHBand="0" w:noVBand="1"/>
        </w:tblPrEx>
        <w:trPr>
          <w:trHeight w:val="20"/>
        </w:trPr>
        <w:tc>
          <w:tcPr>
            <w:tcW w:w="1275" w:type="dxa"/>
            <w:gridSpan w:val="2"/>
            <w:vMerge/>
            <w:tcBorders>
              <w:left w:val="single" w:sz="4" w:space="0" w:color="auto"/>
              <w:right w:val="single" w:sz="4" w:space="0" w:color="auto"/>
            </w:tcBorders>
          </w:tcPr>
          <w:p w14:paraId="58D2B6FF" w14:textId="77777777" w:rsidR="000C14CD" w:rsidRPr="001428E9" w:rsidRDefault="000C14CD" w:rsidP="00A308CB">
            <w:pPr>
              <w:rPr>
                <w:rFonts w:ascii="Arial Narrow" w:hAnsi="Arial Narrow" w:cs="Arial"/>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26C32A22" w14:textId="41D12C6C" w:rsidR="000C14CD" w:rsidRPr="00451DE0" w:rsidRDefault="000C14CD" w:rsidP="00A308CB">
            <w:pPr>
              <w:keepLines/>
              <w:jc w:val="left"/>
              <w:rPr>
                <w:rFonts w:ascii="Arial Narrow" w:eastAsia="Calibri" w:hAnsi="Arial Narrow" w:cs="Arial"/>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br/>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0847DB">
              <w:rPr>
                <w:rFonts w:ascii="Arial Narrow" w:eastAsia="Calibri" w:hAnsi="Arial Narrow" w:cs="Arial"/>
                <w:sz w:val="20"/>
                <w:szCs w:val="20"/>
              </w:rPr>
              <w:t xml:space="preserve">Authority Required (Streamlined) </w:t>
            </w:r>
          </w:p>
        </w:tc>
      </w:tr>
      <w:tr w:rsidR="000C14CD" w:rsidRPr="001428E9" w14:paraId="492F8B0C" w14:textId="77777777" w:rsidTr="007876D0">
        <w:tblPrEx>
          <w:tblCellMar>
            <w:top w:w="15" w:type="dxa"/>
            <w:bottom w:w="15" w:type="dxa"/>
          </w:tblCellMar>
          <w:tblLook w:val="04A0" w:firstRow="1" w:lastRow="0" w:firstColumn="1" w:lastColumn="0" w:noHBand="0" w:noVBand="1"/>
        </w:tblPrEx>
        <w:trPr>
          <w:cantSplit/>
          <w:trHeight w:val="20"/>
        </w:trPr>
        <w:tc>
          <w:tcPr>
            <w:tcW w:w="1275" w:type="dxa"/>
            <w:gridSpan w:val="2"/>
            <w:vAlign w:val="center"/>
          </w:tcPr>
          <w:p w14:paraId="71761F00" w14:textId="1B5EA6E3" w:rsidR="000C14CD" w:rsidRDefault="000C14CD" w:rsidP="00A308CB">
            <w:pPr>
              <w:keepLines/>
              <w:jc w:val="center"/>
              <w:rPr>
                <w:rFonts w:ascii="Arial Narrow" w:hAnsi="Arial Narrow"/>
                <w:sz w:val="20"/>
                <w:szCs w:val="20"/>
              </w:rPr>
            </w:pPr>
          </w:p>
        </w:tc>
        <w:tc>
          <w:tcPr>
            <w:tcW w:w="7746" w:type="dxa"/>
            <w:gridSpan w:val="6"/>
            <w:vAlign w:val="center"/>
          </w:tcPr>
          <w:p w14:paraId="5B904839" w14:textId="77777777" w:rsidR="000C14CD" w:rsidRPr="00AA3202" w:rsidRDefault="000C14CD" w:rsidP="00A308CB">
            <w:pPr>
              <w:keepLines/>
              <w:rPr>
                <w:rFonts w:ascii="Arial Narrow" w:hAnsi="Arial Narrow"/>
                <w:sz w:val="20"/>
                <w:szCs w:val="20"/>
              </w:rPr>
            </w:pPr>
            <w:r>
              <w:rPr>
                <w:rFonts w:ascii="Arial Narrow" w:hAnsi="Arial Narrow"/>
                <w:b/>
                <w:bCs/>
                <w:sz w:val="20"/>
                <w:szCs w:val="20"/>
              </w:rPr>
              <w:t xml:space="preserve">Caution: </w:t>
            </w:r>
            <w:r>
              <w:rPr>
                <w:rFonts w:ascii="Arial Narrow" w:hAnsi="Arial Narrow"/>
                <w:sz w:val="20"/>
                <w:szCs w:val="20"/>
              </w:rPr>
              <w:t>The risk of drug dependence is high.</w:t>
            </w:r>
          </w:p>
        </w:tc>
      </w:tr>
      <w:tr w:rsidR="000C14CD" w:rsidRPr="001428E9" w14:paraId="74A18D9D" w14:textId="77777777" w:rsidTr="007876D0">
        <w:tblPrEx>
          <w:tblCellMar>
            <w:top w:w="15" w:type="dxa"/>
            <w:bottom w:w="15" w:type="dxa"/>
          </w:tblCellMar>
          <w:tblLook w:val="04A0" w:firstRow="1" w:lastRow="0" w:firstColumn="1" w:lastColumn="0" w:noHBand="0" w:noVBand="1"/>
        </w:tblPrEx>
        <w:trPr>
          <w:trHeight w:val="20"/>
        </w:trPr>
        <w:tc>
          <w:tcPr>
            <w:tcW w:w="491" w:type="dxa"/>
            <w:vMerge w:val="restart"/>
            <w:tcBorders>
              <w:left w:val="single" w:sz="4" w:space="0" w:color="auto"/>
              <w:right w:val="single" w:sz="4" w:space="0" w:color="auto"/>
            </w:tcBorders>
            <w:textDirection w:val="btLr"/>
            <w:vAlign w:val="center"/>
          </w:tcPr>
          <w:p w14:paraId="3FF62B1E" w14:textId="77777777" w:rsidR="000C14CD" w:rsidRPr="00432EBF" w:rsidRDefault="000C14CD" w:rsidP="00A308CB">
            <w:pPr>
              <w:jc w:val="center"/>
              <w:rPr>
                <w:rFonts w:ascii="Arial Narrow" w:hAnsi="Arial Narrow" w:cs="Arial"/>
                <w:sz w:val="20"/>
                <w:szCs w:val="20"/>
              </w:rPr>
            </w:pPr>
            <w:r w:rsidRPr="00432EBF">
              <w:rPr>
                <w:rFonts w:ascii="Arial Narrow" w:hAnsi="Arial Narrow" w:cs="Arial"/>
                <w:sz w:val="20"/>
                <w:szCs w:val="20"/>
              </w:rPr>
              <w:t>Prescribing rule level</w:t>
            </w:r>
          </w:p>
        </w:tc>
        <w:tc>
          <w:tcPr>
            <w:tcW w:w="784" w:type="dxa"/>
            <w:vAlign w:val="center"/>
          </w:tcPr>
          <w:p w14:paraId="61E0FCFB" w14:textId="19350CFD" w:rsidR="000C14CD" w:rsidRPr="001428E9" w:rsidRDefault="000C14CD" w:rsidP="00A308CB">
            <w:pPr>
              <w:jc w:val="center"/>
              <w:rPr>
                <w:rFonts w:ascii="Arial Narrow" w:hAnsi="Arial Narrow"/>
                <w:color w:val="333333"/>
                <w:sz w:val="20"/>
                <w:szCs w:val="20"/>
              </w:rPr>
            </w:pPr>
          </w:p>
        </w:tc>
        <w:tc>
          <w:tcPr>
            <w:tcW w:w="7746" w:type="dxa"/>
            <w:gridSpan w:val="6"/>
            <w:vAlign w:val="center"/>
          </w:tcPr>
          <w:p w14:paraId="0F561648" w14:textId="77777777" w:rsidR="000C14CD" w:rsidRPr="00AA3202" w:rsidRDefault="000C14CD" w:rsidP="00A308CB">
            <w:pPr>
              <w:rPr>
                <w:rFonts w:ascii="Arial Narrow" w:hAnsi="Arial Narrow"/>
                <w:sz w:val="20"/>
                <w:szCs w:val="20"/>
              </w:rPr>
            </w:pPr>
            <w:r w:rsidRPr="00432EBF">
              <w:rPr>
                <w:rFonts w:ascii="Arial Narrow" w:hAnsi="Arial Narrow"/>
                <w:b/>
                <w:bCs/>
                <w:sz w:val="20"/>
                <w:szCs w:val="20"/>
              </w:rPr>
              <w:t>Administrative Advice:</w:t>
            </w:r>
            <w:r>
              <w:rPr>
                <w:rFonts w:ascii="Arial Narrow" w:hAnsi="Arial Narrow"/>
                <w:sz w:val="20"/>
                <w:szCs w:val="20"/>
              </w:rPr>
              <w:t xml:space="preserve"> This treatment is not suitable for ‘as-required’ pain relief</w:t>
            </w:r>
          </w:p>
        </w:tc>
      </w:tr>
      <w:tr w:rsidR="000C14CD" w:rsidRPr="001428E9" w14:paraId="5982083E" w14:textId="77777777" w:rsidTr="007876D0">
        <w:tblPrEx>
          <w:tblCellMar>
            <w:top w:w="15" w:type="dxa"/>
            <w:bottom w:w="15" w:type="dxa"/>
          </w:tblCellMar>
          <w:tblLook w:val="04A0" w:firstRow="1" w:lastRow="0" w:firstColumn="1" w:lastColumn="0" w:noHBand="0" w:noVBand="1"/>
        </w:tblPrEx>
        <w:trPr>
          <w:trHeight w:val="20"/>
        </w:trPr>
        <w:tc>
          <w:tcPr>
            <w:tcW w:w="491" w:type="dxa"/>
            <w:vMerge/>
            <w:tcBorders>
              <w:left w:val="single" w:sz="4" w:space="0" w:color="auto"/>
              <w:right w:val="single" w:sz="4" w:space="0" w:color="auto"/>
            </w:tcBorders>
          </w:tcPr>
          <w:p w14:paraId="74C2A87B" w14:textId="77777777" w:rsidR="000C14CD" w:rsidRPr="00432EBF" w:rsidRDefault="000C14CD" w:rsidP="00A308CB">
            <w:pPr>
              <w:rPr>
                <w:rFonts w:ascii="Arial Narrow" w:hAnsi="Arial Narrow" w:cs="Arial"/>
                <w:sz w:val="20"/>
                <w:szCs w:val="20"/>
              </w:rPr>
            </w:pPr>
          </w:p>
        </w:tc>
        <w:tc>
          <w:tcPr>
            <w:tcW w:w="784" w:type="dxa"/>
            <w:vAlign w:val="center"/>
          </w:tcPr>
          <w:p w14:paraId="6AC67EFA" w14:textId="233FF411" w:rsidR="000C14CD" w:rsidRPr="00432EBF" w:rsidRDefault="000C14CD" w:rsidP="00A308CB">
            <w:pPr>
              <w:jc w:val="center"/>
              <w:rPr>
                <w:rFonts w:ascii="Arial Narrow" w:hAnsi="Arial Narrow"/>
                <w:sz w:val="20"/>
                <w:szCs w:val="20"/>
              </w:rPr>
            </w:pPr>
          </w:p>
        </w:tc>
        <w:tc>
          <w:tcPr>
            <w:tcW w:w="7746" w:type="dxa"/>
            <w:gridSpan w:val="6"/>
            <w:vAlign w:val="center"/>
          </w:tcPr>
          <w:p w14:paraId="5C02263E" w14:textId="77777777" w:rsidR="000C14CD" w:rsidRPr="00432EBF" w:rsidRDefault="000C14CD" w:rsidP="00A308CB">
            <w:pPr>
              <w:rPr>
                <w:rFonts w:ascii="Arial Narrow" w:hAnsi="Arial Narrow"/>
                <w:b/>
                <w:bCs/>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sidRPr="00AA3202">
              <w:rPr>
                <w:rFonts w:ascii="Arial Narrow" w:hAnsi="Arial Narrow"/>
                <w:sz w:val="20"/>
                <w:szCs w:val="20"/>
              </w:rPr>
              <w:t>This treatment is not recommended for use in ambulant patients</w:t>
            </w:r>
          </w:p>
        </w:tc>
      </w:tr>
      <w:tr w:rsidR="000C14CD" w:rsidRPr="001428E9" w14:paraId="3D871F51" w14:textId="77777777" w:rsidTr="007876D0">
        <w:tblPrEx>
          <w:tblCellMar>
            <w:top w:w="15" w:type="dxa"/>
            <w:bottom w:w="15" w:type="dxa"/>
          </w:tblCellMar>
          <w:tblLook w:val="04A0" w:firstRow="1" w:lastRow="0" w:firstColumn="1" w:lastColumn="0" w:noHBand="0" w:noVBand="1"/>
        </w:tblPrEx>
        <w:trPr>
          <w:trHeight w:val="20"/>
        </w:trPr>
        <w:tc>
          <w:tcPr>
            <w:tcW w:w="491" w:type="dxa"/>
            <w:vMerge/>
            <w:tcBorders>
              <w:left w:val="single" w:sz="4" w:space="0" w:color="auto"/>
              <w:right w:val="single" w:sz="4" w:space="0" w:color="auto"/>
            </w:tcBorders>
          </w:tcPr>
          <w:p w14:paraId="6C8305B1" w14:textId="77777777" w:rsidR="000C14CD" w:rsidRPr="00432EBF" w:rsidRDefault="000C14CD" w:rsidP="00A308CB">
            <w:pPr>
              <w:rPr>
                <w:rFonts w:ascii="Arial Narrow" w:hAnsi="Arial Narrow" w:cs="Arial"/>
                <w:sz w:val="20"/>
                <w:szCs w:val="20"/>
              </w:rPr>
            </w:pPr>
          </w:p>
        </w:tc>
        <w:tc>
          <w:tcPr>
            <w:tcW w:w="784" w:type="dxa"/>
            <w:vAlign w:val="center"/>
          </w:tcPr>
          <w:p w14:paraId="797E48F7" w14:textId="678305D1" w:rsidR="000C14CD" w:rsidRPr="00432EBF" w:rsidRDefault="000C14CD" w:rsidP="00A308CB">
            <w:pPr>
              <w:jc w:val="center"/>
              <w:rPr>
                <w:rFonts w:ascii="Arial Narrow" w:hAnsi="Arial Narrow"/>
                <w:sz w:val="20"/>
                <w:szCs w:val="20"/>
              </w:rPr>
            </w:pPr>
          </w:p>
        </w:tc>
        <w:tc>
          <w:tcPr>
            <w:tcW w:w="7746" w:type="dxa"/>
            <w:gridSpan w:val="6"/>
            <w:vAlign w:val="center"/>
          </w:tcPr>
          <w:p w14:paraId="7CC21AB2" w14:textId="77777777" w:rsidR="000C14CD" w:rsidRPr="00AA3202" w:rsidRDefault="000C14CD" w:rsidP="00A308CB">
            <w:pPr>
              <w:rPr>
                <w:rFonts w:ascii="Arial Narrow" w:hAnsi="Arial Narrow"/>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Pr>
                <w:rFonts w:ascii="Arial Narrow" w:hAnsi="Arial Narrow"/>
                <w:sz w:val="20"/>
                <w:szCs w:val="20"/>
              </w:rPr>
              <w:t>Consider consultation with a multidisciplinary pain service prior to, or after commencement of this medication</w:t>
            </w:r>
          </w:p>
        </w:tc>
      </w:tr>
      <w:tr w:rsidR="000C14CD" w:rsidRPr="001428E9" w14:paraId="5B87E6AA" w14:textId="77777777" w:rsidTr="007876D0">
        <w:tblPrEx>
          <w:tblCellMar>
            <w:top w:w="15" w:type="dxa"/>
            <w:bottom w:w="15" w:type="dxa"/>
          </w:tblCellMar>
          <w:tblLook w:val="04A0" w:firstRow="1" w:lastRow="0" w:firstColumn="1" w:lastColumn="0" w:noHBand="0" w:noVBand="1"/>
        </w:tblPrEx>
        <w:trPr>
          <w:trHeight w:val="20"/>
        </w:trPr>
        <w:tc>
          <w:tcPr>
            <w:tcW w:w="491" w:type="dxa"/>
            <w:vMerge/>
            <w:tcBorders>
              <w:left w:val="single" w:sz="4" w:space="0" w:color="auto"/>
              <w:bottom w:val="single" w:sz="4" w:space="0" w:color="auto"/>
              <w:right w:val="single" w:sz="4" w:space="0" w:color="auto"/>
            </w:tcBorders>
          </w:tcPr>
          <w:p w14:paraId="03C93BA0" w14:textId="77777777" w:rsidR="000C14CD" w:rsidRPr="00432EBF" w:rsidRDefault="000C14CD" w:rsidP="00A308CB">
            <w:pPr>
              <w:rPr>
                <w:rFonts w:ascii="Arial Narrow" w:hAnsi="Arial Narrow" w:cs="Arial"/>
                <w:sz w:val="20"/>
                <w:szCs w:val="20"/>
              </w:rPr>
            </w:pPr>
          </w:p>
        </w:tc>
        <w:tc>
          <w:tcPr>
            <w:tcW w:w="784" w:type="dxa"/>
            <w:vAlign w:val="center"/>
          </w:tcPr>
          <w:p w14:paraId="5A010A64" w14:textId="2883145E" w:rsidR="000C14CD" w:rsidRDefault="000C14CD" w:rsidP="00A308CB">
            <w:pPr>
              <w:jc w:val="center"/>
              <w:rPr>
                <w:rFonts w:ascii="Arial Narrow" w:hAnsi="Arial Narrow"/>
                <w:sz w:val="20"/>
                <w:szCs w:val="20"/>
              </w:rPr>
            </w:pPr>
          </w:p>
        </w:tc>
        <w:tc>
          <w:tcPr>
            <w:tcW w:w="7746" w:type="dxa"/>
            <w:gridSpan w:val="6"/>
            <w:vAlign w:val="center"/>
          </w:tcPr>
          <w:p w14:paraId="74F8910A" w14:textId="77777777" w:rsidR="000C14CD" w:rsidRPr="00A60A9B" w:rsidRDefault="000C14CD" w:rsidP="00A308CB">
            <w:pPr>
              <w:rPr>
                <w:rFonts w:ascii="Arial Narrow" w:hAnsi="Arial Narrow"/>
                <w:sz w:val="20"/>
                <w:szCs w:val="20"/>
              </w:rPr>
            </w:pPr>
            <w:r>
              <w:rPr>
                <w:rFonts w:ascii="Arial Narrow" w:hAnsi="Arial Narrow"/>
                <w:b/>
                <w:bCs/>
                <w:sz w:val="20"/>
                <w:szCs w:val="20"/>
              </w:rPr>
              <w:t>Administrative Advice</w:t>
            </w:r>
            <w:r>
              <w:rPr>
                <w:rFonts w:ascii="Arial Narrow" w:hAnsi="Arial Narrow"/>
                <w:sz w:val="20"/>
                <w:szCs w:val="20"/>
              </w:rPr>
              <w:t xml:space="preserve">: </w:t>
            </w:r>
            <w:r w:rsidRPr="00A60A9B">
              <w:rPr>
                <w:rFonts w:ascii="Arial Narrow" w:hAnsi="Arial Narrow"/>
                <w:sz w:val="20"/>
                <w:szCs w:val="20"/>
              </w:rPr>
              <w:t>Real time online applications for increased maximum quantities/repeats may be made using the Online PBS Authorities system (see www.servicesaustralia.gov.au/organisations/health-professionals/services/medicare/hpos/services/request-authority-using-online-pbs-authorities-hpos).</w:t>
            </w:r>
          </w:p>
          <w:p w14:paraId="7EE1305A" w14:textId="77777777" w:rsidR="000C14CD" w:rsidRPr="00A60A9B" w:rsidRDefault="000C14CD" w:rsidP="00A308CB">
            <w:pPr>
              <w:rPr>
                <w:rFonts w:ascii="Arial Narrow" w:hAnsi="Arial Narrow"/>
                <w:sz w:val="20"/>
                <w:szCs w:val="20"/>
              </w:rPr>
            </w:pPr>
            <w:r w:rsidRPr="00A60A9B">
              <w:rPr>
                <w:rFonts w:ascii="Arial Narrow" w:hAnsi="Arial Narrow"/>
                <w:sz w:val="20"/>
                <w:szCs w:val="20"/>
              </w:rPr>
              <w:t>Phone applications for increased maximum quantities/repeats may be made by calling 1800 888 333.</w:t>
            </w:r>
          </w:p>
          <w:p w14:paraId="2008F97D" w14:textId="77777777" w:rsidR="000C14CD" w:rsidRPr="00A60A9B" w:rsidRDefault="000C14CD" w:rsidP="00A308CB">
            <w:pPr>
              <w:rPr>
                <w:rFonts w:ascii="Arial Narrow" w:hAnsi="Arial Narrow"/>
                <w:sz w:val="20"/>
                <w:szCs w:val="20"/>
              </w:rPr>
            </w:pPr>
            <w:r w:rsidRPr="00A60A9B">
              <w:rPr>
                <w:rFonts w:ascii="Arial Narrow" w:hAnsi="Arial Narrow"/>
                <w:sz w:val="20"/>
                <w:szCs w:val="20"/>
              </w:rPr>
              <w:t>Written authority applications for increased maximum quantities/repeats can be uploaded online through HPOS form upload or mailed to:</w:t>
            </w:r>
          </w:p>
          <w:p w14:paraId="1357EF94" w14:textId="77777777" w:rsidR="000C14CD" w:rsidRPr="00A60A9B" w:rsidRDefault="000C14CD" w:rsidP="00A308CB">
            <w:pPr>
              <w:rPr>
                <w:rFonts w:ascii="Arial Narrow" w:hAnsi="Arial Narrow"/>
                <w:sz w:val="20"/>
                <w:szCs w:val="20"/>
              </w:rPr>
            </w:pPr>
            <w:r w:rsidRPr="00A60A9B">
              <w:rPr>
                <w:rFonts w:ascii="Arial Narrow" w:hAnsi="Arial Narrow"/>
                <w:sz w:val="20"/>
                <w:szCs w:val="20"/>
              </w:rPr>
              <w:t>Pharmaceutical Benefits Scheme</w:t>
            </w:r>
          </w:p>
          <w:p w14:paraId="2F8EB8F7" w14:textId="77777777" w:rsidR="000C14CD" w:rsidRPr="00A60A9B" w:rsidRDefault="000C14CD" w:rsidP="00A308CB">
            <w:pPr>
              <w:rPr>
                <w:rFonts w:ascii="Arial Narrow" w:hAnsi="Arial Narrow"/>
                <w:sz w:val="20"/>
                <w:szCs w:val="20"/>
              </w:rPr>
            </w:pPr>
            <w:r w:rsidRPr="00A60A9B">
              <w:rPr>
                <w:rFonts w:ascii="Arial Narrow" w:hAnsi="Arial Narrow"/>
                <w:sz w:val="20"/>
                <w:szCs w:val="20"/>
              </w:rPr>
              <w:t>Reply Paid 9857</w:t>
            </w:r>
          </w:p>
          <w:p w14:paraId="115A980D" w14:textId="77777777" w:rsidR="000C14CD" w:rsidRPr="00AA3202" w:rsidRDefault="000C14CD" w:rsidP="00A308CB">
            <w:pPr>
              <w:rPr>
                <w:rFonts w:ascii="Arial Narrow" w:hAnsi="Arial Narrow"/>
                <w:sz w:val="20"/>
                <w:szCs w:val="20"/>
              </w:rPr>
            </w:pPr>
            <w:r w:rsidRPr="00A60A9B">
              <w:rPr>
                <w:rFonts w:ascii="Arial Narrow" w:hAnsi="Arial Narrow"/>
                <w:sz w:val="20"/>
                <w:szCs w:val="20"/>
              </w:rPr>
              <w:t>[Your capital city]</w:t>
            </w:r>
          </w:p>
        </w:tc>
      </w:tr>
      <w:tr w:rsidR="000C14CD" w:rsidRPr="001428E9" w14:paraId="4224D182" w14:textId="77777777" w:rsidTr="00025E84">
        <w:tblPrEx>
          <w:tblCellMar>
            <w:top w:w="15" w:type="dxa"/>
            <w:bottom w:w="15" w:type="dxa"/>
          </w:tblCellMar>
        </w:tblPrEx>
        <w:trPr>
          <w:cantSplit/>
          <w:trHeight w:val="20"/>
        </w:trPr>
        <w:tc>
          <w:tcPr>
            <w:tcW w:w="1275" w:type="dxa"/>
            <w:gridSpan w:val="2"/>
            <w:vAlign w:val="center"/>
          </w:tcPr>
          <w:p w14:paraId="07A8ED97" w14:textId="47B13423" w:rsidR="000C14CD" w:rsidRPr="00432EBF" w:rsidRDefault="000C14CD" w:rsidP="00A308CB">
            <w:pPr>
              <w:keepLines/>
              <w:jc w:val="center"/>
              <w:rPr>
                <w:rFonts w:ascii="Arial Narrow" w:hAnsi="Arial Narrow"/>
                <w:sz w:val="20"/>
                <w:szCs w:val="20"/>
              </w:rPr>
            </w:pPr>
          </w:p>
        </w:tc>
        <w:tc>
          <w:tcPr>
            <w:tcW w:w="7746" w:type="dxa"/>
            <w:gridSpan w:val="6"/>
            <w:vAlign w:val="center"/>
            <w:hideMark/>
          </w:tcPr>
          <w:p w14:paraId="76AF678F" w14:textId="77777777" w:rsidR="000C14CD" w:rsidRPr="001428E9" w:rsidRDefault="000C14CD" w:rsidP="00A308CB">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Pr>
                <w:rFonts w:ascii="Arial Narrow" w:hAnsi="Arial Narrow"/>
                <w:sz w:val="20"/>
                <w:szCs w:val="20"/>
              </w:rPr>
              <w:t xml:space="preserve">Chronic severe disabling pain </w:t>
            </w:r>
          </w:p>
        </w:tc>
      </w:tr>
      <w:tr w:rsidR="000C14CD" w:rsidRPr="001428E9" w14:paraId="578F6692" w14:textId="77777777" w:rsidTr="007876D0">
        <w:tblPrEx>
          <w:tblCellMar>
            <w:top w:w="15" w:type="dxa"/>
            <w:bottom w:w="15" w:type="dxa"/>
          </w:tblCellMar>
          <w:tblLook w:val="04A0" w:firstRow="1" w:lastRow="0" w:firstColumn="1" w:lastColumn="0" w:noHBand="0" w:noVBand="1"/>
        </w:tblPrEx>
        <w:trPr>
          <w:cantSplit/>
          <w:trHeight w:val="431"/>
        </w:trPr>
        <w:tc>
          <w:tcPr>
            <w:tcW w:w="1275" w:type="dxa"/>
            <w:gridSpan w:val="2"/>
            <w:vAlign w:val="center"/>
          </w:tcPr>
          <w:p w14:paraId="19864C1C" w14:textId="77777777" w:rsidR="000C14CD" w:rsidRDefault="000C14CD" w:rsidP="00A308CB">
            <w:pPr>
              <w:keepLines/>
              <w:jc w:val="center"/>
              <w:rPr>
                <w:rFonts w:ascii="Arial Narrow" w:hAnsi="Arial Narrow"/>
                <w:sz w:val="20"/>
                <w:szCs w:val="20"/>
              </w:rPr>
            </w:pPr>
          </w:p>
        </w:tc>
        <w:tc>
          <w:tcPr>
            <w:tcW w:w="7746" w:type="dxa"/>
            <w:gridSpan w:val="6"/>
            <w:vAlign w:val="center"/>
          </w:tcPr>
          <w:p w14:paraId="50228684" w14:textId="77777777" w:rsidR="000C14CD" w:rsidRPr="00AA3202" w:rsidRDefault="000C14CD" w:rsidP="00A308CB">
            <w:pPr>
              <w:keepLines/>
              <w:rPr>
                <w:rFonts w:ascii="Arial Narrow" w:hAnsi="Arial Narrow"/>
                <w:sz w:val="20"/>
                <w:szCs w:val="20"/>
              </w:rPr>
            </w:pPr>
            <w:r>
              <w:rPr>
                <w:rFonts w:ascii="Arial Narrow" w:hAnsi="Arial Narrow"/>
                <w:b/>
                <w:bCs/>
                <w:sz w:val="20"/>
                <w:szCs w:val="20"/>
              </w:rPr>
              <w:t xml:space="preserve">Treatment Phase: </w:t>
            </w:r>
            <w:r>
              <w:rPr>
                <w:rFonts w:ascii="Arial Narrow" w:hAnsi="Arial Narrow"/>
                <w:sz w:val="20"/>
                <w:szCs w:val="20"/>
              </w:rPr>
              <w:t>Initial PBS treatment after 1 June 2020 where patient has been treated with opioids for less than 12 months</w:t>
            </w:r>
          </w:p>
        </w:tc>
      </w:tr>
      <w:tr w:rsidR="000C14CD" w:rsidRPr="001428E9" w14:paraId="3540A035" w14:textId="77777777" w:rsidTr="00025E84">
        <w:tblPrEx>
          <w:tblCellMar>
            <w:top w:w="15" w:type="dxa"/>
            <w:bottom w:w="15" w:type="dxa"/>
          </w:tblCellMar>
        </w:tblPrEx>
        <w:trPr>
          <w:cantSplit/>
          <w:trHeight w:val="20"/>
        </w:trPr>
        <w:tc>
          <w:tcPr>
            <w:tcW w:w="1275" w:type="dxa"/>
            <w:gridSpan w:val="2"/>
            <w:vAlign w:val="center"/>
          </w:tcPr>
          <w:p w14:paraId="335EC91B" w14:textId="742A0252" w:rsidR="000C14CD" w:rsidRPr="00432EBF" w:rsidRDefault="000C14CD" w:rsidP="00A308CB">
            <w:pPr>
              <w:jc w:val="center"/>
              <w:rPr>
                <w:rFonts w:ascii="Arial Narrow" w:hAnsi="Arial Narrow"/>
                <w:sz w:val="20"/>
                <w:szCs w:val="20"/>
              </w:rPr>
            </w:pPr>
          </w:p>
        </w:tc>
        <w:tc>
          <w:tcPr>
            <w:tcW w:w="7746" w:type="dxa"/>
            <w:gridSpan w:val="6"/>
            <w:vAlign w:val="center"/>
            <w:hideMark/>
          </w:tcPr>
          <w:p w14:paraId="5655D105" w14:textId="77777777" w:rsidR="000C14CD" w:rsidRPr="001428E9" w:rsidRDefault="000C14CD" w:rsidP="00A308CB">
            <w:pPr>
              <w:rPr>
                <w:rFonts w:ascii="Arial Narrow" w:hAnsi="Arial Narrow"/>
                <w:sz w:val="20"/>
                <w:szCs w:val="20"/>
              </w:rPr>
            </w:pPr>
            <w:r w:rsidRPr="00432EBF">
              <w:rPr>
                <w:rFonts w:ascii="Arial Narrow" w:hAnsi="Arial Narrow"/>
                <w:b/>
                <w:bCs/>
                <w:sz w:val="20"/>
                <w:szCs w:val="20"/>
              </w:rPr>
              <w:t xml:space="preserve">Clinical criteria: </w:t>
            </w:r>
          </w:p>
        </w:tc>
      </w:tr>
      <w:tr w:rsidR="000C14CD" w:rsidRPr="001428E9" w14:paraId="0AC1F207" w14:textId="77777777" w:rsidTr="007876D0">
        <w:tblPrEx>
          <w:tblCellMar>
            <w:top w:w="15" w:type="dxa"/>
            <w:bottom w:w="15" w:type="dxa"/>
          </w:tblCellMar>
          <w:tblLook w:val="04A0" w:firstRow="1" w:lastRow="0" w:firstColumn="1" w:lastColumn="0" w:noHBand="0" w:noVBand="1"/>
        </w:tblPrEx>
        <w:trPr>
          <w:cantSplit/>
          <w:trHeight w:val="20"/>
        </w:trPr>
        <w:tc>
          <w:tcPr>
            <w:tcW w:w="1275" w:type="dxa"/>
            <w:gridSpan w:val="2"/>
            <w:vAlign w:val="center"/>
          </w:tcPr>
          <w:p w14:paraId="0B4EE09B" w14:textId="0AA7FB4E" w:rsidR="000C14CD" w:rsidRDefault="000C14CD" w:rsidP="00A308CB">
            <w:pPr>
              <w:jc w:val="center"/>
              <w:rPr>
                <w:rFonts w:ascii="Arial Narrow" w:hAnsi="Arial Narrow"/>
                <w:sz w:val="20"/>
                <w:szCs w:val="20"/>
              </w:rPr>
            </w:pPr>
          </w:p>
        </w:tc>
        <w:tc>
          <w:tcPr>
            <w:tcW w:w="7746" w:type="dxa"/>
            <w:gridSpan w:val="6"/>
            <w:vAlign w:val="center"/>
          </w:tcPr>
          <w:p w14:paraId="6C0B5B7E" w14:textId="77777777" w:rsidR="000C14CD" w:rsidRPr="00432EBF" w:rsidRDefault="000C14CD" w:rsidP="00A308CB">
            <w:pPr>
              <w:rPr>
                <w:rFonts w:ascii="Arial Narrow" w:hAnsi="Arial Narrow"/>
                <w:b/>
                <w:bCs/>
                <w:sz w:val="20"/>
                <w:szCs w:val="20"/>
              </w:rPr>
            </w:pPr>
            <w:r>
              <w:rPr>
                <w:rFonts w:ascii="Arial Narrow" w:hAnsi="Arial Narrow" w:cs="Arial Narrow"/>
                <w:iCs/>
                <w:sz w:val="20"/>
                <w:szCs w:val="20"/>
              </w:rPr>
              <w:t>The condition must require daily continuous, long term opioid treatment</w:t>
            </w:r>
          </w:p>
        </w:tc>
      </w:tr>
      <w:tr w:rsidR="000C14CD" w:rsidRPr="001428E9" w14:paraId="02BB0D37" w14:textId="77777777" w:rsidTr="007876D0">
        <w:tblPrEx>
          <w:tblCellMar>
            <w:top w:w="15" w:type="dxa"/>
            <w:bottom w:w="15" w:type="dxa"/>
          </w:tblCellMar>
          <w:tblLook w:val="04A0" w:firstRow="1" w:lastRow="0" w:firstColumn="1" w:lastColumn="0" w:noHBand="0" w:noVBand="1"/>
        </w:tblPrEx>
        <w:trPr>
          <w:cantSplit/>
          <w:trHeight w:val="20"/>
        </w:trPr>
        <w:tc>
          <w:tcPr>
            <w:tcW w:w="1275" w:type="dxa"/>
            <w:gridSpan w:val="2"/>
            <w:vAlign w:val="center"/>
          </w:tcPr>
          <w:p w14:paraId="4D6EB6C2" w14:textId="77777777" w:rsidR="000C14CD" w:rsidRDefault="000C14CD" w:rsidP="00A308CB">
            <w:pPr>
              <w:jc w:val="center"/>
              <w:rPr>
                <w:rFonts w:ascii="Arial Narrow" w:hAnsi="Arial Narrow"/>
                <w:sz w:val="20"/>
                <w:szCs w:val="20"/>
              </w:rPr>
            </w:pPr>
          </w:p>
        </w:tc>
        <w:tc>
          <w:tcPr>
            <w:tcW w:w="7746" w:type="dxa"/>
            <w:gridSpan w:val="6"/>
            <w:vAlign w:val="center"/>
          </w:tcPr>
          <w:p w14:paraId="2B65FD81" w14:textId="77777777" w:rsidR="000C14CD" w:rsidRPr="00AA3202" w:rsidRDefault="000C14CD" w:rsidP="00A308CB">
            <w:pPr>
              <w:rPr>
                <w:rFonts w:ascii="Arial Narrow" w:hAnsi="Arial Narrow" w:cs="Arial Narrow"/>
                <w:b/>
                <w:bCs/>
                <w:iCs/>
                <w:sz w:val="20"/>
                <w:szCs w:val="20"/>
              </w:rPr>
            </w:pPr>
            <w:r>
              <w:rPr>
                <w:rFonts w:ascii="Arial Narrow" w:hAnsi="Arial Narrow" w:cs="Arial Narrow"/>
                <w:b/>
                <w:bCs/>
                <w:iCs/>
                <w:sz w:val="20"/>
                <w:szCs w:val="20"/>
              </w:rPr>
              <w:t>AND</w:t>
            </w:r>
          </w:p>
        </w:tc>
      </w:tr>
      <w:tr w:rsidR="000C14CD" w:rsidRPr="001428E9" w14:paraId="39F98CBB" w14:textId="77777777" w:rsidTr="007876D0">
        <w:tblPrEx>
          <w:tblCellMar>
            <w:top w:w="15" w:type="dxa"/>
            <w:bottom w:w="15" w:type="dxa"/>
          </w:tblCellMar>
          <w:tblLook w:val="04A0" w:firstRow="1" w:lastRow="0" w:firstColumn="1" w:lastColumn="0" w:noHBand="0" w:noVBand="1"/>
        </w:tblPrEx>
        <w:trPr>
          <w:cantSplit/>
          <w:trHeight w:val="20"/>
        </w:trPr>
        <w:tc>
          <w:tcPr>
            <w:tcW w:w="1275" w:type="dxa"/>
            <w:gridSpan w:val="2"/>
            <w:vAlign w:val="center"/>
          </w:tcPr>
          <w:p w14:paraId="5CF6B82B" w14:textId="69608805" w:rsidR="000C14CD" w:rsidRDefault="000C14CD" w:rsidP="00A308CB">
            <w:pPr>
              <w:jc w:val="center"/>
              <w:rPr>
                <w:rFonts w:ascii="Arial Narrow" w:hAnsi="Arial Narrow"/>
                <w:sz w:val="20"/>
                <w:szCs w:val="20"/>
              </w:rPr>
            </w:pPr>
          </w:p>
        </w:tc>
        <w:tc>
          <w:tcPr>
            <w:tcW w:w="7746" w:type="dxa"/>
            <w:gridSpan w:val="6"/>
            <w:vAlign w:val="center"/>
          </w:tcPr>
          <w:p w14:paraId="00042484" w14:textId="77777777" w:rsidR="000C14CD" w:rsidRPr="00363CCF" w:rsidRDefault="000C14CD" w:rsidP="00A308CB">
            <w:pPr>
              <w:rPr>
                <w:rFonts w:ascii="Arial Narrow" w:hAnsi="Arial Narrow" w:cs="Arial Narrow"/>
                <w:b/>
                <w:bCs/>
                <w:iCs/>
                <w:sz w:val="20"/>
                <w:szCs w:val="20"/>
              </w:rPr>
            </w:pPr>
            <w:r>
              <w:rPr>
                <w:rFonts w:ascii="Arial Narrow" w:hAnsi="Arial Narrow" w:cs="Arial Narrow"/>
                <w:b/>
                <w:bCs/>
                <w:iCs/>
                <w:sz w:val="20"/>
                <w:szCs w:val="20"/>
              </w:rPr>
              <w:t xml:space="preserve">Clinical criteria: </w:t>
            </w:r>
          </w:p>
        </w:tc>
      </w:tr>
      <w:tr w:rsidR="000C14CD" w:rsidRPr="001428E9" w14:paraId="5B1D7986" w14:textId="77777777" w:rsidTr="007876D0">
        <w:tblPrEx>
          <w:tblCellMar>
            <w:top w:w="15" w:type="dxa"/>
            <w:bottom w:w="15" w:type="dxa"/>
          </w:tblCellMar>
          <w:tblLook w:val="04A0" w:firstRow="1" w:lastRow="0" w:firstColumn="1" w:lastColumn="0" w:noHBand="0" w:noVBand="1"/>
        </w:tblPrEx>
        <w:trPr>
          <w:cantSplit/>
          <w:trHeight w:val="20"/>
        </w:trPr>
        <w:tc>
          <w:tcPr>
            <w:tcW w:w="1275" w:type="dxa"/>
            <w:gridSpan w:val="2"/>
            <w:vAlign w:val="center"/>
          </w:tcPr>
          <w:p w14:paraId="3598C54A" w14:textId="374F19DC" w:rsidR="000C14CD" w:rsidRDefault="000C14CD" w:rsidP="00A308CB">
            <w:pPr>
              <w:jc w:val="center"/>
              <w:rPr>
                <w:rFonts w:ascii="Arial Narrow" w:hAnsi="Arial Narrow"/>
                <w:sz w:val="20"/>
                <w:szCs w:val="20"/>
              </w:rPr>
            </w:pPr>
          </w:p>
        </w:tc>
        <w:tc>
          <w:tcPr>
            <w:tcW w:w="7746" w:type="dxa"/>
            <w:gridSpan w:val="6"/>
            <w:vAlign w:val="center"/>
          </w:tcPr>
          <w:p w14:paraId="40D58A0A" w14:textId="77777777" w:rsidR="000C14CD" w:rsidRDefault="000C14CD" w:rsidP="00A308CB">
            <w:pPr>
              <w:rPr>
                <w:rFonts w:ascii="Arial Narrow" w:hAnsi="Arial Narrow" w:cs="Arial Narrow"/>
                <w:b/>
                <w:bCs/>
                <w:iCs/>
                <w:sz w:val="20"/>
                <w:szCs w:val="20"/>
              </w:rPr>
            </w:pPr>
            <w:r>
              <w:rPr>
                <w:rFonts w:ascii="Arial Narrow" w:hAnsi="Arial Narrow" w:cs="Arial Narrow"/>
                <w:iCs/>
                <w:sz w:val="20"/>
                <w:szCs w:val="20"/>
              </w:rPr>
              <w:t>Patient must not be opioid naïve</w:t>
            </w:r>
          </w:p>
        </w:tc>
      </w:tr>
      <w:tr w:rsidR="000C14CD" w:rsidRPr="001428E9" w14:paraId="413207B1" w14:textId="77777777" w:rsidTr="007876D0">
        <w:tblPrEx>
          <w:tblCellMar>
            <w:top w:w="15" w:type="dxa"/>
            <w:bottom w:w="15" w:type="dxa"/>
          </w:tblCellMar>
          <w:tblLook w:val="04A0" w:firstRow="1" w:lastRow="0" w:firstColumn="1" w:lastColumn="0" w:noHBand="0" w:noVBand="1"/>
        </w:tblPrEx>
        <w:trPr>
          <w:cantSplit/>
          <w:trHeight w:val="20"/>
        </w:trPr>
        <w:tc>
          <w:tcPr>
            <w:tcW w:w="1275" w:type="dxa"/>
            <w:gridSpan w:val="2"/>
            <w:vAlign w:val="center"/>
          </w:tcPr>
          <w:p w14:paraId="14CBE5FF" w14:textId="77777777" w:rsidR="000C14CD" w:rsidRDefault="000C14CD" w:rsidP="00A308CB">
            <w:pPr>
              <w:jc w:val="center"/>
              <w:rPr>
                <w:rFonts w:ascii="Arial Narrow" w:hAnsi="Arial Narrow"/>
                <w:sz w:val="20"/>
                <w:szCs w:val="20"/>
              </w:rPr>
            </w:pPr>
          </w:p>
        </w:tc>
        <w:tc>
          <w:tcPr>
            <w:tcW w:w="7746" w:type="dxa"/>
            <w:gridSpan w:val="6"/>
            <w:vAlign w:val="center"/>
          </w:tcPr>
          <w:p w14:paraId="6D4312B8" w14:textId="77777777" w:rsidR="000C14CD" w:rsidRDefault="000C14CD" w:rsidP="00A308CB">
            <w:pPr>
              <w:rPr>
                <w:rFonts w:ascii="Arial Narrow" w:hAnsi="Arial Narrow" w:cs="Arial Narrow"/>
                <w:b/>
                <w:bCs/>
                <w:iCs/>
                <w:sz w:val="20"/>
                <w:szCs w:val="20"/>
              </w:rPr>
            </w:pPr>
            <w:r>
              <w:rPr>
                <w:rFonts w:ascii="Arial Narrow" w:hAnsi="Arial Narrow" w:cs="Arial Narrow"/>
                <w:b/>
                <w:bCs/>
                <w:iCs/>
                <w:sz w:val="20"/>
                <w:szCs w:val="20"/>
              </w:rPr>
              <w:t>AND</w:t>
            </w:r>
          </w:p>
        </w:tc>
      </w:tr>
      <w:tr w:rsidR="000C14CD" w:rsidRPr="001428E9" w14:paraId="7454B6D3" w14:textId="77777777" w:rsidTr="007876D0">
        <w:tblPrEx>
          <w:tblCellMar>
            <w:top w:w="15" w:type="dxa"/>
            <w:bottom w:w="15" w:type="dxa"/>
          </w:tblCellMar>
          <w:tblLook w:val="04A0" w:firstRow="1" w:lastRow="0" w:firstColumn="1" w:lastColumn="0" w:noHBand="0" w:noVBand="1"/>
        </w:tblPrEx>
        <w:trPr>
          <w:cantSplit/>
          <w:trHeight w:val="20"/>
        </w:trPr>
        <w:tc>
          <w:tcPr>
            <w:tcW w:w="1275" w:type="dxa"/>
            <w:gridSpan w:val="2"/>
            <w:vAlign w:val="center"/>
          </w:tcPr>
          <w:p w14:paraId="375DEC0A" w14:textId="709FD1EE" w:rsidR="000C14CD" w:rsidRDefault="000C14CD" w:rsidP="00A308CB">
            <w:pPr>
              <w:jc w:val="center"/>
              <w:rPr>
                <w:rFonts w:ascii="Arial Narrow" w:hAnsi="Arial Narrow"/>
                <w:sz w:val="20"/>
                <w:szCs w:val="20"/>
              </w:rPr>
            </w:pPr>
          </w:p>
        </w:tc>
        <w:tc>
          <w:tcPr>
            <w:tcW w:w="7746" w:type="dxa"/>
            <w:gridSpan w:val="6"/>
            <w:vAlign w:val="center"/>
          </w:tcPr>
          <w:p w14:paraId="29351433" w14:textId="77777777" w:rsidR="000C14CD" w:rsidRDefault="000C14CD" w:rsidP="00A308CB">
            <w:pPr>
              <w:rPr>
                <w:rFonts w:ascii="Arial Narrow" w:hAnsi="Arial Narrow" w:cs="Arial Narrow"/>
                <w:b/>
                <w:bCs/>
                <w:iCs/>
                <w:sz w:val="20"/>
                <w:szCs w:val="20"/>
              </w:rPr>
            </w:pPr>
            <w:r>
              <w:rPr>
                <w:rFonts w:ascii="Arial Narrow" w:hAnsi="Arial Narrow" w:cs="Arial Narrow"/>
                <w:b/>
                <w:bCs/>
                <w:iCs/>
                <w:sz w:val="20"/>
                <w:szCs w:val="20"/>
              </w:rPr>
              <w:t xml:space="preserve">Clinical Criteria: </w:t>
            </w:r>
          </w:p>
        </w:tc>
      </w:tr>
      <w:tr w:rsidR="000C14CD" w:rsidRPr="001428E9" w14:paraId="73403848" w14:textId="77777777" w:rsidTr="007876D0">
        <w:tblPrEx>
          <w:tblCellMar>
            <w:top w:w="15" w:type="dxa"/>
            <w:bottom w:w="15" w:type="dxa"/>
          </w:tblCellMar>
          <w:tblLook w:val="04A0" w:firstRow="1" w:lastRow="0" w:firstColumn="1" w:lastColumn="0" w:noHBand="0" w:noVBand="1"/>
        </w:tblPrEx>
        <w:trPr>
          <w:cantSplit/>
          <w:trHeight w:val="20"/>
        </w:trPr>
        <w:tc>
          <w:tcPr>
            <w:tcW w:w="1275" w:type="dxa"/>
            <w:gridSpan w:val="2"/>
            <w:vAlign w:val="center"/>
          </w:tcPr>
          <w:p w14:paraId="70F6B5BC" w14:textId="3E457C77" w:rsidR="000C14CD" w:rsidRDefault="000C14CD" w:rsidP="00A308CB">
            <w:pPr>
              <w:jc w:val="center"/>
              <w:rPr>
                <w:rFonts w:ascii="Arial Narrow" w:hAnsi="Arial Narrow"/>
                <w:sz w:val="20"/>
                <w:szCs w:val="20"/>
              </w:rPr>
            </w:pPr>
          </w:p>
        </w:tc>
        <w:tc>
          <w:tcPr>
            <w:tcW w:w="7746" w:type="dxa"/>
            <w:gridSpan w:val="6"/>
            <w:vAlign w:val="center"/>
          </w:tcPr>
          <w:p w14:paraId="43A6DB84" w14:textId="77777777" w:rsidR="000C14CD" w:rsidRPr="00AA3202" w:rsidRDefault="000C14CD" w:rsidP="00A308CB">
            <w:pPr>
              <w:rPr>
                <w:rFonts w:ascii="Arial Narrow" w:hAnsi="Arial Narrow" w:cs="Arial Narrow"/>
                <w:iCs/>
                <w:sz w:val="20"/>
                <w:szCs w:val="20"/>
              </w:rPr>
            </w:pPr>
            <w:r>
              <w:rPr>
                <w:rFonts w:ascii="Arial Narrow" w:hAnsi="Arial Narrow" w:cs="Arial Narrow"/>
                <w:iCs/>
                <w:sz w:val="20"/>
                <w:szCs w:val="20"/>
              </w:rPr>
              <w:t>Patient must have cancer pain; or</w:t>
            </w:r>
          </w:p>
        </w:tc>
      </w:tr>
      <w:tr w:rsidR="000C14CD" w:rsidRPr="001428E9" w14:paraId="41B2DB96" w14:textId="77777777" w:rsidTr="007876D0">
        <w:tblPrEx>
          <w:tblCellMar>
            <w:top w:w="15" w:type="dxa"/>
            <w:bottom w:w="15" w:type="dxa"/>
          </w:tblCellMar>
          <w:tblLook w:val="04A0" w:firstRow="1" w:lastRow="0" w:firstColumn="1" w:lastColumn="0" w:noHBand="0" w:noVBand="1"/>
        </w:tblPrEx>
        <w:trPr>
          <w:cantSplit/>
          <w:trHeight w:val="20"/>
        </w:trPr>
        <w:tc>
          <w:tcPr>
            <w:tcW w:w="1275" w:type="dxa"/>
            <w:gridSpan w:val="2"/>
            <w:vAlign w:val="center"/>
          </w:tcPr>
          <w:p w14:paraId="01BC207D" w14:textId="0AC4B561" w:rsidR="000C14CD" w:rsidRDefault="000C14CD" w:rsidP="00A308CB">
            <w:pPr>
              <w:jc w:val="center"/>
              <w:rPr>
                <w:rFonts w:ascii="Arial Narrow" w:hAnsi="Arial Narrow"/>
                <w:sz w:val="20"/>
                <w:szCs w:val="20"/>
              </w:rPr>
            </w:pPr>
          </w:p>
        </w:tc>
        <w:tc>
          <w:tcPr>
            <w:tcW w:w="7746" w:type="dxa"/>
            <w:gridSpan w:val="6"/>
            <w:vAlign w:val="center"/>
          </w:tcPr>
          <w:p w14:paraId="2937187A" w14:textId="77777777" w:rsidR="000C14CD" w:rsidRPr="00474227" w:rsidRDefault="000C14CD" w:rsidP="00A308CB">
            <w:pPr>
              <w:rPr>
                <w:rFonts w:ascii="Arial Narrow" w:hAnsi="Arial Narrow" w:cs="Arial Narrow"/>
                <w:iCs/>
                <w:sz w:val="20"/>
                <w:szCs w:val="20"/>
              </w:rPr>
            </w:pPr>
            <w:r w:rsidRPr="00AA3202">
              <w:rPr>
                <w:rFonts w:ascii="Arial Narrow" w:hAnsi="Arial Narrow" w:cs="Arial Narrow"/>
                <w:iCs/>
                <w:sz w:val="20"/>
                <w:szCs w:val="20"/>
              </w:rPr>
              <w:t>Patient must have had or would have inadequate pain management with maximum tolerated doses of non-</w:t>
            </w:r>
            <w:r>
              <w:rPr>
                <w:rFonts w:ascii="Arial Narrow" w:hAnsi="Arial Narrow" w:cs="Arial Narrow"/>
                <w:iCs/>
                <w:sz w:val="20"/>
                <w:szCs w:val="20"/>
              </w:rPr>
              <w:t xml:space="preserve"> opioid and other opioid analgesics; or</w:t>
            </w:r>
          </w:p>
        </w:tc>
      </w:tr>
      <w:tr w:rsidR="000C14CD" w:rsidRPr="001428E9" w14:paraId="120176B1" w14:textId="77777777" w:rsidTr="007876D0">
        <w:tblPrEx>
          <w:tblCellMar>
            <w:top w:w="15" w:type="dxa"/>
            <w:bottom w:w="15" w:type="dxa"/>
          </w:tblCellMar>
          <w:tblLook w:val="04A0" w:firstRow="1" w:lastRow="0" w:firstColumn="1" w:lastColumn="0" w:noHBand="0" w:noVBand="1"/>
        </w:tblPrEx>
        <w:trPr>
          <w:cantSplit/>
          <w:trHeight w:val="20"/>
        </w:trPr>
        <w:tc>
          <w:tcPr>
            <w:tcW w:w="1275" w:type="dxa"/>
            <w:gridSpan w:val="2"/>
            <w:vAlign w:val="center"/>
          </w:tcPr>
          <w:p w14:paraId="059EDD1E" w14:textId="376EFD0A" w:rsidR="000C14CD" w:rsidRDefault="000C14CD" w:rsidP="00A308CB">
            <w:pPr>
              <w:jc w:val="center"/>
              <w:rPr>
                <w:rFonts w:ascii="Arial Narrow" w:hAnsi="Arial Narrow"/>
                <w:sz w:val="20"/>
                <w:szCs w:val="20"/>
              </w:rPr>
            </w:pPr>
          </w:p>
        </w:tc>
        <w:tc>
          <w:tcPr>
            <w:tcW w:w="7746" w:type="dxa"/>
            <w:gridSpan w:val="6"/>
            <w:vAlign w:val="center"/>
          </w:tcPr>
          <w:p w14:paraId="3A957049" w14:textId="77777777" w:rsidR="000C14CD" w:rsidRPr="00AA3202" w:rsidRDefault="000C14CD" w:rsidP="00A308CB">
            <w:pPr>
              <w:rPr>
                <w:rFonts w:ascii="Arial Narrow" w:hAnsi="Arial Narrow" w:cs="Arial Narrow"/>
                <w:iCs/>
                <w:sz w:val="20"/>
                <w:szCs w:val="20"/>
              </w:rPr>
            </w:pPr>
            <w:r>
              <w:rPr>
                <w:rFonts w:ascii="Arial Narrow" w:hAnsi="Arial Narrow" w:cs="Arial Narrow"/>
                <w:iCs/>
                <w:sz w:val="20"/>
                <w:szCs w:val="20"/>
              </w:rPr>
              <w:t>Patient must be unable to use non-opioid analgesics due to contraindications or intolerance</w:t>
            </w:r>
          </w:p>
        </w:tc>
      </w:tr>
      <w:tr w:rsidR="000C14CD" w:rsidRPr="001428E9" w14:paraId="60052576" w14:textId="77777777" w:rsidTr="007876D0">
        <w:tblPrEx>
          <w:tblCellMar>
            <w:top w:w="15" w:type="dxa"/>
            <w:bottom w:w="15" w:type="dxa"/>
          </w:tblCellMar>
          <w:tblLook w:val="04A0" w:firstRow="1" w:lastRow="0" w:firstColumn="1" w:lastColumn="0" w:noHBand="0" w:noVBand="1"/>
        </w:tblPrEx>
        <w:trPr>
          <w:cantSplit/>
          <w:trHeight w:val="20"/>
        </w:trPr>
        <w:tc>
          <w:tcPr>
            <w:tcW w:w="1275" w:type="dxa"/>
            <w:gridSpan w:val="2"/>
            <w:vAlign w:val="center"/>
          </w:tcPr>
          <w:p w14:paraId="5D33136E" w14:textId="37EE4851" w:rsidR="000C14CD" w:rsidRPr="00432EBF" w:rsidRDefault="000C14CD" w:rsidP="00A308CB">
            <w:pPr>
              <w:keepNext/>
              <w:jc w:val="center"/>
              <w:rPr>
                <w:rFonts w:ascii="Arial Narrow" w:hAnsi="Arial Narrow"/>
                <w:sz w:val="20"/>
                <w:szCs w:val="20"/>
              </w:rPr>
            </w:pPr>
          </w:p>
        </w:tc>
        <w:tc>
          <w:tcPr>
            <w:tcW w:w="7746" w:type="dxa"/>
            <w:gridSpan w:val="6"/>
            <w:vAlign w:val="center"/>
            <w:hideMark/>
          </w:tcPr>
          <w:p w14:paraId="0B7D4678" w14:textId="77777777" w:rsidR="000C14CD" w:rsidRPr="00432EBF" w:rsidRDefault="000C14CD" w:rsidP="00A308CB">
            <w:pPr>
              <w:keepNext/>
              <w:rPr>
                <w:rFonts w:ascii="Arial Narrow" w:hAnsi="Arial Narrow"/>
                <w:sz w:val="20"/>
                <w:szCs w:val="20"/>
              </w:rPr>
            </w:pPr>
            <w:r w:rsidRPr="00432EBF">
              <w:rPr>
                <w:rFonts w:ascii="Arial Narrow" w:hAnsi="Arial Narrow"/>
                <w:b/>
                <w:bCs/>
                <w:sz w:val="20"/>
                <w:szCs w:val="20"/>
              </w:rPr>
              <w:t>Treatment criteria:</w:t>
            </w:r>
          </w:p>
        </w:tc>
      </w:tr>
      <w:tr w:rsidR="000C14CD" w:rsidRPr="001428E9" w14:paraId="7435F3A9" w14:textId="77777777" w:rsidTr="007876D0">
        <w:tblPrEx>
          <w:tblCellMar>
            <w:top w:w="15" w:type="dxa"/>
            <w:bottom w:w="15" w:type="dxa"/>
          </w:tblCellMar>
          <w:tblLook w:val="04A0" w:firstRow="1" w:lastRow="0" w:firstColumn="1" w:lastColumn="0" w:noHBand="0" w:noVBand="1"/>
        </w:tblPrEx>
        <w:trPr>
          <w:cantSplit/>
          <w:trHeight w:val="20"/>
        </w:trPr>
        <w:tc>
          <w:tcPr>
            <w:tcW w:w="1275" w:type="dxa"/>
            <w:gridSpan w:val="2"/>
            <w:vAlign w:val="center"/>
          </w:tcPr>
          <w:p w14:paraId="407AFEBA" w14:textId="4B59238B" w:rsidR="000C14CD" w:rsidRPr="00432EBF" w:rsidRDefault="000C14CD" w:rsidP="00A308CB">
            <w:pPr>
              <w:jc w:val="center"/>
              <w:rPr>
                <w:rFonts w:ascii="Arial Narrow" w:hAnsi="Arial Narrow"/>
                <w:sz w:val="20"/>
                <w:szCs w:val="20"/>
              </w:rPr>
            </w:pPr>
          </w:p>
        </w:tc>
        <w:tc>
          <w:tcPr>
            <w:tcW w:w="7746" w:type="dxa"/>
            <w:gridSpan w:val="6"/>
            <w:vAlign w:val="center"/>
            <w:hideMark/>
          </w:tcPr>
          <w:p w14:paraId="498AFDC3" w14:textId="77777777" w:rsidR="000C14CD" w:rsidRPr="009E47B2" w:rsidRDefault="000C14CD" w:rsidP="00A308CB">
            <w:pPr>
              <w:autoSpaceDE w:val="0"/>
              <w:autoSpaceDN w:val="0"/>
              <w:adjustRightInd w:val="0"/>
              <w:jc w:val="left"/>
              <w:rPr>
                <w:rFonts w:ascii="Arial Narrow" w:hAnsi="Arial Narrow" w:cs="Arial Narrow"/>
                <w:iCs/>
                <w:sz w:val="20"/>
                <w:szCs w:val="20"/>
              </w:rPr>
            </w:pPr>
            <w:r>
              <w:rPr>
                <w:rFonts w:ascii="Arial Narrow" w:hAnsi="Arial Narrow" w:cs="Arial Narrow"/>
                <w:iCs/>
                <w:sz w:val="20"/>
                <w:szCs w:val="20"/>
              </w:rPr>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r>
      <w:tr w:rsidR="000C14CD" w:rsidRPr="001428E9" w14:paraId="7E762F28" w14:textId="77777777" w:rsidTr="007876D0">
        <w:tblPrEx>
          <w:tblCellMar>
            <w:top w:w="15" w:type="dxa"/>
            <w:bottom w:w="15" w:type="dxa"/>
          </w:tblCellMar>
          <w:tblLook w:val="04A0" w:firstRow="1" w:lastRow="0" w:firstColumn="1" w:lastColumn="0" w:noHBand="0" w:noVBand="1"/>
        </w:tblPrEx>
        <w:trPr>
          <w:cantSplit/>
          <w:trHeight w:val="20"/>
        </w:trPr>
        <w:tc>
          <w:tcPr>
            <w:tcW w:w="1275" w:type="dxa"/>
            <w:gridSpan w:val="2"/>
            <w:vAlign w:val="center"/>
          </w:tcPr>
          <w:p w14:paraId="046A5C45" w14:textId="1426BDBB" w:rsidR="000C14CD" w:rsidRPr="00432EBF" w:rsidRDefault="000C14CD" w:rsidP="00A308CB">
            <w:pPr>
              <w:jc w:val="center"/>
              <w:rPr>
                <w:rFonts w:ascii="Arial Narrow" w:hAnsi="Arial Narrow"/>
                <w:sz w:val="20"/>
                <w:szCs w:val="20"/>
              </w:rPr>
            </w:pPr>
          </w:p>
        </w:tc>
        <w:tc>
          <w:tcPr>
            <w:tcW w:w="7746" w:type="dxa"/>
            <w:gridSpan w:val="6"/>
            <w:vAlign w:val="center"/>
          </w:tcPr>
          <w:p w14:paraId="7F62702B" w14:textId="77777777" w:rsidR="000C14CD" w:rsidRPr="00D530D5" w:rsidRDefault="000C14CD" w:rsidP="00A308CB">
            <w:pPr>
              <w:rPr>
                <w:rFonts w:ascii="Arial Narrow" w:hAnsi="Arial Narrow"/>
                <w:b/>
                <w:bCs/>
                <w:sz w:val="20"/>
                <w:szCs w:val="20"/>
              </w:rPr>
            </w:pPr>
            <w:r>
              <w:rPr>
                <w:rFonts w:ascii="Arial Narrow" w:hAnsi="Arial Narrow"/>
                <w:b/>
                <w:bCs/>
                <w:sz w:val="20"/>
                <w:szCs w:val="20"/>
              </w:rPr>
              <w:t>Prescribing Instructions</w:t>
            </w:r>
            <w:r w:rsidRPr="00AA3202">
              <w:rPr>
                <w:rFonts w:ascii="Arial Narrow" w:hAnsi="Arial Narrow"/>
                <w:sz w:val="20"/>
                <w:szCs w:val="20"/>
              </w:rPr>
              <w:t>: Authorities for increased maximum quantities and/or repeats under this restriction must only be considered for chronic severe disabling pain where the total duration of non-PBS and PBS opioid analgesic treatment is less than 12 months.</w:t>
            </w:r>
          </w:p>
        </w:tc>
      </w:tr>
      <w:tr w:rsidR="000C14CD" w:rsidRPr="001428E9" w14:paraId="1AEB7B9F" w14:textId="77777777" w:rsidTr="00150320">
        <w:tblPrEx>
          <w:tblCellMar>
            <w:top w:w="15" w:type="dxa"/>
            <w:bottom w:w="15" w:type="dxa"/>
          </w:tblCellMar>
        </w:tblPrEx>
        <w:trPr>
          <w:cantSplit/>
          <w:trHeight w:val="947"/>
        </w:trPr>
        <w:tc>
          <w:tcPr>
            <w:tcW w:w="1275" w:type="dxa"/>
            <w:gridSpan w:val="2"/>
            <w:vAlign w:val="center"/>
          </w:tcPr>
          <w:p w14:paraId="5FF36306" w14:textId="08D7EEEB" w:rsidR="000C14CD" w:rsidRPr="00432EBF" w:rsidRDefault="000C14CD" w:rsidP="00A308CB">
            <w:pPr>
              <w:jc w:val="center"/>
              <w:rPr>
                <w:rFonts w:ascii="Arial Narrow" w:hAnsi="Arial Narrow"/>
                <w:sz w:val="20"/>
                <w:szCs w:val="20"/>
              </w:rPr>
            </w:pPr>
          </w:p>
        </w:tc>
        <w:tc>
          <w:tcPr>
            <w:tcW w:w="7746" w:type="dxa"/>
            <w:gridSpan w:val="6"/>
            <w:vAlign w:val="center"/>
            <w:hideMark/>
          </w:tcPr>
          <w:p w14:paraId="172ACA94" w14:textId="77777777" w:rsidR="000C14CD" w:rsidRPr="00AA3202" w:rsidRDefault="000C14CD" w:rsidP="00A308CB">
            <w:pPr>
              <w:rPr>
                <w:rFonts w:ascii="Arial Narrow" w:hAnsi="Arial Narrow"/>
                <w:sz w:val="20"/>
                <w:szCs w:val="20"/>
              </w:rPr>
            </w:pPr>
            <w:r>
              <w:rPr>
                <w:rFonts w:ascii="Arial Narrow" w:hAnsi="Arial Narrow"/>
                <w:b/>
                <w:bCs/>
                <w:sz w:val="20"/>
                <w:szCs w:val="20"/>
              </w:rPr>
              <w:t xml:space="preserve">Prescribing Instructions: </w:t>
            </w:r>
            <w:r w:rsidRPr="00AA3202">
              <w:rPr>
                <w:rFonts w:ascii="Arial Narrow" w:hAnsi="Arial Narrow"/>
                <w:sz w:val="20"/>
                <w:szCs w:val="20"/>
              </w:rPr>
              <w:t>Authority requests extending treatment duration up to 1 month may be requested through the Online PBS Authorities system or by calling Services Australia.</w:t>
            </w:r>
          </w:p>
          <w:p w14:paraId="5FAA4ABC" w14:textId="77777777" w:rsidR="000C14CD" w:rsidRPr="00AA3202" w:rsidRDefault="000C14CD" w:rsidP="00A308CB">
            <w:pPr>
              <w:rPr>
                <w:rFonts w:ascii="Arial Narrow" w:hAnsi="Arial Narrow"/>
                <w:sz w:val="20"/>
                <w:szCs w:val="20"/>
              </w:rPr>
            </w:pPr>
          </w:p>
          <w:p w14:paraId="2301E644" w14:textId="77777777" w:rsidR="000C14CD" w:rsidRPr="00AA3202" w:rsidRDefault="000C14CD" w:rsidP="00A308CB">
            <w:pPr>
              <w:rPr>
                <w:rFonts w:ascii="Arial Narrow" w:hAnsi="Arial Narrow"/>
                <w:b/>
                <w:bCs/>
                <w:sz w:val="20"/>
                <w:szCs w:val="20"/>
              </w:rPr>
            </w:pPr>
            <w:r w:rsidRPr="00AA3202">
              <w:rPr>
                <w:rFonts w:ascii="Arial Narrow" w:hAnsi="Arial Narrow"/>
                <w:sz w:val="20"/>
                <w:szCs w:val="20"/>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0C14CD" w:rsidRPr="001428E9" w14:paraId="3173E00C" w14:textId="77777777" w:rsidTr="000C14CD">
        <w:tblPrEx>
          <w:tblCellMar>
            <w:top w:w="15" w:type="dxa"/>
            <w:bottom w:w="15" w:type="dxa"/>
          </w:tblCellMar>
          <w:tblLook w:val="04A0" w:firstRow="1" w:lastRow="0" w:firstColumn="1" w:lastColumn="0" w:noHBand="0" w:noVBand="1"/>
        </w:tblPrEx>
        <w:trPr>
          <w:cantSplit/>
          <w:trHeight w:val="20"/>
        </w:trPr>
        <w:tc>
          <w:tcPr>
            <w:tcW w:w="9021" w:type="dxa"/>
            <w:gridSpan w:val="8"/>
            <w:tcBorders>
              <w:top w:val="nil"/>
            </w:tcBorders>
            <w:vAlign w:val="center"/>
          </w:tcPr>
          <w:p w14:paraId="28F74737" w14:textId="77777777" w:rsidR="000C14CD" w:rsidRPr="001428E9" w:rsidRDefault="000C14CD" w:rsidP="00A308CB">
            <w:pPr>
              <w:jc w:val="left"/>
              <w:rPr>
                <w:rFonts w:ascii="Arial Narrow" w:hAnsi="Arial Narrow"/>
                <w:color w:val="333333"/>
                <w:sz w:val="20"/>
                <w:szCs w:val="20"/>
              </w:rPr>
            </w:pPr>
          </w:p>
        </w:tc>
      </w:tr>
      <w:tr w:rsidR="000C14CD" w:rsidRPr="001428E9" w14:paraId="1CC75FCE" w14:textId="77777777" w:rsidTr="000C14CD">
        <w:tblPrEx>
          <w:tblCellMar>
            <w:top w:w="15" w:type="dxa"/>
            <w:bottom w:w="15" w:type="dxa"/>
          </w:tblCellMar>
          <w:tblLook w:val="04A0" w:firstRow="1" w:lastRow="0" w:firstColumn="1" w:lastColumn="0" w:noHBand="0" w:noVBand="1"/>
        </w:tblPrEx>
        <w:trPr>
          <w:trHeight w:val="20"/>
        </w:trPr>
        <w:tc>
          <w:tcPr>
            <w:tcW w:w="9021" w:type="dxa"/>
            <w:gridSpan w:val="8"/>
            <w:tcBorders>
              <w:top w:val="single" w:sz="4" w:space="0" w:color="auto"/>
              <w:left w:val="single" w:sz="4" w:space="0" w:color="auto"/>
              <w:right w:val="single" w:sz="4" w:space="0" w:color="auto"/>
            </w:tcBorders>
            <w:vAlign w:val="center"/>
          </w:tcPr>
          <w:p w14:paraId="456708BF" w14:textId="77777777" w:rsidR="000C14CD" w:rsidRPr="001428E9" w:rsidRDefault="000C14CD" w:rsidP="00A308CB">
            <w:pPr>
              <w:keepLines/>
              <w:rPr>
                <w:rFonts w:ascii="Arial Narrow" w:hAnsi="Arial Narrow" w:cs="Arial"/>
                <w:b/>
                <w:sz w:val="20"/>
                <w:szCs w:val="20"/>
              </w:rPr>
            </w:pPr>
            <w:r w:rsidRPr="001428E9">
              <w:rPr>
                <w:rFonts w:ascii="Arial Narrow" w:hAnsi="Arial Narrow"/>
                <w:b/>
                <w:sz w:val="20"/>
                <w:szCs w:val="20"/>
              </w:rPr>
              <w:t xml:space="preserve">Restriction </w:t>
            </w:r>
            <w:r w:rsidRPr="00C432E7">
              <w:rPr>
                <w:rFonts w:ascii="Arial Narrow" w:hAnsi="Arial Narrow"/>
                <w:b/>
                <w:sz w:val="20"/>
                <w:szCs w:val="20"/>
              </w:rPr>
              <w:t>Summary</w:t>
            </w:r>
            <w:r>
              <w:rPr>
                <w:rFonts w:ascii="Arial Narrow" w:hAnsi="Arial Narrow"/>
                <w:b/>
                <w:sz w:val="20"/>
                <w:szCs w:val="20"/>
              </w:rPr>
              <w:t>:</w:t>
            </w:r>
            <w:r w:rsidRPr="00C432E7">
              <w:rPr>
                <w:rFonts w:ascii="Arial Narrow" w:hAnsi="Arial Narrow"/>
                <w:b/>
                <w:sz w:val="20"/>
                <w:szCs w:val="20"/>
              </w:rPr>
              <w:t xml:space="preserve"> </w:t>
            </w:r>
            <w:r w:rsidRPr="00D858D2">
              <w:rPr>
                <w:rFonts w:ascii="Arial Narrow" w:hAnsi="Arial Narrow"/>
                <w:b/>
                <w:sz w:val="20"/>
                <w:szCs w:val="20"/>
              </w:rPr>
              <w:t xml:space="preserve">15999 </w:t>
            </w:r>
            <w:r w:rsidRPr="00C432E7">
              <w:rPr>
                <w:rFonts w:ascii="Arial Narrow" w:hAnsi="Arial Narrow"/>
                <w:b/>
                <w:sz w:val="20"/>
                <w:szCs w:val="20"/>
              </w:rPr>
              <w:t xml:space="preserve">/ Treatment of Concept: </w:t>
            </w:r>
            <w:r w:rsidRPr="00D858D2">
              <w:rPr>
                <w:rFonts w:ascii="Arial Narrow" w:hAnsi="Arial Narrow"/>
                <w:b/>
                <w:sz w:val="20"/>
                <w:szCs w:val="20"/>
              </w:rPr>
              <w:t>15994</w:t>
            </w:r>
          </w:p>
        </w:tc>
      </w:tr>
      <w:tr w:rsidR="000C14CD" w:rsidRPr="001428E9" w14:paraId="462B7DE1" w14:textId="77777777" w:rsidTr="007876D0">
        <w:tblPrEx>
          <w:tblCellMar>
            <w:top w:w="15" w:type="dxa"/>
            <w:bottom w:w="15" w:type="dxa"/>
          </w:tblCellMar>
          <w:tblLook w:val="04A0" w:firstRow="1" w:lastRow="0" w:firstColumn="1" w:lastColumn="0" w:noHBand="0" w:noVBand="1"/>
        </w:tblPrEx>
        <w:trPr>
          <w:trHeight w:val="20"/>
        </w:trPr>
        <w:tc>
          <w:tcPr>
            <w:tcW w:w="1275" w:type="dxa"/>
            <w:gridSpan w:val="2"/>
            <w:vMerge w:val="restart"/>
            <w:tcBorders>
              <w:top w:val="single" w:sz="4" w:space="0" w:color="auto"/>
              <w:left w:val="single" w:sz="4" w:space="0" w:color="auto"/>
              <w:right w:val="single" w:sz="4" w:space="0" w:color="auto"/>
            </w:tcBorders>
          </w:tcPr>
          <w:p w14:paraId="27B32233" w14:textId="77777777" w:rsidR="000C14CD" w:rsidRPr="001428E9" w:rsidRDefault="000C14CD" w:rsidP="00A308CB">
            <w:pPr>
              <w:jc w:val="center"/>
              <w:rPr>
                <w:rFonts w:ascii="Arial Narrow" w:hAnsi="Arial Narrow" w:cs="Arial"/>
                <w:b/>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r w:rsidRPr="001428E9">
              <w:rPr>
                <w:rFonts w:ascii="Arial Narrow" w:hAnsi="Arial Narrow" w:cs="Arial"/>
                <w:sz w:val="20"/>
                <w:szCs w:val="20"/>
              </w:rPr>
              <w:t>(for internal Dept. use)</w:t>
            </w: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1E33D97E" w14:textId="77777777" w:rsidR="000C14CD" w:rsidRPr="001428E9" w:rsidRDefault="000C14CD" w:rsidP="00A308CB">
            <w:pPr>
              <w:keepLines/>
              <w:jc w:val="left"/>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0C14CD" w:rsidRPr="001428E9" w14:paraId="122237A1" w14:textId="77777777" w:rsidTr="007876D0">
        <w:tblPrEx>
          <w:tblCellMar>
            <w:top w:w="15" w:type="dxa"/>
            <w:bottom w:w="15" w:type="dxa"/>
          </w:tblCellMar>
          <w:tblLook w:val="04A0" w:firstRow="1" w:lastRow="0" w:firstColumn="1" w:lastColumn="0" w:noHBand="0" w:noVBand="1"/>
        </w:tblPrEx>
        <w:trPr>
          <w:trHeight w:val="20"/>
        </w:trPr>
        <w:tc>
          <w:tcPr>
            <w:tcW w:w="1275" w:type="dxa"/>
            <w:gridSpan w:val="2"/>
            <w:vMerge/>
            <w:tcBorders>
              <w:left w:val="single" w:sz="4" w:space="0" w:color="auto"/>
              <w:right w:val="single" w:sz="4" w:space="0" w:color="auto"/>
            </w:tcBorders>
          </w:tcPr>
          <w:p w14:paraId="0D89090B" w14:textId="77777777" w:rsidR="000C14CD" w:rsidRPr="001428E9" w:rsidRDefault="000C14CD" w:rsidP="00A308CB">
            <w:pPr>
              <w:rPr>
                <w:rFonts w:ascii="Arial Narrow" w:hAnsi="Arial Narrow" w:cs="Arial"/>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5D2C987A" w14:textId="77777777" w:rsidR="000C14CD" w:rsidRDefault="000C14CD" w:rsidP="00A308CB">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p>
          <w:p w14:paraId="12E263FA" w14:textId="77777777" w:rsidR="000C14CD" w:rsidRPr="001428E9" w:rsidRDefault="000C14CD" w:rsidP="00A308CB">
            <w:pPr>
              <w:keepLines/>
              <w:rPr>
                <w:rFonts w:ascii="Arial Narrow" w:hAnsi="Arial Narrow" w:cs="Arial"/>
                <w:b/>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0C14CD" w:rsidRPr="00D56F94" w14:paraId="6C203A39" w14:textId="77777777" w:rsidTr="007876D0">
        <w:tblPrEx>
          <w:tblCellMar>
            <w:top w:w="15" w:type="dxa"/>
            <w:bottom w:w="15" w:type="dxa"/>
          </w:tblCellMar>
          <w:tblLook w:val="04A0" w:firstRow="1" w:lastRow="0" w:firstColumn="1" w:lastColumn="0" w:noHBand="0" w:noVBand="1"/>
        </w:tblPrEx>
        <w:trPr>
          <w:trHeight w:val="20"/>
        </w:trPr>
        <w:tc>
          <w:tcPr>
            <w:tcW w:w="1275" w:type="dxa"/>
            <w:gridSpan w:val="2"/>
            <w:vMerge/>
            <w:tcBorders>
              <w:left w:val="single" w:sz="4" w:space="0" w:color="auto"/>
              <w:right w:val="single" w:sz="4" w:space="0" w:color="auto"/>
            </w:tcBorders>
          </w:tcPr>
          <w:p w14:paraId="45BCCBBE" w14:textId="77777777" w:rsidR="000C14CD" w:rsidRPr="001428E9" w:rsidRDefault="000C14CD" w:rsidP="00A308CB">
            <w:pPr>
              <w:rPr>
                <w:rFonts w:ascii="Arial Narrow" w:hAnsi="Arial Narrow" w:cs="Arial"/>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76E110F6" w14:textId="77777777" w:rsidR="000C14CD" w:rsidRPr="00451DE0" w:rsidRDefault="000C14CD" w:rsidP="00A308CB">
            <w:pPr>
              <w:keepLines/>
              <w:rPr>
                <w:rFonts w:ascii="Arial Narrow" w:hAnsi="Arial Narrow" w:cs="Arial"/>
                <w:sz w:val="20"/>
                <w:szCs w:val="20"/>
              </w:rPr>
            </w:pPr>
            <w:r w:rsidRPr="001428E9">
              <w:rPr>
                <w:rFonts w:ascii="Arial Narrow" w:hAnsi="Arial Narrow" w:cs="Arial"/>
                <w:b/>
                <w:sz w:val="20"/>
                <w:szCs w:val="20"/>
              </w:rPr>
              <w:t xml:space="preserve">Restriction type: </w:t>
            </w:r>
          </w:p>
          <w:p w14:paraId="5051C5DB" w14:textId="46C6F921" w:rsidR="000C14CD" w:rsidRPr="00451DE0" w:rsidRDefault="000C14CD" w:rsidP="00451DE0">
            <w:pPr>
              <w:keepLines/>
              <w:rPr>
                <w:rFonts w:ascii="Arial Narrow" w:eastAsia="Calibri" w:hAnsi="Arial Narrow" w:cs="Arial"/>
                <w:sz w:val="20"/>
                <w:szCs w:val="20"/>
              </w:rPr>
            </w:pP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 xml:space="preserve">Authority Required (Streamlined) </w:t>
            </w:r>
          </w:p>
        </w:tc>
      </w:tr>
      <w:tr w:rsidR="000C14CD" w:rsidRPr="001428E9" w14:paraId="66998359" w14:textId="77777777" w:rsidTr="007876D0">
        <w:tblPrEx>
          <w:tblCellMar>
            <w:top w:w="15" w:type="dxa"/>
            <w:bottom w:w="15" w:type="dxa"/>
          </w:tblCellMar>
          <w:tblLook w:val="04A0" w:firstRow="1" w:lastRow="0" w:firstColumn="1" w:lastColumn="0" w:noHBand="0" w:noVBand="1"/>
        </w:tblPrEx>
        <w:trPr>
          <w:trHeight w:val="20"/>
        </w:trPr>
        <w:tc>
          <w:tcPr>
            <w:tcW w:w="491" w:type="dxa"/>
            <w:vMerge w:val="restart"/>
            <w:tcBorders>
              <w:left w:val="single" w:sz="4" w:space="0" w:color="auto"/>
              <w:right w:val="single" w:sz="4" w:space="0" w:color="auto"/>
            </w:tcBorders>
            <w:textDirection w:val="btLr"/>
            <w:vAlign w:val="center"/>
          </w:tcPr>
          <w:p w14:paraId="2B668A7B" w14:textId="77777777" w:rsidR="000C14CD" w:rsidRPr="00432EBF" w:rsidRDefault="000C14CD" w:rsidP="00A308CB">
            <w:pPr>
              <w:jc w:val="center"/>
              <w:rPr>
                <w:rFonts w:ascii="Arial Narrow" w:hAnsi="Arial Narrow" w:cs="Arial"/>
                <w:sz w:val="20"/>
                <w:szCs w:val="20"/>
              </w:rPr>
            </w:pPr>
            <w:r w:rsidRPr="00432EBF">
              <w:rPr>
                <w:rFonts w:ascii="Arial Narrow" w:hAnsi="Arial Narrow" w:cs="Arial"/>
                <w:sz w:val="20"/>
                <w:szCs w:val="20"/>
              </w:rPr>
              <w:t>Prescribing rule level</w:t>
            </w:r>
          </w:p>
        </w:tc>
        <w:tc>
          <w:tcPr>
            <w:tcW w:w="784" w:type="dxa"/>
            <w:vAlign w:val="center"/>
          </w:tcPr>
          <w:p w14:paraId="17DB4835" w14:textId="5EF567D0" w:rsidR="000C14CD" w:rsidRPr="001428E9" w:rsidRDefault="000C14CD" w:rsidP="00A308CB">
            <w:pPr>
              <w:jc w:val="center"/>
              <w:rPr>
                <w:rFonts w:ascii="Arial Narrow" w:hAnsi="Arial Narrow"/>
                <w:color w:val="333333"/>
                <w:sz w:val="20"/>
                <w:szCs w:val="20"/>
              </w:rPr>
            </w:pPr>
          </w:p>
        </w:tc>
        <w:tc>
          <w:tcPr>
            <w:tcW w:w="7746" w:type="dxa"/>
            <w:gridSpan w:val="6"/>
            <w:vAlign w:val="center"/>
          </w:tcPr>
          <w:p w14:paraId="5CC0AC29" w14:textId="3B2A11BE" w:rsidR="000C14CD" w:rsidRPr="00451DE0" w:rsidRDefault="000C14CD" w:rsidP="00A308CB">
            <w:pPr>
              <w:rPr>
                <w:rFonts w:ascii="Arial Narrow" w:hAnsi="Arial Narrow"/>
                <w:sz w:val="20"/>
                <w:szCs w:val="20"/>
              </w:rPr>
            </w:pPr>
            <w:r>
              <w:rPr>
                <w:rFonts w:ascii="Arial Narrow" w:hAnsi="Arial Narrow"/>
                <w:b/>
                <w:bCs/>
                <w:sz w:val="20"/>
                <w:szCs w:val="20"/>
              </w:rPr>
              <w:t>Caution</w:t>
            </w:r>
            <w:r w:rsidRPr="00432EBF">
              <w:rPr>
                <w:rFonts w:ascii="Arial Narrow" w:hAnsi="Arial Narrow"/>
                <w:b/>
                <w:bCs/>
                <w:sz w:val="20"/>
                <w:szCs w:val="20"/>
              </w:rPr>
              <w:t>:</w:t>
            </w:r>
            <w:r w:rsidRPr="00451DE0">
              <w:rPr>
                <w:rFonts w:ascii="Open Sans" w:hAnsi="Open Sans" w:cs="Open Sans"/>
                <w:sz w:val="22"/>
                <w:szCs w:val="22"/>
                <w:shd w:val="clear" w:color="auto" w:fill="F4F4F4"/>
              </w:rPr>
              <w:t xml:space="preserve"> </w:t>
            </w:r>
            <w:r w:rsidRPr="00D606D6">
              <w:rPr>
                <w:rFonts w:ascii="Arial Narrow" w:hAnsi="Arial Narrow"/>
                <w:sz w:val="20"/>
                <w:szCs w:val="20"/>
              </w:rPr>
              <w:t>The risk of drug dependence is high.</w:t>
            </w:r>
          </w:p>
        </w:tc>
      </w:tr>
      <w:tr w:rsidR="000C14CD" w:rsidRPr="00432EBF" w14:paraId="73C3E5B0" w14:textId="77777777" w:rsidTr="007876D0">
        <w:tblPrEx>
          <w:tblCellMar>
            <w:top w:w="15" w:type="dxa"/>
            <w:bottom w:w="15" w:type="dxa"/>
          </w:tblCellMar>
          <w:tblLook w:val="04A0" w:firstRow="1" w:lastRow="0" w:firstColumn="1" w:lastColumn="0" w:noHBand="0" w:noVBand="1"/>
        </w:tblPrEx>
        <w:trPr>
          <w:trHeight w:val="20"/>
        </w:trPr>
        <w:tc>
          <w:tcPr>
            <w:tcW w:w="491" w:type="dxa"/>
            <w:vMerge/>
            <w:tcBorders>
              <w:left w:val="single" w:sz="4" w:space="0" w:color="auto"/>
              <w:right w:val="single" w:sz="4" w:space="0" w:color="auto"/>
            </w:tcBorders>
          </w:tcPr>
          <w:p w14:paraId="2A50E119" w14:textId="77777777" w:rsidR="000C14CD" w:rsidRPr="00432EBF" w:rsidRDefault="000C14CD" w:rsidP="00A308CB">
            <w:pPr>
              <w:rPr>
                <w:rFonts w:ascii="Arial Narrow" w:hAnsi="Arial Narrow" w:cs="Arial"/>
                <w:sz w:val="20"/>
                <w:szCs w:val="20"/>
              </w:rPr>
            </w:pPr>
          </w:p>
        </w:tc>
        <w:tc>
          <w:tcPr>
            <w:tcW w:w="784" w:type="dxa"/>
            <w:vAlign w:val="center"/>
          </w:tcPr>
          <w:p w14:paraId="7BD847E8" w14:textId="079C8A7B" w:rsidR="000C14CD" w:rsidRPr="00432EBF" w:rsidRDefault="000C14CD" w:rsidP="00A308CB">
            <w:pPr>
              <w:jc w:val="center"/>
              <w:rPr>
                <w:rFonts w:ascii="Arial Narrow" w:hAnsi="Arial Narrow"/>
                <w:sz w:val="20"/>
                <w:szCs w:val="20"/>
              </w:rPr>
            </w:pPr>
          </w:p>
        </w:tc>
        <w:tc>
          <w:tcPr>
            <w:tcW w:w="7746" w:type="dxa"/>
            <w:gridSpan w:val="6"/>
            <w:vAlign w:val="center"/>
          </w:tcPr>
          <w:p w14:paraId="334B8897" w14:textId="77777777" w:rsidR="000C14CD" w:rsidRPr="00432EBF" w:rsidRDefault="000C14CD" w:rsidP="00A308CB">
            <w:pPr>
              <w:rPr>
                <w:rFonts w:ascii="Arial Narrow" w:hAnsi="Arial Narrow"/>
                <w:b/>
                <w:bCs/>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sidRPr="00D606D6">
              <w:rPr>
                <w:rFonts w:ascii="Arial Narrow" w:hAnsi="Arial Narrow"/>
                <w:sz w:val="20"/>
                <w:szCs w:val="20"/>
              </w:rPr>
              <w:t>This treatment is not suitable for 'as-required' pain relief.</w:t>
            </w:r>
          </w:p>
        </w:tc>
      </w:tr>
      <w:tr w:rsidR="000C14CD" w:rsidRPr="00432EBF" w14:paraId="38647A8F" w14:textId="77777777" w:rsidTr="007876D0">
        <w:tblPrEx>
          <w:tblCellMar>
            <w:top w:w="15" w:type="dxa"/>
            <w:bottom w:w="15" w:type="dxa"/>
          </w:tblCellMar>
          <w:tblLook w:val="04A0" w:firstRow="1" w:lastRow="0" w:firstColumn="1" w:lastColumn="0" w:noHBand="0" w:noVBand="1"/>
        </w:tblPrEx>
        <w:trPr>
          <w:trHeight w:val="20"/>
        </w:trPr>
        <w:tc>
          <w:tcPr>
            <w:tcW w:w="491" w:type="dxa"/>
            <w:vMerge/>
            <w:tcBorders>
              <w:left w:val="single" w:sz="4" w:space="0" w:color="auto"/>
              <w:right w:val="single" w:sz="4" w:space="0" w:color="auto"/>
            </w:tcBorders>
          </w:tcPr>
          <w:p w14:paraId="3D4F932A" w14:textId="77777777" w:rsidR="000C14CD" w:rsidRPr="00432EBF" w:rsidRDefault="000C14CD" w:rsidP="00A308CB">
            <w:pPr>
              <w:rPr>
                <w:rFonts w:ascii="Arial Narrow" w:hAnsi="Arial Narrow" w:cs="Arial"/>
                <w:sz w:val="20"/>
                <w:szCs w:val="20"/>
              </w:rPr>
            </w:pPr>
          </w:p>
        </w:tc>
        <w:tc>
          <w:tcPr>
            <w:tcW w:w="784" w:type="dxa"/>
            <w:vAlign w:val="center"/>
          </w:tcPr>
          <w:p w14:paraId="30CD8069" w14:textId="1B794416" w:rsidR="000C14CD" w:rsidRPr="00432EBF" w:rsidRDefault="000C14CD" w:rsidP="00A308CB">
            <w:pPr>
              <w:jc w:val="center"/>
              <w:rPr>
                <w:rFonts w:ascii="Arial Narrow" w:hAnsi="Arial Narrow"/>
                <w:sz w:val="20"/>
                <w:szCs w:val="20"/>
              </w:rPr>
            </w:pPr>
          </w:p>
        </w:tc>
        <w:tc>
          <w:tcPr>
            <w:tcW w:w="7746" w:type="dxa"/>
            <w:gridSpan w:val="6"/>
            <w:vAlign w:val="center"/>
          </w:tcPr>
          <w:p w14:paraId="56C400ED" w14:textId="77777777" w:rsidR="000C14CD" w:rsidRPr="00432EBF" w:rsidRDefault="000C14CD" w:rsidP="00A308CB">
            <w:pPr>
              <w:rPr>
                <w:rFonts w:ascii="Arial Narrow" w:hAnsi="Arial Narrow"/>
                <w:b/>
                <w:bCs/>
                <w:sz w:val="20"/>
                <w:szCs w:val="20"/>
              </w:rPr>
            </w:pPr>
            <w:r>
              <w:rPr>
                <w:rFonts w:ascii="Arial Narrow" w:hAnsi="Arial Narrow"/>
                <w:b/>
                <w:bCs/>
                <w:sz w:val="20"/>
                <w:szCs w:val="20"/>
              </w:rPr>
              <w:t xml:space="preserve">Administrative Advice: </w:t>
            </w:r>
            <w:r w:rsidRPr="00D606D6">
              <w:rPr>
                <w:rFonts w:ascii="Arial Narrow" w:hAnsi="Arial Narrow"/>
                <w:sz w:val="20"/>
                <w:szCs w:val="20"/>
              </w:rPr>
              <w:t>This treatment is not recommended for use in ambulant patients.</w:t>
            </w:r>
          </w:p>
        </w:tc>
      </w:tr>
      <w:tr w:rsidR="000C14CD" w:rsidRPr="00432EBF" w14:paraId="26120596" w14:textId="77777777" w:rsidTr="007876D0">
        <w:tblPrEx>
          <w:tblCellMar>
            <w:top w:w="15" w:type="dxa"/>
            <w:bottom w:w="15" w:type="dxa"/>
          </w:tblCellMar>
          <w:tblLook w:val="04A0" w:firstRow="1" w:lastRow="0" w:firstColumn="1" w:lastColumn="0" w:noHBand="0" w:noVBand="1"/>
        </w:tblPrEx>
        <w:trPr>
          <w:trHeight w:val="20"/>
        </w:trPr>
        <w:tc>
          <w:tcPr>
            <w:tcW w:w="491" w:type="dxa"/>
            <w:vMerge/>
            <w:tcBorders>
              <w:left w:val="single" w:sz="4" w:space="0" w:color="auto"/>
              <w:right w:val="single" w:sz="4" w:space="0" w:color="auto"/>
            </w:tcBorders>
          </w:tcPr>
          <w:p w14:paraId="01BEA076" w14:textId="77777777" w:rsidR="000C14CD" w:rsidRPr="00432EBF" w:rsidRDefault="000C14CD" w:rsidP="00A308CB">
            <w:pPr>
              <w:rPr>
                <w:rFonts w:ascii="Arial Narrow" w:hAnsi="Arial Narrow" w:cs="Arial"/>
                <w:sz w:val="20"/>
                <w:szCs w:val="20"/>
              </w:rPr>
            </w:pPr>
          </w:p>
        </w:tc>
        <w:tc>
          <w:tcPr>
            <w:tcW w:w="784" w:type="dxa"/>
            <w:vAlign w:val="center"/>
          </w:tcPr>
          <w:p w14:paraId="091E808C" w14:textId="1635CAB3" w:rsidR="000C14CD" w:rsidRPr="00432EBF" w:rsidRDefault="000C14CD" w:rsidP="00A308CB">
            <w:pPr>
              <w:jc w:val="center"/>
              <w:rPr>
                <w:rFonts w:ascii="Arial Narrow" w:hAnsi="Arial Narrow"/>
                <w:sz w:val="20"/>
                <w:szCs w:val="20"/>
              </w:rPr>
            </w:pPr>
          </w:p>
        </w:tc>
        <w:tc>
          <w:tcPr>
            <w:tcW w:w="7746" w:type="dxa"/>
            <w:gridSpan w:val="6"/>
            <w:vAlign w:val="center"/>
          </w:tcPr>
          <w:p w14:paraId="72363EBE" w14:textId="77777777" w:rsidR="000C14CD" w:rsidRPr="00432EBF" w:rsidRDefault="000C14CD" w:rsidP="00A308CB">
            <w:pPr>
              <w:rPr>
                <w:rFonts w:ascii="Arial Narrow" w:hAnsi="Arial Narrow"/>
                <w:b/>
                <w:bCs/>
                <w:sz w:val="20"/>
                <w:szCs w:val="20"/>
              </w:rPr>
            </w:pPr>
            <w:r>
              <w:rPr>
                <w:rFonts w:ascii="Arial Narrow" w:hAnsi="Arial Narrow"/>
                <w:b/>
                <w:bCs/>
                <w:sz w:val="20"/>
                <w:szCs w:val="20"/>
              </w:rPr>
              <w:t xml:space="preserve">Administrative Advice: </w:t>
            </w:r>
            <w:r w:rsidRPr="00D606D6">
              <w:rPr>
                <w:rFonts w:ascii="Arial Narrow" w:hAnsi="Arial Narrow"/>
                <w:sz w:val="20"/>
                <w:szCs w:val="20"/>
              </w:rPr>
              <w:t>Consider consultation with a multidisciplinary pain service prior to, or after commencement of this medication.</w:t>
            </w:r>
          </w:p>
        </w:tc>
      </w:tr>
      <w:tr w:rsidR="000C14CD" w:rsidRPr="00432EBF" w14:paraId="7C89A423" w14:textId="77777777" w:rsidTr="007876D0">
        <w:tblPrEx>
          <w:tblCellMar>
            <w:top w:w="15" w:type="dxa"/>
            <w:bottom w:w="15" w:type="dxa"/>
          </w:tblCellMar>
          <w:tblLook w:val="04A0" w:firstRow="1" w:lastRow="0" w:firstColumn="1" w:lastColumn="0" w:noHBand="0" w:noVBand="1"/>
        </w:tblPrEx>
        <w:trPr>
          <w:trHeight w:val="20"/>
        </w:trPr>
        <w:tc>
          <w:tcPr>
            <w:tcW w:w="491" w:type="dxa"/>
            <w:vMerge/>
            <w:tcBorders>
              <w:left w:val="single" w:sz="4" w:space="0" w:color="auto"/>
              <w:bottom w:val="single" w:sz="4" w:space="0" w:color="auto"/>
              <w:right w:val="single" w:sz="4" w:space="0" w:color="auto"/>
            </w:tcBorders>
          </w:tcPr>
          <w:p w14:paraId="1C6D1EE4" w14:textId="77777777" w:rsidR="000C14CD" w:rsidRPr="00432EBF" w:rsidRDefault="000C14CD" w:rsidP="00A308CB">
            <w:pPr>
              <w:rPr>
                <w:rFonts w:ascii="Arial Narrow" w:hAnsi="Arial Narrow" w:cs="Arial"/>
                <w:sz w:val="20"/>
                <w:szCs w:val="20"/>
              </w:rPr>
            </w:pPr>
          </w:p>
        </w:tc>
        <w:tc>
          <w:tcPr>
            <w:tcW w:w="784" w:type="dxa"/>
            <w:vAlign w:val="center"/>
          </w:tcPr>
          <w:p w14:paraId="2146CAAD" w14:textId="28ADEC2D" w:rsidR="000C14CD" w:rsidRPr="00432EBF" w:rsidRDefault="000C14CD" w:rsidP="00A308CB">
            <w:pPr>
              <w:jc w:val="center"/>
              <w:rPr>
                <w:rFonts w:ascii="Arial Narrow" w:hAnsi="Arial Narrow"/>
                <w:sz w:val="20"/>
                <w:szCs w:val="20"/>
              </w:rPr>
            </w:pPr>
          </w:p>
        </w:tc>
        <w:tc>
          <w:tcPr>
            <w:tcW w:w="7746" w:type="dxa"/>
            <w:gridSpan w:val="6"/>
            <w:vAlign w:val="center"/>
          </w:tcPr>
          <w:p w14:paraId="33DA0B04" w14:textId="77777777" w:rsidR="000C14CD" w:rsidRPr="00D606D6" w:rsidRDefault="000C14CD" w:rsidP="00A308CB">
            <w:pPr>
              <w:rPr>
                <w:rFonts w:ascii="Arial Narrow" w:hAnsi="Arial Narrow"/>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sidRPr="00D606D6">
              <w:rPr>
                <w:rFonts w:ascii="Arial Narrow" w:hAnsi="Arial Narrow"/>
                <w:sz w:val="20"/>
                <w:szCs w:val="20"/>
              </w:rPr>
              <w:t>Real time online applications for increased maximum quantities/repeats may be made using the Online PBS Authorities system (see www.servicesaustralia.gov.au/organisations/health-professionals/services/medicare/hpos/services/request-authority-using-online-pbs-authorities-hpos).</w:t>
            </w:r>
          </w:p>
          <w:p w14:paraId="4EE56CD2" w14:textId="77777777" w:rsidR="000C14CD" w:rsidRPr="00D606D6" w:rsidRDefault="000C14CD" w:rsidP="00A308CB">
            <w:pPr>
              <w:rPr>
                <w:rFonts w:ascii="Arial Narrow" w:hAnsi="Arial Narrow"/>
                <w:sz w:val="20"/>
                <w:szCs w:val="20"/>
              </w:rPr>
            </w:pPr>
            <w:r w:rsidRPr="00D606D6">
              <w:rPr>
                <w:rFonts w:ascii="Arial Narrow" w:hAnsi="Arial Narrow"/>
                <w:sz w:val="20"/>
                <w:szCs w:val="20"/>
              </w:rPr>
              <w:lastRenderedPageBreak/>
              <w:t>Phone applications for increased maximum quantities/repeats may be made by calling 1800 888 333.</w:t>
            </w:r>
          </w:p>
          <w:p w14:paraId="528CA25C" w14:textId="77777777" w:rsidR="000C14CD" w:rsidRPr="00D606D6" w:rsidRDefault="000C14CD" w:rsidP="00A308CB">
            <w:pPr>
              <w:rPr>
                <w:rFonts w:ascii="Arial Narrow" w:hAnsi="Arial Narrow"/>
                <w:sz w:val="20"/>
                <w:szCs w:val="20"/>
              </w:rPr>
            </w:pPr>
            <w:r w:rsidRPr="00D606D6">
              <w:rPr>
                <w:rFonts w:ascii="Arial Narrow" w:hAnsi="Arial Narrow"/>
                <w:sz w:val="20"/>
                <w:szCs w:val="20"/>
              </w:rPr>
              <w:t>Written authority applications for increased maximum quantities/repeats can be uploaded online through HPOS form upload or mailed to:</w:t>
            </w:r>
          </w:p>
          <w:p w14:paraId="783D76BD" w14:textId="77777777" w:rsidR="000C14CD" w:rsidRPr="00D606D6" w:rsidRDefault="000C14CD" w:rsidP="00A308CB">
            <w:pPr>
              <w:rPr>
                <w:rFonts w:ascii="Arial Narrow" w:hAnsi="Arial Narrow"/>
                <w:sz w:val="20"/>
                <w:szCs w:val="20"/>
              </w:rPr>
            </w:pPr>
            <w:r w:rsidRPr="00D606D6">
              <w:rPr>
                <w:rFonts w:ascii="Arial Narrow" w:hAnsi="Arial Narrow"/>
                <w:sz w:val="20"/>
                <w:szCs w:val="20"/>
              </w:rPr>
              <w:t>Pharmaceutical Benefits Scheme</w:t>
            </w:r>
          </w:p>
          <w:p w14:paraId="69013043" w14:textId="77777777" w:rsidR="000C14CD" w:rsidRPr="00D606D6" w:rsidRDefault="000C14CD" w:rsidP="00A308CB">
            <w:pPr>
              <w:rPr>
                <w:rFonts w:ascii="Arial Narrow" w:hAnsi="Arial Narrow"/>
                <w:sz w:val="20"/>
                <w:szCs w:val="20"/>
              </w:rPr>
            </w:pPr>
            <w:r w:rsidRPr="00D606D6">
              <w:rPr>
                <w:rFonts w:ascii="Arial Narrow" w:hAnsi="Arial Narrow"/>
                <w:sz w:val="20"/>
                <w:szCs w:val="20"/>
              </w:rPr>
              <w:t>Reply Paid 9857</w:t>
            </w:r>
          </w:p>
          <w:p w14:paraId="6DA56110" w14:textId="77777777" w:rsidR="000C14CD" w:rsidRPr="00432EBF" w:rsidRDefault="000C14CD" w:rsidP="00A308CB">
            <w:pPr>
              <w:rPr>
                <w:rFonts w:ascii="Arial Narrow" w:hAnsi="Arial Narrow"/>
                <w:b/>
                <w:bCs/>
                <w:sz w:val="20"/>
                <w:szCs w:val="20"/>
              </w:rPr>
            </w:pPr>
            <w:r w:rsidRPr="00D606D6">
              <w:rPr>
                <w:rFonts w:ascii="Arial Narrow" w:hAnsi="Arial Narrow"/>
                <w:sz w:val="20"/>
                <w:szCs w:val="20"/>
              </w:rPr>
              <w:t>[Your capital city]</w:t>
            </w:r>
          </w:p>
        </w:tc>
      </w:tr>
      <w:tr w:rsidR="000C14CD" w:rsidRPr="001428E9" w14:paraId="668CF15F" w14:textId="77777777" w:rsidTr="00025E84">
        <w:tblPrEx>
          <w:tblCellMar>
            <w:top w:w="15" w:type="dxa"/>
            <w:bottom w:w="15" w:type="dxa"/>
          </w:tblCellMar>
        </w:tblPrEx>
        <w:trPr>
          <w:cantSplit/>
          <w:trHeight w:val="20"/>
        </w:trPr>
        <w:tc>
          <w:tcPr>
            <w:tcW w:w="1275" w:type="dxa"/>
            <w:gridSpan w:val="2"/>
            <w:vAlign w:val="center"/>
          </w:tcPr>
          <w:p w14:paraId="476AC056" w14:textId="334A4833" w:rsidR="000C14CD" w:rsidRPr="00432EBF" w:rsidRDefault="000C14CD" w:rsidP="00A308CB">
            <w:pPr>
              <w:keepLines/>
              <w:jc w:val="center"/>
              <w:rPr>
                <w:rFonts w:ascii="Arial Narrow" w:hAnsi="Arial Narrow"/>
                <w:sz w:val="20"/>
                <w:szCs w:val="20"/>
              </w:rPr>
            </w:pPr>
          </w:p>
        </w:tc>
        <w:tc>
          <w:tcPr>
            <w:tcW w:w="7746" w:type="dxa"/>
            <w:gridSpan w:val="6"/>
            <w:vAlign w:val="center"/>
            <w:hideMark/>
          </w:tcPr>
          <w:p w14:paraId="65617330" w14:textId="77777777" w:rsidR="000C14CD" w:rsidRPr="001428E9" w:rsidRDefault="000C14CD" w:rsidP="00A308CB">
            <w:pPr>
              <w:keepLines/>
              <w:rPr>
                <w:rFonts w:ascii="Arial Narrow" w:hAnsi="Arial Narrow"/>
                <w:color w:val="333333"/>
                <w:sz w:val="20"/>
                <w:szCs w:val="20"/>
              </w:rPr>
            </w:pPr>
            <w:r w:rsidRPr="00432EBF">
              <w:rPr>
                <w:rFonts w:ascii="Arial Narrow" w:hAnsi="Arial Narrow"/>
                <w:b/>
                <w:bCs/>
                <w:sz w:val="20"/>
                <w:szCs w:val="20"/>
              </w:rPr>
              <w:t>Indication</w:t>
            </w:r>
            <w:r w:rsidRPr="00D606D6">
              <w:rPr>
                <w:rFonts w:ascii="Arial Narrow" w:hAnsi="Arial Narrow"/>
                <w:sz w:val="20"/>
                <w:szCs w:val="20"/>
              </w:rPr>
              <w:t>: Chronic severe disabling pain</w:t>
            </w:r>
          </w:p>
        </w:tc>
      </w:tr>
      <w:tr w:rsidR="000C14CD" w:rsidRPr="001428E9" w14:paraId="586FD322" w14:textId="77777777" w:rsidTr="00025E84">
        <w:tblPrEx>
          <w:tblCellMar>
            <w:top w:w="15" w:type="dxa"/>
            <w:bottom w:w="15" w:type="dxa"/>
          </w:tblCellMar>
        </w:tblPrEx>
        <w:trPr>
          <w:cantSplit/>
          <w:trHeight w:val="20"/>
        </w:trPr>
        <w:tc>
          <w:tcPr>
            <w:tcW w:w="1275" w:type="dxa"/>
            <w:gridSpan w:val="2"/>
            <w:vAlign w:val="center"/>
          </w:tcPr>
          <w:p w14:paraId="4814A9CB" w14:textId="77777777" w:rsidR="000C14CD" w:rsidRPr="00432EBF" w:rsidRDefault="000C14CD" w:rsidP="00A308CB">
            <w:pPr>
              <w:jc w:val="center"/>
              <w:rPr>
                <w:rFonts w:ascii="Arial Narrow" w:hAnsi="Arial Narrow"/>
                <w:sz w:val="20"/>
                <w:szCs w:val="20"/>
              </w:rPr>
            </w:pPr>
          </w:p>
        </w:tc>
        <w:tc>
          <w:tcPr>
            <w:tcW w:w="7746" w:type="dxa"/>
            <w:gridSpan w:val="6"/>
            <w:vAlign w:val="center"/>
            <w:hideMark/>
          </w:tcPr>
          <w:p w14:paraId="5BC2BA3E" w14:textId="77777777" w:rsidR="000C14CD" w:rsidRPr="001428E9" w:rsidRDefault="000C14CD" w:rsidP="00A308CB">
            <w:pPr>
              <w:rPr>
                <w:rFonts w:ascii="Arial Narrow" w:hAnsi="Arial Narrow"/>
                <w:sz w:val="20"/>
                <w:szCs w:val="20"/>
              </w:rPr>
            </w:pPr>
            <w:r w:rsidRPr="00432EBF">
              <w:rPr>
                <w:rFonts w:ascii="Arial Narrow" w:hAnsi="Arial Narrow"/>
                <w:b/>
                <w:bCs/>
                <w:sz w:val="20"/>
                <w:szCs w:val="20"/>
              </w:rPr>
              <w:t>Treatment Phase:</w:t>
            </w:r>
            <w:r w:rsidRPr="00432EBF">
              <w:rPr>
                <w:rFonts w:ascii="Arial Narrow" w:hAnsi="Arial Narrow"/>
                <w:sz w:val="20"/>
                <w:szCs w:val="20"/>
              </w:rPr>
              <w:t xml:space="preserve"> </w:t>
            </w:r>
            <w:r w:rsidRPr="008B0CE6">
              <w:rPr>
                <w:rFonts w:ascii="Arial Narrow" w:hAnsi="Arial Narrow"/>
                <w:sz w:val="20"/>
                <w:szCs w:val="20"/>
              </w:rPr>
              <w:t>Initial PBS treatment after 1 June 2020 where patient has been treated with opioids for more than 12 months</w:t>
            </w:r>
          </w:p>
        </w:tc>
      </w:tr>
      <w:tr w:rsidR="000C14CD" w:rsidRPr="001428E9" w14:paraId="73F3C147" w14:textId="77777777" w:rsidTr="00025E84">
        <w:tblPrEx>
          <w:tblCellMar>
            <w:top w:w="15" w:type="dxa"/>
            <w:bottom w:w="15" w:type="dxa"/>
          </w:tblCellMar>
        </w:tblPrEx>
        <w:trPr>
          <w:cantSplit/>
          <w:trHeight w:val="20"/>
        </w:trPr>
        <w:tc>
          <w:tcPr>
            <w:tcW w:w="1275" w:type="dxa"/>
            <w:gridSpan w:val="2"/>
            <w:vAlign w:val="center"/>
          </w:tcPr>
          <w:p w14:paraId="5503ADCB" w14:textId="43C09BCD" w:rsidR="000C14CD" w:rsidRPr="00432EBF" w:rsidRDefault="000C14CD" w:rsidP="00A308CB">
            <w:pPr>
              <w:jc w:val="center"/>
              <w:rPr>
                <w:rFonts w:ascii="Arial Narrow" w:hAnsi="Arial Narrow"/>
                <w:sz w:val="20"/>
                <w:szCs w:val="20"/>
              </w:rPr>
            </w:pPr>
          </w:p>
        </w:tc>
        <w:tc>
          <w:tcPr>
            <w:tcW w:w="7746" w:type="dxa"/>
            <w:gridSpan w:val="6"/>
            <w:vAlign w:val="center"/>
            <w:hideMark/>
          </w:tcPr>
          <w:p w14:paraId="092F3AE9" w14:textId="77777777" w:rsidR="000C14CD" w:rsidRPr="001428E9" w:rsidRDefault="000C14CD" w:rsidP="00A308CB">
            <w:pPr>
              <w:rPr>
                <w:rFonts w:ascii="Arial Narrow" w:hAnsi="Arial Narrow"/>
                <w:sz w:val="20"/>
                <w:szCs w:val="20"/>
              </w:rPr>
            </w:pPr>
            <w:r w:rsidRPr="00432EBF">
              <w:rPr>
                <w:rFonts w:ascii="Arial Narrow" w:hAnsi="Arial Narrow"/>
                <w:b/>
                <w:bCs/>
                <w:sz w:val="20"/>
                <w:szCs w:val="20"/>
              </w:rPr>
              <w:t xml:space="preserve">Clinical criteria: </w:t>
            </w:r>
          </w:p>
        </w:tc>
      </w:tr>
      <w:tr w:rsidR="000C14CD" w:rsidRPr="001428E9" w14:paraId="0C5B8283" w14:textId="77777777" w:rsidTr="00025E84">
        <w:tblPrEx>
          <w:tblCellMar>
            <w:top w:w="15" w:type="dxa"/>
            <w:bottom w:w="15" w:type="dxa"/>
          </w:tblCellMar>
        </w:tblPrEx>
        <w:trPr>
          <w:cantSplit/>
          <w:trHeight w:val="20"/>
        </w:trPr>
        <w:tc>
          <w:tcPr>
            <w:tcW w:w="1275" w:type="dxa"/>
            <w:gridSpan w:val="2"/>
            <w:vAlign w:val="center"/>
          </w:tcPr>
          <w:p w14:paraId="694AA951" w14:textId="4F25E80E" w:rsidR="000C14CD" w:rsidRPr="00432EBF" w:rsidRDefault="000C14CD" w:rsidP="00A308CB">
            <w:pPr>
              <w:jc w:val="center"/>
              <w:rPr>
                <w:rFonts w:ascii="Arial Narrow" w:hAnsi="Arial Narrow"/>
                <w:sz w:val="20"/>
                <w:szCs w:val="20"/>
              </w:rPr>
            </w:pPr>
          </w:p>
        </w:tc>
        <w:tc>
          <w:tcPr>
            <w:tcW w:w="7746" w:type="dxa"/>
            <w:gridSpan w:val="6"/>
            <w:vAlign w:val="center"/>
            <w:hideMark/>
          </w:tcPr>
          <w:p w14:paraId="704E713F" w14:textId="77777777" w:rsidR="000C14CD" w:rsidRPr="001428E9" w:rsidRDefault="000C14CD" w:rsidP="00A308CB">
            <w:pPr>
              <w:jc w:val="left"/>
              <w:rPr>
                <w:rFonts w:ascii="Arial Narrow" w:hAnsi="Arial Narrow"/>
                <w:color w:val="333333"/>
                <w:sz w:val="20"/>
                <w:szCs w:val="20"/>
              </w:rPr>
            </w:pPr>
            <w:r w:rsidRPr="00120D23">
              <w:rPr>
                <w:rFonts w:ascii="Arial Narrow" w:hAnsi="Arial Narrow"/>
                <w:color w:val="333333"/>
                <w:sz w:val="20"/>
                <w:szCs w:val="20"/>
              </w:rPr>
              <w:t>The condition must require daily, continuous, long term opioid treatment</w:t>
            </w:r>
          </w:p>
        </w:tc>
      </w:tr>
      <w:tr w:rsidR="000C14CD" w:rsidRPr="00432EBF" w14:paraId="2E90F9CC" w14:textId="77777777" w:rsidTr="00025E84">
        <w:tblPrEx>
          <w:tblCellMar>
            <w:top w:w="15" w:type="dxa"/>
            <w:bottom w:w="15" w:type="dxa"/>
          </w:tblCellMar>
        </w:tblPrEx>
        <w:trPr>
          <w:cantSplit/>
          <w:trHeight w:val="20"/>
        </w:trPr>
        <w:tc>
          <w:tcPr>
            <w:tcW w:w="1275" w:type="dxa"/>
            <w:gridSpan w:val="2"/>
            <w:vAlign w:val="center"/>
          </w:tcPr>
          <w:p w14:paraId="2DAAA28C" w14:textId="77777777" w:rsidR="000C14CD" w:rsidRPr="00432EBF" w:rsidRDefault="000C14CD" w:rsidP="00A308CB">
            <w:pPr>
              <w:jc w:val="center"/>
              <w:rPr>
                <w:rFonts w:ascii="Arial Narrow" w:hAnsi="Arial Narrow"/>
                <w:sz w:val="20"/>
                <w:szCs w:val="20"/>
              </w:rPr>
            </w:pPr>
          </w:p>
        </w:tc>
        <w:tc>
          <w:tcPr>
            <w:tcW w:w="7746" w:type="dxa"/>
            <w:gridSpan w:val="6"/>
            <w:vAlign w:val="center"/>
            <w:hideMark/>
          </w:tcPr>
          <w:p w14:paraId="062AAF3A" w14:textId="77777777" w:rsidR="000C14CD" w:rsidRPr="00432EBF" w:rsidRDefault="000C14CD" w:rsidP="00A308CB">
            <w:pPr>
              <w:jc w:val="left"/>
              <w:rPr>
                <w:rFonts w:ascii="Arial Narrow" w:hAnsi="Arial Narrow"/>
                <w:sz w:val="20"/>
                <w:szCs w:val="20"/>
              </w:rPr>
            </w:pPr>
            <w:r w:rsidRPr="00432EBF">
              <w:rPr>
                <w:rFonts w:ascii="Arial Narrow" w:hAnsi="Arial Narrow"/>
                <w:b/>
                <w:bCs/>
                <w:sz w:val="20"/>
                <w:szCs w:val="20"/>
              </w:rPr>
              <w:t>AND</w:t>
            </w:r>
          </w:p>
        </w:tc>
      </w:tr>
      <w:tr w:rsidR="000C14CD" w:rsidRPr="00432EBF" w14:paraId="7BBCD76A" w14:textId="77777777" w:rsidTr="007876D0">
        <w:tblPrEx>
          <w:tblCellMar>
            <w:top w:w="15" w:type="dxa"/>
            <w:bottom w:w="15" w:type="dxa"/>
          </w:tblCellMar>
          <w:tblLook w:val="04A0" w:firstRow="1" w:lastRow="0" w:firstColumn="1" w:lastColumn="0" w:noHBand="0" w:noVBand="1"/>
        </w:tblPrEx>
        <w:trPr>
          <w:cantSplit/>
          <w:trHeight w:val="20"/>
        </w:trPr>
        <w:tc>
          <w:tcPr>
            <w:tcW w:w="1275" w:type="dxa"/>
            <w:gridSpan w:val="2"/>
            <w:vAlign w:val="center"/>
          </w:tcPr>
          <w:p w14:paraId="0ACBC3A8" w14:textId="7C444017" w:rsidR="000C14CD" w:rsidRPr="00432EBF" w:rsidRDefault="000C14CD" w:rsidP="00A308CB">
            <w:pPr>
              <w:jc w:val="center"/>
              <w:rPr>
                <w:rFonts w:ascii="Arial Narrow" w:hAnsi="Arial Narrow"/>
                <w:sz w:val="20"/>
                <w:szCs w:val="20"/>
              </w:rPr>
            </w:pPr>
          </w:p>
        </w:tc>
        <w:tc>
          <w:tcPr>
            <w:tcW w:w="7746" w:type="dxa"/>
            <w:gridSpan w:val="6"/>
            <w:vAlign w:val="center"/>
            <w:hideMark/>
          </w:tcPr>
          <w:p w14:paraId="461DAE84" w14:textId="77777777" w:rsidR="000C14CD" w:rsidRPr="00432EBF" w:rsidRDefault="000C14CD" w:rsidP="00A308CB">
            <w:pPr>
              <w:jc w:val="left"/>
              <w:rPr>
                <w:rFonts w:ascii="Arial Narrow" w:hAnsi="Arial Narrow"/>
                <w:sz w:val="20"/>
                <w:szCs w:val="20"/>
              </w:rPr>
            </w:pPr>
            <w:r w:rsidRPr="00432EBF">
              <w:rPr>
                <w:rFonts w:ascii="Arial Narrow" w:hAnsi="Arial Narrow"/>
                <w:b/>
                <w:bCs/>
                <w:sz w:val="20"/>
                <w:szCs w:val="20"/>
              </w:rPr>
              <w:t>Clinical criteria:</w:t>
            </w:r>
          </w:p>
        </w:tc>
      </w:tr>
      <w:tr w:rsidR="000C14CD" w:rsidRPr="001428E9" w14:paraId="194A596D" w14:textId="77777777" w:rsidTr="007876D0">
        <w:tblPrEx>
          <w:tblCellMar>
            <w:top w:w="15" w:type="dxa"/>
            <w:bottom w:w="15" w:type="dxa"/>
          </w:tblCellMar>
          <w:tblLook w:val="04A0" w:firstRow="1" w:lastRow="0" w:firstColumn="1" w:lastColumn="0" w:noHBand="0" w:noVBand="1"/>
        </w:tblPrEx>
        <w:trPr>
          <w:cantSplit/>
          <w:trHeight w:val="20"/>
        </w:trPr>
        <w:tc>
          <w:tcPr>
            <w:tcW w:w="1275" w:type="dxa"/>
            <w:gridSpan w:val="2"/>
            <w:vAlign w:val="center"/>
          </w:tcPr>
          <w:p w14:paraId="16A0F911" w14:textId="615BBED8" w:rsidR="000C14CD" w:rsidRPr="00432EBF" w:rsidRDefault="000C14CD" w:rsidP="00A308CB">
            <w:pPr>
              <w:jc w:val="center"/>
              <w:rPr>
                <w:rFonts w:ascii="Arial Narrow" w:hAnsi="Arial Narrow"/>
                <w:sz w:val="20"/>
                <w:szCs w:val="20"/>
              </w:rPr>
            </w:pPr>
          </w:p>
        </w:tc>
        <w:tc>
          <w:tcPr>
            <w:tcW w:w="7746" w:type="dxa"/>
            <w:gridSpan w:val="6"/>
            <w:vAlign w:val="center"/>
            <w:hideMark/>
          </w:tcPr>
          <w:p w14:paraId="387FC8E2" w14:textId="77777777" w:rsidR="000C14CD" w:rsidRPr="00451DE0" w:rsidRDefault="000C14CD" w:rsidP="00A308CB">
            <w:pPr>
              <w:rPr>
                <w:rFonts w:ascii="Arial Narrow" w:hAnsi="Arial Narrow"/>
                <w:sz w:val="20"/>
                <w:szCs w:val="20"/>
              </w:rPr>
            </w:pPr>
            <w:r w:rsidRPr="00A51255">
              <w:rPr>
                <w:rFonts w:ascii="Arial Narrow" w:hAnsi="Arial Narrow"/>
                <w:sz w:val="20"/>
                <w:szCs w:val="20"/>
              </w:rPr>
              <w:t xml:space="preserve">Patient must not be opioid </w:t>
            </w:r>
            <w:r>
              <w:rPr>
                <w:rFonts w:ascii="Arial Narrow" w:hAnsi="Arial Narrow"/>
                <w:sz w:val="20"/>
                <w:szCs w:val="20"/>
              </w:rPr>
              <w:t>naïve</w:t>
            </w:r>
          </w:p>
        </w:tc>
      </w:tr>
      <w:tr w:rsidR="000C14CD" w:rsidRPr="00432EBF" w14:paraId="304921AB" w14:textId="77777777" w:rsidTr="007876D0">
        <w:tblPrEx>
          <w:tblCellMar>
            <w:top w:w="15" w:type="dxa"/>
            <w:bottom w:w="15" w:type="dxa"/>
          </w:tblCellMar>
          <w:tblLook w:val="04A0" w:firstRow="1" w:lastRow="0" w:firstColumn="1" w:lastColumn="0" w:noHBand="0" w:noVBand="1"/>
        </w:tblPrEx>
        <w:trPr>
          <w:cantSplit/>
          <w:trHeight w:val="20"/>
        </w:trPr>
        <w:tc>
          <w:tcPr>
            <w:tcW w:w="1275" w:type="dxa"/>
            <w:gridSpan w:val="2"/>
            <w:vAlign w:val="center"/>
          </w:tcPr>
          <w:p w14:paraId="54555D79" w14:textId="77777777" w:rsidR="000C14CD" w:rsidRPr="00432EBF" w:rsidRDefault="000C14CD" w:rsidP="00A308CB">
            <w:pPr>
              <w:jc w:val="center"/>
              <w:rPr>
                <w:rFonts w:ascii="Arial Narrow" w:hAnsi="Arial Narrow"/>
                <w:sz w:val="20"/>
                <w:szCs w:val="20"/>
              </w:rPr>
            </w:pPr>
          </w:p>
        </w:tc>
        <w:tc>
          <w:tcPr>
            <w:tcW w:w="7746" w:type="dxa"/>
            <w:gridSpan w:val="6"/>
            <w:vAlign w:val="center"/>
            <w:hideMark/>
          </w:tcPr>
          <w:p w14:paraId="69EFD19B" w14:textId="77777777" w:rsidR="000C14CD" w:rsidRPr="00432EBF" w:rsidRDefault="000C14CD" w:rsidP="00A308CB">
            <w:pPr>
              <w:rPr>
                <w:rFonts w:ascii="Arial Narrow" w:hAnsi="Arial Narrow"/>
                <w:sz w:val="20"/>
                <w:szCs w:val="20"/>
              </w:rPr>
            </w:pPr>
            <w:r w:rsidRPr="00432EBF">
              <w:rPr>
                <w:rFonts w:ascii="Arial Narrow" w:hAnsi="Arial Narrow"/>
                <w:b/>
                <w:bCs/>
                <w:sz w:val="20"/>
                <w:szCs w:val="20"/>
              </w:rPr>
              <w:t>AND</w:t>
            </w:r>
          </w:p>
        </w:tc>
      </w:tr>
      <w:tr w:rsidR="000C14CD" w:rsidRPr="00432EBF" w14:paraId="2231E959" w14:textId="77777777" w:rsidTr="007876D0">
        <w:tblPrEx>
          <w:tblCellMar>
            <w:top w:w="15" w:type="dxa"/>
            <w:bottom w:w="15" w:type="dxa"/>
          </w:tblCellMar>
          <w:tblLook w:val="04A0" w:firstRow="1" w:lastRow="0" w:firstColumn="1" w:lastColumn="0" w:noHBand="0" w:noVBand="1"/>
        </w:tblPrEx>
        <w:trPr>
          <w:cantSplit/>
          <w:trHeight w:val="20"/>
        </w:trPr>
        <w:tc>
          <w:tcPr>
            <w:tcW w:w="1275" w:type="dxa"/>
            <w:gridSpan w:val="2"/>
            <w:vAlign w:val="center"/>
          </w:tcPr>
          <w:p w14:paraId="009D685A" w14:textId="17B5547D" w:rsidR="000C14CD" w:rsidRPr="00432EBF" w:rsidRDefault="000C14CD" w:rsidP="00A308CB">
            <w:pPr>
              <w:jc w:val="center"/>
              <w:rPr>
                <w:rFonts w:ascii="Arial Narrow" w:hAnsi="Arial Narrow"/>
                <w:sz w:val="20"/>
                <w:szCs w:val="20"/>
              </w:rPr>
            </w:pPr>
          </w:p>
        </w:tc>
        <w:tc>
          <w:tcPr>
            <w:tcW w:w="7746" w:type="dxa"/>
            <w:gridSpan w:val="6"/>
            <w:vAlign w:val="center"/>
            <w:hideMark/>
          </w:tcPr>
          <w:p w14:paraId="31B90642" w14:textId="77777777" w:rsidR="000C14CD" w:rsidRPr="00432EBF" w:rsidRDefault="000C14CD" w:rsidP="00A308CB">
            <w:pPr>
              <w:rPr>
                <w:rFonts w:ascii="Arial Narrow" w:hAnsi="Arial Narrow"/>
                <w:sz w:val="20"/>
                <w:szCs w:val="20"/>
              </w:rPr>
            </w:pPr>
            <w:r w:rsidRPr="00432EBF">
              <w:rPr>
                <w:rFonts w:ascii="Arial Narrow" w:hAnsi="Arial Narrow"/>
                <w:b/>
                <w:bCs/>
                <w:sz w:val="20"/>
                <w:szCs w:val="20"/>
              </w:rPr>
              <w:t>Clinical criteria:</w:t>
            </w:r>
          </w:p>
        </w:tc>
      </w:tr>
      <w:tr w:rsidR="000C14CD" w:rsidRPr="00432EBF" w14:paraId="5D07463E" w14:textId="77777777" w:rsidTr="007876D0">
        <w:tblPrEx>
          <w:tblCellMar>
            <w:top w:w="15" w:type="dxa"/>
            <w:bottom w:w="15" w:type="dxa"/>
          </w:tblCellMar>
          <w:tblLook w:val="04A0" w:firstRow="1" w:lastRow="0" w:firstColumn="1" w:lastColumn="0" w:noHBand="0" w:noVBand="1"/>
        </w:tblPrEx>
        <w:trPr>
          <w:cantSplit/>
          <w:trHeight w:val="20"/>
        </w:trPr>
        <w:tc>
          <w:tcPr>
            <w:tcW w:w="1275" w:type="dxa"/>
            <w:gridSpan w:val="2"/>
            <w:vAlign w:val="center"/>
          </w:tcPr>
          <w:p w14:paraId="6FD1B25D" w14:textId="22770818" w:rsidR="000C14CD" w:rsidRPr="00432EBF" w:rsidRDefault="000C14CD" w:rsidP="00A308CB">
            <w:pPr>
              <w:jc w:val="center"/>
              <w:rPr>
                <w:rFonts w:ascii="Arial Narrow" w:hAnsi="Arial Narrow"/>
                <w:sz w:val="20"/>
                <w:szCs w:val="20"/>
              </w:rPr>
            </w:pPr>
          </w:p>
        </w:tc>
        <w:tc>
          <w:tcPr>
            <w:tcW w:w="7746" w:type="dxa"/>
            <w:gridSpan w:val="6"/>
            <w:vAlign w:val="center"/>
            <w:hideMark/>
          </w:tcPr>
          <w:p w14:paraId="5AB496BA" w14:textId="77777777" w:rsidR="000C14CD" w:rsidRPr="00432EBF" w:rsidRDefault="000C14CD" w:rsidP="00A308CB">
            <w:pPr>
              <w:rPr>
                <w:rFonts w:ascii="Arial Narrow" w:hAnsi="Arial Narrow"/>
                <w:sz w:val="20"/>
                <w:szCs w:val="20"/>
              </w:rPr>
            </w:pPr>
            <w:r w:rsidRPr="00A74C3B">
              <w:rPr>
                <w:rFonts w:ascii="Arial Narrow" w:hAnsi="Arial Narrow"/>
                <w:sz w:val="20"/>
                <w:szCs w:val="20"/>
              </w:rPr>
              <w:t>Patient must have cancer pain; or</w:t>
            </w:r>
          </w:p>
        </w:tc>
      </w:tr>
      <w:tr w:rsidR="000C14CD" w:rsidRPr="00432EBF" w14:paraId="6F2C60DF" w14:textId="77777777" w:rsidTr="007876D0">
        <w:tblPrEx>
          <w:tblCellMar>
            <w:top w:w="15" w:type="dxa"/>
            <w:bottom w:w="15" w:type="dxa"/>
          </w:tblCellMar>
          <w:tblLook w:val="04A0" w:firstRow="1" w:lastRow="0" w:firstColumn="1" w:lastColumn="0" w:noHBand="0" w:noVBand="1"/>
        </w:tblPrEx>
        <w:trPr>
          <w:cantSplit/>
          <w:trHeight w:val="20"/>
        </w:trPr>
        <w:tc>
          <w:tcPr>
            <w:tcW w:w="1275" w:type="dxa"/>
            <w:gridSpan w:val="2"/>
            <w:vAlign w:val="center"/>
          </w:tcPr>
          <w:p w14:paraId="7B1EAF35" w14:textId="4B7E3B89" w:rsidR="000C14CD" w:rsidRDefault="000C14CD" w:rsidP="00A308CB">
            <w:pPr>
              <w:jc w:val="center"/>
              <w:rPr>
                <w:rFonts w:ascii="Arial Narrow" w:hAnsi="Arial Narrow"/>
                <w:sz w:val="20"/>
                <w:szCs w:val="20"/>
              </w:rPr>
            </w:pPr>
          </w:p>
        </w:tc>
        <w:tc>
          <w:tcPr>
            <w:tcW w:w="7746" w:type="dxa"/>
            <w:gridSpan w:val="6"/>
            <w:vAlign w:val="center"/>
          </w:tcPr>
          <w:p w14:paraId="633479AA" w14:textId="77777777" w:rsidR="000C14CD" w:rsidRPr="00A74C3B" w:rsidRDefault="000C14CD" w:rsidP="00A308CB">
            <w:pPr>
              <w:rPr>
                <w:rFonts w:ascii="Arial Narrow" w:hAnsi="Arial Narrow"/>
                <w:sz w:val="20"/>
                <w:szCs w:val="20"/>
              </w:rPr>
            </w:pPr>
            <w:r w:rsidRPr="00BF5A0A">
              <w:rPr>
                <w:rFonts w:ascii="Arial Narrow" w:hAnsi="Arial Narrow"/>
                <w:sz w:val="20"/>
                <w:szCs w:val="20"/>
              </w:rPr>
              <w:t>Patient must have had or would have inadequate pain management with maximum tolerated doses of non-opioid and other opioid analgesics; or</w:t>
            </w:r>
          </w:p>
        </w:tc>
      </w:tr>
      <w:tr w:rsidR="000C14CD" w:rsidRPr="00432EBF" w14:paraId="49787007" w14:textId="77777777" w:rsidTr="007876D0">
        <w:tblPrEx>
          <w:tblCellMar>
            <w:top w:w="15" w:type="dxa"/>
            <w:bottom w:w="15" w:type="dxa"/>
          </w:tblCellMar>
          <w:tblLook w:val="04A0" w:firstRow="1" w:lastRow="0" w:firstColumn="1" w:lastColumn="0" w:noHBand="0" w:noVBand="1"/>
        </w:tblPrEx>
        <w:trPr>
          <w:cantSplit/>
          <w:trHeight w:val="20"/>
        </w:trPr>
        <w:tc>
          <w:tcPr>
            <w:tcW w:w="1275" w:type="dxa"/>
            <w:gridSpan w:val="2"/>
            <w:vAlign w:val="center"/>
          </w:tcPr>
          <w:p w14:paraId="148D3D5B" w14:textId="44BEE729" w:rsidR="000C14CD" w:rsidRDefault="000C14CD" w:rsidP="00A308CB">
            <w:pPr>
              <w:jc w:val="center"/>
              <w:rPr>
                <w:rFonts w:ascii="Arial Narrow" w:hAnsi="Arial Narrow"/>
                <w:sz w:val="20"/>
                <w:szCs w:val="20"/>
              </w:rPr>
            </w:pPr>
          </w:p>
        </w:tc>
        <w:tc>
          <w:tcPr>
            <w:tcW w:w="7746" w:type="dxa"/>
            <w:gridSpan w:val="6"/>
            <w:vAlign w:val="center"/>
          </w:tcPr>
          <w:p w14:paraId="097786BB" w14:textId="77777777" w:rsidR="000C14CD" w:rsidRPr="00A74C3B" w:rsidRDefault="000C14CD" w:rsidP="00A308CB">
            <w:pPr>
              <w:rPr>
                <w:rFonts w:ascii="Arial Narrow" w:hAnsi="Arial Narrow"/>
                <w:sz w:val="20"/>
                <w:szCs w:val="20"/>
              </w:rPr>
            </w:pPr>
            <w:r w:rsidRPr="00BF5A0A">
              <w:rPr>
                <w:rFonts w:ascii="Arial Narrow" w:hAnsi="Arial Narrow"/>
                <w:sz w:val="20"/>
                <w:szCs w:val="20"/>
              </w:rPr>
              <w:t>Patient must be unable to use non-opioid and other opioid analgesics due to contraindications or intolerance</w:t>
            </w:r>
          </w:p>
        </w:tc>
      </w:tr>
      <w:tr w:rsidR="000C14CD" w:rsidRPr="00432EBF" w14:paraId="79244FF7" w14:textId="77777777" w:rsidTr="007876D0">
        <w:tblPrEx>
          <w:tblCellMar>
            <w:top w:w="15" w:type="dxa"/>
            <w:bottom w:w="15" w:type="dxa"/>
          </w:tblCellMar>
          <w:tblLook w:val="04A0" w:firstRow="1" w:lastRow="0" w:firstColumn="1" w:lastColumn="0" w:noHBand="0" w:noVBand="1"/>
        </w:tblPrEx>
        <w:trPr>
          <w:cantSplit/>
          <w:trHeight w:val="20"/>
        </w:trPr>
        <w:tc>
          <w:tcPr>
            <w:tcW w:w="1275" w:type="dxa"/>
            <w:gridSpan w:val="2"/>
            <w:vAlign w:val="center"/>
          </w:tcPr>
          <w:p w14:paraId="2C6E89F2" w14:textId="6AB6FB6A" w:rsidR="000C14CD" w:rsidRPr="00432EBF" w:rsidRDefault="000C14CD" w:rsidP="00A308CB">
            <w:pPr>
              <w:keepNext/>
              <w:jc w:val="center"/>
              <w:rPr>
                <w:rFonts w:ascii="Arial Narrow" w:hAnsi="Arial Narrow"/>
                <w:sz w:val="20"/>
                <w:szCs w:val="20"/>
              </w:rPr>
            </w:pPr>
          </w:p>
        </w:tc>
        <w:tc>
          <w:tcPr>
            <w:tcW w:w="7746" w:type="dxa"/>
            <w:gridSpan w:val="6"/>
            <w:vAlign w:val="center"/>
            <w:hideMark/>
          </w:tcPr>
          <w:p w14:paraId="27AED4BE" w14:textId="77777777" w:rsidR="000C14CD" w:rsidRPr="00432EBF" w:rsidRDefault="000C14CD" w:rsidP="00A308CB">
            <w:pPr>
              <w:keepNext/>
              <w:rPr>
                <w:rFonts w:ascii="Arial Narrow" w:hAnsi="Arial Narrow"/>
                <w:sz w:val="20"/>
                <w:szCs w:val="20"/>
              </w:rPr>
            </w:pPr>
            <w:r w:rsidRPr="00432EBF">
              <w:rPr>
                <w:rFonts w:ascii="Arial Narrow" w:hAnsi="Arial Narrow"/>
                <w:b/>
                <w:bCs/>
                <w:sz w:val="20"/>
                <w:szCs w:val="20"/>
              </w:rPr>
              <w:t>Treatment criteria:</w:t>
            </w:r>
          </w:p>
        </w:tc>
      </w:tr>
      <w:tr w:rsidR="000C14CD" w:rsidRPr="001428E9" w14:paraId="5C7F8301" w14:textId="77777777" w:rsidTr="007876D0">
        <w:tblPrEx>
          <w:tblCellMar>
            <w:top w:w="15" w:type="dxa"/>
            <w:bottom w:w="15" w:type="dxa"/>
          </w:tblCellMar>
          <w:tblLook w:val="04A0" w:firstRow="1" w:lastRow="0" w:firstColumn="1" w:lastColumn="0" w:noHBand="0" w:noVBand="1"/>
        </w:tblPrEx>
        <w:trPr>
          <w:cantSplit/>
          <w:trHeight w:val="20"/>
        </w:trPr>
        <w:tc>
          <w:tcPr>
            <w:tcW w:w="1275" w:type="dxa"/>
            <w:gridSpan w:val="2"/>
            <w:vAlign w:val="center"/>
          </w:tcPr>
          <w:p w14:paraId="011CB9DC" w14:textId="08D80474" w:rsidR="000C14CD" w:rsidRPr="00432EBF" w:rsidRDefault="000C14CD" w:rsidP="00A308CB">
            <w:pPr>
              <w:jc w:val="center"/>
              <w:rPr>
                <w:rFonts w:ascii="Arial Narrow" w:hAnsi="Arial Narrow"/>
                <w:sz w:val="20"/>
                <w:szCs w:val="20"/>
              </w:rPr>
            </w:pPr>
          </w:p>
        </w:tc>
        <w:tc>
          <w:tcPr>
            <w:tcW w:w="7746" w:type="dxa"/>
            <w:gridSpan w:val="6"/>
            <w:vAlign w:val="center"/>
            <w:hideMark/>
          </w:tcPr>
          <w:p w14:paraId="4612DB9A" w14:textId="77777777" w:rsidR="000C14CD" w:rsidRPr="00D606D6" w:rsidRDefault="000C14CD" w:rsidP="00A308CB">
            <w:pPr>
              <w:autoSpaceDE w:val="0"/>
              <w:autoSpaceDN w:val="0"/>
              <w:adjustRightInd w:val="0"/>
              <w:jc w:val="left"/>
              <w:rPr>
                <w:rFonts w:ascii="Arial Narrow" w:hAnsi="Arial Narrow" w:cs="Arial Narrow"/>
                <w:sz w:val="20"/>
                <w:szCs w:val="20"/>
              </w:rPr>
            </w:pPr>
            <w:r w:rsidRPr="00D606D6">
              <w:rPr>
                <w:rFonts w:ascii="Arial Narrow" w:hAnsi="Arial Narrow" w:cs="Arial Narrow"/>
                <w:sz w:val="20"/>
                <w:szCs w:val="20"/>
              </w:rPr>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r>
      <w:tr w:rsidR="000C14CD" w:rsidRPr="00C02D56" w14:paraId="71680152" w14:textId="77777777" w:rsidTr="00025E84">
        <w:tblPrEx>
          <w:tblCellMar>
            <w:top w:w="15" w:type="dxa"/>
            <w:bottom w:w="15" w:type="dxa"/>
          </w:tblCellMar>
        </w:tblPrEx>
        <w:trPr>
          <w:cantSplit/>
          <w:trHeight w:val="20"/>
        </w:trPr>
        <w:tc>
          <w:tcPr>
            <w:tcW w:w="1275" w:type="dxa"/>
            <w:gridSpan w:val="2"/>
            <w:vAlign w:val="center"/>
          </w:tcPr>
          <w:p w14:paraId="5E910CD4" w14:textId="546615F8" w:rsidR="000C14CD" w:rsidRPr="00432EBF" w:rsidRDefault="000C14CD" w:rsidP="00A308CB">
            <w:pPr>
              <w:jc w:val="center"/>
              <w:rPr>
                <w:rFonts w:ascii="Arial Narrow" w:hAnsi="Arial Narrow"/>
                <w:sz w:val="20"/>
                <w:szCs w:val="20"/>
              </w:rPr>
            </w:pPr>
          </w:p>
        </w:tc>
        <w:tc>
          <w:tcPr>
            <w:tcW w:w="7746" w:type="dxa"/>
            <w:gridSpan w:val="6"/>
            <w:vAlign w:val="center"/>
            <w:hideMark/>
          </w:tcPr>
          <w:p w14:paraId="7DA5FDA0" w14:textId="77777777" w:rsidR="000C14CD" w:rsidRPr="0067525A" w:rsidRDefault="000C14CD" w:rsidP="00A308CB">
            <w:pPr>
              <w:rPr>
                <w:rFonts w:ascii="Arial Narrow" w:hAnsi="Arial Narrow"/>
                <w:sz w:val="20"/>
                <w:szCs w:val="20"/>
              </w:rPr>
            </w:pPr>
            <w:r w:rsidRPr="00432EBF">
              <w:rPr>
                <w:rFonts w:ascii="Arial Narrow" w:hAnsi="Arial Narrow"/>
                <w:b/>
                <w:bCs/>
                <w:sz w:val="20"/>
                <w:szCs w:val="20"/>
              </w:rPr>
              <w:t xml:space="preserve">Prescribing Instructions: </w:t>
            </w:r>
            <w:r w:rsidRPr="0067525A">
              <w:rPr>
                <w:rFonts w:ascii="Arial Narrow" w:hAnsi="Arial Narrow"/>
                <w:sz w:val="20"/>
                <w:szCs w:val="20"/>
              </w:rPr>
              <w:t>Authorities for increased maximum quantities and/or repeats must only be considered for chronic severe disabling pain where the total duration of non-PBS and PBS opioid analgesic treatment:</w:t>
            </w:r>
          </w:p>
          <w:p w14:paraId="63FFD072" w14:textId="77777777" w:rsidR="000C14CD" w:rsidRPr="0067525A" w:rsidRDefault="000C14CD" w:rsidP="00A308CB">
            <w:pPr>
              <w:rPr>
                <w:rFonts w:ascii="Arial Narrow" w:hAnsi="Arial Narrow"/>
                <w:sz w:val="20"/>
                <w:szCs w:val="20"/>
              </w:rPr>
            </w:pPr>
          </w:p>
          <w:p w14:paraId="67EC7FDA" w14:textId="77777777" w:rsidR="000C14CD" w:rsidRPr="0067525A" w:rsidRDefault="000C14CD" w:rsidP="00A308CB">
            <w:pPr>
              <w:rPr>
                <w:rFonts w:ascii="Arial Narrow" w:hAnsi="Arial Narrow"/>
                <w:sz w:val="20"/>
                <w:szCs w:val="20"/>
              </w:rPr>
            </w:pPr>
            <w:r w:rsidRPr="0067525A">
              <w:rPr>
                <w:rFonts w:ascii="Arial Narrow" w:hAnsi="Arial Narrow"/>
                <w:sz w:val="20"/>
                <w:szCs w:val="20"/>
              </w:rPr>
              <w:t>(i) exceeds 12 months and the palliative care patient is unable to have annual pain management review due to their clinical condition; or</w:t>
            </w:r>
          </w:p>
          <w:p w14:paraId="76F1B13F" w14:textId="77777777" w:rsidR="000C14CD" w:rsidRPr="0067525A" w:rsidRDefault="000C14CD" w:rsidP="00A308CB">
            <w:pPr>
              <w:rPr>
                <w:rFonts w:ascii="Arial Narrow" w:hAnsi="Arial Narrow"/>
                <w:sz w:val="20"/>
                <w:szCs w:val="20"/>
              </w:rPr>
            </w:pPr>
          </w:p>
          <w:p w14:paraId="3129C309" w14:textId="77777777" w:rsidR="000C14CD" w:rsidRPr="0067525A" w:rsidRDefault="000C14CD" w:rsidP="00A308CB">
            <w:pPr>
              <w:rPr>
                <w:rFonts w:ascii="Arial Narrow" w:hAnsi="Arial Narrow"/>
                <w:sz w:val="20"/>
                <w:szCs w:val="20"/>
              </w:rPr>
            </w:pPr>
            <w:r w:rsidRPr="0067525A">
              <w:rPr>
                <w:rFonts w:ascii="Arial Narrow" w:hAnsi="Arial Narrow"/>
                <w:sz w:val="20"/>
                <w:szCs w:val="20"/>
              </w:rPr>
              <w:t>(ii) exceeds 12 months and the patient's clinical need for continuing opioid treatment has been confirmed through consultation with the patient by another medical practitioner or a palliative care nurse practitioner in the past 12 months; or</w:t>
            </w:r>
          </w:p>
          <w:p w14:paraId="2A2C0192" w14:textId="77777777" w:rsidR="000C14CD" w:rsidRPr="0067525A" w:rsidRDefault="000C14CD" w:rsidP="00A308CB">
            <w:pPr>
              <w:rPr>
                <w:rFonts w:ascii="Arial Narrow" w:hAnsi="Arial Narrow"/>
                <w:sz w:val="20"/>
                <w:szCs w:val="20"/>
              </w:rPr>
            </w:pPr>
          </w:p>
          <w:p w14:paraId="7544F495" w14:textId="77777777" w:rsidR="000C14CD" w:rsidRPr="00C02D56" w:rsidRDefault="000C14CD" w:rsidP="00A308CB">
            <w:pPr>
              <w:rPr>
                <w:rFonts w:ascii="Arial Narrow" w:hAnsi="Arial Narrow"/>
                <w:sz w:val="20"/>
                <w:szCs w:val="20"/>
              </w:rPr>
            </w:pPr>
            <w:r w:rsidRPr="0067525A">
              <w:rPr>
                <w:rFonts w:ascii="Arial Narrow" w:hAnsi="Arial Narrow"/>
                <w:sz w:val="20"/>
                <w:szCs w:val="20"/>
              </w:rPr>
              <w:t>(iii)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
        </w:tc>
      </w:tr>
      <w:tr w:rsidR="000C14CD" w:rsidRPr="001428E9" w14:paraId="6B555F5A" w14:textId="77777777" w:rsidTr="00025E84">
        <w:tblPrEx>
          <w:tblCellMar>
            <w:top w:w="15" w:type="dxa"/>
            <w:bottom w:w="15" w:type="dxa"/>
          </w:tblCellMar>
        </w:tblPrEx>
        <w:trPr>
          <w:cantSplit/>
          <w:trHeight w:val="20"/>
        </w:trPr>
        <w:tc>
          <w:tcPr>
            <w:tcW w:w="1275" w:type="dxa"/>
            <w:gridSpan w:val="2"/>
            <w:vAlign w:val="center"/>
          </w:tcPr>
          <w:p w14:paraId="3E07971B" w14:textId="6B65C00E" w:rsidR="000C14CD" w:rsidRPr="00432EBF" w:rsidRDefault="000C14CD" w:rsidP="00A308CB">
            <w:pPr>
              <w:jc w:val="center"/>
              <w:rPr>
                <w:rFonts w:ascii="Arial Narrow" w:hAnsi="Arial Narrow"/>
                <w:sz w:val="20"/>
                <w:szCs w:val="20"/>
              </w:rPr>
            </w:pPr>
          </w:p>
        </w:tc>
        <w:tc>
          <w:tcPr>
            <w:tcW w:w="7746" w:type="dxa"/>
            <w:gridSpan w:val="6"/>
            <w:vAlign w:val="center"/>
            <w:hideMark/>
          </w:tcPr>
          <w:p w14:paraId="443CCB70" w14:textId="77777777" w:rsidR="000C14CD" w:rsidRPr="001428E9" w:rsidRDefault="000C14CD" w:rsidP="00A308CB">
            <w:pPr>
              <w:rPr>
                <w:rFonts w:ascii="Arial Narrow" w:hAnsi="Arial Narrow"/>
                <w:color w:val="333333"/>
                <w:sz w:val="20"/>
                <w:szCs w:val="20"/>
              </w:rPr>
            </w:pPr>
            <w:r>
              <w:rPr>
                <w:rFonts w:ascii="Arial Narrow" w:hAnsi="Arial Narrow"/>
                <w:b/>
                <w:bCs/>
                <w:sz w:val="20"/>
                <w:szCs w:val="20"/>
              </w:rPr>
              <w:t>Prescribing Instructions:</w:t>
            </w:r>
            <w:r w:rsidRPr="001428E9">
              <w:rPr>
                <w:rFonts w:ascii="Arial Narrow" w:hAnsi="Arial Narrow"/>
                <w:bCs/>
                <w:color w:val="FF0000"/>
                <w:sz w:val="20"/>
                <w:szCs w:val="20"/>
              </w:rPr>
              <w:t xml:space="preserve"> </w:t>
            </w:r>
            <w:r w:rsidRPr="00D858D2">
              <w:rPr>
                <w:rFonts w:ascii="Arial Narrow" w:hAnsi="Arial Narrow"/>
                <w:bCs/>
                <w:sz w:val="20"/>
                <w:szCs w:val="20"/>
              </w:rPr>
              <w:t>Palliative care nurses may conduct annual review under this item for the treatment of palliative care patients only.</w:t>
            </w:r>
          </w:p>
        </w:tc>
      </w:tr>
      <w:tr w:rsidR="000C14CD" w:rsidRPr="001428E9" w14:paraId="5AD43130" w14:textId="77777777" w:rsidTr="007876D0">
        <w:tblPrEx>
          <w:tblCellMar>
            <w:top w:w="15" w:type="dxa"/>
            <w:bottom w:w="15" w:type="dxa"/>
          </w:tblCellMar>
          <w:tblLook w:val="04A0" w:firstRow="1" w:lastRow="0" w:firstColumn="1" w:lastColumn="0" w:noHBand="0" w:noVBand="1"/>
        </w:tblPrEx>
        <w:trPr>
          <w:cantSplit/>
          <w:trHeight w:val="20"/>
        </w:trPr>
        <w:tc>
          <w:tcPr>
            <w:tcW w:w="1275" w:type="dxa"/>
            <w:gridSpan w:val="2"/>
            <w:vAlign w:val="center"/>
          </w:tcPr>
          <w:p w14:paraId="0D9DCC1E" w14:textId="107CAA66" w:rsidR="000C14CD" w:rsidRPr="00432EBF" w:rsidRDefault="000C14CD" w:rsidP="00A308CB">
            <w:pPr>
              <w:jc w:val="center"/>
              <w:rPr>
                <w:rFonts w:ascii="Arial Narrow" w:hAnsi="Arial Narrow"/>
                <w:sz w:val="20"/>
                <w:szCs w:val="20"/>
              </w:rPr>
            </w:pPr>
          </w:p>
        </w:tc>
        <w:tc>
          <w:tcPr>
            <w:tcW w:w="7746" w:type="dxa"/>
            <w:gridSpan w:val="6"/>
            <w:vAlign w:val="center"/>
          </w:tcPr>
          <w:p w14:paraId="79AC6539" w14:textId="77777777" w:rsidR="000C14CD" w:rsidRPr="0067525A" w:rsidRDefault="000C14CD" w:rsidP="00A308CB">
            <w:pPr>
              <w:rPr>
                <w:rFonts w:ascii="Arial Narrow" w:hAnsi="Arial Narrow"/>
                <w:sz w:val="20"/>
                <w:szCs w:val="20"/>
              </w:rPr>
            </w:pPr>
            <w:r>
              <w:rPr>
                <w:rFonts w:ascii="Arial Narrow" w:hAnsi="Arial Narrow"/>
                <w:b/>
                <w:bCs/>
                <w:sz w:val="20"/>
                <w:szCs w:val="20"/>
              </w:rPr>
              <w:t xml:space="preserve">Prescribing Instructions: </w:t>
            </w:r>
            <w:r w:rsidRPr="00432EBF">
              <w:rPr>
                <w:rFonts w:ascii="Arial Narrow" w:hAnsi="Arial Narrow"/>
                <w:b/>
                <w:bCs/>
                <w:sz w:val="20"/>
                <w:szCs w:val="20"/>
              </w:rPr>
              <w:t xml:space="preserve"> </w:t>
            </w:r>
            <w:r w:rsidRPr="0067525A">
              <w:rPr>
                <w:rFonts w:ascii="Arial Narrow" w:hAnsi="Arial Narrow"/>
                <w:sz w:val="20"/>
                <w:szCs w:val="20"/>
              </w:rPr>
              <w:t>Authority requests extending treatment duration up to 1 month may be requested through the Online PBS Authorities system or by calling Services Australia.</w:t>
            </w:r>
          </w:p>
          <w:p w14:paraId="4F7F1EFA" w14:textId="2021D235" w:rsidR="000C14CD" w:rsidRPr="001428E9" w:rsidRDefault="000C14CD" w:rsidP="00A308CB">
            <w:pPr>
              <w:rPr>
                <w:rFonts w:ascii="Arial Narrow" w:hAnsi="Arial Narrow"/>
                <w:bCs/>
                <w:color w:val="333333"/>
                <w:sz w:val="20"/>
                <w:szCs w:val="20"/>
              </w:rPr>
            </w:pPr>
            <w:r w:rsidRPr="0067525A">
              <w:rPr>
                <w:rFonts w:ascii="Arial Narrow" w:hAnsi="Arial Narrow"/>
                <w:sz w:val="20"/>
                <w:szCs w:val="20"/>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0C14CD" w:rsidRPr="001428E9" w14:paraId="6F8E7619" w14:textId="77777777" w:rsidTr="000C14CD">
        <w:tblPrEx>
          <w:tblCellMar>
            <w:top w:w="15" w:type="dxa"/>
            <w:bottom w:w="15" w:type="dxa"/>
          </w:tblCellMar>
          <w:tblLook w:val="04A0" w:firstRow="1" w:lastRow="0" w:firstColumn="1" w:lastColumn="0" w:noHBand="0" w:noVBand="1"/>
        </w:tblPrEx>
        <w:trPr>
          <w:cantSplit/>
          <w:trHeight w:val="20"/>
        </w:trPr>
        <w:tc>
          <w:tcPr>
            <w:tcW w:w="9021" w:type="dxa"/>
            <w:gridSpan w:val="8"/>
            <w:vAlign w:val="center"/>
          </w:tcPr>
          <w:p w14:paraId="75D10A8B" w14:textId="77777777" w:rsidR="000C14CD" w:rsidRPr="00041AC9" w:rsidRDefault="000C14CD" w:rsidP="00A308CB">
            <w:pPr>
              <w:rPr>
                <w:rFonts w:ascii="Arial Narrow" w:hAnsi="Arial Narrow"/>
                <w:sz w:val="20"/>
                <w:szCs w:val="20"/>
              </w:rPr>
            </w:pPr>
          </w:p>
        </w:tc>
      </w:tr>
      <w:tr w:rsidR="000C14CD" w:rsidRPr="001428E9" w14:paraId="36AE773D" w14:textId="77777777" w:rsidTr="000C14CD">
        <w:tblPrEx>
          <w:tblCellMar>
            <w:top w:w="15" w:type="dxa"/>
            <w:bottom w:w="15" w:type="dxa"/>
          </w:tblCellMar>
          <w:tblLook w:val="04A0" w:firstRow="1" w:lastRow="0" w:firstColumn="1" w:lastColumn="0" w:noHBand="0" w:noVBand="1"/>
        </w:tblPrEx>
        <w:trPr>
          <w:trHeight w:val="20"/>
        </w:trPr>
        <w:tc>
          <w:tcPr>
            <w:tcW w:w="9021" w:type="dxa"/>
            <w:gridSpan w:val="8"/>
            <w:tcBorders>
              <w:top w:val="single" w:sz="4" w:space="0" w:color="auto"/>
              <w:left w:val="single" w:sz="4" w:space="0" w:color="auto"/>
              <w:right w:val="single" w:sz="4" w:space="0" w:color="auto"/>
            </w:tcBorders>
            <w:vAlign w:val="center"/>
          </w:tcPr>
          <w:p w14:paraId="475583CF" w14:textId="77777777" w:rsidR="000C14CD" w:rsidRPr="00C432E7" w:rsidRDefault="000C14CD" w:rsidP="00A308CB">
            <w:pPr>
              <w:keepLines/>
              <w:rPr>
                <w:rFonts w:ascii="Arial Narrow" w:hAnsi="Arial Narrow" w:cs="Arial"/>
                <w:b/>
                <w:sz w:val="20"/>
                <w:szCs w:val="20"/>
              </w:rPr>
            </w:pPr>
            <w:r w:rsidRPr="00C432E7">
              <w:rPr>
                <w:rFonts w:ascii="Arial Narrow" w:hAnsi="Arial Narrow"/>
                <w:b/>
                <w:sz w:val="20"/>
                <w:szCs w:val="20"/>
              </w:rPr>
              <w:t>Restriction Summary</w:t>
            </w:r>
            <w:r>
              <w:rPr>
                <w:rFonts w:ascii="Arial Narrow" w:hAnsi="Arial Narrow"/>
                <w:b/>
                <w:sz w:val="20"/>
                <w:szCs w:val="20"/>
              </w:rPr>
              <w:t>:</w:t>
            </w:r>
            <w:r w:rsidRPr="00C432E7">
              <w:rPr>
                <w:rFonts w:ascii="Arial Narrow" w:hAnsi="Arial Narrow"/>
                <w:b/>
                <w:sz w:val="20"/>
                <w:szCs w:val="20"/>
              </w:rPr>
              <w:t xml:space="preserve"> </w:t>
            </w:r>
            <w:r w:rsidRPr="00D858D2">
              <w:rPr>
                <w:rFonts w:ascii="Arial Narrow" w:hAnsi="Arial Narrow"/>
                <w:b/>
                <w:sz w:val="20"/>
                <w:szCs w:val="20"/>
              </w:rPr>
              <w:t xml:space="preserve">15998 </w:t>
            </w:r>
            <w:r w:rsidRPr="00C432E7">
              <w:rPr>
                <w:rFonts w:ascii="Arial Narrow" w:hAnsi="Arial Narrow"/>
                <w:b/>
                <w:sz w:val="20"/>
                <w:szCs w:val="20"/>
              </w:rPr>
              <w:t xml:space="preserve">/ Treatment of Concept: </w:t>
            </w:r>
            <w:r w:rsidRPr="00D858D2">
              <w:rPr>
                <w:rFonts w:ascii="Arial Narrow" w:hAnsi="Arial Narrow"/>
                <w:b/>
                <w:sz w:val="20"/>
                <w:szCs w:val="20"/>
              </w:rPr>
              <w:t>16000</w:t>
            </w:r>
          </w:p>
        </w:tc>
      </w:tr>
      <w:tr w:rsidR="000C14CD" w:rsidRPr="001428E9" w14:paraId="2AD05D0B" w14:textId="77777777" w:rsidTr="007876D0">
        <w:tblPrEx>
          <w:tblCellMar>
            <w:top w:w="15" w:type="dxa"/>
            <w:bottom w:w="15" w:type="dxa"/>
          </w:tblCellMar>
          <w:tblLook w:val="04A0" w:firstRow="1" w:lastRow="0" w:firstColumn="1" w:lastColumn="0" w:noHBand="0" w:noVBand="1"/>
        </w:tblPrEx>
        <w:trPr>
          <w:trHeight w:val="20"/>
        </w:trPr>
        <w:tc>
          <w:tcPr>
            <w:tcW w:w="1275" w:type="dxa"/>
            <w:gridSpan w:val="2"/>
            <w:vMerge w:val="restart"/>
            <w:tcBorders>
              <w:top w:val="single" w:sz="4" w:space="0" w:color="auto"/>
              <w:left w:val="single" w:sz="4" w:space="0" w:color="auto"/>
              <w:right w:val="single" w:sz="4" w:space="0" w:color="auto"/>
            </w:tcBorders>
          </w:tcPr>
          <w:p w14:paraId="5E212D3C" w14:textId="77777777" w:rsidR="000C14CD" w:rsidRPr="001428E9" w:rsidRDefault="000C14CD" w:rsidP="00A308CB">
            <w:pPr>
              <w:jc w:val="center"/>
              <w:rPr>
                <w:rFonts w:ascii="Arial Narrow" w:hAnsi="Arial Narrow" w:cs="Arial"/>
                <w:b/>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r w:rsidRPr="001428E9">
              <w:rPr>
                <w:rFonts w:ascii="Arial Narrow" w:hAnsi="Arial Narrow" w:cs="Arial"/>
                <w:sz w:val="20"/>
                <w:szCs w:val="20"/>
              </w:rPr>
              <w:t>(for internal Dept. use)</w:t>
            </w: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39D13AFA" w14:textId="77777777" w:rsidR="000C14CD" w:rsidRPr="001428E9" w:rsidRDefault="000C14CD" w:rsidP="00A308CB">
            <w:pPr>
              <w:keepLines/>
              <w:jc w:val="left"/>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0C14CD" w:rsidRPr="001428E9" w14:paraId="7CA7C0FE" w14:textId="77777777" w:rsidTr="007876D0">
        <w:tblPrEx>
          <w:tblCellMar>
            <w:top w:w="15" w:type="dxa"/>
            <w:bottom w:w="15" w:type="dxa"/>
          </w:tblCellMar>
          <w:tblLook w:val="04A0" w:firstRow="1" w:lastRow="0" w:firstColumn="1" w:lastColumn="0" w:noHBand="0" w:noVBand="1"/>
        </w:tblPrEx>
        <w:trPr>
          <w:trHeight w:val="20"/>
        </w:trPr>
        <w:tc>
          <w:tcPr>
            <w:tcW w:w="1275" w:type="dxa"/>
            <w:gridSpan w:val="2"/>
            <w:vMerge/>
            <w:tcBorders>
              <w:left w:val="single" w:sz="4" w:space="0" w:color="auto"/>
              <w:right w:val="single" w:sz="4" w:space="0" w:color="auto"/>
            </w:tcBorders>
          </w:tcPr>
          <w:p w14:paraId="168E28C5" w14:textId="77777777" w:rsidR="000C14CD" w:rsidRPr="001428E9" w:rsidRDefault="000C14CD" w:rsidP="00A308CB">
            <w:pPr>
              <w:rPr>
                <w:rFonts w:ascii="Arial Narrow" w:hAnsi="Arial Narrow" w:cs="Arial"/>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66BEC2C3" w14:textId="77777777" w:rsidR="000C14CD" w:rsidRDefault="000C14CD" w:rsidP="00A308CB">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p>
          <w:p w14:paraId="3F42B1B2" w14:textId="77777777" w:rsidR="000C14CD" w:rsidRPr="001428E9" w:rsidRDefault="000C14CD" w:rsidP="00A308CB">
            <w:pPr>
              <w:keepLines/>
              <w:rPr>
                <w:rFonts w:ascii="Arial Narrow" w:hAnsi="Arial Narrow" w:cs="Arial"/>
                <w:b/>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0C14CD" w:rsidRPr="00D56F94" w14:paraId="2F5D41BE" w14:textId="77777777" w:rsidTr="007876D0">
        <w:tblPrEx>
          <w:tblCellMar>
            <w:top w:w="15" w:type="dxa"/>
            <w:bottom w:w="15" w:type="dxa"/>
          </w:tblCellMar>
          <w:tblLook w:val="04A0" w:firstRow="1" w:lastRow="0" w:firstColumn="1" w:lastColumn="0" w:noHBand="0" w:noVBand="1"/>
        </w:tblPrEx>
        <w:trPr>
          <w:trHeight w:val="20"/>
        </w:trPr>
        <w:tc>
          <w:tcPr>
            <w:tcW w:w="1275" w:type="dxa"/>
            <w:gridSpan w:val="2"/>
            <w:vMerge/>
            <w:tcBorders>
              <w:left w:val="single" w:sz="4" w:space="0" w:color="auto"/>
              <w:right w:val="single" w:sz="4" w:space="0" w:color="auto"/>
            </w:tcBorders>
          </w:tcPr>
          <w:p w14:paraId="4AA3CD7A" w14:textId="77777777" w:rsidR="000C14CD" w:rsidRPr="001428E9" w:rsidRDefault="000C14CD" w:rsidP="00A308CB">
            <w:pPr>
              <w:rPr>
                <w:rFonts w:ascii="Arial Narrow" w:hAnsi="Arial Narrow" w:cs="Arial"/>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090EAF3E" w14:textId="77777777" w:rsidR="000C14CD" w:rsidRPr="00451DE0" w:rsidRDefault="000C14CD" w:rsidP="00A308CB">
            <w:pPr>
              <w:keepLines/>
              <w:rPr>
                <w:rFonts w:ascii="Arial Narrow" w:hAnsi="Arial Narrow" w:cs="Arial"/>
                <w:sz w:val="20"/>
                <w:szCs w:val="20"/>
              </w:rPr>
            </w:pPr>
            <w:r w:rsidRPr="001428E9">
              <w:rPr>
                <w:rFonts w:ascii="Arial Narrow" w:hAnsi="Arial Narrow" w:cs="Arial"/>
                <w:b/>
                <w:sz w:val="20"/>
                <w:szCs w:val="20"/>
              </w:rPr>
              <w:t xml:space="preserve">Restriction type: </w:t>
            </w:r>
          </w:p>
          <w:p w14:paraId="3D277FC3" w14:textId="0AF46027" w:rsidR="000C14CD" w:rsidRPr="00451DE0" w:rsidRDefault="000C14CD" w:rsidP="00451DE0">
            <w:pPr>
              <w:keepLines/>
              <w:rPr>
                <w:rFonts w:ascii="Arial Narrow" w:eastAsia="Calibri" w:hAnsi="Arial Narrow" w:cs="Arial"/>
                <w:sz w:val="20"/>
                <w:szCs w:val="20"/>
              </w:rPr>
            </w:pP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 xml:space="preserve">Authority Required (Streamlined) </w:t>
            </w:r>
          </w:p>
        </w:tc>
      </w:tr>
      <w:tr w:rsidR="000C14CD" w:rsidRPr="001428E9" w14:paraId="5CA68307" w14:textId="77777777" w:rsidTr="007876D0">
        <w:tblPrEx>
          <w:tblCellMar>
            <w:top w:w="15" w:type="dxa"/>
            <w:bottom w:w="15" w:type="dxa"/>
          </w:tblCellMar>
          <w:tblLook w:val="04A0" w:firstRow="1" w:lastRow="0" w:firstColumn="1" w:lastColumn="0" w:noHBand="0" w:noVBand="1"/>
        </w:tblPrEx>
        <w:trPr>
          <w:trHeight w:val="20"/>
        </w:trPr>
        <w:tc>
          <w:tcPr>
            <w:tcW w:w="491" w:type="dxa"/>
            <w:vMerge w:val="restart"/>
            <w:tcBorders>
              <w:left w:val="single" w:sz="4" w:space="0" w:color="auto"/>
              <w:right w:val="single" w:sz="4" w:space="0" w:color="auto"/>
            </w:tcBorders>
            <w:textDirection w:val="btLr"/>
            <w:vAlign w:val="center"/>
          </w:tcPr>
          <w:p w14:paraId="27AFF110" w14:textId="77777777" w:rsidR="000C14CD" w:rsidRPr="00432EBF" w:rsidRDefault="000C14CD" w:rsidP="00A308CB">
            <w:pPr>
              <w:jc w:val="center"/>
              <w:rPr>
                <w:rFonts w:ascii="Arial Narrow" w:hAnsi="Arial Narrow" w:cs="Arial"/>
                <w:sz w:val="20"/>
                <w:szCs w:val="20"/>
              </w:rPr>
            </w:pPr>
            <w:r w:rsidRPr="00432EBF">
              <w:rPr>
                <w:rFonts w:ascii="Arial Narrow" w:hAnsi="Arial Narrow" w:cs="Arial"/>
                <w:sz w:val="20"/>
                <w:szCs w:val="20"/>
              </w:rPr>
              <w:t>Prescribing rule level</w:t>
            </w:r>
          </w:p>
        </w:tc>
        <w:tc>
          <w:tcPr>
            <w:tcW w:w="784" w:type="dxa"/>
            <w:vAlign w:val="center"/>
          </w:tcPr>
          <w:p w14:paraId="23BFC0E4" w14:textId="19A1C667" w:rsidR="000C14CD" w:rsidRPr="001428E9" w:rsidRDefault="000C14CD" w:rsidP="00A308CB">
            <w:pPr>
              <w:jc w:val="center"/>
              <w:rPr>
                <w:rFonts w:ascii="Arial Narrow" w:hAnsi="Arial Narrow"/>
                <w:color w:val="333333"/>
                <w:sz w:val="20"/>
                <w:szCs w:val="20"/>
              </w:rPr>
            </w:pPr>
          </w:p>
        </w:tc>
        <w:tc>
          <w:tcPr>
            <w:tcW w:w="7746" w:type="dxa"/>
            <w:gridSpan w:val="6"/>
            <w:vAlign w:val="center"/>
          </w:tcPr>
          <w:p w14:paraId="53ED9629" w14:textId="66F3E819" w:rsidR="000C14CD" w:rsidRPr="00451DE0" w:rsidRDefault="000C14CD" w:rsidP="00A308CB">
            <w:pPr>
              <w:rPr>
                <w:rFonts w:ascii="Arial Narrow" w:hAnsi="Arial Narrow"/>
                <w:sz w:val="20"/>
                <w:szCs w:val="20"/>
              </w:rPr>
            </w:pPr>
            <w:r>
              <w:rPr>
                <w:rFonts w:ascii="Arial Narrow" w:hAnsi="Arial Narrow"/>
                <w:b/>
                <w:bCs/>
                <w:sz w:val="20"/>
                <w:szCs w:val="20"/>
              </w:rPr>
              <w:t>Caution</w:t>
            </w:r>
            <w:r w:rsidRPr="00432EBF">
              <w:rPr>
                <w:rFonts w:ascii="Arial Narrow" w:hAnsi="Arial Narrow"/>
                <w:b/>
                <w:bCs/>
                <w:sz w:val="20"/>
                <w:szCs w:val="20"/>
              </w:rPr>
              <w:t>:</w:t>
            </w:r>
            <w:r w:rsidRPr="00451DE0">
              <w:rPr>
                <w:rFonts w:ascii="Open Sans" w:hAnsi="Open Sans" w:cs="Open Sans"/>
                <w:sz w:val="22"/>
                <w:szCs w:val="22"/>
                <w:shd w:val="clear" w:color="auto" w:fill="F4F4F4"/>
              </w:rPr>
              <w:t xml:space="preserve"> </w:t>
            </w:r>
            <w:r w:rsidRPr="00652EC4">
              <w:rPr>
                <w:rFonts w:ascii="Arial Narrow" w:hAnsi="Arial Narrow"/>
                <w:sz w:val="20"/>
                <w:szCs w:val="20"/>
              </w:rPr>
              <w:t>The risk of drug dependence is high.</w:t>
            </w:r>
          </w:p>
        </w:tc>
      </w:tr>
      <w:tr w:rsidR="000C14CD" w:rsidRPr="00432EBF" w14:paraId="02B9530D" w14:textId="77777777" w:rsidTr="007876D0">
        <w:tblPrEx>
          <w:tblCellMar>
            <w:top w:w="15" w:type="dxa"/>
            <w:bottom w:w="15" w:type="dxa"/>
          </w:tblCellMar>
          <w:tblLook w:val="04A0" w:firstRow="1" w:lastRow="0" w:firstColumn="1" w:lastColumn="0" w:noHBand="0" w:noVBand="1"/>
        </w:tblPrEx>
        <w:trPr>
          <w:trHeight w:val="20"/>
        </w:trPr>
        <w:tc>
          <w:tcPr>
            <w:tcW w:w="491" w:type="dxa"/>
            <w:vMerge/>
            <w:tcBorders>
              <w:left w:val="single" w:sz="4" w:space="0" w:color="auto"/>
              <w:right w:val="single" w:sz="4" w:space="0" w:color="auto"/>
            </w:tcBorders>
          </w:tcPr>
          <w:p w14:paraId="7AFD7F1A" w14:textId="77777777" w:rsidR="000C14CD" w:rsidRPr="00432EBF" w:rsidRDefault="000C14CD" w:rsidP="00A308CB">
            <w:pPr>
              <w:rPr>
                <w:rFonts w:ascii="Arial Narrow" w:hAnsi="Arial Narrow" w:cs="Arial"/>
                <w:sz w:val="20"/>
                <w:szCs w:val="20"/>
              </w:rPr>
            </w:pPr>
          </w:p>
        </w:tc>
        <w:tc>
          <w:tcPr>
            <w:tcW w:w="784" w:type="dxa"/>
            <w:vAlign w:val="center"/>
          </w:tcPr>
          <w:p w14:paraId="6A02074C" w14:textId="6E450B7F" w:rsidR="000C14CD" w:rsidRPr="00432EBF" w:rsidRDefault="000C14CD" w:rsidP="00A308CB">
            <w:pPr>
              <w:jc w:val="center"/>
              <w:rPr>
                <w:rFonts w:ascii="Arial Narrow" w:hAnsi="Arial Narrow"/>
                <w:sz w:val="20"/>
                <w:szCs w:val="20"/>
              </w:rPr>
            </w:pPr>
          </w:p>
        </w:tc>
        <w:tc>
          <w:tcPr>
            <w:tcW w:w="7746" w:type="dxa"/>
            <w:gridSpan w:val="6"/>
            <w:vAlign w:val="center"/>
          </w:tcPr>
          <w:p w14:paraId="6ADEDC61" w14:textId="77777777" w:rsidR="000C14CD" w:rsidRPr="00432EBF" w:rsidRDefault="000C14CD" w:rsidP="00A308CB">
            <w:pPr>
              <w:rPr>
                <w:rFonts w:ascii="Arial Narrow" w:hAnsi="Arial Narrow"/>
                <w:b/>
                <w:bCs/>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sidRPr="00652EC4">
              <w:rPr>
                <w:rFonts w:ascii="Arial Narrow" w:hAnsi="Arial Narrow"/>
                <w:sz w:val="20"/>
                <w:szCs w:val="20"/>
              </w:rPr>
              <w:t>This treatment is not suitable for 'as-required' pain relief.</w:t>
            </w:r>
          </w:p>
        </w:tc>
      </w:tr>
      <w:tr w:rsidR="000C14CD" w:rsidRPr="00432EBF" w14:paraId="17ADF8E2" w14:textId="77777777" w:rsidTr="007876D0">
        <w:tblPrEx>
          <w:tblCellMar>
            <w:top w:w="15" w:type="dxa"/>
            <w:bottom w:w="15" w:type="dxa"/>
          </w:tblCellMar>
          <w:tblLook w:val="04A0" w:firstRow="1" w:lastRow="0" w:firstColumn="1" w:lastColumn="0" w:noHBand="0" w:noVBand="1"/>
        </w:tblPrEx>
        <w:trPr>
          <w:trHeight w:val="20"/>
        </w:trPr>
        <w:tc>
          <w:tcPr>
            <w:tcW w:w="491" w:type="dxa"/>
            <w:vMerge/>
            <w:tcBorders>
              <w:left w:val="single" w:sz="4" w:space="0" w:color="auto"/>
              <w:right w:val="single" w:sz="4" w:space="0" w:color="auto"/>
            </w:tcBorders>
          </w:tcPr>
          <w:p w14:paraId="1AB3DD16" w14:textId="77777777" w:rsidR="000C14CD" w:rsidRPr="00432EBF" w:rsidRDefault="000C14CD" w:rsidP="00A308CB">
            <w:pPr>
              <w:rPr>
                <w:rFonts w:ascii="Arial Narrow" w:hAnsi="Arial Narrow" w:cs="Arial"/>
                <w:sz w:val="20"/>
                <w:szCs w:val="20"/>
              </w:rPr>
            </w:pPr>
          </w:p>
        </w:tc>
        <w:tc>
          <w:tcPr>
            <w:tcW w:w="784" w:type="dxa"/>
            <w:vAlign w:val="center"/>
          </w:tcPr>
          <w:p w14:paraId="013553CA" w14:textId="69D6FC2C" w:rsidR="000C14CD" w:rsidRPr="00432EBF" w:rsidRDefault="000C14CD" w:rsidP="00A308CB">
            <w:pPr>
              <w:jc w:val="center"/>
              <w:rPr>
                <w:rFonts w:ascii="Arial Narrow" w:hAnsi="Arial Narrow"/>
                <w:sz w:val="20"/>
                <w:szCs w:val="20"/>
              </w:rPr>
            </w:pPr>
          </w:p>
        </w:tc>
        <w:tc>
          <w:tcPr>
            <w:tcW w:w="7746" w:type="dxa"/>
            <w:gridSpan w:val="6"/>
            <w:vAlign w:val="center"/>
          </w:tcPr>
          <w:p w14:paraId="75DC18BD" w14:textId="77777777" w:rsidR="000C14CD" w:rsidRPr="00432EBF" w:rsidRDefault="000C14CD" w:rsidP="00A308CB">
            <w:pPr>
              <w:rPr>
                <w:rFonts w:ascii="Arial Narrow" w:hAnsi="Arial Narrow"/>
                <w:b/>
                <w:bCs/>
                <w:sz w:val="20"/>
                <w:szCs w:val="20"/>
              </w:rPr>
            </w:pPr>
            <w:r>
              <w:rPr>
                <w:rFonts w:ascii="Arial Narrow" w:hAnsi="Arial Narrow"/>
                <w:b/>
                <w:bCs/>
                <w:sz w:val="20"/>
                <w:szCs w:val="20"/>
              </w:rPr>
              <w:t xml:space="preserve">Administrative Advice: </w:t>
            </w:r>
            <w:r w:rsidRPr="00652EC4">
              <w:rPr>
                <w:rFonts w:ascii="Arial Narrow" w:hAnsi="Arial Narrow"/>
                <w:sz w:val="20"/>
                <w:szCs w:val="20"/>
              </w:rPr>
              <w:t>This treatment is not recommended for use in ambulant patients.</w:t>
            </w:r>
          </w:p>
        </w:tc>
      </w:tr>
      <w:tr w:rsidR="000C14CD" w:rsidRPr="00432EBF" w14:paraId="4654BF11" w14:textId="77777777" w:rsidTr="007876D0">
        <w:tblPrEx>
          <w:tblCellMar>
            <w:top w:w="15" w:type="dxa"/>
            <w:bottom w:w="15" w:type="dxa"/>
          </w:tblCellMar>
          <w:tblLook w:val="04A0" w:firstRow="1" w:lastRow="0" w:firstColumn="1" w:lastColumn="0" w:noHBand="0" w:noVBand="1"/>
        </w:tblPrEx>
        <w:trPr>
          <w:trHeight w:val="20"/>
        </w:trPr>
        <w:tc>
          <w:tcPr>
            <w:tcW w:w="491" w:type="dxa"/>
            <w:vMerge/>
            <w:tcBorders>
              <w:left w:val="single" w:sz="4" w:space="0" w:color="auto"/>
              <w:right w:val="single" w:sz="4" w:space="0" w:color="auto"/>
            </w:tcBorders>
          </w:tcPr>
          <w:p w14:paraId="0831BC9D" w14:textId="77777777" w:rsidR="000C14CD" w:rsidRPr="00432EBF" w:rsidRDefault="000C14CD" w:rsidP="00A308CB">
            <w:pPr>
              <w:rPr>
                <w:rFonts w:ascii="Arial Narrow" w:hAnsi="Arial Narrow" w:cs="Arial"/>
                <w:sz w:val="20"/>
                <w:szCs w:val="20"/>
              </w:rPr>
            </w:pPr>
          </w:p>
        </w:tc>
        <w:tc>
          <w:tcPr>
            <w:tcW w:w="784" w:type="dxa"/>
            <w:vAlign w:val="center"/>
          </w:tcPr>
          <w:p w14:paraId="771D8396" w14:textId="779519B2" w:rsidR="000C14CD" w:rsidRPr="00432EBF" w:rsidRDefault="000C14CD" w:rsidP="00A308CB">
            <w:pPr>
              <w:jc w:val="center"/>
              <w:rPr>
                <w:rFonts w:ascii="Arial Narrow" w:hAnsi="Arial Narrow"/>
                <w:sz w:val="20"/>
                <w:szCs w:val="20"/>
              </w:rPr>
            </w:pPr>
          </w:p>
        </w:tc>
        <w:tc>
          <w:tcPr>
            <w:tcW w:w="7746" w:type="dxa"/>
            <w:gridSpan w:val="6"/>
            <w:vAlign w:val="center"/>
          </w:tcPr>
          <w:p w14:paraId="424E064E" w14:textId="77777777" w:rsidR="000C14CD" w:rsidRPr="00432EBF" w:rsidRDefault="000C14CD" w:rsidP="00A308CB">
            <w:pPr>
              <w:rPr>
                <w:rFonts w:ascii="Arial Narrow" w:hAnsi="Arial Narrow"/>
                <w:b/>
                <w:bCs/>
                <w:sz w:val="20"/>
                <w:szCs w:val="20"/>
              </w:rPr>
            </w:pPr>
            <w:r>
              <w:rPr>
                <w:rFonts w:ascii="Arial Narrow" w:hAnsi="Arial Narrow"/>
                <w:b/>
                <w:bCs/>
                <w:sz w:val="20"/>
                <w:szCs w:val="20"/>
              </w:rPr>
              <w:t xml:space="preserve">Administrative Advice: </w:t>
            </w:r>
            <w:r w:rsidRPr="00652EC4">
              <w:rPr>
                <w:rFonts w:ascii="Arial Narrow" w:hAnsi="Arial Narrow"/>
                <w:sz w:val="20"/>
                <w:szCs w:val="20"/>
              </w:rPr>
              <w:t>Consider consultation with a multidisciplinary pain service prior to, or after commencement of this medication.</w:t>
            </w:r>
          </w:p>
        </w:tc>
      </w:tr>
      <w:tr w:rsidR="000C14CD" w:rsidRPr="00432EBF" w14:paraId="4D244DC1" w14:textId="77777777" w:rsidTr="007876D0">
        <w:tblPrEx>
          <w:tblCellMar>
            <w:top w:w="15" w:type="dxa"/>
            <w:bottom w:w="15" w:type="dxa"/>
          </w:tblCellMar>
          <w:tblLook w:val="04A0" w:firstRow="1" w:lastRow="0" w:firstColumn="1" w:lastColumn="0" w:noHBand="0" w:noVBand="1"/>
        </w:tblPrEx>
        <w:trPr>
          <w:trHeight w:val="20"/>
        </w:trPr>
        <w:tc>
          <w:tcPr>
            <w:tcW w:w="491" w:type="dxa"/>
            <w:vMerge/>
            <w:tcBorders>
              <w:left w:val="single" w:sz="4" w:space="0" w:color="auto"/>
              <w:bottom w:val="single" w:sz="4" w:space="0" w:color="auto"/>
              <w:right w:val="single" w:sz="4" w:space="0" w:color="auto"/>
            </w:tcBorders>
          </w:tcPr>
          <w:p w14:paraId="3C32DC1F" w14:textId="77777777" w:rsidR="000C14CD" w:rsidRPr="00432EBF" w:rsidRDefault="000C14CD" w:rsidP="00A308CB">
            <w:pPr>
              <w:rPr>
                <w:rFonts w:ascii="Arial Narrow" w:hAnsi="Arial Narrow" w:cs="Arial"/>
                <w:sz w:val="20"/>
                <w:szCs w:val="20"/>
              </w:rPr>
            </w:pPr>
          </w:p>
        </w:tc>
        <w:tc>
          <w:tcPr>
            <w:tcW w:w="784" w:type="dxa"/>
            <w:vAlign w:val="center"/>
          </w:tcPr>
          <w:p w14:paraId="06336F27" w14:textId="2E07A937" w:rsidR="000C14CD" w:rsidRPr="00432EBF" w:rsidRDefault="000C14CD" w:rsidP="00A308CB">
            <w:pPr>
              <w:jc w:val="center"/>
              <w:rPr>
                <w:rFonts w:ascii="Arial Narrow" w:hAnsi="Arial Narrow"/>
                <w:sz w:val="20"/>
                <w:szCs w:val="20"/>
              </w:rPr>
            </w:pPr>
          </w:p>
        </w:tc>
        <w:tc>
          <w:tcPr>
            <w:tcW w:w="7746" w:type="dxa"/>
            <w:gridSpan w:val="6"/>
            <w:vAlign w:val="center"/>
          </w:tcPr>
          <w:p w14:paraId="7E3BCF21" w14:textId="77777777" w:rsidR="000C14CD" w:rsidRPr="00652EC4" w:rsidRDefault="000C14CD" w:rsidP="00A308CB">
            <w:pPr>
              <w:rPr>
                <w:rFonts w:ascii="Arial Narrow" w:hAnsi="Arial Narrow"/>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sidRPr="00652EC4">
              <w:rPr>
                <w:rFonts w:ascii="Arial Narrow" w:hAnsi="Arial Narrow"/>
                <w:sz w:val="20"/>
                <w:szCs w:val="20"/>
              </w:rPr>
              <w:t>Real time online applications for increased maximum quantities/repeats may be made using the Online PBS Authorities system (see www.servicesaustralia.gov.au/organisations/health-professionals/services/medicare/hpos/services/request-authority-using-online-pbs-authorities-hpos).</w:t>
            </w:r>
          </w:p>
          <w:p w14:paraId="57862C62" w14:textId="77777777" w:rsidR="000C14CD" w:rsidRPr="00652EC4" w:rsidRDefault="000C14CD" w:rsidP="00A308CB">
            <w:pPr>
              <w:rPr>
                <w:rFonts w:ascii="Arial Narrow" w:hAnsi="Arial Narrow"/>
                <w:sz w:val="20"/>
                <w:szCs w:val="20"/>
              </w:rPr>
            </w:pPr>
            <w:r w:rsidRPr="00652EC4">
              <w:rPr>
                <w:rFonts w:ascii="Arial Narrow" w:hAnsi="Arial Narrow"/>
                <w:sz w:val="20"/>
                <w:szCs w:val="20"/>
              </w:rPr>
              <w:t>Phone applications for increased maximum quantities/repeats may be made by calling 1800 888 333.</w:t>
            </w:r>
          </w:p>
          <w:p w14:paraId="51618E22" w14:textId="77777777" w:rsidR="000C14CD" w:rsidRPr="00652EC4" w:rsidRDefault="000C14CD" w:rsidP="00A308CB">
            <w:pPr>
              <w:rPr>
                <w:rFonts w:ascii="Arial Narrow" w:hAnsi="Arial Narrow"/>
                <w:sz w:val="20"/>
                <w:szCs w:val="20"/>
              </w:rPr>
            </w:pPr>
            <w:r w:rsidRPr="00652EC4">
              <w:rPr>
                <w:rFonts w:ascii="Arial Narrow" w:hAnsi="Arial Narrow"/>
                <w:sz w:val="20"/>
                <w:szCs w:val="20"/>
              </w:rPr>
              <w:t>Written authority applications for increased maximum quantities/repeats can be uploaded online through HPOS form upload or mailed to:</w:t>
            </w:r>
          </w:p>
          <w:p w14:paraId="269682B9" w14:textId="77777777" w:rsidR="000C14CD" w:rsidRPr="00652EC4" w:rsidRDefault="000C14CD" w:rsidP="00A308CB">
            <w:pPr>
              <w:rPr>
                <w:rFonts w:ascii="Arial Narrow" w:hAnsi="Arial Narrow"/>
                <w:sz w:val="20"/>
                <w:szCs w:val="20"/>
              </w:rPr>
            </w:pPr>
            <w:r w:rsidRPr="00652EC4">
              <w:rPr>
                <w:rFonts w:ascii="Arial Narrow" w:hAnsi="Arial Narrow"/>
                <w:sz w:val="20"/>
                <w:szCs w:val="20"/>
              </w:rPr>
              <w:t>Pharmaceutical Benefits Scheme</w:t>
            </w:r>
          </w:p>
          <w:p w14:paraId="7721BAE9" w14:textId="77777777" w:rsidR="000C14CD" w:rsidRPr="00652EC4" w:rsidRDefault="000C14CD" w:rsidP="00A308CB">
            <w:pPr>
              <w:rPr>
                <w:rFonts w:ascii="Arial Narrow" w:hAnsi="Arial Narrow"/>
                <w:sz w:val="20"/>
                <w:szCs w:val="20"/>
              </w:rPr>
            </w:pPr>
            <w:r w:rsidRPr="00652EC4">
              <w:rPr>
                <w:rFonts w:ascii="Arial Narrow" w:hAnsi="Arial Narrow"/>
                <w:sz w:val="20"/>
                <w:szCs w:val="20"/>
              </w:rPr>
              <w:t>Reply Paid 9857</w:t>
            </w:r>
          </w:p>
          <w:p w14:paraId="640C7654" w14:textId="77777777" w:rsidR="000C14CD" w:rsidRPr="00432EBF" w:rsidRDefault="000C14CD" w:rsidP="00A308CB">
            <w:pPr>
              <w:rPr>
                <w:rFonts w:ascii="Arial Narrow" w:hAnsi="Arial Narrow"/>
                <w:b/>
                <w:bCs/>
                <w:sz w:val="20"/>
                <w:szCs w:val="20"/>
              </w:rPr>
            </w:pPr>
            <w:r w:rsidRPr="00652EC4">
              <w:rPr>
                <w:rFonts w:ascii="Arial Narrow" w:hAnsi="Arial Narrow"/>
                <w:sz w:val="20"/>
                <w:szCs w:val="20"/>
              </w:rPr>
              <w:t>[Your capital city]</w:t>
            </w:r>
          </w:p>
        </w:tc>
      </w:tr>
      <w:tr w:rsidR="000C14CD" w:rsidRPr="001428E9" w14:paraId="73B859C1" w14:textId="77777777" w:rsidTr="00025E84">
        <w:tblPrEx>
          <w:tblCellMar>
            <w:top w:w="15" w:type="dxa"/>
            <w:bottom w:w="15" w:type="dxa"/>
          </w:tblCellMar>
        </w:tblPrEx>
        <w:trPr>
          <w:cantSplit/>
          <w:trHeight w:val="20"/>
        </w:trPr>
        <w:tc>
          <w:tcPr>
            <w:tcW w:w="1275" w:type="dxa"/>
            <w:gridSpan w:val="2"/>
            <w:vAlign w:val="center"/>
          </w:tcPr>
          <w:p w14:paraId="04C7CBC5" w14:textId="76F37E04" w:rsidR="000C14CD" w:rsidRPr="00432EBF" w:rsidRDefault="000C14CD" w:rsidP="00A308CB">
            <w:pPr>
              <w:keepLines/>
              <w:jc w:val="center"/>
              <w:rPr>
                <w:rFonts w:ascii="Arial Narrow" w:hAnsi="Arial Narrow"/>
                <w:sz w:val="20"/>
                <w:szCs w:val="20"/>
              </w:rPr>
            </w:pPr>
          </w:p>
        </w:tc>
        <w:tc>
          <w:tcPr>
            <w:tcW w:w="7746" w:type="dxa"/>
            <w:gridSpan w:val="6"/>
            <w:vAlign w:val="center"/>
            <w:hideMark/>
          </w:tcPr>
          <w:p w14:paraId="7FE0F232" w14:textId="77777777" w:rsidR="000C14CD" w:rsidRPr="001428E9" w:rsidRDefault="000C14CD" w:rsidP="00A308CB">
            <w:pPr>
              <w:keepLines/>
              <w:rPr>
                <w:rFonts w:ascii="Arial Narrow" w:hAnsi="Arial Narrow"/>
                <w:color w:val="333333"/>
                <w:sz w:val="20"/>
                <w:szCs w:val="20"/>
              </w:rPr>
            </w:pPr>
            <w:r w:rsidRPr="00432EBF">
              <w:rPr>
                <w:rFonts w:ascii="Arial Narrow" w:hAnsi="Arial Narrow"/>
                <w:b/>
                <w:bCs/>
                <w:sz w:val="20"/>
                <w:szCs w:val="20"/>
              </w:rPr>
              <w:t>Indication</w:t>
            </w:r>
            <w:r w:rsidRPr="00652EC4">
              <w:rPr>
                <w:rFonts w:ascii="Arial Narrow" w:hAnsi="Arial Narrow"/>
                <w:sz w:val="20"/>
                <w:szCs w:val="20"/>
              </w:rPr>
              <w:t>: Chronic severe disabling pain</w:t>
            </w:r>
          </w:p>
        </w:tc>
      </w:tr>
      <w:tr w:rsidR="000C14CD" w:rsidRPr="001428E9" w14:paraId="14AC7DC6" w14:textId="77777777" w:rsidTr="00025E84">
        <w:tblPrEx>
          <w:tblCellMar>
            <w:top w:w="15" w:type="dxa"/>
            <w:bottom w:w="15" w:type="dxa"/>
          </w:tblCellMar>
        </w:tblPrEx>
        <w:trPr>
          <w:cantSplit/>
          <w:trHeight w:val="20"/>
        </w:trPr>
        <w:tc>
          <w:tcPr>
            <w:tcW w:w="1275" w:type="dxa"/>
            <w:gridSpan w:val="2"/>
            <w:vAlign w:val="center"/>
          </w:tcPr>
          <w:p w14:paraId="0258290B" w14:textId="77777777" w:rsidR="000C14CD" w:rsidRPr="00432EBF" w:rsidRDefault="000C14CD" w:rsidP="00A308CB">
            <w:pPr>
              <w:jc w:val="center"/>
              <w:rPr>
                <w:rFonts w:ascii="Arial Narrow" w:hAnsi="Arial Narrow"/>
                <w:sz w:val="20"/>
                <w:szCs w:val="20"/>
              </w:rPr>
            </w:pPr>
          </w:p>
        </w:tc>
        <w:tc>
          <w:tcPr>
            <w:tcW w:w="7746" w:type="dxa"/>
            <w:gridSpan w:val="6"/>
            <w:vAlign w:val="center"/>
            <w:hideMark/>
          </w:tcPr>
          <w:p w14:paraId="0B2B3C14" w14:textId="77777777" w:rsidR="000C14CD" w:rsidRPr="001428E9" w:rsidRDefault="000C14CD" w:rsidP="00A308CB">
            <w:pPr>
              <w:rPr>
                <w:rFonts w:ascii="Arial Narrow" w:hAnsi="Arial Narrow"/>
                <w:sz w:val="20"/>
                <w:szCs w:val="20"/>
              </w:rPr>
            </w:pPr>
            <w:r w:rsidRPr="00432EBF">
              <w:rPr>
                <w:rFonts w:ascii="Arial Narrow" w:hAnsi="Arial Narrow"/>
                <w:b/>
                <w:bCs/>
                <w:sz w:val="20"/>
                <w:szCs w:val="20"/>
              </w:rPr>
              <w:t>Treatment Phase:</w:t>
            </w:r>
            <w:r w:rsidRPr="00432EBF">
              <w:rPr>
                <w:rFonts w:ascii="Arial Narrow" w:hAnsi="Arial Narrow"/>
                <w:sz w:val="20"/>
                <w:szCs w:val="20"/>
              </w:rPr>
              <w:t xml:space="preserve"> </w:t>
            </w:r>
            <w:r w:rsidRPr="0049438C">
              <w:rPr>
                <w:rFonts w:ascii="Arial Narrow" w:hAnsi="Arial Narrow"/>
                <w:sz w:val="20"/>
                <w:szCs w:val="20"/>
              </w:rPr>
              <w:t>Continuing PBS treatment after 1 June 2020</w:t>
            </w:r>
          </w:p>
        </w:tc>
      </w:tr>
      <w:tr w:rsidR="000C14CD" w:rsidRPr="001428E9" w14:paraId="64F29DD1" w14:textId="77777777" w:rsidTr="007876D0">
        <w:tblPrEx>
          <w:tblCellMar>
            <w:top w:w="15" w:type="dxa"/>
            <w:bottom w:w="15" w:type="dxa"/>
          </w:tblCellMar>
          <w:tblLook w:val="04A0" w:firstRow="1" w:lastRow="0" w:firstColumn="1" w:lastColumn="0" w:noHBand="0" w:noVBand="1"/>
        </w:tblPrEx>
        <w:trPr>
          <w:cantSplit/>
          <w:trHeight w:val="20"/>
        </w:trPr>
        <w:tc>
          <w:tcPr>
            <w:tcW w:w="1275" w:type="dxa"/>
            <w:gridSpan w:val="2"/>
            <w:vAlign w:val="center"/>
          </w:tcPr>
          <w:p w14:paraId="3861C95F" w14:textId="763653E4" w:rsidR="000C14CD" w:rsidRPr="00432EBF" w:rsidRDefault="000C14CD" w:rsidP="00A308CB">
            <w:pPr>
              <w:jc w:val="center"/>
              <w:rPr>
                <w:rFonts w:ascii="Arial Narrow" w:hAnsi="Arial Narrow"/>
                <w:sz w:val="20"/>
                <w:szCs w:val="20"/>
              </w:rPr>
            </w:pPr>
          </w:p>
        </w:tc>
        <w:tc>
          <w:tcPr>
            <w:tcW w:w="7746" w:type="dxa"/>
            <w:gridSpan w:val="6"/>
            <w:vAlign w:val="center"/>
          </w:tcPr>
          <w:p w14:paraId="1A7711CD" w14:textId="77777777" w:rsidR="000C14CD" w:rsidRPr="00D606D6" w:rsidRDefault="000C14CD" w:rsidP="00A308CB">
            <w:pPr>
              <w:rPr>
                <w:rFonts w:ascii="Arial Narrow" w:hAnsi="Arial Narrow"/>
                <w:b/>
                <w:bCs/>
                <w:sz w:val="20"/>
                <w:szCs w:val="20"/>
              </w:rPr>
            </w:pPr>
            <w:r>
              <w:rPr>
                <w:rFonts w:ascii="Arial Narrow" w:hAnsi="Arial Narrow"/>
                <w:b/>
                <w:bCs/>
                <w:sz w:val="20"/>
                <w:szCs w:val="20"/>
              </w:rPr>
              <w:t xml:space="preserve">Clinical criteria: </w:t>
            </w:r>
          </w:p>
        </w:tc>
      </w:tr>
      <w:tr w:rsidR="000C14CD" w:rsidRPr="001428E9" w14:paraId="21116D87" w14:textId="77777777" w:rsidTr="007876D0">
        <w:tblPrEx>
          <w:tblCellMar>
            <w:top w:w="15" w:type="dxa"/>
            <w:bottom w:w="15" w:type="dxa"/>
          </w:tblCellMar>
          <w:tblLook w:val="04A0" w:firstRow="1" w:lastRow="0" w:firstColumn="1" w:lastColumn="0" w:noHBand="0" w:noVBand="1"/>
        </w:tblPrEx>
        <w:trPr>
          <w:cantSplit/>
          <w:trHeight w:val="20"/>
        </w:trPr>
        <w:tc>
          <w:tcPr>
            <w:tcW w:w="1275" w:type="dxa"/>
            <w:gridSpan w:val="2"/>
            <w:vAlign w:val="center"/>
          </w:tcPr>
          <w:p w14:paraId="4A9D4B8B" w14:textId="1D3D3629" w:rsidR="000C14CD" w:rsidRPr="00432EBF" w:rsidRDefault="000C14CD" w:rsidP="00A308CB">
            <w:pPr>
              <w:jc w:val="center"/>
              <w:rPr>
                <w:rFonts w:ascii="Arial Narrow" w:hAnsi="Arial Narrow"/>
                <w:sz w:val="20"/>
                <w:szCs w:val="20"/>
              </w:rPr>
            </w:pPr>
          </w:p>
        </w:tc>
        <w:tc>
          <w:tcPr>
            <w:tcW w:w="7746" w:type="dxa"/>
            <w:gridSpan w:val="6"/>
            <w:vAlign w:val="center"/>
          </w:tcPr>
          <w:p w14:paraId="0F67ED90" w14:textId="77777777" w:rsidR="000C14CD" w:rsidRPr="001428E9" w:rsidRDefault="000C14CD" w:rsidP="00A308CB">
            <w:pPr>
              <w:jc w:val="left"/>
              <w:rPr>
                <w:rFonts w:ascii="Arial Narrow" w:hAnsi="Arial Narrow"/>
                <w:color w:val="333333"/>
                <w:sz w:val="20"/>
                <w:szCs w:val="20"/>
              </w:rPr>
            </w:pPr>
            <w:r w:rsidRPr="008152E4">
              <w:rPr>
                <w:rFonts w:ascii="Arial Narrow" w:hAnsi="Arial Narrow"/>
                <w:color w:val="333333"/>
                <w:sz w:val="20"/>
                <w:szCs w:val="20"/>
              </w:rPr>
              <w:t>Patient must have previously received PBS-subsidised treatment with this form of this drug for this condition after 1 June 2020</w:t>
            </w:r>
          </w:p>
        </w:tc>
      </w:tr>
      <w:tr w:rsidR="000C14CD" w:rsidRPr="00432EBF" w14:paraId="7E4D3203" w14:textId="77777777" w:rsidTr="007876D0">
        <w:tblPrEx>
          <w:tblCellMar>
            <w:top w:w="15" w:type="dxa"/>
            <w:bottom w:w="15" w:type="dxa"/>
          </w:tblCellMar>
          <w:tblLook w:val="04A0" w:firstRow="1" w:lastRow="0" w:firstColumn="1" w:lastColumn="0" w:noHBand="0" w:noVBand="1"/>
        </w:tblPrEx>
        <w:trPr>
          <w:cantSplit/>
          <w:trHeight w:val="20"/>
        </w:trPr>
        <w:tc>
          <w:tcPr>
            <w:tcW w:w="1275" w:type="dxa"/>
            <w:gridSpan w:val="2"/>
            <w:vAlign w:val="center"/>
          </w:tcPr>
          <w:p w14:paraId="34A3A112" w14:textId="50537EC3" w:rsidR="000C14CD" w:rsidRPr="00432EBF" w:rsidRDefault="000C14CD" w:rsidP="00A308CB">
            <w:pPr>
              <w:jc w:val="center"/>
              <w:rPr>
                <w:rFonts w:ascii="Arial Narrow" w:hAnsi="Arial Narrow"/>
                <w:sz w:val="20"/>
                <w:szCs w:val="20"/>
              </w:rPr>
            </w:pPr>
          </w:p>
        </w:tc>
        <w:tc>
          <w:tcPr>
            <w:tcW w:w="7746" w:type="dxa"/>
            <w:gridSpan w:val="6"/>
            <w:vAlign w:val="center"/>
          </w:tcPr>
          <w:p w14:paraId="0466FEE4" w14:textId="77777777" w:rsidR="000C14CD" w:rsidRPr="00D606D6" w:rsidRDefault="000C14CD" w:rsidP="00A308CB">
            <w:pPr>
              <w:jc w:val="left"/>
              <w:rPr>
                <w:rFonts w:ascii="Arial Narrow" w:hAnsi="Arial Narrow"/>
                <w:b/>
                <w:bCs/>
                <w:sz w:val="20"/>
                <w:szCs w:val="20"/>
              </w:rPr>
            </w:pPr>
            <w:r>
              <w:rPr>
                <w:rFonts w:ascii="Arial Narrow" w:hAnsi="Arial Narrow"/>
                <w:b/>
                <w:bCs/>
                <w:sz w:val="20"/>
                <w:szCs w:val="20"/>
              </w:rPr>
              <w:t>Treatment criteria:</w:t>
            </w:r>
          </w:p>
        </w:tc>
      </w:tr>
      <w:tr w:rsidR="000C14CD" w:rsidRPr="00432EBF" w14:paraId="01E6162E" w14:textId="77777777" w:rsidTr="007876D0">
        <w:tblPrEx>
          <w:tblCellMar>
            <w:top w:w="15" w:type="dxa"/>
            <w:bottom w:w="15" w:type="dxa"/>
          </w:tblCellMar>
          <w:tblLook w:val="04A0" w:firstRow="1" w:lastRow="0" w:firstColumn="1" w:lastColumn="0" w:noHBand="0" w:noVBand="1"/>
        </w:tblPrEx>
        <w:trPr>
          <w:cantSplit/>
          <w:trHeight w:val="20"/>
        </w:trPr>
        <w:tc>
          <w:tcPr>
            <w:tcW w:w="1275" w:type="dxa"/>
            <w:gridSpan w:val="2"/>
            <w:vAlign w:val="center"/>
          </w:tcPr>
          <w:p w14:paraId="72849E57" w14:textId="2E32DDB3" w:rsidR="000C14CD" w:rsidRPr="00432EBF" w:rsidRDefault="000C14CD" w:rsidP="00A308CB">
            <w:pPr>
              <w:jc w:val="center"/>
              <w:rPr>
                <w:rFonts w:ascii="Arial Narrow" w:hAnsi="Arial Narrow"/>
                <w:sz w:val="20"/>
                <w:szCs w:val="20"/>
              </w:rPr>
            </w:pPr>
          </w:p>
        </w:tc>
        <w:tc>
          <w:tcPr>
            <w:tcW w:w="7746" w:type="dxa"/>
            <w:gridSpan w:val="6"/>
            <w:vAlign w:val="center"/>
          </w:tcPr>
          <w:p w14:paraId="64BB562E" w14:textId="77777777" w:rsidR="000C14CD" w:rsidRPr="00432EBF" w:rsidRDefault="000C14CD" w:rsidP="00A308CB">
            <w:pPr>
              <w:jc w:val="left"/>
              <w:rPr>
                <w:rFonts w:ascii="Arial Narrow" w:hAnsi="Arial Narrow"/>
                <w:sz w:val="20"/>
                <w:szCs w:val="20"/>
              </w:rPr>
            </w:pPr>
            <w:r w:rsidRPr="002F19E7">
              <w:rPr>
                <w:rFonts w:ascii="Arial Narrow" w:hAnsi="Arial Narrow"/>
                <w:sz w:val="20"/>
                <w:szCs w:val="20"/>
              </w:rPr>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r>
      <w:tr w:rsidR="000C14CD" w:rsidRPr="00C02D56" w14:paraId="303FCB51" w14:textId="77777777" w:rsidTr="00025E84">
        <w:tblPrEx>
          <w:tblCellMar>
            <w:top w:w="15" w:type="dxa"/>
            <w:bottom w:w="15" w:type="dxa"/>
          </w:tblCellMar>
        </w:tblPrEx>
        <w:trPr>
          <w:cantSplit/>
          <w:trHeight w:val="20"/>
        </w:trPr>
        <w:tc>
          <w:tcPr>
            <w:tcW w:w="1275" w:type="dxa"/>
            <w:gridSpan w:val="2"/>
            <w:vAlign w:val="center"/>
          </w:tcPr>
          <w:p w14:paraId="1F206731" w14:textId="6095D8D2" w:rsidR="000C14CD" w:rsidRPr="00432EBF" w:rsidRDefault="000C14CD" w:rsidP="00A308CB">
            <w:pPr>
              <w:jc w:val="center"/>
              <w:rPr>
                <w:rFonts w:ascii="Arial Narrow" w:hAnsi="Arial Narrow"/>
                <w:sz w:val="20"/>
                <w:szCs w:val="20"/>
              </w:rPr>
            </w:pPr>
          </w:p>
        </w:tc>
        <w:tc>
          <w:tcPr>
            <w:tcW w:w="7746" w:type="dxa"/>
            <w:gridSpan w:val="6"/>
            <w:vAlign w:val="center"/>
            <w:hideMark/>
          </w:tcPr>
          <w:p w14:paraId="39238EB4" w14:textId="77777777" w:rsidR="000C14CD" w:rsidRPr="00D606D6" w:rsidRDefault="000C14CD" w:rsidP="00A308CB">
            <w:pPr>
              <w:rPr>
                <w:rFonts w:ascii="Arial Narrow" w:hAnsi="Arial Narrow"/>
                <w:sz w:val="20"/>
                <w:szCs w:val="20"/>
              </w:rPr>
            </w:pPr>
            <w:r>
              <w:rPr>
                <w:rFonts w:ascii="Arial Narrow" w:hAnsi="Arial Narrow"/>
                <w:b/>
                <w:bCs/>
                <w:sz w:val="20"/>
                <w:szCs w:val="20"/>
              </w:rPr>
              <w:t xml:space="preserve">Prescribing Instructions: </w:t>
            </w:r>
            <w:r w:rsidRPr="00D606D6">
              <w:rPr>
                <w:rFonts w:ascii="Arial Narrow" w:hAnsi="Arial Narrow"/>
                <w:sz w:val="20"/>
                <w:szCs w:val="20"/>
              </w:rPr>
              <w:t>Authorities for increased maximum quantities and/or repeats must only be considered for chronic severe disabling pain where the patient has received initial authority approval and the total duration of non-PBS and PBS opioid analgesic treatment:</w:t>
            </w:r>
          </w:p>
          <w:p w14:paraId="2426694E" w14:textId="77777777" w:rsidR="000C14CD" w:rsidRPr="00D606D6" w:rsidRDefault="000C14CD" w:rsidP="00A308CB">
            <w:pPr>
              <w:rPr>
                <w:rFonts w:ascii="Arial Narrow" w:hAnsi="Arial Narrow"/>
                <w:sz w:val="20"/>
                <w:szCs w:val="20"/>
              </w:rPr>
            </w:pPr>
            <w:r w:rsidRPr="00D606D6">
              <w:rPr>
                <w:rFonts w:ascii="Arial Narrow" w:hAnsi="Arial Narrow"/>
                <w:sz w:val="20"/>
                <w:szCs w:val="20"/>
              </w:rPr>
              <w:t>(i) is less than 12 months; or</w:t>
            </w:r>
          </w:p>
          <w:p w14:paraId="70A2ADF9" w14:textId="77777777" w:rsidR="000C14CD" w:rsidRPr="00D606D6" w:rsidRDefault="000C14CD" w:rsidP="00A308CB">
            <w:pPr>
              <w:rPr>
                <w:rFonts w:ascii="Arial Narrow" w:hAnsi="Arial Narrow"/>
                <w:sz w:val="20"/>
                <w:szCs w:val="20"/>
              </w:rPr>
            </w:pPr>
            <w:r w:rsidRPr="00D606D6">
              <w:rPr>
                <w:rFonts w:ascii="Arial Narrow" w:hAnsi="Arial Narrow"/>
                <w:sz w:val="20"/>
                <w:szCs w:val="20"/>
              </w:rPr>
              <w:t>(ii) exceeds 12 months and the palliative care patient is unable to have annual pain management review due to their clinical condition; or</w:t>
            </w:r>
          </w:p>
          <w:p w14:paraId="2BF92517" w14:textId="77777777" w:rsidR="000C14CD" w:rsidRPr="00D606D6" w:rsidRDefault="000C14CD" w:rsidP="00A308CB">
            <w:pPr>
              <w:rPr>
                <w:rFonts w:ascii="Arial Narrow" w:hAnsi="Arial Narrow"/>
                <w:sz w:val="20"/>
                <w:szCs w:val="20"/>
              </w:rPr>
            </w:pPr>
            <w:r w:rsidRPr="00D606D6">
              <w:rPr>
                <w:rFonts w:ascii="Arial Narrow" w:hAnsi="Arial Narrow"/>
                <w:sz w:val="20"/>
                <w:szCs w:val="20"/>
              </w:rPr>
              <w:t>(iii) exceeds 12 months and the patient's clinical need for continuing opioid treatment has been confirmed through consultation with the patient by another medical practitioner or a palliative care nurse practitioner in the past 12 months; or</w:t>
            </w:r>
          </w:p>
          <w:p w14:paraId="6B8D8BF9" w14:textId="51563E2B" w:rsidR="000C14CD" w:rsidRPr="00D606D6" w:rsidRDefault="000C14CD" w:rsidP="00A308CB">
            <w:pPr>
              <w:rPr>
                <w:rFonts w:ascii="Arial Narrow" w:hAnsi="Arial Narrow"/>
                <w:b/>
                <w:bCs/>
                <w:sz w:val="20"/>
                <w:szCs w:val="20"/>
              </w:rPr>
            </w:pPr>
            <w:r w:rsidRPr="00D606D6">
              <w:rPr>
                <w:rFonts w:ascii="Arial Narrow" w:hAnsi="Arial Narrow"/>
                <w:sz w:val="20"/>
                <w:szCs w:val="20"/>
              </w:rPr>
              <w:t>(iv) has exceeded 12 months prior to 1 June 2020 and the patient's pain management and clinical need for continuing opioid treatment has not been confirmed through consultation with the patient by another medical practitioner or a palliative care nurse practitioner in the past 12 months, but is planned in the next 3 months.</w:t>
            </w:r>
          </w:p>
        </w:tc>
      </w:tr>
      <w:tr w:rsidR="000C14CD" w:rsidRPr="001428E9" w14:paraId="64EF9007" w14:textId="77777777" w:rsidTr="00025E84">
        <w:tblPrEx>
          <w:tblCellMar>
            <w:top w:w="15" w:type="dxa"/>
            <w:bottom w:w="15" w:type="dxa"/>
          </w:tblCellMar>
        </w:tblPrEx>
        <w:trPr>
          <w:cantSplit/>
          <w:trHeight w:val="20"/>
        </w:trPr>
        <w:tc>
          <w:tcPr>
            <w:tcW w:w="1275" w:type="dxa"/>
            <w:gridSpan w:val="2"/>
            <w:vAlign w:val="center"/>
          </w:tcPr>
          <w:p w14:paraId="1A679FA5" w14:textId="6FABDB95" w:rsidR="000C14CD" w:rsidRPr="00432EBF" w:rsidRDefault="000C14CD" w:rsidP="00A308CB">
            <w:pPr>
              <w:jc w:val="center"/>
              <w:rPr>
                <w:rFonts w:ascii="Arial Narrow" w:hAnsi="Arial Narrow"/>
                <w:sz w:val="20"/>
                <w:szCs w:val="20"/>
              </w:rPr>
            </w:pPr>
          </w:p>
        </w:tc>
        <w:tc>
          <w:tcPr>
            <w:tcW w:w="7746" w:type="dxa"/>
            <w:gridSpan w:val="6"/>
            <w:vAlign w:val="center"/>
            <w:hideMark/>
          </w:tcPr>
          <w:p w14:paraId="14643FC8" w14:textId="77777777" w:rsidR="000C14CD" w:rsidRPr="001428E9" w:rsidRDefault="000C14CD" w:rsidP="00A308CB">
            <w:pPr>
              <w:rPr>
                <w:rFonts w:ascii="Arial Narrow" w:hAnsi="Arial Narrow"/>
                <w:color w:val="333333"/>
                <w:sz w:val="20"/>
                <w:szCs w:val="20"/>
              </w:rPr>
            </w:pPr>
            <w:r>
              <w:rPr>
                <w:rFonts w:ascii="Arial Narrow" w:hAnsi="Arial Narrow"/>
                <w:b/>
                <w:bCs/>
                <w:sz w:val="20"/>
                <w:szCs w:val="20"/>
              </w:rPr>
              <w:t>Prescribing Instructions:</w:t>
            </w:r>
            <w:r w:rsidRPr="001428E9">
              <w:rPr>
                <w:rFonts w:ascii="Arial Narrow" w:hAnsi="Arial Narrow"/>
                <w:bCs/>
                <w:color w:val="FF0000"/>
                <w:sz w:val="20"/>
                <w:szCs w:val="20"/>
              </w:rPr>
              <w:t xml:space="preserve"> </w:t>
            </w:r>
            <w:r w:rsidRPr="00D858D2">
              <w:rPr>
                <w:rFonts w:ascii="Arial Narrow" w:hAnsi="Arial Narrow"/>
                <w:bCs/>
                <w:sz w:val="20"/>
                <w:szCs w:val="20"/>
              </w:rPr>
              <w:t>Palliative care nurses may conduct annual review under this item for the treatment of palliative care patients only.</w:t>
            </w:r>
          </w:p>
        </w:tc>
      </w:tr>
      <w:tr w:rsidR="000C14CD" w:rsidRPr="001428E9" w14:paraId="6526A46B" w14:textId="77777777" w:rsidTr="007876D0">
        <w:tblPrEx>
          <w:tblCellMar>
            <w:top w:w="15" w:type="dxa"/>
            <w:bottom w:w="15" w:type="dxa"/>
          </w:tblCellMar>
          <w:tblLook w:val="04A0" w:firstRow="1" w:lastRow="0" w:firstColumn="1" w:lastColumn="0" w:noHBand="0" w:noVBand="1"/>
        </w:tblPrEx>
        <w:trPr>
          <w:cantSplit/>
          <w:trHeight w:val="20"/>
        </w:trPr>
        <w:tc>
          <w:tcPr>
            <w:tcW w:w="1275" w:type="dxa"/>
            <w:gridSpan w:val="2"/>
            <w:vAlign w:val="center"/>
          </w:tcPr>
          <w:p w14:paraId="1242FF43" w14:textId="4D320981" w:rsidR="000C14CD" w:rsidRPr="00432EBF" w:rsidRDefault="000C14CD" w:rsidP="00A308CB">
            <w:pPr>
              <w:jc w:val="center"/>
              <w:rPr>
                <w:rFonts w:ascii="Arial Narrow" w:hAnsi="Arial Narrow"/>
                <w:sz w:val="20"/>
                <w:szCs w:val="20"/>
              </w:rPr>
            </w:pPr>
          </w:p>
        </w:tc>
        <w:tc>
          <w:tcPr>
            <w:tcW w:w="7746" w:type="dxa"/>
            <w:gridSpan w:val="6"/>
            <w:vAlign w:val="center"/>
          </w:tcPr>
          <w:p w14:paraId="2F4759B3" w14:textId="77777777" w:rsidR="000C14CD" w:rsidRPr="00652EC4" w:rsidRDefault="000C14CD" w:rsidP="00A308CB">
            <w:pPr>
              <w:rPr>
                <w:rFonts w:ascii="Arial Narrow" w:hAnsi="Arial Narrow"/>
                <w:sz w:val="20"/>
                <w:szCs w:val="20"/>
              </w:rPr>
            </w:pPr>
            <w:r>
              <w:rPr>
                <w:rFonts w:ascii="Arial Narrow" w:hAnsi="Arial Narrow"/>
                <w:b/>
                <w:bCs/>
                <w:sz w:val="20"/>
                <w:szCs w:val="20"/>
              </w:rPr>
              <w:t xml:space="preserve">Prescribing Instructions: </w:t>
            </w:r>
            <w:r w:rsidRPr="00432EBF">
              <w:rPr>
                <w:rFonts w:ascii="Arial Narrow" w:hAnsi="Arial Narrow"/>
                <w:b/>
                <w:bCs/>
                <w:sz w:val="20"/>
                <w:szCs w:val="20"/>
              </w:rPr>
              <w:t xml:space="preserve"> </w:t>
            </w:r>
            <w:r w:rsidRPr="00652EC4">
              <w:rPr>
                <w:rFonts w:ascii="Arial Narrow" w:hAnsi="Arial Narrow"/>
                <w:sz w:val="20"/>
                <w:szCs w:val="20"/>
              </w:rPr>
              <w:t>Authority requests extending treatment duration up to 1 month may be requested through the Online PBS Authorities system or by calling Services Australia.</w:t>
            </w:r>
          </w:p>
          <w:p w14:paraId="0C27925D" w14:textId="4569DF0C" w:rsidR="000C14CD" w:rsidRPr="001428E9" w:rsidRDefault="000C14CD" w:rsidP="00A308CB">
            <w:pPr>
              <w:rPr>
                <w:rFonts w:ascii="Arial Narrow" w:hAnsi="Arial Narrow"/>
                <w:bCs/>
                <w:color w:val="333333"/>
                <w:sz w:val="20"/>
                <w:szCs w:val="20"/>
              </w:rPr>
            </w:pPr>
            <w:r w:rsidRPr="00652EC4">
              <w:rPr>
                <w:rFonts w:ascii="Arial Narrow" w:hAnsi="Arial Narrow"/>
                <w:sz w:val="20"/>
                <w:szCs w:val="20"/>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7876D0" w:rsidRPr="001428E9" w14:paraId="202E55F2" w14:textId="77777777" w:rsidTr="007876D0">
        <w:trPr>
          <w:cantSplit/>
          <w:trHeight w:val="20"/>
        </w:trPr>
        <w:tc>
          <w:tcPr>
            <w:tcW w:w="9021" w:type="dxa"/>
            <w:gridSpan w:val="8"/>
            <w:tcBorders>
              <w:left w:val="nil"/>
              <w:right w:val="nil"/>
            </w:tcBorders>
            <w:vAlign w:val="center"/>
          </w:tcPr>
          <w:p w14:paraId="17CFF673" w14:textId="77777777" w:rsidR="007876D0" w:rsidRPr="001428E9" w:rsidRDefault="007876D0" w:rsidP="00A308CB">
            <w:pPr>
              <w:keepLines/>
              <w:rPr>
                <w:rFonts w:ascii="Arial Narrow" w:hAnsi="Arial Narrow" w:cs="Arial"/>
                <w:b/>
                <w:sz w:val="20"/>
                <w:szCs w:val="20"/>
              </w:rPr>
            </w:pPr>
          </w:p>
        </w:tc>
      </w:tr>
      <w:tr w:rsidR="000C14CD" w:rsidRPr="001428E9" w14:paraId="37579400" w14:textId="77777777" w:rsidTr="007876D0">
        <w:trPr>
          <w:cantSplit/>
          <w:trHeight w:val="20"/>
        </w:trPr>
        <w:tc>
          <w:tcPr>
            <w:tcW w:w="3937" w:type="dxa"/>
            <w:gridSpan w:val="3"/>
            <w:vAlign w:val="center"/>
          </w:tcPr>
          <w:p w14:paraId="07C5EBFA" w14:textId="77777777" w:rsidR="000C14CD" w:rsidRPr="001428E9" w:rsidRDefault="000C14CD" w:rsidP="00BB24CD">
            <w:pPr>
              <w:keepNext/>
              <w:keepLines/>
              <w:rPr>
                <w:rFonts w:ascii="Arial Narrow" w:hAnsi="Arial Narrow" w:cs="Arial"/>
                <w:b/>
                <w:bCs/>
                <w:sz w:val="20"/>
                <w:szCs w:val="20"/>
              </w:rPr>
            </w:pPr>
            <w:r w:rsidRPr="001428E9">
              <w:rPr>
                <w:rFonts w:ascii="Arial Narrow" w:hAnsi="Arial Narrow" w:cs="Arial"/>
                <w:b/>
                <w:bCs/>
                <w:sz w:val="20"/>
                <w:szCs w:val="20"/>
              </w:rPr>
              <w:lastRenderedPageBreak/>
              <w:t>MEDICINAL PRODUCT</w:t>
            </w:r>
          </w:p>
          <w:p w14:paraId="4EFA9D27" w14:textId="77777777" w:rsidR="000C14CD" w:rsidRPr="001428E9" w:rsidRDefault="000C14CD" w:rsidP="00BB24CD">
            <w:pPr>
              <w:keepNext/>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7F6BB802" w14:textId="77777777" w:rsidR="000C14CD" w:rsidRPr="001428E9" w:rsidRDefault="000C14CD" w:rsidP="00BB24CD">
            <w:pPr>
              <w:keepNext/>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627F1292" w14:textId="77777777" w:rsidR="000C14CD" w:rsidRPr="001428E9" w:rsidRDefault="000C14CD" w:rsidP="00BB24CD">
            <w:pPr>
              <w:keepNext/>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3FF84FF8" w14:textId="77777777" w:rsidR="000C14CD" w:rsidRPr="001428E9" w:rsidRDefault="000C14CD" w:rsidP="00BB24CD">
            <w:pPr>
              <w:keepNext/>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3420AA45" w14:textId="77777777" w:rsidR="000C14CD" w:rsidRPr="001428E9" w:rsidRDefault="000C14CD" w:rsidP="00BB24CD">
            <w:pPr>
              <w:keepNext/>
              <w:keepLines/>
              <w:jc w:val="center"/>
              <w:rPr>
                <w:rFonts w:ascii="Arial Narrow" w:hAnsi="Arial Narrow" w:cs="Arial"/>
                <w:b/>
                <w:sz w:val="20"/>
                <w:szCs w:val="20"/>
              </w:rPr>
            </w:pPr>
            <w:r w:rsidRPr="001428E9">
              <w:rPr>
                <w:rFonts w:ascii="Arial Narrow" w:hAnsi="Arial Narrow" w:cs="Arial"/>
                <w:b/>
                <w:sz w:val="20"/>
                <w:szCs w:val="20"/>
              </w:rPr>
              <w:t>№.of</w:t>
            </w:r>
          </w:p>
          <w:p w14:paraId="6430F65A" w14:textId="77777777" w:rsidR="000C14CD" w:rsidRPr="001428E9" w:rsidRDefault="000C14CD" w:rsidP="00BB24CD">
            <w:pPr>
              <w:keepNext/>
              <w:keepLines/>
              <w:jc w:val="center"/>
              <w:rPr>
                <w:rFonts w:ascii="Arial Narrow" w:hAnsi="Arial Narrow" w:cs="Arial"/>
                <w:b/>
                <w:sz w:val="20"/>
                <w:szCs w:val="20"/>
              </w:rPr>
            </w:pPr>
            <w:r w:rsidRPr="001428E9">
              <w:rPr>
                <w:rFonts w:ascii="Arial Narrow" w:hAnsi="Arial Narrow" w:cs="Arial"/>
                <w:b/>
                <w:sz w:val="20"/>
                <w:szCs w:val="20"/>
              </w:rPr>
              <w:t>Rpts</w:t>
            </w:r>
          </w:p>
        </w:tc>
        <w:tc>
          <w:tcPr>
            <w:tcW w:w="1838" w:type="dxa"/>
            <w:vAlign w:val="center"/>
          </w:tcPr>
          <w:p w14:paraId="4567BA01" w14:textId="77777777" w:rsidR="000C14CD" w:rsidRPr="001428E9" w:rsidRDefault="000C14CD" w:rsidP="00BB24CD">
            <w:pPr>
              <w:keepNext/>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0C14CD" w:rsidRPr="001428E9" w14:paraId="5FECA914" w14:textId="77777777" w:rsidTr="007876D0">
        <w:trPr>
          <w:cantSplit/>
          <w:trHeight w:val="20"/>
        </w:trPr>
        <w:tc>
          <w:tcPr>
            <w:tcW w:w="9021" w:type="dxa"/>
            <w:gridSpan w:val="8"/>
            <w:vAlign w:val="center"/>
          </w:tcPr>
          <w:p w14:paraId="35D5A376" w14:textId="77777777" w:rsidR="000C14CD" w:rsidRPr="001428E9" w:rsidRDefault="000C14CD" w:rsidP="00BB24CD">
            <w:pPr>
              <w:keepNext/>
              <w:keepLines/>
              <w:rPr>
                <w:rFonts w:ascii="Arial Narrow" w:hAnsi="Arial Narrow" w:cs="Arial"/>
                <w:sz w:val="20"/>
                <w:szCs w:val="20"/>
              </w:rPr>
            </w:pPr>
            <w:r>
              <w:rPr>
                <w:rFonts w:ascii="Arial Narrow" w:hAnsi="Arial Narrow" w:cs="Arial"/>
                <w:sz w:val="20"/>
                <w:szCs w:val="20"/>
              </w:rPr>
              <w:t>METHADONE</w:t>
            </w:r>
            <w:r w:rsidRPr="001428E9">
              <w:rPr>
                <w:rFonts w:ascii="Arial Narrow" w:hAnsi="Arial Narrow" w:cs="Arial"/>
                <w:color w:val="FF0000"/>
                <w:sz w:val="20"/>
                <w:szCs w:val="20"/>
              </w:rPr>
              <w:t xml:space="preserve"> </w:t>
            </w:r>
          </w:p>
        </w:tc>
      </w:tr>
      <w:tr w:rsidR="000C14CD" w:rsidRPr="001428E9" w14:paraId="1286C37B" w14:textId="77777777" w:rsidTr="007876D0">
        <w:trPr>
          <w:cantSplit/>
          <w:trHeight w:val="20"/>
        </w:trPr>
        <w:tc>
          <w:tcPr>
            <w:tcW w:w="3937" w:type="dxa"/>
            <w:gridSpan w:val="3"/>
            <w:vAlign w:val="center"/>
          </w:tcPr>
          <w:p w14:paraId="151F3B7C" w14:textId="77777777" w:rsidR="000C14CD" w:rsidRPr="001428E9" w:rsidRDefault="000C14CD" w:rsidP="00BB24CD">
            <w:pPr>
              <w:keepNext/>
              <w:keepLines/>
              <w:rPr>
                <w:rFonts w:ascii="Arial Narrow" w:hAnsi="Arial Narrow" w:cs="Arial"/>
                <w:sz w:val="20"/>
                <w:szCs w:val="20"/>
              </w:rPr>
            </w:pPr>
            <w:r>
              <w:rPr>
                <w:rFonts w:ascii="Arial Narrow" w:hAnsi="Arial Narrow" w:cs="Arial"/>
                <w:sz w:val="20"/>
                <w:szCs w:val="20"/>
              </w:rPr>
              <w:t>methadone hydrochloride 5mg tablet, 20</w:t>
            </w:r>
          </w:p>
        </w:tc>
        <w:tc>
          <w:tcPr>
            <w:tcW w:w="811" w:type="dxa"/>
            <w:vAlign w:val="center"/>
          </w:tcPr>
          <w:p w14:paraId="6A39C801" w14:textId="77777777" w:rsidR="000C14CD" w:rsidRPr="001428E9" w:rsidRDefault="000C14CD" w:rsidP="00BB24CD">
            <w:pPr>
              <w:keepNext/>
              <w:keepLines/>
              <w:jc w:val="center"/>
              <w:rPr>
                <w:rFonts w:ascii="Arial Narrow" w:hAnsi="Arial Narrow" w:cs="Arial"/>
                <w:sz w:val="20"/>
                <w:szCs w:val="20"/>
              </w:rPr>
            </w:pPr>
            <w:r w:rsidRPr="001428E9">
              <w:rPr>
                <w:rFonts w:ascii="Arial Narrow" w:hAnsi="Arial Narrow" w:cs="Arial"/>
                <w:sz w:val="20"/>
                <w:szCs w:val="20"/>
              </w:rPr>
              <w:t>NEW</w:t>
            </w:r>
          </w:p>
        </w:tc>
        <w:tc>
          <w:tcPr>
            <w:tcW w:w="812" w:type="dxa"/>
            <w:vAlign w:val="center"/>
          </w:tcPr>
          <w:p w14:paraId="45BAC4E6" w14:textId="77777777" w:rsidR="000C14CD" w:rsidRPr="001428E9" w:rsidRDefault="000C14CD" w:rsidP="00BB24CD">
            <w:pPr>
              <w:keepNext/>
              <w:keepLines/>
              <w:jc w:val="center"/>
              <w:rPr>
                <w:rFonts w:ascii="Arial Narrow" w:hAnsi="Arial Narrow" w:cs="Arial"/>
                <w:sz w:val="20"/>
                <w:szCs w:val="20"/>
              </w:rPr>
            </w:pPr>
            <w:r>
              <w:rPr>
                <w:rFonts w:ascii="Arial Narrow" w:hAnsi="Arial Narrow" w:cs="Arial"/>
                <w:sz w:val="20"/>
                <w:szCs w:val="20"/>
              </w:rPr>
              <w:t>6</w:t>
            </w:r>
          </w:p>
        </w:tc>
        <w:tc>
          <w:tcPr>
            <w:tcW w:w="811" w:type="dxa"/>
            <w:vAlign w:val="center"/>
          </w:tcPr>
          <w:p w14:paraId="29209308" w14:textId="56898405" w:rsidR="000C14CD" w:rsidRPr="001428E9" w:rsidRDefault="000C14CD" w:rsidP="00BB24CD">
            <w:pPr>
              <w:keepNext/>
              <w:keepLines/>
              <w:jc w:val="center"/>
              <w:rPr>
                <w:rFonts w:ascii="Arial Narrow" w:hAnsi="Arial Narrow" w:cs="Arial"/>
                <w:sz w:val="20"/>
                <w:szCs w:val="20"/>
              </w:rPr>
            </w:pPr>
            <w:r>
              <w:rPr>
                <w:rFonts w:ascii="Arial Narrow" w:hAnsi="Arial Narrow" w:cs="Arial"/>
                <w:sz w:val="20"/>
                <w:szCs w:val="20"/>
              </w:rPr>
              <w:t>120</w:t>
            </w:r>
          </w:p>
        </w:tc>
        <w:tc>
          <w:tcPr>
            <w:tcW w:w="812" w:type="dxa"/>
            <w:vAlign w:val="center"/>
          </w:tcPr>
          <w:p w14:paraId="61B56DD3" w14:textId="77777777" w:rsidR="000C14CD" w:rsidRPr="001428E9" w:rsidRDefault="000C14CD" w:rsidP="00BB24CD">
            <w:pPr>
              <w:keepNext/>
              <w:keepLines/>
              <w:jc w:val="center"/>
              <w:rPr>
                <w:rFonts w:ascii="Arial Narrow" w:hAnsi="Arial Narrow" w:cs="Arial"/>
                <w:sz w:val="20"/>
                <w:szCs w:val="20"/>
              </w:rPr>
            </w:pPr>
            <w:r>
              <w:rPr>
                <w:rFonts w:ascii="Arial Narrow" w:hAnsi="Arial Narrow" w:cs="Arial"/>
                <w:sz w:val="20"/>
                <w:szCs w:val="20"/>
              </w:rPr>
              <w:t>0</w:t>
            </w:r>
          </w:p>
        </w:tc>
        <w:tc>
          <w:tcPr>
            <w:tcW w:w="1838" w:type="dxa"/>
            <w:vAlign w:val="center"/>
          </w:tcPr>
          <w:p w14:paraId="08432247" w14:textId="77777777" w:rsidR="000C14CD" w:rsidRPr="001428E9" w:rsidRDefault="000C14CD" w:rsidP="00BB24CD">
            <w:pPr>
              <w:keepNext/>
              <w:keepLines/>
              <w:rPr>
                <w:rFonts w:ascii="Arial Narrow" w:hAnsi="Arial Narrow" w:cs="Arial"/>
                <w:sz w:val="20"/>
                <w:szCs w:val="20"/>
              </w:rPr>
            </w:pPr>
            <w:r>
              <w:rPr>
                <w:rFonts w:ascii="Arial Narrow" w:hAnsi="Arial Narrow" w:cs="Arial"/>
                <w:sz w:val="20"/>
                <w:szCs w:val="20"/>
              </w:rPr>
              <w:t>METHADONE-AFT</w:t>
            </w:r>
          </w:p>
        </w:tc>
      </w:tr>
      <w:tr w:rsidR="000C14CD" w:rsidRPr="001428E9" w14:paraId="1AC7307C" w14:textId="77777777" w:rsidTr="007876D0">
        <w:tblPrEx>
          <w:tblCellMar>
            <w:top w:w="15" w:type="dxa"/>
            <w:bottom w:w="15" w:type="dxa"/>
          </w:tblCellMar>
          <w:tblLook w:val="04A0" w:firstRow="1" w:lastRow="0" w:firstColumn="1" w:lastColumn="0" w:noHBand="0" w:noVBand="1"/>
        </w:tblPrEx>
        <w:trPr>
          <w:trHeight w:val="20"/>
        </w:trPr>
        <w:tc>
          <w:tcPr>
            <w:tcW w:w="9021" w:type="dxa"/>
            <w:gridSpan w:val="8"/>
            <w:tcBorders>
              <w:top w:val="single" w:sz="4" w:space="0" w:color="auto"/>
              <w:left w:val="single" w:sz="4" w:space="0" w:color="auto"/>
              <w:right w:val="single" w:sz="4" w:space="0" w:color="auto"/>
            </w:tcBorders>
            <w:vAlign w:val="center"/>
          </w:tcPr>
          <w:p w14:paraId="5705F650" w14:textId="77777777" w:rsidR="000C14CD" w:rsidRPr="001428E9" w:rsidRDefault="000C14CD" w:rsidP="00BB24CD">
            <w:pPr>
              <w:keepNext/>
              <w:rPr>
                <w:rFonts w:ascii="Arial Narrow" w:hAnsi="Arial Narrow" w:cs="Arial"/>
                <w:sz w:val="20"/>
                <w:szCs w:val="20"/>
              </w:rPr>
            </w:pPr>
          </w:p>
        </w:tc>
      </w:tr>
      <w:tr w:rsidR="000C14CD" w:rsidRPr="001428E9" w14:paraId="7F6A39B1" w14:textId="77777777" w:rsidTr="007876D0">
        <w:tblPrEx>
          <w:tblCellMar>
            <w:top w:w="15" w:type="dxa"/>
            <w:bottom w:w="15" w:type="dxa"/>
          </w:tblCellMar>
          <w:tblLook w:val="04A0" w:firstRow="1" w:lastRow="0" w:firstColumn="1" w:lastColumn="0" w:noHBand="0" w:noVBand="1"/>
        </w:tblPrEx>
        <w:trPr>
          <w:trHeight w:val="20"/>
        </w:trPr>
        <w:tc>
          <w:tcPr>
            <w:tcW w:w="9021" w:type="dxa"/>
            <w:gridSpan w:val="8"/>
            <w:tcBorders>
              <w:top w:val="single" w:sz="4" w:space="0" w:color="auto"/>
              <w:left w:val="single" w:sz="4" w:space="0" w:color="auto"/>
              <w:right w:val="single" w:sz="4" w:space="0" w:color="auto"/>
            </w:tcBorders>
            <w:vAlign w:val="center"/>
          </w:tcPr>
          <w:p w14:paraId="669BBB38" w14:textId="77777777" w:rsidR="000C14CD" w:rsidRPr="001428E9" w:rsidRDefault="000C14CD" w:rsidP="00BB24CD">
            <w:pPr>
              <w:keepNext/>
              <w:keepLines/>
              <w:rPr>
                <w:rFonts w:ascii="Arial Narrow" w:hAnsi="Arial Narrow" w:cs="Arial"/>
                <w:b/>
                <w:sz w:val="20"/>
                <w:szCs w:val="20"/>
              </w:rPr>
            </w:pPr>
            <w:r w:rsidRPr="001428E9">
              <w:rPr>
                <w:rFonts w:ascii="Arial Narrow" w:hAnsi="Arial Narrow"/>
                <w:b/>
                <w:sz w:val="20"/>
                <w:szCs w:val="20"/>
              </w:rPr>
              <w:t>Restriction Summary</w:t>
            </w:r>
            <w:r>
              <w:rPr>
                <w:rFonts w:ascii="Arial Narrow" w:hAnsi="Arial Narrow"/>
                <w:b/>
                <w:sz w:val="20"/>
                <w:szCs w:val="20"/>
              </w:rPr>
              <w:t xml:space="preserve">: 11696 </w:t>
            </w:r>
            <w:r w:rsidRPr="001428E9">
              <w:rPr>
                <w:rFonts w:ascii="Arial Narrow" w:hAnsi="Arial Narrow"/>
                <w:b/>
                <w:sz w:val="20"/>
                <w:szCs w:val="20"/>
              </w:rPr>
              <w:t>/ Treatment of Concept:</w:t>
            </w:r>
            <w:r>
              <w:rPr>
                <w:rFonts w:ascii="Arial Narrow" w:hAnsi="Arial Narrow"/>
                <w:b/>
                <w:sz w:val="20"/>
                <w:szCs w:val="20"/>
              </w:rPr>
              <w:t>11696</w:t>
            </w:r>
          </w:p>
        </w:tc>
      </w:tr>
      <w:tr w:rsidR="000C14CD" w:rsidRPr="001428E9" w14:paraId="44C40395" w14:textId="77777777" w:rsidTr="007876D0">
        <w:tblPrEx>
          <w:tblCellMar>
            <w:top w:w="15" w:type="dxa"/>
            <w:bottom w:w="15" w:type="dxa"/>
          </w:tblCellMar>
          <w:tblLook w:val="04A0" w:firstRow="1" w:lastRow="0" w:firstColumn="1" w:lastColumn="0" w:noHBand="0" w:noVBand="1"/>
        </w:tblPrEx>
        <w:trPr>
          <w:trHeight w:val="20"/>
        </w:trPr>
        <w:tc>
          <w:tcPr>
            <w:tcW w:w="1275" w:type="dxa"/>
            <w:gridSpan w:val="2"/>
            <w:vMerge w:val="restart"/>
            <w:tcBorders>
              <w:top w:val="single" w:sz="4" w:space="0" w:color="auto"/>
              <w:left w:val="single" w:sz="4" w:space="0" w:color="auto"/>
              <w:right w:val="single" w:sz="4" w:space="0" w:color="auto"/>
            </w:tcBorders>
          </w:tcPr>
          <w:p w14:paraId="29344026" w14:textId="77777777" w:rsidR="000C14CD" w:rsidRPr="001428E9" w:rsidRDefault="000C14CD" w:rsidP="00BB24CD">
            <w:pPr>
              <w:keepNext/>
              <w:jc w:val="center"/>
              <w:rPr>
                <w:rFonts w:ascii="Arial Narrow" w:hAnsi="Arial Narrow" w:cs="Arial"/>
                <w:b/>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r w:rsidRPr="001428E9">
              <w:rPr>
                <w:rFonts w:ascii="Arial Narrow" w:hAnsi="Arial Narrow" w:cs="Arial"/>
                <w:sz w:val="20"/>
                <w:szCs w:val="20"/>
              </w:rPr>
              <w:t>(for internal Dept. use)</w:t>
            </w: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548DCD97" w14:textId="77777777" w:rsidR="000C14CD" w:rsidRPr="001428E9" w:rsidRDefault="000C14CD" w:rsidP="00BB24CD">
            <w:pPr>
              <w:keepNext/>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p>
          <w:p w14:paraId="5F150740" w14:textId="77777777" w:rsidR="000C14CD" w:rsidRPr="001428E9" w:rsidRDefault="000C14CD" w:rsidP="00BB24CD">
            <w:pPr>
              <w:keepNext/>
              <w:keepLines/>
              <w:jc w:val="left"/>
              <w:rPr>
                <w:rFonts w:ascii="Arial Narrow" w:hAnsi="Arial Narrow" w:cs="Arial"/>
                <w:sz w:val="20"/>
                <w:szCs w:val="20"/>
              </w:rPr>
            </w:pP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Palliative Care (Code PL)</w:t>
            </w:r>
          </w:p>
        </w:tc>
      </w:tr>
      <w:tr w:rsidR="000C14CD" w:rsidRPr="001428E9" w14:paraId="6BF67F5F" w14:textId="77777777" w:rsidTr="007876D0">
        <w:tblPrEx>
          <w:tblCellMar>
            <w:top w:w="15" w:type="dxa"/>
            <w:bottom w:w="15" w:type="dxa"/>
          </w:tblCellMar>
          <w:tblLook w:val="04A0" w:firstRow="1" w:lastRow="0" w:firstColumn="1" w:lastColumn="0" w:noHBand="0" w:noVBand="1"/>
        </w:tblPrEx>
        <w:trPr>
          <w:trHeight w:val="20"/>
        </w:trPr>
        <w:tc>
          <w:tcPr>
            <w:tcW w:w="1275" w:type="dxa"/>
            <w:gridSpan w:val="2"/>
            <w:vMerge/>
            <w:tcBorders>
              <w:left w:val="single" w:sz="4" w:space="0" w:color="auto"/>
              <w:right w:val="single" w:sz="4" w:space="0" w:color="auto"/>
            </w:tcBorders>
          </w:tcPr>
          <w:p w14:paraId="2ECA4319" w14:textId="77777777" w:rsidR="000C14CD" w:rsidRPr="001428E9" w:rsidRDefault="000C14CD" w:rsidP="00BB24CD">
            <w:pPr>
              <w:keepNext/>
              <w:rPr>
                <w:rFonts w:ascii="Arial Narrow" w:hAnsi="Arial Narrow" w:cs="Arial"/>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207CD300" w14:textId="77777777" w:rsidR="000C14CD" w:rsidRDefault="000C14CD" w:rsidP="00BB24CD">
            <w:pPr>
              <w:keepNext/>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p>
          <w:p w14:paraId="6FB77453" w14:textId="77777777" w:rsidR="000C14CD" w:rsidRPr="001428E9" w:rsidRDefault="000C14CD" w:rsidP="00BB24CD">
            <w:pPr>
              <w:keepNext/>
              <w:keepLines/>
              <w:rPr>
                <w:rFonts w:ascii="Arial Narrow" w:hAnsi="Arial Narrow" w:cs="Arial"/>
                <w:b/>
                <w:sz w:val="20"/>
                <w:szCs w:val="20"/>
              </w:rPr>
            </w:pPr>
            <w:r w:rsidRPr="001428E9">
              <w:rPr>
                <w:rFonts w:ascii="Arial Narrow" w:hAnsi="Arial Narrow" w:cs="Arial"/>
                <w:b/>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0C14CD" w:rsidRPr="00D56F94" w14:paraId="73B7CA5D" w14:textId="77777777" w:rsidTr="007876D0">
        <w:tblPrEx>
          <w:tblCellMar>
            <w:top w:w="15" w:type="dxa"/>
            <w:bottom w:w="15" w:type="dxa"/>
          </w:tblCellMar>
          <w:tblLook w:val="04A0" w:firstRow="1" w:lastRow="0" w:firstColumn="1" w:lastColumn="0" w:noHBand="0" w:noVBand="1"/>
        </w:tblPrEx>
        <w:trPr>
          <w:trHeight w:val="20"/>
        </w:trPr>
        <w:tc>
          <w:tcPr>
            <w:tcW w:w="1275" w:type="dxa"/>
            <w:gridSpan w:val="2"/>
            <w:vMerge/>
            <w:tcBorders>
              <w:left w:val="single" w:sz="4" w:space="0" w:color="auto"/>
              <w:right w:val="single" w:sz="4" w:space="0" w:color="auto"/>
            </w:tcBorders>
          </w:tcPr>
          <w:p w14:paraId="6A815D04" w14:textId="77777777" w:rsidR="000C14CD" w:rsidRPr="001428E9" w:rsidRDefault="000C14CD" w:rsidP="00BB24CD">
            <w:pPr>
              <w:keepNext/>
              <w:rPr>
                <w:rFonts w:ascii="Arial Narrow" w:hAnsi="Arial Narrow" w:cs="Arial"/>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7FDA45E1" w14:textId="7728EBD4" w:rsidR="000C14CD" w:rsidRPr="00451DE0" w:rsidRDefault="000C14CD" w:rsidP="00BB24CD">
            <w:pPr>
              <w:keepNext/>
              <w:keepLines/>
              <w:jc w:val="left"/>
              <w:rPr>
                <w:rFonts w:ascii="Arial Narrow" w:eastAsia="Calibri" w:hAnsi="Arial Narrow" w:cs="Arial"/>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br/>
            </w:r>
            <w:r w:rsidRPr="000847DB">
              <w:rPr>
                <w:rFonts w:ascii="Arial Narrow" w:eastAsia="Calibri" w:hAnsi="Arial Narrow" w:cs="Arial"/>
                <w:sz w:val="20"/>
                <w:szCs w:val="20"/>
              </w:rPr>
              <w:fldChar w:fldCharType="begin">
                <w:ffData>
                  <w:name w:val=""/>
                  <w:enabled/>
                  <w:calcOnExit w:val="0"/>
                  <w:checkBox>
                    <w:sizeAuto/>
                    <w:default w:val="1"/>
                  </w:checkBox>
                </w:ffData>
              </w:fldChar>
            </w:r>
            <w:r w:rsidRPr="000847DB">
              <w:rPr>
                <w:rFonts w:ascii="Arial Narrow" w:eastAsia="Calibri" w:hAnsi="Arial Narrow" w:cs="Arial"/>
                <w:sz w:val="20"/>
                <w:szCs w:val="20"/>
              </w:rPr>
              <w:instrText xml:space="preserve"> FORMCHECKBOX </w:instrText>
            </w:r>
            <w:r w:rsidRPr="000847DB">
              <w:rPr>
                <w:rFonts w:ascii="Arial Narrow" w:eastAsia="Calibri" w:hAnsi="Arial Narrow" w:cs="Arial"/>
                <w:sz w:val="20"/>
                <w:szCs w:val="20"/>
              </w:rPr>
            </w:r>
            <w:r w:rsidRPr="000847DB">
              <w:rPr>
                <w:rFonts w:ascii="Arial Narrow" w:eastAsia="Calibri" w:hAnsi="Arial Narrow" w:cs="Arial"/>
                <w:sz w:val="20"/>
                <w:szCs w:val="20"/>
              </w:rPr>
              <w:fldChar w:fldCharType="separate"/>
            </w:r>
            <w:r w:rsidRPr="000847DB">
              <w:rPr>
                <w:rFonts w:ascii="Arial Narrow" w:eastAsia="Calibri" w:hAnsi="Arial Narrow" w:cs="Arial"/>
                <w:sz w:val="20"/>
                <w:szCs w:val="20"/>
              </w:rPr>
              <w:fldChar w:fldCharType="end"/>
            </w:r>
            <w:r w:rsidRPr="000847DB">
              <w:rPr>
                <w:rFonts w:ascii="Arial Narrow" w:eastAsia="Calibri" w:hAnsi="Arial Narrow" w:cs="Arial"/>
                <w:sz w:val="20"/>
                <w:szCs w:val="20"/>
              </w:rPr>
              <w:t xml:space="preserve">Authority Required </w:t>
            </w:r>
          </w:p>
        </w:tc>
      </w:tr>
      <w:tr w:rsidR="000C14CD" w:rsidRPr="001428E9" w14:paraId="2CAA38A2" w14:textId="77777777" w:rsidTr="007876D0">
        <w:tblPrEx>
          <w:tblCellMar>
            <w:top w:w="15" w:type="dxa"/>
            <w:bottom w:w="15" w:type="dxa"/>
          </w:tblCellMar>
          <w:tblLook w:val="04A0" w:firstRow="1" w:lastRow="0" w:firstColumn="1" w:lastColumn="0" w:noHBand="0" w:noVBand="1"/>
        </w:tblPrEx>
        <w:trPr>
          <w:trHeight w:val="20"/>
        </w:trPr>
        <w:tc>
          <w:tcPr>
            <w:tcW w:w="491" w:type="dxa"/>
            <w:vMerge w:val="restart"/>
            <w:tcBorders>
              <w:left w:val="single" w:sz="4" w:space="0" w:color="auto"/>
              <w:right w:val="single" w:sz="4" w:space="0" w:color="auto"/>
            </w:tcBorders>
            <w:textDirection w:val="btLr"/>
            <w:vAlign w:val="center"/>
          </w:tcPr>
          <w:p w14:paraId="6CDB34EA" w14:textId="77777777" w:rsidR="000C14CD" w:rsidRPr="00432EBF" w:rsidRDefault="000C14CD" w:rsidP="00BB24CD">
            <w:pPr>
              <w:keepNext/>
              <w:jc w:val="center"/>
              <w:rPr>
                <w:rFonts w:ascii="Arial Narrow" w:hAnsi="Arial Narrow" w:cs="Arial"/>
                <w:sz w:val="20"/>
                <w:szCs w:val="20"/>
              </w:rPr>
            </w:pPr>
            <w:r w:rsidRPr="00432EBF">
              <w:rPr>
                <w:rFonts w:ascii="Arial Narrow" w:hAnsi="Arial Narrow" w:cs="Arial"/>
                <w:sz w:val="20"/>
                <w:szCs w:val="20"/>
              </w:rPr>
              <w:t>Prescribing rule level</w:t>
            </w:r>
          </w:p>
        </w:tc>
        <w:tc>
          <w:tcPr>
            <w:tcW w:w="784" w:type="dxa"/>
            <w:vAlign w:val="center"/>
          </w:tcPr>
          <w:p w14:paraId="3089DAD6" w14:textId="13A386F6" w:rsidR="000C14CD" w:rsidRPr="00432EBF" w:rsidRDefault="000C14CD" w:rsidP="00BB24CD">
            <w:pPr>
              <w:keepNext/>
              <w:jc w:val="center"/>
              <w:rPr>
                <w:rFonts w:ascii="Arial Narrow" w:hAnsi="Arial Narrow"/>
                <w:sz w:val="20"/>
                <w:szCs w:val="20"/>
              </w:rPr>
            </w:pPr>
          </w:p>
        </w:tc>
        <w:tc>
          <w:tcPr>
            <w:tcW w:w="7746" w:type="dxa"/>
            <w:gridSpan w:val="6"/>
            <w:vAlign w:val="center"/>
          </w:tcPr>
          <w:p w14:paraId="339D17E3" w14:textId="77777777" w:rsidR="000C14CD" w:rsidRPr="00773804" w:rsidRDefault="000C14CD" w:rsidP="00BB24CD">
            <w:pPr>
              <w:keepNext/>
              <w:rPr>
                <w:rFonts w:ascii="Arial Narrow" w:hAnsi="Arial Narrow"/>
                <w:sz w:val="20"/>
                <w:szCs w:val="20"/>
              </w:rPr>
            </w:pPr>
            <w:r>
              <w:rPr>
                <w:rFonts w:ascii="Arial Narrow" w:hAnsi="Arial Narrow"/>
                <w:b/>
                <w:bCs/>
                <w:sz w:val="20"/>
                <w:szCs w:val="20"/>
              </w:rPr>
              <w:t xml:space="preserve">Caution: </w:t>
            </w:r>
            <w:r>
              <w:rPr>
                <w:rFonts w:ascii="Arial Narrow" w:hAnsi="Arial Narrow"/>
                <w:sz w:val="20"/>
                <w:szCs w:val="20"/>
              </w:rPr>
              <w:t>The risk of drug dependence is high</w:t>
            </w:r>
          </w:p>
        </w:tc>
      </w:tr>
      <w:tr w:rsidR="000C14CD" w:rsidRPr="001428E9" w14:paraId="7973E721" w14:textId="77777777" w:rsidTr="007876D0">
        <w:tblPrEx>
          <w:tblCellMar>
            <w:top w:w="15" w:type="dxa"/>
            <w:bottom w:w="15" w:type="dxa"/>
          </w:tblCellMar>
          <w:tblLook w:val="04A0" w:firstRow="1" w:lastRow="0" w:firstColumn="1" w:lastColumn="0" w:noHBand="0" w:noVBand="1"/>
        </w:tblPrEx>
        <w:trPr>
          <w:trHeight w:val="20"/>
        </w:trPr>
        <w:tc>
          <w:tcPr>
            <w:tcW w:w="491" w:type="dxa"/>
            <w:vMerge/>
            <w:tcBorders>
              <w:left w:val="single" w:sz="4" w:space="0" w:color="auto"/>
              <w:right w:val="single" w:sz="4" w:space="0" w:color="auto"/>
            </w:tcBorders>
            <w:textDirection w:val="btLr"/>
            <w:vAlign w:val="center"/>
          </w:tcPr>
          <w:p w14:paraId="194B582D" w14:textId="77777777" w:rsidR="000C14CD" w:rsidRPr="00432EBF" w:rsidRDefault="000C14CD" w:rsidP="00BB24CD">
            <w:pPr>
              <w:keepNext/>
              <w:jc w:val="center"/>
              <w:rPr>
                <w:rFonts w:ascii="Arial Narrow" w:hAnsi="Arial Narrow" w:cs="Arial"/>
                <w:sz w:val="20"/>
                <w:szCs w:val="20"/>
              </w:rPr>
            </w:pPr>
          </w:p>
        </w:tc>
        <w:tc>
          <w:tcPr>
            <w:tcW w:w="784" w:type="dxa"/>
            <w:vAlign w:val="center"/>
          </w:tcPr>
          <w:p w14:paraId="7A826819" w14:textId="037D50D4" w:rsidR="000C14CD" w:rsidRPr="001428E9" w:rsidRDefault="000C14CD" w:rsidP="00BB24CD">
            <w:pPr>
              <w:keepNext/>
              <w:jc w:val="center"/>
              <w:rPr>
                <w:rFonts w:ascii="Arial Narrow" w:hAnsi="Arial Narrow"/>
                <w:color w:val="333333"/>
                <w:sz w:val="20"/>
                <w:szCs w:val="20"/>
              </w:rPr>
            </w:pPr>
          </w:p>
        </w:tc>
        <w:tc>
          <w:tcPr>
            <w:tcW w:w="7746" w:type="dxa"/>
            <w:gridSpan w:val="6"/>
            <w:vAlign w:val="center"/>
          </w:tcPr>
          <w:p w14:paraId="77E0784C" w14:textId="77777777" w:rsidR="000C14CD" w:rsidRPr="00773804" w:rsidRDefault="000C14CD" w:rsidP="00BB24CD">
            <w:pPr>
              <w:keepNext/>
              <w:rPr>
                <w:rFonts w:ascii="Arial Narrow" w:hAnsi="Arial Narrow"/>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sidRPr="00773804">
              <w:rPr>
                <w:rFonts w:ascii="Arial Narrow" w:hAnsi="Arial Narrow"/>
                <w:sz w:val="20"/>
                <w:szCs w:val="20"/>
              </w:rPr>
              <w:t>This treatment is not suitable for 'as-required' pain relief.</w:t>
            </w:r>
          </w:p>
        </w:tc>
      </w:tr>
      <w:tr w:rsidR="000C14CD" w:rsidRPr="001428E9" w14:paraId="2082FBA2" w14:textId="77777777" w:rsidTr="007876D0">
        <w:tblPrEx>
          <w:tblCellMar>
            <w:top w:w="15" w:type="dxa"/>
            <w:bottom w:w="15" w:type="dxa"/>
          </w:tblCellMar>
          <w:tblLook w:val="04A0" w:firstRow="1" w:lastRow="0" w:firstColumn="1" w:lastColumn="0" w:noHBand="0" w:noVBand="1"/>
        </w:tblPrEx>
        <w:trPr>
          <w:trHeight w:val="20"/>
        </w:trPr>
        <w:tc>
          <w:tcPr>
            <w:tcW w:w="491" w:type="dxa"/>
            <w:vMerge/>
            <w:tcBorders>
              <w:left w:val="single" w:sz="4" w:space="0" w:color="auto"/>
              <w:right w:val="single" w:sz="4" w:space="0" w:color="auto"/>
            </w:tcBorders>
          </w:tcPr>
          <w:p w14:paraId="6E76D000" w14:textId="77777777" w:rsidR="000C14CD" w:rsidRPr="00432EBF" w:rsidRDefault="000C14CD" w:rsidP="00BB24CD">
            <w:pPr>
              <w:keepNext/>
              <w:rPr>
                <w:rFonts w:ascii="Arial Narrow" w:hAnsi="Arial Narrow" w:cs="Arial"/>
                <w:sz w:val="20"/>
                <w:szCs w:val="20"/>
              </w:rPr>
            </w:pPr>
          </w:p>
        </w:tc>
        <w:tc>
          <w:tcPr>
            <w:tcW w:w="784" w:type="dxa"/>
            <w:vAlign w:val="center"/>
          </w:tcPr>
          <w:p w14:paraId="5F16894F" w14:textId="79929719" w:rsidR="000C14CD" w:rsidRPr="00432EBF" w:rsidRDefault="000C14CD" w:rsidP="00BB24CD">
            <w:pPr>
              <w:keepNext/>
              <w:jc w:val="center"/>
              <w:rPr>
                <w:rFonts w:ascii="Arial Narrow" w:hAnsi="Arial Narrow"/>
                <w:sz w:val="20"/>
                <w:szCs w:val="20"/>
              </w:rPr>
            </w:pPr>
          </w:p>
        </w:tc>
        <w:tc>
          <w:tcPr>
            <w:tcW w:w="7746" w:type="dxa"/>
            <w:gridSpan w:val="6"/>
            <w:vAlign w:val="center"/>
          </w:tcPr>
          <w:p w14:paraId="7E9E7888" w14:textId="77777777" w:rsidR="000C14CD" w:rsidRPr="00432EBF" w:rsidRDefault="000C14CD" w:rsidP="00BB24CD">
            <w:pPr>
              <w:keepNext/>
              <w:rPr>
                <w:rFonts w:ascii="Arial Narrow" w:hAnsi="Arial Narrow"/>
                <w:b/>
                <w:bCs/>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sidRPr="00773804">
              <w:rPr>
                <w:rFonts w:ascii="Arial Narrow" w:hAnsi="Arial Narrow"/>
                <w:sz w:val="20"/>
                <w:szCs w:val="20"/>
              </w:rPr>
              <w:t>This treatment is not recommended for use in ambulant patients.</w:t>
            </w:r>
          </w:p>
        </w:tc>
      </w:tr>
      <w:tr w:rsidR="000C14CD" w:rsidRPr="001428E9" w14:paraId="3CCDCD4A" w14:textId="77777777" w:rsidTr="007876D0">
        <w:tblPrEx>
          <w:tblCellMar>
            <w:top w:w="15" w:type="dxa"/>
            <w:bottom w:w="15" w:type="dxa"/>
          </w:tblCellMar>
          <w:tblLook w:val="04A0" w:firstRow="1" w:lastRow="0" w:firstColumn="1" w:lastColumn="0" w:noHBand="0" w:noVBand="1"/>
        </w:tblPrEx>
        <w:trPr>
          <w:trHeight w:val="20"/>
        </w:trPr>
        <w:tc>
          <w:tcPr>
            <w:tcW w:w="491" w:type="dxa"/>
            <w:vMerge/>
            <w:tcBorders>
              <w:left w:val="single" w:sz="4" w:space="0" w:color="auto"/>
              <w:bottom w:val="single" w:sz="4" w:space="0" w:color="auto"/>
              <w:right w:val="single" w:sz="4" w:space="0" w:color="auto"/>
            </w:tcBorders>
          </w:tcPr>
          <w:p w14:paraId="5BFC4400" w14:textId="77777777" w:rsidR="000C14CD" w:rsidRPr="00432EBF" w:rsidRDefault="000C14CD" w:rsidP="00BB24CD">
            <w:pPr>
              <w:keepNext/>
              <w:rPr>
                <w:rFonts w:ascii="Arial Narrow" w:hAnsi="Arial Narrow" w:cs="Arial"/>
                <w:sz w:val="20"/>
                <w:szCs w:val="20"/>
              </w:rPr>
            </w:pPr>
          </w:p>
        </w:tc>
        <w:tc>
          <w:tcPr>
            <w:tcW w:w="784" w:type="dxa"/>
            <w:vAlign w:val="center"/>
          </w:tcPr>
          <w:p w14:paraId="77C99F25" w14:textId="07BBA23B" w:rsidR="000C14CD" w:rsidRPr="00432EBF" w:rsidRDefault="000C14CD" w:rsidP="00BB24CD">
            <w:pPr>
              <w:keepNext/>
              <w:jc w:val="center"/>
              <w:rPr>
                <w:rFonts w:ascii="Arial Narrow" w:hAnsi="Arial Narrow"/>
                <w:sz w:val="20"/>
                <w:szCs w:val="20"/>
              </w:rPr>
            </w:pPr>
          </w:p>
        </w:tc>
        <w:tc>
          <w:tcPr>
            <w:tcW w:w="7746" w:type="dxa"/>
            <w:gridSpan w:val="6"/>
            <w:vAlign w:val="center"/>
          </w:tcPr>
          <w:p w14:paraId="0CEB44E8" w14:textId="77777777" w:rsidR="000C14CD" w:rsidRPr="00773804" w:rsidRDefault="000C14CD" w:rsidP="00BB24CD">
            <w:pPr>
              <w:keepNext/>
              <w:rPr>
                <w:rFonts w:ascii="Arial Narrow" w:hAnsi="Arial Narrow"/>
                <w:sz w:val="20"/>
                <w:szCs w:val="20"/>
              </w:rPr>
            </w:pPr>
            <w:r w:rsidRPr="00A91232">
              <w:rPr>
                <w:rFonts w:ascii="Arial Narrow" w:hAnsi="Arial Narrow"/>
                <w:b/>
                <w:bCs/>
                <w:sz w:val="20"/>
                <w:szCs w:val="20"/>
              </w:rPr>
              <w:t>Administrative Advice</w:t>
            </w:r>
            <w:r w:rsidRPr="00773804">
              <w:rPr>
                <w:rFonts w:ascii="Arial Narrow" w:hAnsi="Arial Narrow"/>
                <w:sz w:val="20"/>
                <w:szCs w:val="20"/>
              </w:rPr>
              <w:t>: Real time online applications for increased maximum quantities/repeats may be made using the Online PBS Authorities system (see www.servicesaustralia.gov.au/organisations/health-professionals/services/medicare/hpos/services/request-authority-using-online-pbs-authorities-hpos).</w:t>
            </w:r>
          </w:p>
          <w:p w14:paraId="38BF3280" w14:textId="77777777" w:rsidR="000C14CD" w:rsidRPr="00773804" w:rsidRDefault="000C14CD" w:rsidP="00BB24CD">
            <w:pPr>
              <w:keepNext/>
              <w:rPr>
                <w:rFonts w:ascii="Arial Narrow" w:hAnsi="Arial Narrow"/>
                <w:sz w:val="20"/>
                <w:szCs w:val="20"/>
              </w:rPr>
            </w:pPr>
            <w:r w:rsidRPr="00773804">
              <w:rPr>
                <w:rFonts w:ascii="Arial Narrow" w:hAnsi="Arial Narrow"/>
                <w:sz w:val="20"/>
                <w:szCs w:val="20"/>
              </w:rPr>
              <w:t>Written authority applications for increased maximum quantities/repeats can be uploaded online through HPOS form upload or mailed to:</w:t>
            </w:r>
          </w:p>
          <w:p w14:paraId="1A013783" w14:textId="77777777" w:rsidR="000C14CD" w:rsidRPr="00773804" w:rsidRDefault="000C14CD" w:rsidP="00BB24CD">
            <w:pPr>
              <w:keepNext/>
              <w:rPr>
                <w:rFonts w:ascii="Arial Narrow" w:hAnsi="Arial Narrow"/>
                <w:sz w:val="20"/>
                <w:szCs w:val="20"/>
              </w:rPr>
            </w:pPr>
            <w:r w:rsidRPr="00773804">
              <w:rPr>
                <w:rFonts w:ascii="Arial Narrow" w:hAnsi="Arial Narrow"/>
                <w:sz w:val="20"/>
                <w:szCs w:val="20"/>
              </w:rPr>
              <w:t>Pharmaceutical Benefits Scheme</w:t>
            </w:r>
          </w:p>
          <w:p w14:paraId="3BBB5C5B" w14:textId="77777777" w:rsidR="000C14CD" w:rsidRPr="00773804" w:rsidRDefault="000C14CD" w:rsidP="00BB24CD">
            <w:pPr>
              <w:keepNext/>
              <w:rPr>
                <w:rFonts w:ascii="Arial Narrow" w:hAnsi="Arial Narrow"/>
                <w:sz w:val="20"/>
                <w:szCs w:val="20"/>
              </w:rPr>
            </w:pPr>
            <w:r w:rsidRPr="00773804">
              <w:rPr>
                <w:rFonts w:ascii="Arial Narrow" w:hAnsi="Arial Narrow"/>
                <w:sz w:val="20"/>
                <w:szCs w:val="20"/>
              </w:rPr>
              <w:t>Reply Paid 9857</w:t>
            </w:r>
          </w:p>
          <w:p w14:paraId="1DD2D8A4" w14:textId="77777777" w:rsidR="000C14CD" w:rsidRPr="00773804" w:rsidRDefault="000C14CD" w:rsidP="00BB24CD">
            <w:pPr>
              <w:keepNext/>
              <w:rPr>
                <w:rFonts w:ascii="Arial Narrow" w:hAnsi="Arial Narrow"/>
                <w:sz w:val="20"/>
                <w:szCs w:val="20"/>
              </w:rPr>
            </w:pPr>
            <w:r w:rsidRPr="00773804">
              <w:rPr>
                <w:rFonts w:ascii="Arial Narrow" w:hAnsi="Arial Narrow"/>
                <w:sz w:val="20"/>
                <w:szCs w:val="20"/>
              </w:rPr>
              <w:t>[Your capital city]</w:t>
            </w:r>
          </w:p>
        </w:tc>
      </w:tr>
      <w:tr w:rsidR="000C14CD" w:rsidRPr="001428E9" w14:paraId="56A26D66" w14:textId="77777777" w:rsidTr="00025E84">
        <w:tblPrEx>
          <w:tblCellMar>
            <w:top w:w="15" w:type="dxa"/>
            <w:bottom w:w="15" w:type="dxa"/>
          </w:tblCellMar>
        </w:tblPrEx>
        <w:trPr>
          <w:cantSplit/>
          <w:trHeight w:val="20"/>
        </w:trPr>
        <w:tc>
          <w:tcPr>
            <w:tcW w:w="1275" w:type="dxa"/>
            <w:gridSpan w:val="2"/>
            <w:vAlign w:val="center"/>
          </w:tcPr>
          <w:p w14:paraId="3E497530" w14:textId="444B668F" w:rsidR="000C14CD" w:rsidRPr="00432EBF" w:rsidRDefault="000C14CD" w:rsidP="00BB24CD">
            <w:pPr>
              <w:keepNext/>
              <w:keepLines/>
              <w:jc w:val="center"/>
              <w:rPr>
                <w:rFonts w:ascii="Arial Narrow" w:hAnsi="Arial Narrow"/>
                <w:sz w:val="20"/>
                <w:szCs w:val="20"/>
              </w:rPr>
            </w:pPr>
          </w:p>
        </w:tc>
        <w:tc>
          <w:tcPr>
            <w:tcW w:w="7746" w:type="dxa"/>
            <w:gridSpan w:val="6"/>
            <w:vAlign w:val="center"/>
            <w:hideMark/>
          </w:tcPr>
          <w:p w14:paraId="23217C18" w14:textId="77777777" w:rsidR="000C14CD" w:rsidRPr="001428E9" w:rsidRDefault="000C14CD" w:rsidP="00BB24CD">
            <w:pPr>
              <w:keepNext/>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Pr>
                <w:rFonts w:ascii="Arial Narrow" w:hAnsi="Arial Narrow"/>
                <w:sz w:val="20"/>
                <w:szCs w:val="20"/>
              </w:rPr>
              <w:t>Severe disabling pain</w:t>
            </w:r>
          </w:p>
        </w:tc>
      </w:tr>
      <w:tr w:rsidR="000C14CD" w:rsidRPr="001428E9" w14:paraId="0AD2ADF7" w14:textId="77777777" w:rsidTr="00025E84">
        <w:tblPrEx>
          <w:tblCellMar>
            <w:top w:w="15" w:type="dxa"/>
            <w:bottom w:w="15" w:type="dxa"/>
          </w:tblCellMar>
        </w:tblPrEx>
        <w:trPr>
          <w:cantSplit/>
          <w:trHeight w:val="20"/>
        </w:trPr>
        <w:tc>
          <w:tcPr>
            <w:tcW w:w="1275" w:type="dxa"/>
            <w:gridSpan w:val="2"/>
            <w:vAlign w:val="center"/>
          </w:tcPr>
          <w:p w14:paraId="304BC33D" w14:textId="1BAA4D79" w:rsidR="000C14CD" w:rsidRPr="00432EBF" w:rsidRDefault="000C14CD" w:rsidP="00A308CB">
            <w:pPr>
              <w:jc w:val="center"/>
              <w:rPr>
                <w:rFonts w:ascii="Arial Narrow" w:hAnsi="Arial Narrow"/>
                <w:sz w:val="20"/>
                <w:szCs w:val="20"/>
              </w:rPr>
            </w:pPr>
          </w:p>
        </w:tc>
        <w:tc>
          <w:tcPr>
            <w:tcW w:w="7746" w:type="dxa"/>
            <w:gridSpan w:val="6"/>
            <w:vAlign w:val="center"/>
            <w:hideMark/>
          </w:tcPr>
          <w:p w14:paraId="658DC530" w14:textId="77777777" w:rsidR="000C14CD" w:rsidRPr="001428E9" w:rsidRDefault="000C14CD" w:rsidP="00A308CB">
            <w:pPr>
              <w:rPr>
                <w:rFonts w:ascii="Arial Narrow" w:hAnsi="Arial Narrow"/>
                <w:sz w:val="20"/>
                <w:szCs w:val="20"/>
              </w:rPr>
            </w:pPr>
            <w:r w:rsidRPr="00432EBF">
              <w:rPr>
                <w:rFonts w:ascii="Arial Narrow" w:hAnsi="Arial Narrow"/>
                <w:b/>
                <w:bCs/>
                <w:sz w:val="20"/>
                <w:szCs w:val="20"/>
              </w:rPr>
              <w:t xml:space="preserve">Clinical criteria: </w:t>
            </w:r>
          </w:p>
        </w:tc>
      </w:tr>
      <w:tr w:rsidR="000C14CD" w:rsidRPr="001428E9" w14:paraId="4340B0D7" w14:textId="77777777" w:rsidTr="00025E84">
        <w:tblPrEx>
          <w:tblCellMar>
            <w:top w:w="15" w:type="dxa"/>
            <w:bottom w:w="15" w:type="dxa"/>
          </w:tblCellMar>
        </w:tblPrEx>
        <w:trPr>
          <w:cantSplit/>
          <w:trHeight w:val="334"/>
        </w:trPr>
        <w:tc>
          <w:tcPr>
            <w:tcW w:w="1275" w:type="dxa"/>
            <w:gridSpan w:val="2"/>
            <w:vAlign w:val="center"/>
          </w:tcPr>
          <w:p w14:paraId="4F6882F1" w14:textId="6F6AE668" w:rsidR="000C14CD" w:rsidRPr="00432EBF" w:rsidRDefault="000C14CD" w:rsidP="00A308CB">
            <w:pPr>
              <w:jc w:val="center"/>
              <w:rPr>
                <w:rFonts w:ascii="Arial Narrow" w:hAnsi="Arial Narrow"/>
                <w:sz w:val="20"/>
                <w:szCs w:val="20"/>
              </w:rPr>
            </w:pPr>
          </w:p>
        </w:tc>
        <w:tc>
          <w:tcPr>
            <w:tcW w:w="7746" w:type="dxa"/>
            <w:gridSpan w:val="6"/>
            <w:vAlign w:val="center"/>
            <w:hideMark/>
          </w:tcPr>
          <w:p w14:paraId="777449D0" w14:textId="77777777" w:rsidR="000C14CD" w:rsidRPr="001428E9" w:rsidRDefault="000C14CD" w:rsidP="00A308CB">
            <w:pPr>
              <w:jc w:val="left"/>
              <w:rPr>
                <w:rFonts w:ascii="Arial Narrow" w:hAnsi="Arial Narrow"/>
                <w:color w:val="333333"/>
                <w:sz w:val="20"/>
                <w:szCs w:val="20"/>
              </w:rPr>
            </w:pPr>
            <w:r w:rsidRPr="00485E1F">
              <w:rPr>
                <w:rFonts w:ascii="Arial Narrow" w:hAnsi="Arial Narrow" w:cs="Arial Narrow"/>
                <w:iCs/>
                <w:sz w:val="20"/>
                <w:szCs w:val="20"/>
              </w:rPr>
              <w:t>Patient must not be opioid naive</w:t>
            </w:r>
          </w:p>
        </w:tc>
      </w:tr>
      <w:tr w:rsidR="000C14CD" w:rsidRPr="001428E9" w14:paraId="15621FA2" w14:textId="77777777" w:rsidTr="007876D0">
        <w:tblPrEx>
          <w:tblCellMar>
            <w:top w:w="15" w:type="dxa"/>
            <w:bottom w:w="15" w:type="dxa"/>
          </w:tblCellMar>
          <w:tblLook w:val="04A0" w:firstRow="1" w:lastRow="0" w:firstColumn="1" w:lastColumn="0" w:noHBand="0" w:noVBand="1"/>
        </w:tblPrEx>
        <w:trPr>
          <w:cantSplit/>
          <w:trHeight w:val="174"/>
        </w:trPr>
        <w:tc>
          <w:tcPr>
            <w:tcW w:w="1275" w:type="dxa"/>
            <w:gridSpan w:val="2"/>
            <w:vAlign w:val="center"/>
          </w:tcPr>
          <w:p w14:paraId="23CD00BF" w14:textId="77777777" w:rsidR="000C14CD" w:rsidRPr="006754EC" w:rsidRDefault="000C14CD" w:rsidP="00A308CB">
            <w:pPr>
              <w:jc w:val="center"/>
              <w:rPr>
                <w:rFonts w:ascii="Arial Narrow" w:hAnsi="Arial Narrow"/>
                <w:sz w:val="20"/>
                <w:szCs w:val="20"/>
              </w:rPr>
            </w:pPr>
          </w:p>
        </w:tc>
        <w:tc>
          <w:tcPr>
            <w:tcW w:w="7746" w:type="dxa"/>
            <w:gridSpan w:val="6"/>
            <w:vAlign w:val="center"/>
          </w:tcPr>
          <w:p w14:paraId="0AA274A9" w14:textId="77777777" w:rsidR="000C14CD" w:rsidRPr="00773804" w:rsidRDefault="000C14CD" w:rsidP="00A308CB">
            <w:pPr>
              <w:jc w:val="left"/>
              <w:rPr>
                <w:rFonts w:ascii="Arial Narrow" w:hAnsi="Arial Narrow" w:cs="Arial Narrow"/>
                <w:b/>
                <w:bCs/>
                <w:iCs/>
                <w:sz w:val="20"/>
                <w:szCs w:val="20"/>
              </w:rPr>
            </w:pPr>
            <w:r>
              <w:rPr>
                <w:rFonts w:ascii="Arial Narrow" w:hAnsi="Arial Narrow" w:cs="Arial Narrow"/>
                <w:b/>
                <w:bCs/>
                <w:iCs/>
                <w:sz w:val="20"/>
                <w:szCs w:val="20"/>
              </w:rPr>
              <w:t>AND</w:t>
            </w:r>
          </w:p>
        </w:tc>
      </w:tr>
      <w:tr w:rsidR="000C14CD" w:rsidRPr="001428E9" w14:paraId="4DAC4B9D" w14:textId="77777777" w:rsidTr="007876D0">
        <w:tblPrEx>
          <w:tblCellMar>
            <w:top w:w="15" w:type="dxa"/>
            <w:bottom w:w="15" w:type="dxa"/>
          </w:tblCellMar>
          <w:tblLook w:val="04A0" w:firstRow="1" w:lastRow="0" w:firstColumn="1" w:lastColumn="0" w:noHBand="0" w:noVBand="1"/>
        </w:tblPrEx>
        <w:trPr>
          <w:cantSplit/>
          <w:trHeight w:val="174"/>
        </w:trPr>
        <w:tc>
          <w:tcPr>
            <w:tcW w:w="1275" w:type="dxa"/>
            <w:gridSpan w:val="2"/>
            <w:vAlign w:val="center"/>
          </w:tcPr>
          <w:p w14:paraId="70645214" w14:textId="7316209C" w:rsidR="000C14CD" w:rsidRPr="006754EC" w:rsidRDefault="000C14CD" w:rsidP="00A308CB">
            <w:pPr>
              <w:jc w:val="center"/>
              <w:rPr>
                <w:rFonts w:ascii="Arial Narrow" w:hAnsi="Arial Narrow"/>
                <w:sz w:val="20"/>
                <w:szCs w:val="20"/>
              </w:rPr>
            </w:pPr>
          </w:p>
        </w:tc>
        <w:tc>
          <w:tcPr>
            <w:tcW w:w="7746" w:type="dxa"/>
            <w:gridSpan w:val="6"/>
            <w:vAlign w:val="center"/>
          </w:tcPr>
          <w:p w14:paraId="53ADCD5D" w14:textId="77777777" w:rsidR="000C14CD" w:rsidRDefault="000C14CD" w:rsidP="00A308CB">
            <w:pPr>
              <w:jc w:val="left"/>
              <w:rPr>
                <w:rFonts w:ascii="Arial Narrow" w:hAnsi="Arial Narrow" w:cs="Arial Narrow"/>
                <w:b/>
                <w:bCs/>
                <w:iCs/>
                <w:sz w:val="20"/>
                <w:szCs w:val="20"/>
              </w:rPr>
            </w:pPr>
            <w:r>
              <w:rPr>
                <w:rFonts w:ascii="Arial Narrow" w:hAnsi="Arial Narrow" w:cs="Arial Narrow"/>
                <w:b/>
                <w:bCs/>
                <w:iCs/>
                <w:sz w:val="20"/>
                <w:szCs w:val="20"/>
              </w:rPr>
              <w:t xml:space="preserve">Clinical Criteria: </w:t>
            </w:r>
          </w:p>
        </w:tc>
      </w:tr>
      <w:tr w:rsidR="000C14CD" w:rsidRPr="001428E9" w14:paraId="643D210E" w14:textId="77777777" w:rsidTr="007876D0">
        <w:tblPrEx>
          <w:tblCellMar>
            <w:top w:w="15" w:type="dxa"/>
            <w:bottom w:w="15" w:type="dxa"/>
          </w:tblCellMar>
          <w:tblLook w:val="04A0" w:firstRow="1" w:lastRow="0" w:firstColumn="1" w:lastColumn="0" w:noHBand="0" w:noVBand="1"/>
        </w:tblPrEx>
        <w:trPr>
          <w:cantSplit/>
          <w:trHeight w:val="174"/>
        </w:trPr>
        <w:tc>
          <w:tcPr>
            <w:tcW w:w="1275" w:type="dxa"/>
            <w:gridSpan w:val="2"/>
            <w:vAlign w:val="center"/>
          </w:tcPr>
          <w:p w14:paraId="65DDB647" w14:textId="32EDF230" w:rsidR="000C14CD" w:rsidRPr="006754EC" w:rsidRDefault="000C14CD" w:rsidP="00A308CB">
            <w:pPr>
              <w:jc w:val="center"/>
              <w:rPr>
                <w:rFonts w:ascii="Arial Narrow" w:hAnsi="Arial Narrow"/>
                <w:sz w:val="20"/>
                <w:szCs w:val="20"/>
              </w:rPr>
            </w:pPr>
          </w:p>
        </w:tc>
        <w:tc>
          <w:tcPr>
            <w:tcW w:w="7746" w:type="dxa"/>
            <w:gridSpan w:val="6"/>
            <w:vAlign w:val="center"/>
          </w:tcPr>
          <w:p w14:paraId="05A69F62" w14:textId="77777777" w:rsidR="000C14CD" w:rsidRPr="00773804" w:rsidRDefault="000C14CD" w:rsidP="00A308CB">
            <w:pPr>
              <w:jc w:val="left"/>
              <w:rPr>
                <w:rFonts w:ascii="Arial Narrow" w:hAnsi="Arial Narrow" w:cs="Arial Narrow"/>
                <w:iCs/>
                <w:sz w:val="20"/>
                <w:szCs w:val="20"/>
              </w:rPr>
            </w:pPr>
            <w:r w:rsidRPr="00773804">
              <w:rPr>
                <w:rFonts w:ascii="Arial Narrow" w:hAnsi="Arial Narrow" w:cs="Arial Narrow"/>
                <w:iCs/>
                <w:sz w:val="20"/>
                <w:szCs w:val="20"/>
              </w:rPr>
              <w:t>Patient must have had or would have inadequate pain management with maximum tolerated doses of non-opioid and other opioid analgesics; or</w:t>
            </w:r>
          </w:p>
        </w:tc>
      </w:tr>
      <w:tr w:rsidR="000C14CD" w:rsidRPr="001428E9" w14:paraId="06A19C69" w14:textId="77777777" w:rsidTr="007876D0">
        <w:tblPrEx>
          <w:tblCellMar>
            <w:top w:w="15" w:type="dxa"/>
            <w:bottom w:w="15" w:type="dxa"/>
          </w:tblCellMar>
          <w:tblLook w:val="04A0" w:firstRow="1" w:lastRow="0" w:firstColumn="1" w:lastColumn="0" w:noHBand="0" w:noVBand="1"/>
        </w:tblPrEx>
        <w:trPr>
          <w:cantSplit/>
          <w:trHeight w:val="174"/>
        </w:trPr>
        <w:tc>
          <w:tcPr>
            <w:tcW w:w="1275" w:type="dxa"/>
            <w:gridSpan w:val="2"/>
            <w:vAlign w:val="center"/>
          </w:tcPr>
          <w:p w14:paraId="182A079B" w14:textId="6D70FC78" w:rsidR="000C14CD" w:rsidRPr="00F96668" w:rsidRDefault="000C14CD" w:rsidP="00A308CB">
            <w:pPr>
              <w:jc w:val="center"/>
              <w:rPr>
                <w:rFonts w:ascii="Arial Narrow" w:hAnsi="Arial Narrow"/>
                <w:sz w:val="20"/>
                <w:szCs w:val="20"/>
              </w:rPr>
            </w:pPr>
          </w:p>
        </w:tc>
        <w:tc>
          <w:tcPr>
            <w:tcW w:w="7746" w:type="dxa"/>
            <w:gridSpan w:val="6"/>
            <w:vAlign w:val="center"/>
          </w:tcPr>
          <w:p w14:paraId="1F727FE8" w14:textId="77777777" w:rsidR="000C14CD" w:rsidRPr="00F96668" w:rsidRDefault="000C14CD" w:rsidP="00A308CB">
            <w:pPr>
              <w:jc w:val="left"/>
              <w:rPr>
                <w:rFonts w:ascii="Arial Narrow" w:hAnsi="Arial Narrow" w:cs="Arial Narrow"/>
                <w:iCs/>
                <w:sz w:val="20"/>
                <w:szCs w:val="20"/>
              </w:rPr>
            </w:pPr>
            <w:r w:rsidRPr="00F96668">
              <w:rPr>
                <w:rFonts w:ascii="Arial Narrow" w:hAnsi="Arial Narrow" w:cs="Arial Narrow"/>
                <w:iCs/>
                <w:sz w:val="20"/>
                <w:szCs w:val="20"/>
              </w:rPr>
              <w:t>Patient must be unable to use non-opioid and other opioid analgesics due to contraindications or intolerance</w:t>
            </w:r>
          </w:p>
        </w:tc>
      </w:tr>
      <w:tr w:rsidR="000C14CD" w:rsidRPr="00432EBF" w14:paraId="26B1B5DA" w14:textId="77777777" w:rsidTr="007876D0">
        <w:tblPrEx>
          <w:tblCellMar>
            <w:top w:w="15" w:type="dxa"/>
            <w:bottom w:w="15" w:type="dxa"/>
          </w:tblCellMar>
          <w:tblLook w:val="04A0" w:firstRow="1" w:lastRow="0" w:firstColumn="1" w:lastColumn="0" w:noHBand="0" w:noVBand="1"/>
        </w:tblPrEx>
        <w:trPr>
          <w:cantSplit/>
          <w:trHeight w:val="20"/>
        </w:trPr>
        <w:tc>
          <w:tcPr>
            <w:tcW w:w="1275" w:type="dxa"/>
            <w:gridSpan w:val="2"/>
            <w:vAlign w:val="center"/>
          </w:tcPr>
          <w:p w14:paraId="00FA134F" w14:textId="22926A0D" w:rsidR="000C14CD" w:rsidRPr="00432EBF" w:rsidRDefault="000C14CD" w:rsidP="00A308CB">
            <w:pPr>
              <w:keepNext/>
              <w:jc w:val="center"/>
              <w:rPr>
                <w:rFonts w:ascii="Arial Narrow" w:hAnsi="Arial Narrow"/>
                <w:sz w:val="20"/>
                <w:szCs w:val="20"/>
              </w:rPr>
            </w:pPr>
          </w:p>
        </w:tc>
        <w:tc>
          <w:tcPr>
            <w:tcW w:w="7746" w:type="dxa"/>
            <w:gridSpan w:val="6"/>
            <w:vAlign w:val="center"/>
            <w:hideMark/>
          </w:tcPr>
          <w:p w14:paraId="14C362CB" w14:textId="77777777" w:rsidR="000C14CD" w:rsidRPr="00432EBF" w:rsidRDefault="000C14CD" w:rsidP="00A308CB">
            <w:pPr>
              <w:keepNext/>
              <w:rPr>
                <w:rFonts w:ascii="Arial Narrow" w:hAnsi="Arial Narrow"/>
                <w:sz w:val="20"/>
                <w:szCs w:val="20"/>
              </w:rPr>
            </w:pPr>
            <w:r w:rsidRPr="00432EBF">
              <w:rPr>
                <w:rFonts w:ascii="Arial Narrow" w:hAnsi="Arial Narrow"/>
                <w:b/>
                <w:bCs/>
                <w:sz w:val="20"/>
                <w:szCs w:val="20"/>
              </w:rPr>
              <w:t>Treatment criteria:</w:t>
            </w:r>
          </w:p>
        </w:tc>
      </w:tr>
      <w:tr w:rsidR="000C14CD" w:rsidRPr="001428E9" w14:paraId="5123C6CE" w14:textId="77777777" w:rsidTr="007876D0">
        <w:tblPrEx>
          <w:tblCellMar>
            <w:top w:w="15" w:type="dxa"/>
            <w:bottom w:w="15" w:type="dxa"/>
          </w:tblCellMar>
          <w:tblLook w:val="04A0" w:firstRow="1" w:lastRow="0" w:firstColumn="1" w:lastColumn="0" w:noHBand="0" w:noVBand="1"/>
        </w:tblPrEx>
        <w:trPr>
          <w:cantSplit/>
          <w:trHeight w:val="20"/>
        </w:trPr>
        <w:tc>
          <w:tcPr>
            <w:tcW w:w="1275" w:type="dxa"/>
            <w:gridSpan w:val="2"/>
            <w:vAlign w:val="center"/>
          </w:tcPr>
          <w:p w14:paraId="0A9A42B4" w14:textId="65FB4245" w:rsidR="000C14CD" w:rsidRPr="00432EBF" w:rsidRDefault="000C14CD" w:rsidP="00A308CB">
            <w:pPr>
              <w:jc w:val="center"/>
              <w:rPr>
                <w:rFonts w:ascii="Arial Narrow" w:hAnsi="Arial Narrow"/>
                <w:sz w:val="20"/>
                <w:szCs w:val="20"/>
              </w:rPr>
            </w:pPr>
          </w:p>
        </w:tc>
        <w:tc>
          <w:tcPr>
            <w:tcW w:w="7746" w:type="dxa"/>
            <w:gridSpan w:val="6"/>
            <w:vAlign w:val="center"/>
            <w:hideMark/>
          </w:tcPr>
          <w:p w14:paraId="5AFDAEB2" w14:textId="77777777" w:rsidR="000C14CD" w:rsidRPr="009E47B2" w:rsidRDefault="000C14CD" w:rsidP="00A308CB">
            <w:pPr>
              <w:autoSpaceDE w:val="0"/>
              <w:autoSpaceDN w:val="0"/>
              <w:adjustRightInd w:val="0"/>
              <w:jc w:val="left"/>
              <w:rPr>
                <w:rFonts w:ascii="Arial Narrow" w:hAnsi="Arial Narrow" w:cs="Arial Narrow"/>
                <w:iCs/>
                <w:sz w:val="20"/>
                <w:szCs w:val="20"/>
              </w:rPr>
            </w:pPr>
            <w:r>
              <w:rPr>
                <w:rFonts w:ascii="Arial Narrow" w:hAnsi="Arial Narrow" w:cs="Arial Narrow"/>
                <w:iCs/>
                <w:sz w:val="20"/>
                <w:szCs w:val="20"/>
              </w:rPr>
              <w:t>Patient must be undergoing palliative care</w:t>
            </w:r>
          </w:p>
        </w:tc>
      </w:tr>
      <w:tr w:rsidR="000C14CD" w:rsidRPr="00432EBF" w14:paraId="1C59777B" w14:textId="77777777" w:rsidTr="007876D0">
        <w:tblPrEx>
          <w:tblCellMar>
            <w:top w:w="15" w:type="dxa"/>
            <w:bottom w:w="15" w:type="dxa"/>
          </w:tblCellMar>
          <w:tblLook w:val="04A0" w:firstRow="1" w:lastRow="0" w:firstColumn="1" w:lastColumn="0" w:noHBand="0" w:noVBand="1"/>
        </w:tblPrEx>
        <w:trPr>
          <w:cantSplit/>
          <w:trHeight w:val="20"/>
        </w:trPr>
        <w:tc>
          <w:tcPr>
            <w:tcW w:w="1275" w:type="dxa"/>
            <w:gridSpan w:val="2"/>
            <w:vAlign w:val="center"/>
          </w:tcPr>
          <w:p w14:paraId="51211B0F" w14:textId="5A14499D" w:rsidR="000C14CD" w:rsidRPr="00432EBF" w:rsidRDefault="000C14CD" w:rsidP="00A308CB">
            <w:pPr>
              <w:jc w:val="center"/>
              <w:rPr>
                <w:rFonts w:ascii="Arial Narrow" w:hAnsi="Arial Narrow"/>
                <w:sz w:val="20"/>
                <w:szCs w:val="20"/>
              </w:rPr>
            </w:pPr>
          </w:p>
        </w:tc>
        <w:tc>
          <w:tcPr>
            <w:tcW w:w="7746" w:type="dxa"/>
            <w:gridSpan w:val="6"/>
            <w:vAlign w:val="center"/>
          </w:tcPr>
          <w:p w14:paraId="7E17FAF1" w14:textId="77777777" w:rsidR="000C14CD" w:rsidRPr="00773804" w:rsidRDefault="000C14CD" w:rsidP="00A308CB">
            <w:pPr>
              <w:rPr>
                <w:rFonts w:ascii="Arial Narrow" w:hAnsi="Arial Narrow"/>
                <w:sz w:val="20"/>
                <w:szCs w:val="20"/>
              </w:rPr>
            </w:pPr>
            <w:r>
              <w:rPr>
                <w:rFonts w:ascii="Arial Narrow" w:hAnsi="Arial Narrow"/>
                <w:b/>
                <w:bCs/>
                <w:sz w:val="20"/>
                <w:szCs w:val="20"/>
              </w:rPr>
              <w:t xml:space="preserve">Prescribing Instructions: </w:t>
            </w:r>
            <w:r w:rsidRPr="00773804">
              <w:rPr>
                <w:rFonts w:ascii="Arial Narrow" w:hAnsi="Arial Narrow"/>
                <w:sz w:val="20"/>
                <w:szCs w:val="20"/>
              </w:rPr>
              <w:t>Authority requests for treatment duration up to 1 month may be requested through the Online PBS Authorities system or by calling Services Australia.</w:t>
            </w:r>
          </w:p>
          <w:p w14:paraId="00CB8FD4" w14:textId="2CCA01EF" w:rsidR="000C14CD" w:rsidRPr="00432EBF" w:rsidRDefault="000C14CD" w:rsidP="00A308CB">
            <w:pPr>
              <w:rPr>
                <w:rFonts w:ascii="Arial Narrow" w:hAnsi="Arial Narrow"/>
                <w:b/>
                <w:bCs/>
                <w:sz w:val="20"/>
                <w:szCs w:val="20"/>
              </w:rPr>
            </w:pPr>
            <w:r w:rsidRPr="00773804">
              <w:rPr>
                <w:rFonts w:ascii="Arial Narrow" w:hAnsi="Arial Narrow"/>
                <w:sz w:val="20"/>
                <w:szCs w:val="20"/>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bl>
    <w:p w14:paraId="1BA36497" w14:textId="77777777" w:rsidR="001C6E8D" w:rsidRDefault="001C6E8D" w:rsidP="004E4380">
      <w:pPr>
        <w:spacing w:before="120"/>
        <w:rPr>
          <w:rFonts w:asciiTheme="minorHAnsi" w:hAnsiTheme="minorHAnsi" w:cs="Arial"/>
          <w:bCs/>
          <w:snapToGrid w:val="0"/>
        </w:rPr>
      </w:pPr>
    </w:p>
    <w:p w14:paraId="360106E5" w14:textId="411E472F" w:rsidR="000D4F18" w:rsidRDefault="004E4380" w:rsidP="001E1C23">
      <w:pPr>
        <w:spacing w:before="120"/>
        <w:rPr>
          <w:rFonts w:asciiTheme="minorHAnsi" w:hAnsiTheme="minorHAnsi" w:cs="Arial"/>
          <w:b/>
          <w:i/>
          <w:iCs/>
          <w:snapToGrid w:val="0"/>
          <w:lang w:val="en-GB"/>
        </w:rPr>
      </w:pPr>
      <w:r w:rsidRPr="00907671">
        <w:rPr>
          <w:rFonts w:asciiTheme="minorHAnsi" w:hAnsiTheme="minorHAnsi" w:cs="Arial"/>
          <w:b/>
          <w:i/>
          <w:iCs/>
          <w:snapToGrid w:val="0"/>
          <w:lang w:val="en-GB"/>
        </w:rPr>
        <w:t>These restrictions may be subject to further review. Should there be any changes made to the restriction the sponsor will be informed.</w:t>
      </w:r>
      <w:bookmarkEnd w:id="15"/>
    </w:p>
    <w:p w14:paraId="1A04C909" w14:textId="77777777" w:rsidR="00A02B06" w:rsidRPr="00A02B06" w:rsidRDefault="00A02B06" w:rsidP="00A02B06">
      <w:pPr>
        <w:keepNext/>
        <w:numPr>
          <w:ilvl w:val="0"/>
          <w:numId w:val="2"/>
        </w:numPr>
        <w:spacing w:before="240" w:after="120"/>
        <w:jc w:val="left"/>
        <w:outlineLvl w:val="0"/>
        <w:rPr>
          <w:rFonts w:cs="Arial"/>
          <w:b/>
          <w:snapToGrid w:val="0"/>
          <w:sz w:val="32"/>
          <w:szCs w:val="32"/>
        </w:rPr>
      </w:pPr>
      <w:r w:rsidRPr="00A02B06">
        <w:rPr>
          <w:rFonts w:cs="Arial"/>
          <w:b/>
          <w:snapToGrid w:val="0"/>
          <w:sz w:val="32"/>
          <w:szCs w:val="32"/>
        </w:rPr>
        <w:t>Context for Decision</w:t>
      </w:r>
    </w:p>
    <w:p w14:paraId="44A1290C" w14:textId="77777777" w:rsidR="00A02B06" w:rsidRPr="00A02B06" w:rsidRDefault="00A02B06" w:rsidP="00A02B06">
      <w:pPr>
        <w:spacing w:after="120"/>
        <w:ind w:left="720"/>
        <w:rPr>
          <w:rFonts w:cs="Arial"/>
          <w:bCs/>
          <w:lang w:val="en-GB"/>
        </w:rPr>
      </w:pPr>
      <w:r w:rsidRPr="00A02B06">
        <w:rPr>
          <w:rFonts w:cs="Arial"/>
          <w:bCs/>
          <w:lang w:val="en-GB"/>
        </w:rPr>
        <w:t xml:space="preserve">The PBAC helps decide whether and, if so, how medicines should be subsidised through the Pharmaceutical Benefits Scheme (PBS) in Australia. It considers </w:t>
      </w:r>
      <w:r w:rsidRPr="00A02B06">
        <w:rPr>
          <w:rFonts w:cs="Arial"/>
          <w:bCs/>
          <w:lang w:val="en-GB"/>
        </w:rPr>
        <w:lastRenderedPageBreak/>
        <w:t>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5B095D6" w14:textId="77777777" w:rsidR="00A02B06" w:rsidRPr="00A02B06" w:rsidRDefault="00A02B06" w:rsidP="00A02B06">
      <w:pPr>
        <w:keepNext/>
        <w:numPr>
          <w:ilvl w:val="0"/>
          <w:numId w:val="2"/>
        </w:numPr>
        <w:spacing w:before="240" w:after="120"/>
        <w:jc w:val="left"/>
        <w:outlineLvl w:val="0"/>
        <w:rPr>
          <w:rFonts w:cs="Arial"/>
          <w:b/>
          <w:snapToGrid w:val="0"/>
          <w:sz w:val="32"/>
          <w:szCs w:val="32"/>
        </w:rPr>
      </w:pPr>
      <w:r w:rsidRPr="00A02B06">
        <w:rPr>
          <w:rFonts w:cs="Arial"/>
          <w:b/>
          <w:snapToGrid w:val="0"/>
          <w:sz w:val="32"/>
          <w:szCs w:val="32"/>
        </w:rPr>
        <w:t>Sponsor’s Comment</w:t>
      </w:r>
    </w:p>
    <w:p w14:paraId="19523B65" w14:textId="77777777" w:rsidR="00A02B06" w:rsidRPr="00A02B06" w:rsidRDefault="00A02B06" w:rsidP="00A02B06">
      <w:pPr>
        <w:spacing w:after="120" w:line="276" w:lineRule="auto"/>
        <w:ind w:left="720"/>
        <w:rPr>
          <w:rFonts w:eastAsia="Calibri" w:cs="Arial"/>
          <w:bCs/>
          <w:szCs w:val="22"/>
          <w:lang w:eastAsia="en-US"/>
        </w:rPr>
      </w:pPr>
      <w:r w:rsidRPr="00A02B06">
        <w:rPr>
          <w:rFonts w:eastAsia="Calibri" w:cs="Arial"/>
          <w:bCs/>
          <w:szCs w:val="22"/>
          <w:lang w:eastAsia="en-US"/>
        </w:rPr>
        <w:t>The sponsor had no comment.</w:t>
      </w:r>
    </w:p>
    <w:p w14:paraId="06A7AFE2" w14:textId="77777777" w:rsidR="00A02B06" w:rsidRDefault="00A02B06" w:rsidP="001E1C23">
      <w:pPr>
        <w:spacing w:before="120"/>
      </w:pPr>
    </w:p>
    <w:sectPr w:rsidR="00A02B06" w:rsidSect="00606A7B">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3C095" w14:textId="77777777" w:rsidR="00DD6A16" w:rsidRDefault="00DD6A16">
      <w:r>
        <w:separator/>
      </w:r>
    </w:p>
    <w:p w14:paraId="670003D8" w14:textId="77777777" w:rsidR="00DD6A16" w:rsidRDefault="00DD6A16"/>
  </w:endnote>
  <w:endnote w:type="continuationSeparator" w:id="0">
    <w:p w14:paraId="53D22489" w14:textId="77777777" w:rsidR="00DD6A16" w:rsidRDefault="00DD6A16">
      <w:r>
        <w:continuationSeparator/>
      </w:r>
    </w:p>
    <w:p w14:paraId="3FD0868B" w14:textId="77777777" w:rsidR="00DD6A16" w:rsidRDefault="00DD6A16"/>
  </w:endnote>
  <w:endnote w:type="continuationNotice" w:id="1">
    <w:p w14:paraId="7CE28BA5" w14:textId="77777777" w:rsidR="00DD6A16" w:rsidRDefault="00DD6A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4250F7">
      <w:trPr>
        <w:trHeight w:val="151"/>
      </w:trPr>
      <w:tc>
        <w:tcPr>
          <w:tcW w:w="2250" w:type="pct"/>
          <w:tcBorders>
            <w:top w:val="nil"/>
            <w:left w:val="nil"/>
            <w:bottom w:val="single" w:sz="4" w:space="0" w:color="4F81BD"/>
            <w:right w:val="nil"/>
          </w:tcBorders>
        </w:tcPr>
        <w:p w14:paraId="096D0DDE" w14:textId="6CBAF036" w:rsidR="009C26AA" w:rsidRPr="009E47B2" w:rsidRDefault="002E7719" w:rsidP="005A3173">
          <w:pPr>
            <w:pStyle w:val="Header"/>
            <w:spacing w:line="276" w:lineRule="auto"/>
            <w:rPr>
              <w:rFonts w:eastAsia="MS Gothic"/>
              <w:b/>
              <w:bCs/>
              <w:i w:val="0"/>
              <w:color w:val="4F81BD"/>
            </w:rPr>
          </w:pPr>
          <w:r>
            <w:rPr>
              <w:rFonts w:eastAsia="MS Gothic"/>
              <w:b/>
              <w:bCs/>
              <w:i w:val="0"/>
              <w:noProof/>
              <w:color w:val="4F81BD"/>
            </w:rPr>
            <mc:AlternateContent>
              <mc:Choice Requires="wps">
                <w:drawing>
                  <wp:anchor distT="0" distB="0" distL="0" distR="0" simplePos="0" relativeHeight="251662336" behindDoc="0" locked="0" layoutInCell="1" allowOverlap="1" wp14:anchorId="5A9E4C17" wp14:editId="42D9E752">
                    <wp:simplePos x="635" y="635"/>
                    <wp:positionH relativeFrom="page">
                      <wp:align>center</wp:align>
                    </wp:positionH>
                    <wp:positionV relativeFrom="page">
                      <wp:align>bottom</wp:align>
                    </wp:positionV>
                    <wp:extent cx="551815" cy="376555"/>
                    <wp:effectExtent l="0" t="0" r="635" b="0"/>
                    <wp:wrapNone/>
                    <wp:docPr id="41678331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748E43" w14:textId="5782632D" w:rsidR="002E7719" w:rsidRPr="002E7719" w:rsidRDefault="002E7719" w:rsidP="002E7719">
                                <w:pPr>
                                  <w:rPr>
                                    <w:rFonts w:eastAsia="Calibri" w:cs="Calibri"/>
                                    <w:noProof/>
                                    <w:color w:val="FF0000"/>
                                  </w:rPr>
                                </w:pPr>
                                <w:r w:rsidRPr="002E7719">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9E4C17"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09748E43" w14:textId="5782632D" w:rsidR="002E7719" w:rsidRPr="002E7719" w:rsidRDefault="002E7719" w:rsidP="002E7719">
                          <w:pPr>
                            <w:rPr>
                              <w:rFonts w:eastAsia="Calibri" w:cs="Calibri"/>
                              <w:noProof/>
                              <w:color w:val="FF0000"/>
                            </w:rPr>
                          </w:pPr>
                          <w:r w:rsidRPr="002E7719">
                            <w:rPr>
                              <w:rFonts w:eastAsia="Calibri" w:cs="Calibri"/>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9E47B2" w:rsidRDefault="009C26AA" w:rsidP="005A3173">
          <w:pPr>
            <w:pStyle w:val="Header"/>
            <w:spacing w:line="276" w:lineRule="auto"/>
            <w:rPr>
              <w:rFonts w:eastAsia="MS Gothic"/>
              <w:b/>
              <w:bCs/>
              <w:i w:val="0"/>
              <w:color w:val="4F81BD"/>
            </w:rPr>
          </w:pPr>
        </w:p>
      </w:tc>
    </w:tr>
    <w:tr w:rsidR="009C26AA" w14:paraId="32EF4DB8" w14:textId="77777777" w:rsidTr="004250F7">
      <w:trPr>
        <w:trHeight w:val="150"/>
      </w:trPr>
      <w:tc>
        <w:tcPr>
          <w:tcW w:w="2250" w:type="pct"/>
          <w:tcBorders>
            <w:top w:val="single" w:sz="4" w:space="0" w:color="4F81BD"/>
            <w:left w:val="nil"/>
            <w:bottom w:val="nil"/>
            <w:right w:val="nil"/>
          </w:tcBorders>
        </w:tcPr>
        <w:p w14:paraId="03528A4C" w14:textId="77777777" w:rsidR="009C26AA" w:rsidRPr="009E47B2" w:rsidRDefault="009C26AA" w:rsidP="005A3173">
          <w:pPr>
            <w:pStyle w:val="Header"/>
            <w:spacing w:line="276" w:lineRule="auto"/>
            <w:rPr>
              <w:rFonts w:eastAsia="MS Gothic"/>
              <w:b/>
              <w:bCs/>
              <w:i w:val="0"/>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9E47B2" w:rsidRDefault="009C26AA" w:rsidP="005A3173">
          <w:pPr>
            <w:pStyle w:val="Header"/>
            <w:spacing w:line="276" w:lineRule="auto"/>
            <w:rPr>
              <w:rFonts w:eastAsia="MS Gothic"/>
              <w:b/>
              <w:bCs/>
              <w:i w:val="0"/>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65094515" w:rsidR="009C26AA" w:rsidRPr="00D429EC" w:rsidRDefault="009C26AA" w:rsidP="00C56D78">
    <w:pPr>
      <w:pStyle w:val="PBACFooter"/>
      <w:jc w:val="both"/>
      <w:rPr>
        <w:rFonts w:asciiTheme="minorHAnsi" w:hAnsiTheme="minorHAnsi" w:cstheme="minorHAnsi"/>
        <w:sz w:val="24"/>
      </w:rPr>
    </w:pP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4B61" w14:textId="65BAE700" w:rsidR="002E7719" w:rsidRDefault="002E7719">
    <w:pPr>
      <w:pStyle w:val="Footer"/>
    </w:pPr>
    <w:r>
      <w:rPr>
        <w:noProof/>
      </w:rPr>
      <mc:AlternateContent>
        <mc:Choice Requires="wps">
          <w:drawing>
            <wp:anchor distT="0" distB="0" distL="0" distR="0" simplePos="0" relativeHeight="251661312" behindDoc="0" locked="0" layoutInCell="1" allowOverlap="1" wp14:anchorId="4E3CD04D" wp14:editId="20C04E09">
              <wp:simplePos x="635" y="635"/>
              <wp:positionH relativeFrom="page">
                <wp:align>center</wp:align>
              </wp:positionH>
              <wp:positionV relativeFrom="page">
                <wp:align>bottom</wp:align>
              </wp:positionV>
              <wp:extent cx="551815" cy="376555"/>
              <wp:effectExtent l="0" t="0" r="635" b="0"/>
              <wp:wrapNone/>
              <wp:docPr id="50165795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0F5FAD3" w14:textId="17A43AAF" w:rsidR="002E7719" w:rsidRPr="002E7719" w:rsidRDefault="002E7719" w:rsidP="002E7719">
                          <w:pPr>
                            <w:rPr>
                              <w:rFonts w:eastAsia="Calibri" w:cs="Calibri"/>
                              <w:noProof/>
                              <w:color w:val="FF0000"/>
                            </w:rPr>
                          </w:pPr>
                          <w:r w:rsidRPr="002E7719">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3CD04D" id="_x0000_t202" coordsize="21600,21600" o:spt="202" path="m,l,21600r21600,l21600,xe">
              <v:stroke joinstyle="miter"/>
              <v:path gradientshapeok="t" o:connecttype="rect"/>
            </v:shapetype>
            <v:shape id="Text Box 4" o:spid="_x0000_s1029" type="#_x0000_t202" alt="OFFICIAL" style="position:absolute;left:0;text-align:left;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20F5FAD3" w14:textId="17A43AAF" w:rsidR="002E7719" w:rsidRPr="002E7719" w:rsidRDefault="002E7719" w:rsidP="002E7719">
                    <w:pPr>
                      <w:rPr>
                        <w:rFonts w:eastAsia="Calibri" w:cs="Calibri"/>
                        <w:noProof/>
                        <w:color w:val="FF0000"/>
                      </w:rPr>
                    </w:pPr>
                    <w:r w:rsidRPr="002E7719">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1F907" w14:textId="77777777" w:rsidR="00DD6A16" w:rsidRDefault="00DD6A16">
      <w:r>
        <w:separator/>
      </w:r>
    </w:p>
    <w:p w14:paraId="108B3253" w14:textId="77777777" w:rsidR="00DD6A16" w:rsidRDefault="00DD6A16"/>
  </w:footnote>
  <w:footnote w:type="continuationSeparator" w:id="0">
    <w:p w14:paraId="3F19FABC" w14:textId="77777777" w:rsidR="00DD6A16" w:rsidRDefault="00DD6A16">
      <w:r>
        <w:continuationSeparator/>
      </w:r>
    </w:p>
    <w:p w14:paraId="62B4E565" w14:textId="77777777" w:rsidR="00DD6A16" w:rsidRDefault="00DD6A16"/>
  </w:footnote>
  <w:footnote w:type="continuationNotice" w:id="1">
    <w:p w14:paraId="09304E01" w14:textId="77777777" w:rsidR="00DD6A16" w:rsidRDefault="00DD6A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4250F7">
      <w:trPr>
        <w:trHeight w:val="151"/>
      </w:trPr>
      <w:tc>
        <w:tcPr>
          <w:tcW w:w="2389" w:type="pct"/>
          <w:tcBorders>
            <w:top w:val="nil"/>
            <w:left w:val="nil"/>
            <w:bottom w:val="single" w:sz="4" w:space="0" w:color="4F81BD"/>
            <w:right w:val="nil"/>
          </w:tcBorders>
        </w:tcPr>
        <w:p w14:paraId="4C63CCAF" w14:textId="431C2C8F" w:rsidR="009C26AA" w:rsidRPr="009E47B2" w:rsidRDefault="002E7719">
          <w:pPr>
            <w:pStyle w:val="Header"/>
            <w:spacing w:line="276" w:lineRule="auto"/>
            <w:rPr>
              <w:rFonts w:ascii="Cambria" w:eastAsia="MS Gothic" w:hAnsi="Cambria"/>
              <w:b/>
              <w:bCs/>
              <w:i w:val="0"/>
              <w:color w:val="4F81BD"/>
            </w:rPr>
          </w:pPr>
          <w:r>
            <w:rPr>
              <w:rFonts w:ascii="Cambria" w:eastAsia="MS Gothic" w:hAnsi="Cambria"/>
              <w:b/>
              <w:bCs/>
              <w:i w:val="0"/>
              <w:noProof/>
              <w:color w:val="4F81BD"/>
            </w:rPr>
            <mc:AlternateContent>
              <mc:Choice Requires="wps">
                <w:drawing>
                  <wp:anchor distT="0" distB="0" distL="0" distR="0" simplePos="0" relativeHeight="251659264" behindDoc="0" locked="0" layoutInCell="1" allowOverlap="1" wp14:anchorId="2AE6358E" wp14:editId="5DA80A6D">
                    <wp:simplePos x="635" y="635"/>
                    <wp:positionH relativeFrom="page">
                      <wp:align>center</wp:align>
                    </wp:positionH>
                    <wp:positionV relativeFrom="page">
                      <wp:align>top</wp:align>
                    </wp:positionV>
                    <wp:extent cx="551815" cy="376555"/>
                    <wp:effectExtent l="0" t="0" r="635" b="4445"/>
                    <wp:wrapNone/>
                    <wp:docPr id="21024674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7CD804" w14:textId="2E781481" w:rsidR="002E7719" w:rsidRPr="002E7719" w:rsidRDefault="002E7719" w:rsidP="002E7719">
                                <w:pPr>
                                  <w:rPr>
                                    <w:rFonts w:eastAsia="Calibri" w:cs="Calibri"/>
                                    <w:noProof/>
                                    <w:color w:val="FF0000"/>
                                  </w:rPr>
                                </w:pPr>
                                <w:r w:rsidRPr="002E7719">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E6358E"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67CD804" w14:textId="2E781481" w:rsidR="002E7719" w:rsidRPr="002E7719" w:rsidRDefault="002E7719" w:rsidP="002E7719">
                          <w:pPr>
                            <w:rPr>
                              <w:rFonts w:eastAsia="Calibri" w:cs="Calibri"/>
                              <w:noProof/>
                              <w:color w:val="FF0000"/>
                            </w:rPr>
                          </w:pPr>
                          <w:r w:rsidRPr="002E7719">
                            <w:rPr>
                              <w:rFonts w:eastAsia="Calibri" w:cs="Calibri"/>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9E47B2" w:rsidRDefault="009C26AA">
          <w:pPr>
            <w:pStyle w:val="Header"/>
            <w:spacing w:line="276" w:lineRule="auto"/>
            <w:rPr>
              <w:rFonts w:ascii="Cambria" w:eastAsia="MS Gothic" w:hAnsi="Cambria"/>
              <w:b/>
              <w:bCs/>
              <w:i w:val="0"/>
              <w:color w:val="4F81BD"/>
            </w:rPr>
          </w:pPr>
        </w:p>
      </w:tc>
    </w:tr>
    <w:tr w:rsidR="009C26AA" w:rsidRPr="008E0D90" w14:paraId="21F98E14" w14:textId="77777777" w:rsidTr="004250F7">
      <w:trPr>
        <w:trHeight w:val="150"/>
      </w:trPr>
      <w:tc>
        <w:tcPr>
          <w:tcW w:w="2389" w:type="pct"/>
          <w:tcBorders>
            <w:top w:val="single" w:sz="4" w:space="0" w:color="4F81BD"/>
            <w:left w:val="nil"/>
            <w:bottom w:val="nil"/>
            <w:right w:val="nil"/>
          </w:tcBorders>
        </w:tcPr>
        <w:p w14:paraId="41AC0E8D" w14:textId="77777777" w:rsidR="009C26AA" w:rsidRPr="009E47B2" w:rsidRDefault="009C26AA">
          <w:pPr>
            <w:pStyle w:val="Header"/>
            <w:spacing w:line="276" w:lineRule="auto"/>
            <w:rPr>
              <w:rFonts w:ascii="Cambria" w:eastAsia="MS Gothic" w:hAnsi="Cambria"/>
              <w:b/>
              <w:bCs/>
              <w:i w:val="0"/>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9E47B2" w:rsidRDefault="009C26AA">
          <w:pPr>
            <w:pStyle w:val="Header"/>
            <w:spacing w:line="276" w:lineRule="auto"/>
            <w:rPr>
              <w:rFonts w:ascii="Cambria" w:eastAsia="MS Gothic" w:hAnsi="Cambria"/>
              <w:b/>
              <w:bCs/>
              <w:i w:val="0"/>
              <w:color w:val="4F81BD"/>
            </w:rPr>
          </w:pPr>
        </w:p>
      </w:tc>
    </w:tr>
  </w:tbl>
  <w:p w14:paraId="7DCC695F" w14:textId="77777777" w:rsidR="009C26AA" w:rsidRPr="009E47B2" w:rsidRDefault="009C26AA">
    <w:pPr>
      <w:pStyle w:val="Header"/>
      <w:rPr>
        <w:i w:val="0"/>
      </w:rP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6C68F56E" w:rsidR="00C56D78" w:rsidRPr="008342D9" w:rsidRDefault="00A433F7" w:rsidP="00C56D78">
    <w:pPr>
      <w:keepNext/>
      <w:tabs>
        <w:tab w:val="center" w:pos="4513"/>
        <w:tab w:val="right" w:pos="9026"/>
      </w:tabs>
      <w:jc w:val="center"/>
      <w:rPr>
        <w:rFonts w:asciiTheme="minorHAnsi" w:eastAsiaTheme="minorEastAsia" w:hAnsiTheme="minorHAnsi" w:cstheme="minorBidi"/>
        <w:i/>
        <w:color w:val="808080"/>
      </w:rPr>
    </w:pPr>
    <w:r w:rsidRPr="00A433F7">
      <w:rPr>
        <w:rFonts w:asciiTheme="minorHAnsi" w:eastAsiaTheme="minorEastAsia" w:hAnsiTheme="minorHAnsi" w:cstheme="minorBidi"/>
        <w:i/>
        <w:color w:val="808080" w:themeColor="background1" w:themeShade="80"/>
      </w:rPr>
      <w:t>Public Summary Document</w:t>
    </w:r>
    <w:r w:rsidR="00CC2224" w:rsidRPr="45AB26B1">
      <w:rPr>
        <w:rFonts w:asciiTheme="minorHAnsi" w:eastAsiaTheme="minorEastAsia" w:hAnsiTheme="minorHAnsi" w:cstheme="minorBidi"/>
        <w:i/>
        <w:color w:val="808080" w:themeColor="background1" w:themeShade="80"/>
      </w:rPr>
      <w:t xml:space="preserve">– </w:t>
    </w:r>
    <w:r w:rsidR="006660B8" w:rsidRPr="45AB26B1">
      <w:rPr>
        <w:rFonts w:asciiTheme="minorHAnsi" w:eastAsiaTheme="minorEastAsia" w:hAnsiTheme="minorHAnsi" w:cstheme="minorBidi"/>
        <w:i/>
        <w:color w:val="808080" w:themeColor="background1" w:themeShade="80"/>
      </w:rPr>
      <w:t xml:space="preserve">July 2025 </w:t>
    </w:r>
    <w:r w:rsidR="00C56D78" w:rsidRPr="45AB26B1">
      <w:rPr>
        <w:rFonts w:asciiTheme="minorHAnsi" w:eastAsiaTheme="minorEastAsia" w:hAnsiTheme="minorHAnsi" w:cstheme="minorBidi"/>
        <w:i/>
        <w:color w:val="808080" w:themeColor="background1" w:themeShade="80"/>
      </w:rPr>
      <w:t>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4FEC" w14:textId="6C5EC39B" w:rsidR="002E7719" w:rsidRDefault="002E7719">
    <w:pPr>
      <w:pStyle w:val="Header"/>
    </w:pPr>
    <w:r>
      <w:rPr>
        <w:noProof/>
      </w:rPr>
      <mc:AlternateContent>
        <mc:Choice Requires="wps">
          <w:drawing>
            <wp:anchor distT="0" distB="0" distL="0" distR="0" simplePos="0" relativeHeight="251658240" behindDoc="0" locked="0" layoutInCell="1" allowOverlap="1" wp14:anchorId="0A82F318" wp14:editId="1939768D">
              <wp:simplePos x="635" y="635"/>
              <wp:positionH relativeFrom="page">
                <wp:align>center</wp:align>
              </wp:positionH>
              <wp:positionV relativeFrom="page">
                <wp:align>top</wp:align>
              </wp:positionV>
              <wp:extent cx="551815" cy="376555"/>
              <wp:effectExtent l="0" t="0" r="635" b="4445"/>
              <wp:wrapNone/>
              <wp:docPr id="160759007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A322BA" w14:textId="2B78100A" w:rsidR="002E7719" w:rsidRPr="002E7719" w:rsidRDefault="002E7719" w:rsidP="002E7719">
                          <w:pPr>
                            <w:rPr>
                              <w:rFonts w:eastAsia="Calibri" w:cs="Calibri"/>
                              <w:noProof/>
                              <w:color w:val="FF0000"/>
                            </w:rPr>
                          </w:pPr>
                          <w:r w:rsidRPr="002E7719">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82F318" id="_x0000_t202" coordsize="21600,21600" o:spt="202" path="m,l,21600r21600,l21600,xe">
              <v:stroke joinstyle="miter"/>
              <v:path gradientshapeok="t" o:connecttype="rect"/>
            </v:shapetype>
            <v:shape id="Text Box 1" o:spid="_x0000_s1028"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36A322BA" w14:textId="2B78100A" w:rsidR="002E7719" w:rsidRPr="002E7719" w:rsidRDefault="002E7719" w:rsidP="002E7719">
                    <w:pPr>
                      <w:rPr>
                        <w:rFonts w:eastAsia="Calibri" w:cs="Calibri"/>
                        <w:noProof/>
                        <w:color w:val="FF0000"/>
                      </w:rPr>
                    </w:pPr>
                    <w:r w:rsidRPr="002E7719">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DE5EE6"/>
    <w:multiLevelType w:val="hybridMultilevel"/>
    <w:tmpl w:val="BA9EE1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E26E53"/>
    <w:multiLevelType w:val="multilevel"/>
    <w:tmpl w:val="B4B89F8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346AD7"/>
    <w:multiLevelType w:val="hybridMultilevel"/>
    <w:tmpl w:val="84542EFA"/>
    <w:lvl w:ilvl="0" w:tplc="A210EB7A">
      <w:start w:val="1"/>
      <w:numFmt w:val="bullet"/>
      <w:pStyle w:val="ListParagraph"/>
      <w:lvlText w:val=""/>
      <w:lvlJc w:val="left"/>
      <w:pPr>
        <w:ind w:left="1210" w:hanging="360"/>
      </w:pPr>
      <w:rPr>
        <w:rFonts w:ascii="Symbol" w:hAnsi="Symbol" w:hint="default"/>
        <w:color w:val="auto"/>
      </w:rPr>
    </w:lvl>
    <w:lvl w:ilvl="1" w:tplc="65C6D6EC">
      <w:numFmt w:val="bullet"/>
      <w:lvlText w:val="-"/>
      <w:lvlJc w:val="left"/>
      <w:pPr>
        <w:ind w:left="2160" w:hanging="360"/>
      </w:pPr>
      <w:rPr>
        <w:rFonts w:ascii="Calibri" w:eastAsiaTheme="minorHAnsi" w:hAnsi="Calibri" w:cs="Calibri" w:hint="default"/>
        <w:color w:val="auto"/>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6244933"/>
    <w:multiLevelType w:val="hybridMultilevel"/>
    <w:tmpl w:val="997C94B4"/>
    <w:lvl w:ilvl="0" w:tplc="6CC2B3B6">
      <w:start w:val="1"/>
      <w:numFmt w:val="upperLetter"/>
      <w:lvlText w:val="%1."/>
      <w:lvlJc w:val="left"/>
      <w:pPr>
        <w:ind w:left="22" w:hanging="360"/>
      </w:pPr>
      <w:rPr>
        <w:color w:val="auto"/>
      </w:rPr>
    </w:lvl>
    <w:lvl w:ilvl="1" w:tplc="442A8F9A">
      <w:start w:val="1"/>
      <w:numFmt w:val="lowerLetter"/>
      <w:lvlText w:val="%2."/>
      <w:lvlJc w:val="left"/>
      <w:pPr>
        <w:ind w:left="742" w:hanging="360"/>
      </w:pPr>
    </w:lvl>
    <w:lvl w:ilvl="2" w:tplc="AE6252A8">
      <w:start w:val="1"/>
      <w:numFmt w:val="lowerRoman"/>
      <w:lvlText w:val="%3."/>
      <w:lvlJc w:val="right"/>
      <w:pPr>
        <w:ind w:left="1462" w:hanging="180"/>
      </w:pPr>
    </w:lvl>
    <w:lvl w:ilvl="3" w:tplc="827A251E">
      <w:start w:val="1"/>
      <w:numFmt w:val="decimal"/>
      <w:lvlText w:val="%4."/>
      <w:lvlJc w:val="left"/>
      <w:pPr>
        <w:ind w:left="2182" w:hanging="360"/>
      </w:pPr>
    </w:lvl>
    <w:lvl w:ilvl="4" w:tplc="6AA6B8AE">
      <w:start w:val="1"/>
      <w:numFmt w:val="lowerLetter"/>
      <w:lvlText w:val="%5."/>
      <w:lvlJc w:val="left"/>
      <w:pPr>
        <w:ind w:left="2902" w:hanging="360"/>
      </w:pPr>
    </w:lvl>
    <w:lvl w:ilvl="5" w:tplc="5FE8C990">
      <w:start w:val="1"/>
      <w:numFmt w:val="lowerRoman"/>
      <w:lvlText w:val="%6."/>
      <w:lvlJc w:val="right"/>
      <w:pPr>
        <w:ind w:left="3622" w:hanging="180"/>
      </w:pPr>
    </w:lvl>
    <w:lvl w:ilvl="6" w:tplc="2D5CA0F4">
      <w:start w:val="1"/>
      <w:numFmt w:val="decimal"/>
      <w:lvlText w:val="%7."/>
      <w:lvlJc w:val="left"/>
      <w:pPr>
        <w:ind w:left="4342" w:hanging="360"/>
      </w:pPr>
    </w:lvl>
    <w:lvl w:ilvl="7" w:tplc="17D46400">
      <w:start w:val="1"/>
      <w:numFmt w:val="lowerLetter"/>
      <w:lvlText w:val="%8."/>
      <w:lvlJc w:val="left"/>
      <w:pPr>
        <w:ind w:left="5062" w:hanging="360"/>
      </w:pPr>
    </w:lvl>
    <w:lvl w:ilvl="8" w:tplc="F3580F02">
      <w:start w:val="1"/>
      <w:numFmt w:val="lowerRoman"/>
      <w:lvlText w:val="%9."/>
      <w:lvlJc w:val="right"/>
      <w:pPr>
        <w:ind w:left="5782" w:hanging="180"/>
      </w:pPr>
    </w:lvl>
  </w:abstractNum>
  <w:abstractNum w:abstractNumId="7"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8" w15:restartNumberingAfterBreak="0">
    <w:nsid w:val="4062A23D"/>
    <w:multiLevelType w:val="multilevel"/>
    <w:tmpl w:val="635C2D5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B62E8F"/>
    <w:multiLevelType w:val="multilevel"/>
    <w:tmpl w:val="C204BE0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9A2807"/>
    <w:multiLevelType w:val="hybridMultilevel"/>
    <w:tmpl w:val="81367F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E2E3355"/>
    <w:multiLevelType w:val="hybridMultilevel"/>
    <w:tmpl w:val="F216BCA6"/>
    <w:lvl w:ilvl="0" w:tplc="82F2179E">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2530B24"/>
    <w:multiLevelType w:val="multilevel"/>
    <w:tmpl w:val="9E1C249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84D033C"/>
    <w:multiLevelType w:val="multilevel"/>
    <w:tmpl w:val="18D26F9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143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3498588">
    <w:abstractNumId w:val="6"/>
  </w:num>
  <w:num w:numId="2" w16cid:durableId="957570559">
    <w:abstractNumId w:val="19"/>
  </w:num>
  <w:num w:numId="3" w16cid:durableId="1159004663">
    <w:abstractNumId w:val="13"/>
  </w:num>
  <w:num w:numId="4" w16cid:durableId="418600173">
    <w:abstractNumId w:val="20"/>
  </w:num>
  <w:num w:numId="5" w16cid:durableId="1279799443">
    <w:abstractNumId w:val="11"/>
  </w:num>
  <w:num w:numId="6" w16cid:durableId="495537779">
    <w:abstractNumId w:val="7"/>
  </w:num>
  <w:num w:numId="7" w16cid:durableId="1468400811">
    <w:abstractNumId w:val="0"/>
  </w:num>
  <w:num w:numId="8" w16cid:durableId="1915313393">
    <w:abstractNumId w:val="15"/>
  </w:num>
  <w:num w:numId="9" w16cid:durableId="1103570019">
    <w:abstractNumId w:val="5"/>
  </w:num>
  <w:num w:numId="10" w16cid:durableId="2041346921">
    <w:abstractNumId w:val="19"/>
  </w:num>
  <w:num w:numId="11" w16cid:durableId="570585612">
    <w:abstractNumId w:val="2"/>
  </w:num>
  <w:num w:numId="12" w16cid:durableId="838888002">
    <w:abstractNumId w:val="10"/>
  </w:num>
  <w:num w:numId="13" w16cid:durableId="955989231">
    <w:abstractNumId w:val="17"/>
  </w:num>
  <w:num w:numId="14" w16cid:durableId="408699874">
    <w:abstractNumId w:val="12"/>
  </w:num>
  <w:num w:numId="15" w16cid:durableId="1569418770">
    <w:abstractNumId w:val="1"/>
  </w:num>
  <w:num w:numId="16" w16cid:durableId="1979457665">
    <w:abstractNumId w:val="3"/>
  </w:num>
  <w:num w:numId="17" w16cid:durableId="129744317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997201">
    <w:abstractNumId w:val="16"/>
  </w:num>
  <w:num w:numId="19" w16cid:durableId="630139399">
    <w:abstractNumId w:val="8"/>
  </w:num>
  <w:num w:numId="20" w16cid:durableId="1545174598">
    <w:abstractNumId w:val="4"/>
  </w:num>
  <w:num w:numId="21" w16cid:durableId="1768574349">
    <w:abstractNumId w:val="9"/>
  </w:num>
  <w:num w:numId="22" w16cid:durableId="250360151">
    <w:abstractNumId w:val="18"/>
  </w:num>
  <w:num w:numId="23" w16cid:durableId="60079810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4D7"/>
    <w:rsid w:val="0000080A"/>
    <w:rsid w:val="0000096D"/>
    <w:rsid w:val="00001663"/>
    <w:rsid w:val="00001E63"/>
    <w:rsid w:val="0000225A"/>
    <w:rsid w:val="0000235A"/>
    <w:rsid w:val="000025AD"/>
    <w:rsid w:val="000028A9"/>
    <w:rsid w:val="00002A06"/>
    <w:rsid w:val="0000335D"/>
    <w:rsid w:val="00003EC5"/>
    <w:rsid w:val="00003FA8"/>
    <w:rsid w:val="00004B25"/>
    <w:rsid w:val="00005B6A"/>
    <w:rsid w:val="00006782"/>
    <w:rsid w:val="000070D5"/>
    <w:rsid w:val="00007F46"/>
    <w:rsid w:val="00010560"/>
    <w:rsid w:val="00010586"/>
    <w:rsid w:val="00010F64"/>
    <w:rsid w:val="0001179A"/>
    <w:rsid w:val="00011A59"/>
    <w:rsid w:val="00014959"/>
    <w:rsid w:val="00014D69"/>
    <w:rsid w:val="0001515F"/>
    <w:rsid w:val="00015B39"/>
    <w:rsid w:val="00015EA3"/>
    <w:rsid w:val="00016539"/>
    <w:rsid w:val="00016A41"/>
    <w:rsid w:val="000176DE"/>
    <w:rsid w:val="00017BD8"/>
    <w:rsid w:val="00020FD2"/>
    <w:rsid w:val="000214D1"/>
    <w:rsid w:val="00021E57"/>
    <w:rsid w:val="00021F20"/>
    <w:rsid w:val="00022357"/>
    <w:rsid w:val="000227A1"/>
    <w:rsid w:val="00023D4D"/>
    <w:rsid w:val="000240A7"/>
    <w:rsid w:val="0002464A"/>
    <w:rsid w:val="00024824"/>
    <w:rsid w:val="00025A04"/>
    <w:rsid w:val="00025E84"/>
    <w:rsid w:val="0002693D"/>
    <w:rsid w:val="00027A02"/>
    <w:rsid w:val="00027A58"/>
    <w:rsid w:val="0003050E"/>
    <w:rsid w:val="000308A3"/>
    <w:rsid w:val="0003106B"/>
    <w:rsid w:val="00031105"/>
    <w:rsid w:val="00032CC1"/>
    <w:rsid w:val="000335B9"/>
    <w:rsid w:val="00033785"/>
    <w:rsid w:val="00033B0A"/>
    <w:rsid w:val="0003426E"/>
    <w:rsid w:val="00034905"/>
    <w:rsid w:val="00035AAD"/>
    <w:rsid w:val="000360C0"/>
    <w:rsid w:val="00037731"/>
    <w:rsid w:val="00037906"/>
    <w:rsid w:val="000409DD"/>
    <w:rsid w:val="00040A30"/>
    <w:rsid w:val="00040E68"/>
    <w:rsid w:val="000414C9"/>
    <w:rsid w:val="0004181A"/>
    <w:rsid w:val="00041AC9"/>
    <w:rsid w:val="000421A1"/>
    <w:rsid w:val="0004240E"/>
    <w:rsid w:val="0004253A"/>
    <w:rsid w:val="000425A2"/>
    <w:rsid w:val="0004263D"/>
    <w:rsid w:val="00044E52"/>
    <w:rsid w:val="00044EC4"/>
    <w:rsid w:val="00045E26"/>
    <w:rsid w:val="000468DE"/>
    <w:rsid w:val="00046903"/>
    <w:rsid w:val="00046FDC"/>
    <w:rsid w:val="0004721C"/>
    <w:rsid w:val="00047247"/>
    <w:rsid w:val="000479BF"/>
    <w:rsid w:val="000514B5"/>
    <w:rsid w:val="000521ED"/>
    <w:rsid w:val="000524AB"/>
    <w:rsid w:val="0005322E"/>
    <w:rsid w:val="0005342B"/>
    <w:rsid w:val="000546CF"/>
    <w:rsid w:val="00054E2B"/>
    <w:rsid w:val="00055A8E"/>
    <w:rsid w:val="00055BEC"/>
    <w:rsid w:val="00055D04"/>
    <w:rsid w:val="0005619B"/>
    <w:rsid w:val="000567C5"/>
    <w:rsid w:val="00056B5F"/>
    <w:rsid w:val="00057703"/>
    <w:rsid w:val="00060E64"/>
    <w:rsid w:val="00061EC5"/>
    <w:rsid w:val="00062098"/>
    <w:rsid w:val="000621AB"/>
    <w:rsid w:val="00062C03"/>
    <w:rsid w:val="00062E88"/>
    <w:rsid w:val="00063CC2"/>
    <w:rsid w:val="000647E6"/>
    <w:rsid w:val="00065584"/>
    <w:rsid w:val="00066193"/>
    <w:rsid w:val="00066755"/>
    <w:rsid w:val="00067820"/>
    <w:rsid w:val="0006798A"/>
    <w:rsid w:val="00067D2C"/>
    <w:rsid w:val="000701D0"/>
    <w:rsid w:val="00071A5B"/>
    <w:rsid w:val="000720A6"/>
    <w:rsid w:val="00072730"/>
    <w:rsid w:val="00072C6E"/>
    <w:rsid w:val="0007337F"/>
    <w:rsid w:val="00074320"/>
    <w:rsid w:val="0007505F"/>
    <w:rsid w:val="000752D1"/>
    <w:rsid w:val="0007569F"/>
    <w:rsid w:val="000763D5"/>
    <w:rsid w:val="00076C38"/>
    <w:rsid w:val="00076E9F"/>
    <w:rsid w:val="00077143"/>
    <w:rsid w:val="000772AA"/>
    <w:rsid w:val="000776CB"/>
    <w:rsid w:val="00077846"/>
    <w:rsid w:val="00077DF7"/>
    <w:rsid w:val="000802C0"/>
    <w:rsid w:val="0008031C"/>
    <w:rsid w:val="0008050C"/>
    <w:rsid w:val="00082169"/>
    <w:rsid w:val="00083068"/>
    <w:rsid w:val="000834BE"/>
    <w:rsid w:val="00083F01"/>
    <w:rsid w:val="000847DB"/>
    <w:rsid w:val="00085563"/>
    <w:rsid w:val="00085772"/>
    <w:rsid w:val="0008618F"/>
    <w:rsid w:val="000865EF"/>
    <w:rsid w:val="00087909"/>
    <w:rsid w:val="00087C4C"/>
    <w:rsid w:val="00087C60"/>
    <w:rsid w:val="00087E15"/>
    <w:rsid w:val="000908AC"/>
    <w:rsid w:val="000918CB"/>
    <w:rsid w:val="00091B06"/>
    <w:rsid w:val="00093B52"/>
    <w:rsid w:val="00094464"/>
    <w:rsid w:val="000951C4"/>
    <w:rsid w:val="000952AF"/>
    <w:rsid w:val="000955E1"/>
    <w:rsid w:val="00095ADA"/>
    <w:rsid w:val="00095F3A"/>
    <w:rsid w:val="00096289"/>
    <w:rsid w:val="000963EC"/>
    <w:rsid w:val="000963FC"/>
    <w:rsid w:val="000969AD"/>
    <w:rsid w:val="00096FEF"/>
    <w:rsid w:val="00097174"/>
    <w:rsid w:val="000973B3"/>
    <w:rsid w:val="000975FB"/>
    <w:rsid w:val="000A02F8"/>
    <w:rsid w:val="000A1344"/>
    <w:rsid w:val="000A3AA2"/>
    <w:rsid w:val="000A42EF"/>
    <w:rsid w:val="000A44B2"/>
    <w:rsid w:val="000A486C"/>
    <w:rsid w:val="000A52F6"/>
    <w:rsid w:val="000A58B8"/>
    <w:rsid w:val="000A6D68"/>
    <w:rsid w:val="000A78B8"/>
    <w:rsid w:val="000B05BE"/>
    <w:rsid w:val="000B0D2B"/>
    <w:rsid w:val="000B1983"/>
    <w:rsid w:val="000B280C"/>
    <w:rsid w:val="000B3C53"/>
    <w:rsid w:val="000B414E"/>
    <w:rsid w:val="000B44BC"/>
    <w:rsid w:val="000B44C3"/>
    <w:rsid w:val="000B558D"/>
    <w:rsid w:val="000B5A89"/>
    <w:rsid w:val="000B65F6"/>
    <w:rsid w:val="000B691C"/>
    <w:rsid w:val="000B7767"/>
    <w:rsid w:val="000C0E5F"/>
    <w:rsid w:val="000C14CD"/>
    <w:rsid w:val="000C1AFF"/>
    <w:rsid w:val="000C20DE"/>
    <w:rsid w:val="000C4E9F"/>
    <w:rsid w:val="000C5497"/>
    <w:rsid w:val="000C54EB"/>
    <w:rsid w:val="000C56AF"/>
    <w:rsid w:val="000C5740"/>
    <w:rsid w:val="000C5F95"/>
    <w:rsid w:val="000C6996"/>
    <w:rsid w:val="000C7C46"/>
    <w:rsid w:val="000C7F30"/>
    <w:rsid w:val="000D0127"/>
    <w:rsid w:val="000D09E3"/>
    <w:rsid w:val="000D09E9"/>
    <w:rsid w:val="000D113F"/>
    <w:rsid w:val="000D14C2"/>
    <w:rsid w:val="000D23BA"/>
    <w:rsid w:val="000D2EC4"/>
    <w:rsid w:val="000D3F34"/>
    <w:rsid w:val="000D440D"/>
    <w:rsid w:val="000D44B5"/>
    <w:rsid w:val="000D4F18"/>
    <w:rsid w:val="000D5DE0"/>
    <w:rsid w:val="000D6C28"/>
    <w:rsid w:val="000D76C3"/>
    <w:rsid w:val="000E0351"/>
    <w:rsid w:val="000E19B7"/>
    <w:rsid w:val="000E1D00"/>
    <w:rsid w:val="000E2072"/>
    <w:rsid w:val="000E20FC"/>
    <w:rsid w:val="000E2381"/>
    <w:rsid w:val="000E2D51"/>
    <w:rsid w:val="000E3046"/>
    <w:rsid w:val="000E3168"/>
    <w:rsid w:val="000E3595"/>
    <w:rsid w:val="000E37E9"/>
    <w:rsid w:val="000E3C1D"/>
    <w:rsid w:val="000E3DFB"/>
    <w:rsid w:val="000E4420"/>
    <w:rsid w:val="000E45A8"/>
    <w:rsid w:val="000E5EA1"/>
    <w:rsid w:val="000E681E"/>
    <w:rsid w:val="000E696B"/>
    <w:rsid w:val="000E7E52"/>
    <w:rsid w:val="000E7E90"/>
    <w:rsid w:val="000EE1C7"/>
    <w:rsid w:val="000F0003"/>
    <w:rsid w:val="000F157D"/>
    <w:rsid w:val="000F1600"/>
    <w:rsid w:val="000F19D8"/>
    <w:rsid w:val="000F2351"/>
    <w:rsid w:val="000F2844"/>
    <w:rsid w:val="000F3384"/>
    <w:rsid w:val="000F3438"/>
    <w:rsid w:val="000F36B1"/>
    <w:rsid w:val="000F3EF7"/>
    <w:rsid w:val="000F41D3"/>
    <w:rsid w:val="000F4AC3"/>
    <w:rsid w:val="000F4E6A"/>
    <w:rsid w:val="000F51AF"/>
    <w:rsid w:val="000F5201"/>
    <w:rsid w:val="000F53EC"/>
    <w:rsid w:val="000F5D09"/>
    <w:rsid w:val="000F6383"/>
    <w:rsid w:val="000F669C"/>
    <w:rsid w:val="000F6ABB"/>
    <w:rsid w:val="000F7354"/>
    <w:rsid w:val="000F7689"/>
    <w:rsid w:val="000F7AB1"/>
    <w:rsid w:val="000F7C27"/>
    <w:rsid w:val="001012FE"/>
    <w:rsid w:val="00101442"/>
    <w:rsid w:val="0010161B"/>
    <w:rsid w:val="001017B3"/>
    <w:rsid w:val="00101ABE"/>
    <w:rsid w:val="00102202"/>
    <w:rsid w:val="00102700"/>
    <w:rsid w:val="00102A78"/>
    <w:rsid w:val="00103118"/>
    <w:rsid w:val="00103471"/>
    <w:rsid w:val="00103D30"/>
    <w:rsid w:val="00103F1B"/>
    <w:rsid w:val="00104227"/>
    <w:rsid w:val="00104774"/>
    <w:rsid w:val="001053D5"/>
    <w:rsid w:val="001054A4"/>
    <w:rsid w:val="00105BAC"/>
    <w:rsid w:val="00107409"/>
    <w:rsid w:val="001107BF"/>
    <w:rsid w:val="00111910"/>
    <w:rsid w:val="00111F92"/>
    <w:rsid w:val="001129F2"/>
    <w:rsid w:val="00112FB6"/>
    <w:rsid w:val="00113649"/>
    <w:rsid w:val="00113D5C"/>
    <w:rsid w:val="00115704"/>
    <w:rsid w:val="00115C13"/>
    <w:rsid w:val="00116321"/>
    <w:rsid w:val="00116B03"/>
    <w:rsid w:val="00117284"/>
    <w:rsid w:val="00117863"/>
    <w:rsid w:val="00120AA6"/>
    <w:rsid w:val="00120D23"/>
    <w:rsid w:val="00120FCD"/>
    <w:rsid w:val="001210E5"/>
    <w:rsid w:val="001216D6"/>
    <w:rsid w:val="00121EFA"/>
    <w:rsid w:val="00122765"/>
    <w:rsid w:val="00122AFF"/>
    <w:rsid w:val="00122E44"/>
    <w:rsid w:val="00123751"/>
    <w:rsid w:val="001239DB"/>
    <w:rsid w:val="0012417C"/>
    <w:rsid w:val="00124BF2"/>
    <w:rsid w:val="0012520B"/>
    <w:rsid w:val="00125837"/>
    <w:rsid w:val="0012597F"/>
    <w:rsid w:val="00125C2C"/>
    <w:rsid w:val="00126B19"/>
    <w:rsid w:val="00126D3A"/>
    <w:rsid w:val="0012749D"/>
    <w:rsid w:val="00127677"/>
    <w:rsid w:val="00127A23"/>
    <w:rsid w:val="00127E8E"/>
    <w:rsid w:val="001305F9"/>
    <w:rsid w:val="001306A5"/>
    <w:rsid w:val="00130918"/>
    <w:rsid w:val="001311AE"/>
    <w:rsid w:val="00132632"/>
    <w:rsid w:val="00132F66"/>
    <w:rsid w:val="00134994"/>
    <w:rsid w:val="001352C3"/>
    <w:rsid w:val="001366C2"/>
    <w:rsid w:val="00136C17"/>
    <w:rsid w:val="00137B62"/>
    <w:rsid w:val="00137E78"/>
    <w:rsid w:val="00140B74"/>
    <w:rsid w:val="00140CFC"/>
    <w:rsid w:val="00140D94"/>
    <w:rsid w:val="00142395"/>
    <w:rsid w:val="0014250D"/>
    <w:rsid w:val="00142714"/>
    <w:rsid w:val="00143FCC"/>
    <w:rsid w:val="00144D09"/>
    <w:rsid w:val="00144D0B"/>
    <w:rsid w:val="00144E06"/>
    <w:rsid w:val="001452ED"/>
    <w:rsid w:val="00145A05"/>
    <w:rsid w:val="00145E27"/>
    <w:rsid w:val="0014652E"/>
    <w:rsid w:val="00147D84"/>
    <w:rsid w:val="00150320"/>
    <w:rsid w:val="0015107F"/>
    <w:rsid w:val="00151520"/>
    <w:rsid w:val="00151CBD"/>
    <w:rsid w:val="0015227C"/>
    <w:rsid w:val="00152C37"/>
    <w:rsid w:val="00153009"/>
    <w:rsid w:val="001532B1"/>
    <w:rsid w:val="001533C3"/>
    <w:rsid w:val="001539B2"/>
    <w:rsid w:val="001549C1"/>
    <w:rsid w:val="00155676"/>
    <w:rsid w:val="0015641A"/>
    <w:rsid w:val="00156C8D"/>
    <w:rsid w:val="001573D6"/>
    <w:rsid w:val="00160244"/>
    <w:rsid w:val="00160F4D"/>
    <w:rsid w:val="00162BDD"/>
    <w:rsid w:val="00162D4E"/>
    <w:rsid w:val="00162F6E"/>
    <w:rsid w:val="00163329"/>
    <w:rsid w:val="00163C11"/>
    <w:rsid w:val="00164623"/>
    <w:rsid w:val="001652DE"/>
    <w:rsid w:val="001653EC"/>
    <w:rsid w:val="00165937"/>
    <w:rsid w:val="00165B64"/>
    <w:rsid w:val="001661F3"/>
    <w:rsid w:val="001667A4"/>
    <w:rsid w:val="00167C39"/>
    <w:rsid w:val="00170C4D"/>
    <w:rsid w:val="00172106"/>
    <w:rsid w:val="00173E19"/>
    <w:rsid w:val="00174EB8"/>
    <w:rsid w:val="001756CB"/>
    <w:rsid w:val="00175787"/>
    <w:rsid w:val="00175AF0"/>
    <w:rsid w:val="0017612D"/>
    <w:rsid w:val="00176B9D"/>
    <w:rsid w:val="00176E7B"/>
    <w:rsid w:val="00177802"/>
    <w:rsid w:val="00177EE3"/>
    <w:rsid w:val="0018037C"/>
    <w:rsid w:val="00180713"/>
    <w:rsid w:val="00180720"/>
    <w:rsid w:val="00182272"/>
    <w:rsid w:val="0018269C"/>
    <w:rsid w:val="00182C34"/>
    <w:rsid w:val="001830CE"/>
    <w:rsid w:val="001836E3"/>
    <w:rsid w:val="00184659"/>
    <w:rsid w:val="00184FC6"/>
    <w:rsid w:val="001860E5"/>
    <w:rsid w:val="0018643B"/>
    <w:rsid w:val="001877E6"/>
    <w:rsid w:val="001913FA"/>
    <w:rsid w:val="00193E3B"/>
    <w:rsid w:val="001942DE"/>
    <w:rsid w:val="00194954"/>
    <w:rsid w:val="00196307"/>
    <w:rsid w:val="00196FCA"/>
    <w:rsid w:val="00197296"/>
    <w:rsid w:val="0019779A"/>
    <w:rsid w:val="001977D8"/>
    <w:rsid w:val="00197C70"/>
    <w:rsid w:val="00197F03"/>
    <w:rsid w:val="001A0D10"/>
    <w:rsid w:val="001A1728"/>
    <w:rsid w:val="001A2641"/>
    <w:rsid w:val="001A33EA"/>
    <w:rsid w:val="001A34D7"/>
    <w:rsid w:val="001A3615"/>
    <w:rsid w:val="001A4413"/>
    <w:rsid w:val="001A4BBB"/>
    <w:rsid w:val="001A4C4F"/>
    <w:rsid w:val="001A5444"/>
    <w:rsid w:val="001A5A2B"/>
    <w:rsid w:val="001A6C4D"/>
    <w:rsid w:val="001A76FB"/>
    <w:rsid w:val="001B017F"/>
    <w:rsid w:val="001B0B79"/>
    <w:rsid w:val="001B0B9D"/>
    <w:rsid w:val="001B19EA"/>
    <w:rsid w:val="001B2193"/>
    <w:rsid w:val="001B2BBC"/>
    <w:rsid w:val="001B2BCD"/>
    <w:rsid w:val="001B3A40"/>
    <w:rsid w:val="001B3FFE"/>
    <w:rsid w:val="001B416B"/>
    <w:rsid w:val="001B4378"/>
    <w:rsid w:val="001B5129"/>
    <w:rsid w:val="001B53B5"/>
    <w:rsid w:val="001B55A6"/>
    <w:rsid w:val="001B6A76"/>
    <w:rsid w:val="001C002B"/>
    <w:rsid w:val="001C0B4C"/>
    <w:rsid w:val="001C0EC4"/>
    <w:rsid w:val="001C105C"/>
    <w:rsid w:val="001C1195"/>
    <w:rsid w:val="001C12AE"/>
    <w:rsid w:val="001C1DE1"/>
    <w:rsid w:val="001C1E84"/>
    <w:rsid w:val="001C20E1"/>
    <w:rsid w:val="001C2A0F"/>
    <w:rsid w:val="001C2E42"/>
    <w:rsid w:val="001C38E2"/>
    <w:rsid w:val="001C4740"/>
    <w:rsid w:val="001C486E"/>
    <w:rsid w:val="001C6299"/>
    <w:rsid w:val="001C641D"/>
    <w:rsid w:val="001C6855"/>
    <w:rsid w:val="001C6E8D"/>
    <w:rsid w:val="001C7C6D"/>
    <w:rsid w:val="001D000B"/>
    <w:rsid w:val="001D11C4"/>
    <w:rsid w:val="001D1327"/>
    <w:rsid w:val="001D1F5F"/>
    <w:rsid w:val="001D20D2"/>
    <w:rsid w:val="001D2B86"/>
    <w:rsid w:val="001D2CEF"/>
    <w:rsid w:val="001D3A07"/>
    <w:rsid w:val="001D3E87"/>
    <w:rsid w:val="001D4396"/>
    <w:rsid w:val="001D595B"/>
    <w:rsid w:val="001D76BA"/>
    <w:rsid w:val="001D7B0F"/>
    <w:rsid w:val="001E06D2"/>
    <w:rsid w:val="001E1526"/>
    <w:rsid w:val="001E167F"/>
    <w:rsid w:val="001E1685"/>
    <w:rsid w:val="001E17C4"/>
    <w:rsid w:val="001E1935"/>
    <w:rsid w:val="001E1C23"/>
    <w:rsid w:val="001E2A47"/>
    <w:rsid w:val="001E2D65"/>
    <w:rsid w:val="001E3CBF"/>
    <w:rsid w:val="001E4B65"/>
    <w:rsid w:val="001E4DF0"/>
    <w:rsid w:val="001E5414"/>
    <w:rsid w:val="001E54F9"/>
    <w:rsid w:val="001E5A88"/>
    <w:rsid w:val="001E71DB"/>
    <w:rsid w:val="001E7B56"/>
    <w:rsid w:val="001F005B"/>
    <w:rsid w:val="001F0266"/>
    <w:rsid w:val="001F0424"/>
    <w:rsid w:val="001F1850"/>
    <w:rsid w:val="001F1FBF"/>
    <w:rsid w:val="001F2311"/>
    <w:rsid w:val="001F234B"/>
    <w:rsid w:val="001F2A18"/>
    <w:rsid w:val="001F2B80"/>
    <w:rsid w:val="001F2F1C"/>
    <w:rsid w:val="001F3189"/>
    <w:rsid w:val="001F4883"/>
    <w:rsid w:val="001F5359"/>
    <w:rsid w:val="001F5A28"/>
    <w:rsid w:val="001F708D"/>
    <w:rsid w:val="001F713B"/>
    <w:rsid w:val="001F7A2F"/>
    <w:rsid w:val="001F7A6F"/>
    <w:rsid w:val="00200BEA"/>
    <w:rsid w:val="00201FB8"/>
    <w:rsid w:val="0020237A"/>
    <w:rsid w:val="002032E4"/>
    <w:rsid w:val="00203378"/>
    <w:rsid w:val="00203803"/>
    <w:rsid w:val="00203FAC"/>
    <w:rsid w:val="00204A37"/>
    <w:rsid w:val="002050CB"/>
    <w:rsid w:val="00210376"/>
    <w:rsid w:val="00210D12"/>
    <w:rsid w:val="00212830"/>
    <w:rsid w:val="00212BC3"/>
    <w:rsid w:val="002133FB"/>
    <w:rsid w:val="00213C92"/>
    <w:rsid w:val="00213CFB"/>
    <w:rsid w:val="00213D5D"/>
    <w:rsid w:val="00215145"/>
    <w:rsid w:val="0021553C"/>
    <w:rsid w:val="0021557B"/>
    <w:rsid w:val="00215839"/>
    <w:rsid w:val="00216B87"/>
    <w:rsid w:val="002174FD"/>
    <w:rsid w:val="0021793D"/>
    <w:rsid w:val="00217BE1"/>
    <w:rsid w:val="00217BEE"/>
    <w:rsid w:val="002206D5"/>
    <w:rsid w:val="00221361"/>
    <w:rsid w:val="002214B9"/>
    <w:rsid w:val="002222FD"/>
    <w:rsid w:val="00222680"/>
    <w:rsid w:val="00223370"/>
    <w:rsid w:val="00223CC0"/>
    <w:rsid w:val="00224AFE"/>
    <w:rsid w:val="00224D1E"/>
    <w:rsid w:val="00225C83"/>
    <w:rsid w:val="00225C9C"/>
    <w:rsid w:val="00226611"/>
    <w:rsid w:val="00227BC5"/>
    <w:rsid w:val="00230F63"/>
    <w:rsid w:val="0023386C"/>
    <w:rsid w:val="00233979"/>
    <w:rsid w:val="00233E9C"/>
    <w:rsid w:val="00234252"/>
    <w:rsid w:val="00234310"/>
    <w:rsid w:val="002343E0"/>
    <w:rsid w:val="0023466E"/>
    <w:rsid w:val="002346C5"/>
    <w:rsid w:val="00234A35"/>
    <w:rsid w:val="00234BE4"/>
    <w:rsid w:val="00235AFF"/>
    <w:rsid w:val="00235B1C"/>
    <w:rsid w:val="00236453"/>
    <w:rsid w:val="002368FE"/>
    <w:rsid w:val="00237AC6"/>
    <w:rsid w:val="002406E6"/>
    <w:rsid w:val="0024111C"/>
    <w:rsid w:val="002418D5"/>
    <w:rsid w:val="00242B64"/>
    <w:rsid w:val="00242BFD"/>
    <w:rsid w:val="002432A0"/>
    <w:rsid w:val="0024365C"/>
    <w:rsid w:val="00243C17"/>
    <w:rsid w:val="00244139"/>
    <w:rsid w:val="002441E6"/>
    <w:rsid w:val="00244490"/>
    <w:rsid w:val="00244BEC"/>
    <w:rsid w:val="00245046"/>
    <w:rsid w:val="00245444"/>
    <w:rsid w:val="00245729"/>
    <w:rsid w:val="00245B9C"/>
    <w:rsid w:val="002474EC"/>
    <w:rsid w:val="00247A13"/>
    <w:rsid w:val="00250874"/>
    <w:rsid w:val="00250903"/>
    <w:rsid w:val="00250C4C"/>
    <w:rsid w:val="00251217"/>
    <w:rsid w:val="00251228"/>
    <w:rsid w:val="00251781"/>
    <w:rsid w:val="00251B85"/>
    <w:rsid w:val="002521DD"/>
    <w:rsid w:val="00252587"/>
    <w:rsid w:val="002528EE"/>
    <w:rsid w:val="002530BA"/>
    <w:rsid w:val="00253126"/>
    <w:rsid w:val="00253499"/>
    <w:rsid w:val="00253DEE"/>
    <w:rsid w:val="0025456E"/>
    <w:rsid w:val="002546C9"/>
    <w:rsid w:val="002548AC"/>
    <w:rsid w:val="00254C68"/>
    <w:rsid w:val="00254E87"/>
    <w:rsid w:val="002551A4"/>
    <w:rsid w:val="002567B9"/>
    <w:rsid w:val="0025752C"/>
    <w:rsid w:val="00257664"/>
    <w:rsid w:val="00257751"/>
    <w:rsid w:val="00257D35"/>
    <w:rsid w:val="00257D6F"/>
    <w:rsid w:val="00257E31"/>
    <w:rsid w:val="00260165"/>
    <w:rsid w:val="00260487"/>
    <w:rsid w:val="00261A29"/>
    <w:rsid w:val="002620DC"/>
    <w:rsid w:val="00262253"/>
    <w:rsid w:val="002627D9"/>
    <w:rsid w:val="002628A9"/>
    <w:rsid w:val="0026357B"/>
    <w:rsid w:val="002640B4"/>
    <w:rsid w:val="00265151"/>
    <w:rsid w:val="00265C2C"/>
    <w:rsid w:val="0026628B"/>
    <w:rsid w:val="00266509"/>
    <w:rsid w:val="00266D27"/>
    <w:rsid w:val="00267098"/>
    <w:rsid w:val="00267D6D"/>
    <w:rsid w:val="00271BA1"/>
    <w:rsid w:val="00272BEA"/>
    <w:rsid w:val="00272DE5"/>
    <w:rsid w:val="00273AC5"/>
    <w:rsid w:val="00275206"/>
    <w:rsid w:val="002756E2"/>
    <w:rsid w:val="002762FA"/>
    <w:rsid w:val="00276BE3"/>
    <w:rsid w:val="00276D3E"/>
    <w:rsid w:val="00277505"/>
    <w:rsid w:val="00277781"/>
    <w:rsid w:val="00277873"/>
    <w:rsid w:val="00277B66"/>
    <w:rsid w:val="00277C96"/>
    <w:rsid w:val="002802BB"/>
    <w:rsid w:val="0028158C"/>
    <w:rsid w:val="002823B6"/>
    <w:rsid w:val="00282A64"/>
    <w:rsid w:val="00284D02"/>
    <w:rsid w:val="00285255"/>
    <w:rsid w:val="00286433"/>
    <w:rsid w:val="00286723"/>
    <w:rsid w:val="00290C03"/>
    <w:rsid w:val="00290D15"/>
    <w:rsid w:val="00291024"/>
    <w:rsid w:val="00291EFA"/>
    <w:rsid w:val="002922B0"/>
    <w:rsid w:val="00292392"/>
    <w:rsid w:val="00292E3B"/>
    <w:rsid w:val="002933A8"/>
    <w:rsid w:val="0029376A"/>
    <w:rsid w:val="00293C6D"/>
    <w:rsid w:val="00294274"/>
    <w:rsid w:val="0029458F"/>
    <w:rsid w:val="00294816"/>
    <w:rsid w:val="00294F10"/>
    <w:rsid w:val="0029510A"/>
    <w:rsid w:val="0029567B"/>
    <w:rsid w:val="0029583B"/>
    <w:rsid w:val="00295D04"/>
    <w:rsid w:val="002960F3"/>
    <w:rsid w:val="002962B3"/>
    <w:rsid w:val="00296548"/>
    <w:rsid w:val="00296EA9"/>
    <w:rsid w:val="00297A63"/>
    <w:rsid w:val="002A018F"/>
    <w:rsid w:val="002A0AE3"/>
    <w:rsid w:val="002A0E04"/>
    <w:rsid w:val="002A104C"/>
    <w:rsid w:val="002A1113"/>
    <w:rsid w:val="002A1EC4"/>
    <w:rsid w:val="002A1EF7"/>
    <w:rsid w:val="002A2B7B"/>
    <w:rsid w:val="002A3EA4"/>
    <w:rsid w:val="002A494D"/>
    <w:rsid w:val="002A4960"/>
    <w:rsid w:val="002A4FAD"/>
    <w:rsid w:val="002A52DC"/>
    <w:rsid w:val="002A636A"/>
    <w:rsid w:val="002A6377"/>
    <w:rsid w:val="002A7332"/>
    <w:rsid w:val="002A755F"/>
    <w:rsid w:val="002A7C65"/>
    <w:rsid w:val="002B0AE0"/>
    <w:rsid w:val="002B0B2B"/>
    <w:rsid w:val="002B1310"/>
    <w:rsid w:val="002B1AE6"/>
    <w:rsid w:val="002B1D51"/>
    <w:rsid w:val="002B2DE8"/>
    <w:rsid w:val="002B30F8"/>
    <w:rsid w:val="002B388A"/>
    <w:rsid w:val="002B3BFE"/>
    <w:rsid w:val="002B3C1A"/>
    <w:rsid w:val="002B3EEB"/>
    <w:rsid w:val="002B4C2A"/>
    <w:rsid w:val="002B5275"/>
    <w:rsid w:val="002B5596"/>
    <w:rsid w:val="002B5BB2"/>
    <w:rsid w:val="002B5F67"/>
    <w:rsid w:val="002B77D7"/>
    <w:rsid w:val="002C0028"/>
    <w:rsid w:val="002C0763"/>
    <w:rsid w:val="002C0962"/>
    <w:rsid w:val="002C112C"/>
    <w:rsid w:val="002C1B10"/>
    <w:rsid w:val="002C209F"/>
    <w:rsid w:val="002C212F"/>
    <w:rsid w:val="002C2868"/>
    <w:rsid w:val="002C2F35"/>
    <w:rsid w:val="002C392F"/>
    <w:rsid w:val="002C4769"/>
    <w:rsid w:val="002C47DD"/>
    <w:rsid w:val="002C4820"/>
    <w:rsid w:val="002C5093"/>
    <w:rsid w:val="002C52DE"/>
    <w:rsid w:val="002C5850"/>
    <w:rsid w:val="002C59F7"/>
    <w:rsid w:val="002C6705"/>
    <w:rsid w:val="002C6AA9"/>
    <w:rsid w:val="002C6DC7"/>
    <w:rsid w:val="002C7446"/>
    <w:rsid w:val="002C7485"/>
    <w:rsid w:val="002D1AAD"/>
    <w:rsid w:val="002D20F1"/>
    <w:rsid w:val="002D2641"/>
    <w:rsid w:val="002D283A"/>
    <w:rsid w:val="002D4184"/>
    <w:rsid w:val="002D4543"/>
    <w:rsid w:val="002D494E"/>
    <w:rsid w:val="002D66CE"/>
    <w:rsid w:val="002D715F"/>
    <w:rsid w:val="002D7276"/>
    <w:rsid w:val="002E022A"/>
    <w:rsid w:val="002E0BDA"/>
    <w:rsid w:val="002E3153"/>
    <w:rsid w:val="002E3FD4"/>
    <w:rsid w:val="002E4A02"/>
    <w:rsid w:val="002E4DCA"/>
    <w:rsid w:val="002E5292"/>
    <w:rsid w:val="002E638D"/>
    <w:rsid w:val="002E72CA"/>
    <w:rsid w:val="002E75DD"/>
    <w:rsid w:val="002E7719"/>
    <w:rsid w:val="002F0000"/>
    <w:rsid w:val="002F0194"/>
    <w:rsid w:val="002F19E7"/>
    <w:rsid w:val="002F1BC8"/>
    <w:rsid w:val="002F1D07"/>
    <w:rsid w:val="002F2E0D"/>
    <w:rsid w:val="002F348F"/>
    <w:rsid w:val="002F3D42"/>
    <w:rsid w:val="002F4162"/>
    <w:rsid w:val="002F457D"/>
    <w:rsid w:val="002F5418"/>
    <w:rsid w:val="002F59DA"/>
    <w:rsid w:val="002F5A6F"/>
    <w:rsid w:val="002F5C5B"/>
    <w:rsid w:val="002F600D"/>
    <w:rsid w:val="002F60F8"/>
    <w:rsid w:val="002F635B"/>
    <w:rsid w:val="002F6D2A"/>
    <w:rsid w:val="002F6F0F"/>
    <w:rsid w:val="002F731F"/>
    <w:rsid w:val="002F7486"/>
    <w:rsid w:val="002F7E47"/>
    <w:rsid w:val="00300AD6"/>
    <w:rsid w:val="00300B1B"/>
    <w:rsid w:val="0030193D"/>
    <w:rsid w:val="003019D0"/>
    <w:rsid w:val="003019DE"/>
    <w:rsid w:val="003020F6"/>
    <w:rsid w:val="00302F9F"/>
    <w:rsid w:val="0030311E"/>
    <w:rsid w:val="00303617"/>
    <w:rsid w:val="00303CFE"/>
    <w:rsid w:val="00304603"/>
    <w:rsid w:val="0030579A"/>
    <w:rsid w:val="0030585B"/>
    <w:rsid w:val="003064AF"/>
    <w:rsid w:val="003070CF"/>
    <w:rsid w:val="00307DC6"/>
    <w:rsid w:val="003102FE"/>
    <w:rsid w:val="0031064C"/>
    <w:rsid w:val="00310A8B"/>
    <w:rsid w:val="00310B68"/>
    <w:rsid w:val="00310F3D"/>
    <w:rsid w:val="00311C73"/>
    <w:rsid w:val="0031410F"/>
    <w:rsid w:val="00314705"/>
    <w:rsid w:val="00314B3E"/>
    <w:rsid w:val="003151FE"/>
    <w:rsid w:val="00315A62"/>
    <w:rsid w:val="003160D2"/>
    <w:rsid w:val="00316CB3"/>
    <w:rsid w:val="00316D1C"/>
    <w:rsid w:val="00316D2F"/>
    <w:rsid w:val="00316E00"/>
    <w:rsid w:val="003173FC"/>
    <w:rsid w:val="0031793F"/>
    <w:rsid w:val="00317C6C"/>
    <w:rsid w:val="00317CE9"/>
    <w:rsid w:val="00317D3F"/>
    <w:rsid w:val="00320B80"/>
    <w:rsid w:val="00320CD3"/>
    <w:rsid w:val="003212DD"/>
    <w:rsid w:val="003215FF"/>
    <w:rsid w:val="003220FE"/>
    <w:rsid w:val="00322667"/>
    <w:rsid w:val="00324CCE"/>
    <w:rsid w:val="00325215"/>
    <w:rsid w:val="003253B6"/>
    <w:rsid w:val="0032607C"/>
    <w:rsid w:val="00326E79"/>
    <w:rsid w:val="0032748A"/>
    <w:rsid w:val="003301B1"/>
    <w:rsid w:val="00331189"/>
    <w:rsid w:val="00332282"/>
    <w:rsid w:val="0033263D"/>
    <w:rsid w:val="00332BE6"/>
    <w:rsid w:val="00334361"/>
    <w:rsid w:val="00334CA3"/>
    <w:rsid w:val="00334E69"/>
    <w:rsid w:val="00334E85"/>
    <w:rsid w:val="0033518A"/>
    <w:rsid w:val="00335535"/>
    <w:rsid w:val="003367EF"/>
    <w:rsid w:val="00337AFE"/>
    <w:rsid w:val="00337BAB"/>
    <w:rsid w:val="00340067"/>
    <w:rsid w:val="003402F6"/>
    <w:rsid w:val="003408AE"/>
    <w:rsid w:val="00341AE4"/>
    <w:rsid w:val="003425CA"/>
    <w:rsid w:val="0034262F"/>
    <w:rsid w:val="00343588"/>
    <w:rsid w:val="00343FB7"/>
    <w:rsid w:val="00344515"/>
    <w:rsid w:val="003455D4"/>
    <w:rsid w:val="00345B71"/>
    <w:rsid w:val="003476EE"/>
    <w:rsid w:val="00350669"/>
    <w:rsid w:val="00351B1A"/>
    <w:rsid w:val="00351E2D"/>
    <w:rsid w:val="003522B4"/>
    <w:rsid w:val="003527D6"/>
    <w:rsid w:val="00353A00"/>
    <w:rsid w:val="00353C7D"/>
    <w:rsid w:val="0035406F"/>
    <w:rsid w:val="003541DD"/>
    <w:rsid w:val="003548AE"/>
    <w:rsid w:val="003556EC"/>
    <w:rsid w:val="00356E5B"/>
    <w:rsid w:val="00360887"/>
    <w:rsid w:val="00360C7E"/>
    <w:rsid w:val="0036249F"/>
    <w:rsid w:val="00363A39"/>
    <w:rsid w:val="00363B00"/>
    <w:rsid w:val="00363CCF"/>
    <w:rsid w:val="0036435D"/>
    <w:rsid w:val="00365BC3"/>
    <w:rsid w:val="00366028"/>
    <w:rsid w:val="003664EE"/>
    <w:rsid w:val="00366A63"/>
    <w:rsid w:val="00366C7E"/>
    <w:rsid w:val="0036718C"/>
    <w:rsid w:val="00367C09"/>
    <w:rsid w:val="003700D5"/>
    <w:rsid w:val="00371246"/>
    <w:rsid w:val="00371B40"/>
    <w:rsid w:val="003728EB"/>
    <w:rsid w:val="003736C9"/>
    <w:rsid w:val="00373A2A"/>
    <w:rsid w:val="00374468"/>
    <w:rsid w:val="00376BA7"/>
    <w:rsid w:val="00376CFE"/>
    <w:rsid w:val="003806BD"/>
    <w:rsid w:val="00380995"/>
    <w:rsid w:val="00381539"/>
    <w:rsid w:val="003816F6"/>
    <w:rsid w:val="00381F35"/>
    <w:rsid w:val="0038216E"/>
    <w:rsid w:val="003821DB"/>
    <w:rsid w:val="00382782"/>
    <w:rsid w:val="00383B77"/>
    <w:rsid w:val="00384988"/>
    <w:rsid w:val="00384AC6"/>
    <w:rsid w:val="0038660F"/>
    <w:rsid w:val="003872CF"/>
    <w:rsid w:val="003874CB"/>
    <w:rsid w:val="00390FBE"/>
    <w:rsid w:val="003912A3"/>
    <w:rsid w:val="003917F4"/>
    <w:rsid w:val="00392012"/>
    <w:rsid w:val="0039387A"/>
    <w:rsid w:val="00393D84"/>
    <w:rsid w:val="00395A75"/>
    <w:rsid w:val="00396E08"/>
    <w:rsid w:val="00396F42"/>
    <w:rsid w:val="003970DD"/>
    <w:rsid w:val="003974C5"/>
    <w:rsid w:val="0039769E"/>
    <w:rsid w:val="0039782C"/>
    <w:rsid w:val="003979E1"/>
    <w:rsid w:val="00397F98"/>
    <w:rsid w:val="003A13A6"/>
    <w:rsid w:val="003A189C"/>
    <w:rsid w:val="003A1B83"/>
    <w:rsid w:val="003A2165"/>
    <w:rsid w:val="003A2C1A"/>
    <w:rsid w:val="003A2C3D"/>
    <w:rsid w:val="003A3AF3"/>
    <w:rsid w:val="003A3D1F"/>
    <w:rsid w:val="003A3FD4"/>
    <w:rsid w:val="003A40C5"/>
    <w:rsid w:val="003A4747"/>
    <w:rsid w:val="003A4D47"/>
    <w:rsid w:val="003A5130"/>
    <w:rsid w:val="003A586A"/>
    <w:rsid w:val="003A5B4A"/>
    <w:rsid w:val="003A5D95"/>
    <w:rsid w:val="003A604F"/>
    <w:rsid w:val="003A6510"/>
    <w:rsid w:val="003A74E2"/>
    <w:rsid w:val="003B0D3A"/>
    <w:rsid w:val="003B2302"/>
    <w:rsid w:val="003B23C5"/>
    <w:rsid w:val="003B2568"/>
    <w:rsid w:val="003B29D9"/>
    <w:rsid w:val="003B2A75"/>
    <w:rsid w:val="003B33D1"/>
    <w:rsid w:val="003B3441"/>
    <w:rsid w:val="003B401B"/>
    <w:rsid w:val="003B49B2"/>
    <w:rsid w:val="003B54BA"/>
    <w:rsid w:val="003B6124"/>
    <w:rsid w:val="003B7960"/>
    <w:rsid w:val="003B7B1D"/>
    <w:rsid w:val="003C0908"/>
    <w:rsid w:val="003C093A"/>
    <w:rsid w:val="003C1ECF"/>
    <w:rsid w:val="003C23BB"/>
    <w:rsid w:val="003C2FB5"/>
    <w:rsid w:val="003C6108"/>
    <w:rsid w:val="003C65F3"/>
    <w:rsid w:val="003C6CAC"/>
    <w:rsid w:val="003C74D4"/>
    <w:rsid w:val="003D24C5"/>
    <w:rsid w:val="003D32D1"/>
    <w:rsid w:val="003D3834"/>
    <w:rsid w:val="003D4594"/>
    <w:rsid w:val="003D4AB5"/>
    <w:rsid w:val="003D4AC4"/>
    <w:rsid w:val="003D4E03"/>
    <w:rsid w:val="003D5433"/>
    <w:rsid w:val="003D60F1"/>
    <w:rsid w:val="003D63B7"/>
    <w:rsid w:val="003D717B"/>
    <w:rsid w:val="003D74C5"/>
    <w:rsid w:val="003E0D76"/>
    <w:rsid w:val="003E1486"/>
    <w:rsid w:val="003E14BF"/>
    <w:rsid w:val="003E3396"/>
    <w:rsid w:val="003E33D8"/>
    <w:rsid w:val="003E3CE4"/>
    <w:rsid w:val="003E4309"/>
    <w:rsid w:val="003E4374"/>
    <w:rsid w:val="003E468B"/>
    <w:rsid w:val="003E62BD"/>
    <w:rsid w:val="003E658D"/>
    <w:rsid w:val="003E6BA6"/>
    <w:rsid w:val="003E6C8B"/>
    <w:rsid w:val="003E6C9B"/>
    <w:rsid w:val="003E74F8"/>
    <w:rsid w:val="003E7DAE"/>
    <w:rsid w:val="003F006F"/>
    <w:rsid w:val="003F044F"/>
    <w:rsid w:val="003F0C3A"/>
    <w:rsid w:val="003F0E58"/>
    <w:rsid w:val="003F15F0"/>
    <w:rsid w:val="003F1CB3"/>
    <w:rsid w:val="003F1F09"/>
    <w:rsid w:val="003F2273"/>
    <w:rsid w:val="003F2571"/>
    <w:rsid w:val="003F29CC"/>
    <w:rsid w:val="003F2AD9"/>
    <w:rsid w:val="003F3081"/>
    <w:rsid w:val="003F3228"/>
    <w:rsid w:val="003F3546"/>
    <w:rsid w:val="003F4689"/>
    <w:rsid w:val="003F51DD"/>
    <w:rsid w:val="003F5C8C"/>
    <w:rsid w:val="003F63CE"/>
    <w:rsid w:val="003F6B59"/>
    <w:rsid w:val="003F757E"/>
    <w:rsid w:val="003F775A"/>
    <w:rsid w:val="003F7884"/>
    <w:rsid w:val="003F7A75"/>
    <w:rsid w:val="00400042"/>
    <w:rsid w:val="00400E55"/>
    <w:rsid w:val="00400F73"/>
    <w:rsid w:val="0040128E"/>
    <w:rsid w:val="00401640"/>
    <w:rsid w:val="00401E7B"/>
    <w:rsid w:val="0040216B"/>
    <w:rsid w:val="00402EE3"/>
    <w:rsid w:val="00404852"/>
    <w:rsid w:val="00405299"/>
    <w:rsid w:val="0040590E"/>
    <w:rsid w:val="00406FB6"/>
    <w:rsid w:val="004071B8"/>
    <w:rsid w:val="004077E6"/>
    <w:rsid w:val="004079CB"/>
    <w:rsid w:val="004079CF"/>
    <w:rsid w:val="00407CC8"/>
    <w:rsid w:val="004100FE"/>
    <w:rsid w:val="0041045A"/>
    <w:rsid w:val="00411D3A"/>
    <w:rsid w:val="0041200D"/>
    <w:rsid w:val="00412825"/>
    <w:rsid w:val="00412FBA"/>
    <w:rsid w:val="00413914"/>
    <w:rsid w:val="00413ECF"/>
    <w:rsid w:val="00414F0C"/>
    <w:rsid w:val="00415C1A"/>
    <w:rsid w:val="004160A2"/>
    <w:rsid w:val="0041632F"/>
    <w:rsid w:val="00416564"/>
    <w:rsid w:val="00416A16"/>
    <w:rsid w:val="00417703"/>
    <w:rsid w:val="00417EB9"/>
    <w:rsid w:val="00420400"/>
    <w:rsid w:val="00421338"/>
    <w:rsid w:val="004217DE"/>
    <w:rsid w:val="00422D46"/>
    <w:rsid w:val="0042388A"/>
    <w:rsid w:val="00423E78"/>
    <w:rsid w:val="0042465B"/>
    <w:rsid w:val="00424B97"/>
    <w:rsid w:val="004250F7"/>
    <w:rsid w:val="004252EC"/>
    <w:rsid w:val="0042552C"/>
    <w:rsid w:val="00427B9A"/>
    <w:rsid w:val="00430D39"/>
    <w:rsid w:val="00431950"/>
    <w:rsid w:val="00431A94"/>
    <w:rsid w:val="00432EBF"/>
    <w:rsid w:val="00435E9B"/>
    <w:rsid w:val="00435FE4"/>
    <w:rsid w:val="00436214"/>
    <w:rsid w:val="00436414"/>
    <w:rsid w:val="00440066"/>
    <w:rsid w:val="00440967"/>
    <w:rsid w:val="00441117"/>
    <w:rsid w:val="004417C3"/>
    <w:rsid w:val="00442720"/>
    <w:rsid w:val="00442C91"/>
    <w:rsid w:val="00442F10"/>
    <w:rsid w:val="004444B3"/>
    <w:rsid w:val="00444E9D"/>
    <w:rsid w:val="00444ED4"/>
    <w:rsid w:val="00446256"/>
    <w:rsid w:val="004465BD"/>
    <w:rsid w:val="004467EC"/>
    <w:rsid w:val="00446938"/>
    <w:rsid w:val="00446BFA"/>
    <w:rsid w:val="00446F03"/>
    <w:rsid w:val="004473FC"/>
    <w:rsid w:val="00450DBE"/>
    <w:rsid w:val="00451037"/>
    <w:rsid w:val="00451DE0"/>
    <w:rsid w:val="0045222C"/>
    <w:rsid w:val="0045275E"/>
    <w:rsid w:val="004527F9"/>
    <w:rsid w:val="004528FA"/>
    <w:rsid w:val="0045290E"/>
    <w:rsid w:val="00452A6C"/>
    <w:rsid w:val="0045304E"/>
    <w:rsid w:val="00453892"/>
    <w:rsid w:val="00454436"/>
    <w:rsid w:val="004551D4"/>
    <w:rsid w:val="004552D2"/>
    <w:rsid w:val="00455F2A"/>
    <w:rsid w:val="00457012"/>
    <w:rsid w:val="00461A44"/>
    <w:rsid w:val="00462D26"/>
    <w:rsid w:val="00462D6C"/>
    <w:rsid w:val="00462DB0"/>
    <w:rsid w:val="0046368B"/>
    <w:rsid w:val="0046385A"/>
    <w:rsid w:val="00464039"/>
    <w:rsid w:val="004644B5"/>
    <w:rsid w:val="0046505E"/>
    <w:rsid w:val="00465946"/>
    <w:rsid w:val="00466ADA"/>
    <w:rsid w:val="00466DBA"/>
    <w:rsid w:val="0046737B"/>
    <w:rsid w:val="00467851"/>
    <w:rsid w:val="004702BB"/>
    <w:rsid w:val="004704E0"/>
    <w:rsid w:val="00471375"/>
    <w:rsid w:val="0047211D"/>
    <w:rsid w:val="00472AA2"/>
    <w:rsid w:val="00472BB8"/>
    <w:rsid w:val="00472D22"/>
    <w:rsid w:val="0047304C"/>
    <w:rsid w:val="00474227"/>
    <w:rsid w:val="0047494B"/>
    <w:rsid w:val="00476245"/>
    <w:rsid w:val="00476FED"/>
    <w:rsid w:val="004773C4"/>
    <w:rsid w:val="00477A9B"/>
    <w:rsid w:val="0048001D"/>
    <w:rsid w:val="00480720"/>
    <w:rsid w:val="00480CFA"/>
    <w:rsid w:val="00480F03"/>
    <w:rsid w:val="004813D0"/>
    <w:rsid w:val="00482124"/>
    <w:rsid w:val="00482AE4"/>
    <w:rsid w:val="00482DA4"/>
    <w:rsid w:val="00483035"/>
    <w:rsid w:val="00483573"/>
    <w:rsid w:val="00484FE1"/>
    <w:rsid w:val="0048564D"/>
    <w:rsid w:val="004857AE"/>
    <w:rsid w:val="00485940"/>
    <w:rsid w:val="00485DE7"/>
    <w:rsid w:val="00485E1F"/>
    <w:rsid w:val="00486A7C"/>
    <w:rsid w:val="00486B1A"/>
    <w:rsid w:val="00486C95"/>
    <w:rsid w:val="00486DEC"/>
    <w:rsid w:val="00487248"/>
    <w:rsid w:val="004877C2"/>
    <w:rsid w:val="004904B9"/>
    <w:rsid w:val="004910E0"/>
    <w:rsid w:val="004911A3"/>
    <w:rsid w:val="00491B30"/>
    <w:rsid w:val="00491EDC"/>
    <w:rsid w:val="004928E1"/>
    <w:rsid w:val="00492D8D"/>
    <w:rsid w:val="00493483"/>
    <w:rsid w:val="00493DD0"/>
    <w:rsid w:val="00493DFC"/>
    <w:rsid w:val="0049438C"/>
    <w:rsid w:val="00496662"/>
    <w:rsid w:val="00496971"/>
    <w:rsid w:val="004978EB"/>
    <w:rsid w:val="004A02AD"/>
    <w:rsid w:val="004A1077"/>
    <w:rsid w:val="004A1431"/>
    <w:rsid w:val="004A1612"/>
    <w:rsid w:val="004A2484"/>
    <w:rsid w:val="004A2D3E"/>
    <w:rsid w:val="004A378E"/>
    <w:rsid w:val="004A4479"/>
    <w:rsid w:val="004A5A85"/>
    <w:rsid w:val="004A71D1"/>
    <w:rsid w:val="004A7689"/>
    <w:rsid w:val="004A7C5B"/>
    <w:rsid w:val="004B0F70"/>
    <w:rsid w:val="004B17CD"/>
    <w:rsid w:val="004B1845"/>
    <w:rsid w:val="004B2348"/>
    <w:rsid w:val="004B2E01"/>
    <w:rsid w:val="004B2E98"/>
    <w:rsid w:val="004B47D0"/>
    <w:rsid w:val="004B4B65"/>
    <w:rsid w:val="004B5640"/>
    <w:rsid w:val="004B6084"/>
    <w:rsid w:val="004B6EED"/>
    <w:rsid w:val="004B7C66"/>
    <w:rsid w:val="004BCF29"/>
    <w:rsid w:val="004C0206"/>
    <w:rsid w:val="004C03D0"/>
    <w:rsid w:val="004C07FB"/>
    <w:rsid w:val="004C1BD7"/>
    <w:rsid w:val="004C1BF2"/>
    <w:rsid w:val="004C1EE5"/>
    <w:rsid w:val="004C239C"/>
    <w:rsid w:val="004C31FE"/>
    <w:rsid w:val="004C3752"/>
    <w:rsid w:val="004C3EC1"/>
    <w:rsid w:val="004C4B86"/>
    <w:rsid w:val="004C524C"/>
    <w:rsid w:val="004C5BCA"/>
    <w:rsid w:val="004C5EDD"/>
    <w:rsid w:val="004C5FFA"/>
    <w:rsid w:val="004C691D"/>
    <w:rsid w:val="004C6C07"/>
    <w:rsid w:val="004C6DAC"/>
    <w:rsid w:val="004C7E15"/>
    <w:rsid w:val="004C7EC6"/>
    <w:rsid w:val="004D0E66"/>
    <w:rsid w:val="004D122D"/>
    <w:rsid w:val="004D1650"/>
    <w:rsid w:val="004D18E3"/>
    <w:rsid w:val="004D1A46"/>
    <w:rsid w:val="004D1A5A"/>
    <w:rsid w:val="004D2182"/>
    <w:rsid w:val="004D2CD1"/>
    <w:rsid w:val="004D365C"/>
    <w:rsid w:val="004D4E75"/>
    <w:rsid w:val="004D4FF6"/>
    <w:rsid w:val="004D5989"/>
    <w:rsid w:val="004D5ADD"/>
    <w:rsid w:val="004D5F24"/>
    <w:rsid w:val="004E01DE"/>
    <w:rsid w:val="004E0AAB"/>
    <w:rsid w:val="004E0AE7"/>
    <w:rsid w:val="004E0CC3"/>
    <w:rsid w:val="004E0DAC"/>
    <w:rsid w:val="004E17E5"/>
    <w:rsid w:val="004E1C27"/>
    <w:rsid w:val="004E36E4"/>
    <w:rsid w:val="004E4380"/>
    <w:rsid w:val="004E637E"/>
    <w:rsid w:val="004E692D"/>
    <w:rsid w:val="004E6C51"/>
    <w:rsid w:val="004E6D4A"/>
    <w:rsid w:val="004E7230"/>
    <w:rsid w:val="004E727A"/>
    <w:rsid w:val="004E7600"/>
    <w:rsid w:val="004E7D87"/>
    <w:rsid w:val="004E7F5F"/>
    <w:rsid w:val="004F0387"/>
    <w:rsid w:val="004F1817"/>
    <w:rsid w:val="004F1997"/>
    <w:rsid w:val="004F2553"/>
    <w:rsid w:val="004F306A"/>
    <w:rsid w:val="004F38F6"/>
    <w:rsid w:val="004F445F"/>
    <w:rsid w:val="004F4C82"/>
    <w:rsid w:val="004F528C"/>
    <w:rsid w:val="004F5AFA"/>
    <w:rsid w:val="004F7229"/>
    <w:rsid w:val="004F7AF1"/>
    <w:rsid w:val="004F7C46"/>
    <w:rsid w:val="00501554"/>
    <w:rsid w:val="005028C6"/>
    <w:rsid w:val="00502AFE"/>
    <w:rsid w:val="00502E5B"/>
    <w:rsid w:val="00502E64"/>
    <w:rsid w:val="00503AD7"/>
    <w:rsid w:val="00503E89"/>
    <w:rsid w:val="00504588"/>
    <w:rsid w:val="00504E0C"/>
    <w:rsid w:val="00504E13"/>
    <w:rsid w:val="00505ACA"/>
    <w:rsid w:val="00505BDC"/>
    <w:rsid w:val="00507561"/>
    <w:rsid w:val="005109D4"/>
    <w:rsid w:val="005121ED"/>
    <w:rsid w:val="0051230A"/>
    <w:rsid w:val="00512FAE"/>
    <w:rsid w:val="00513DC3"/>
    <w:rsid w:val="00514351"/>
    <w:rsid w:val="00514CD7"/>
    <w:rsid w:val="00516766"/>
    <w:rsid w:val="005167EC"/>
    <w:rsid w:val="00516EF0"/>
    <w:rsid w:val="005170DA"/>
    <w:rsid w:val="0051733F"/>
    <w:rsid w:val="00517F59"/>
    <w:rsid w:val="005209BF"/>
    <w:rsid w:val="00520D6A"/>
    <w:rsid w:val="005227E1"/>
    <w:rsid w:val="0052289A"/>
    <w:rsid w:val="00522DB6"/>
    <w:rsid w:val="005233A8"/>
    <w:rsid w:val="005242E0"/>
    <w:rsid w:val="0052604B"/>
    <w:rsid w:val="005260B4"/>
    <w:rsid w:val="005261FB"/>
    <w:rsid w:val="005264A7"/>
    <w:rsid w:val="0052655C"/>
    <w:rsid w:val="0052792D"/>
    <w:rsid w:val="00530B45"/>
    <w:rsid w:val="00530F69"/>
    <w:rsid w:val="005319B2"/>
    <w:rsid w:val="00532146"/>
    <w:rsid w:val="0053221B"/>
    <w:rsid w:val="00532287"/>
    <w:rsid w:val="00532402"/>
    <w:rsid w:val="00532686"/>
    <w:rsid w:val="00532C74"/>
    <w:rsid w:val="0053319E"/>
    <w:rsid w:val="00533239"/>
    <w:rsid w:val="005332A9"/>
    <w:rsid w:val="00534E2E"/>
    <w:rsid w:val="00535133"/>
    <w:rsid w:val="005361B3"/>
    <w:rsid w:val="005369AD"/>
    <w:rsid w:val="00537409"/>
    <w:rsid w:val="00537E46"/>
    <w:rsid w:val="0054064C"/>
    <w:rsid w:val="00541F21"/>
    <w:rsid w:val="00542BBA"/>
    <w:rsid w:val="0054300F"/>
    <w:rsid w:val="005443F5"/>
    <w:rsid w:val="00544552"/>
    <w:rsid w:val="00545130"/>
    <w:rsid w:val="005453C7"/>
    <w:rsid w:val="00546517"/>
    <w:rsid w:val="00546B36"/>
    <w:rsid w:val="00547BAB"/>
    <w:rsid w:val="00550C5C"/>
    <w:rsid w:val="00551789"/>
    <w:rsid w:val="00551AA7"/>
    <w:rsid w:val="005520B4"/>
    <w:rsid w:val="0055236F"/>
    <w:rsid w:val="0055286A"/>
    <w:rsid w:val="00552C4A"/>
    <w:rsid w:val="00554FE2"/>
    <w:rsid w:val="0055511E"/>
    <w:rsid w:val="00555292"/>
    <w:rsid w:val="00555745"/>
    <w:rsid w:val="00555E89"/>
    <w:rsid w:val="00556ADD"/>
    <w:rsid w:val="00557D4F"/>
    <w:rsid w:val="00560810"/>
    <w:rsid w:val="0056122E"/>
    <w:rsid w:val="00563352"/>
    <w:rsid w:val="00563BBB"/>
    <w:rsid w:val="005641E1"/>
    <w:rsid w:val="0056484E"/>
    <w:rsid w:val="00564DFE"/>
    <w:rsid w:val="00565999"/>
    <w:rsid w:val="0056711F"/>
    <w:rsid w:val="005674D3"/>
    <w:rsid w:val="00567D8A"/>
    <w:rsid w:val="00567FFE"/>
    <w:rsid w:val="00570231"/>
    <w:rsid w:val="00570793"/>
    <w:rsid w:val="005714B7"/>
    <w:rsid w:val="00571D1A"/>
    <w:rsid w:val="005736F4"/>
    <w:rsid w:val="00574097"/>
    <w:rsid w:val="00574BF3"/>
    <w:rsid w:val="005750E9"/>
    <w:rsid w:val="005764CD"/>
    <w:rsid w:val="0057703E"/>
    <w:rsid w:val="00577A65"/>
    <w:rsid w:val="00577C4D"/>
    <w:rsid w:val="00580532"/>
    <w:rsid w:val="00580696"/>
    <w:rsid w:val="005808F5"/>
    <w:rsid w:val="00580A90"/>
    <w:rsid w:val="00580EDA"/>
    <w:rsid w:val="005811F2"/>
    <w:rsid w:val="00581932"/>
    <w:rsid w:val="00581AA6"/>
    <w:rsid w:val="00583002"/>
    <w:rsid w:val="005840D3"/>
    <w:rsid w:val="0058541C"/>
    <w:rsid w:val="005856E2"/>
    <w:rsid w:val="00585C82"/>
    <w:rsid w:val="00586196"/>
    <w:rsid w:val="00586A31"/>
    <w:rsid w:val="00586E2E"/>
    <w:rsid w:val="005903BB"/>
    <w:rsid w:val="005903DB"/>
    <w:rsid w:val="00590CD1"/>
    <w:rsid w:val="00590EAF"/>
    <w:rsid w:val="00593893"/>
    <w:rsid w:val="00594F22"/>
    <w:rsid w:val="00595734"/>
    <w:rsid w:val="005963BB"/>
    <w:rsid w:val="0059645C"/>
    <w:rsid w:val="00596D37"/>
    <w:rsid w:val="005A044F"/>
    <w:rsid w:val="005A15D2"/>
    <w:rsid w:val="005A1A1E"/>
    <w:rsid w:val="005A29F3"/>
    <w:rsid w:val="005A2E3E"/>
    <w:rsid w:val="005A3173"/>
    <w:rsid w:val="005A3223"/>
    <w:rsid w:val="005A3DA3"/>
    <w:rsid w:val="005A52C4"/>
    <w:rsid w:val="005A5862"/>
    <w:rsid w:val="005A6005"/>
    <w:rsid w:val="005A63A1"/>
    <w:rsid w:val="005A6FED"/>
    <w:rsid w:val="005B01B1"/>
    <w:rsid w:val="005B044D"/>
    <w:rsid w:val="005B0486"/>
    <w:rsid w:val="005B0725"/>
    <w:rsid w:val="005B1032"/>
    <w:rsid w:val="005B1473"/>
    <w:rsid w:val="005B1F1E"/>
    <w:rsid w:val="005B2531"/>
    <w:rsid w:val="005B3395"/>
    <w:rsid w:val="005B362B"/>
    <w:rsid w:val="005B36FA"/>
    <w:rsid w:val="005B47C1"/>
    <w:rsid w:val="005B54A9"/>
    <w:rsid w:val="005B5971"/>
    <w:rsid w:val="005B7336"/>
    <w:rsid w:val="005B7EC1"/>
    <w:rsid w:val="005C1F2F"/>
    <w:rsid w:val="005C46BB"/>
    <w:rsid w:val="005C4EB8"/>
    <w:rsid w:val="005C4F73"/>
    <w:rsid w:val="005C6B08"/>
    <w:rsid w:val="005C6D66"/>
    <w:rsid w:val="005D02B7"/>
    <w:rsid w:val="005D03AB"/>
    <w:rsid w:val="005D047E"/>
    <w:rsid w:val="005D170C"/>
    <w:rsid w:val="005D298D"/>
    <w:rsid w:val="005D35E9"/>
    <w:rsid w:val="005D3855"/>
    <w:rsid w:val="005D3D40"/>
    <w:rsid w:val="005D401D"/>
    <w:rsid w:val="005D5017"/>
    <w:rsid w:val="005D5363"/>
    <w:rsid w:val="005D5708"/>
    <w:rsid w:val="005D5CE7"/>
    <w:rsid w:val="005D63FA"/>
    <w:rsid w:val="005D643D"/>
    <w:rsid w:val="005D702F"/>
    <w:rsid w:val="005D73C7"/>
    <w:rsid w:val="005D78AD"/>
    <w:rsid w:val="005E0050"/>
    <w:rsid w:val="005E0C2D"/>
    <w:rsid w:val="005E0D82"/>
    <w:rsid w:val="005E0F59"/>
    <w:rsid w:val="005E1333"/>
    <w:rsid w:val="005E1397"/>
    <w:rsid w:val="005E2135"/>
    <w:rsid w:val="005E29FC"/>
    <w:rsid w:val="005E3136"/>
    <w:rsid w:val="005E3CDA"/>
    <w:rsid w:val="005E507D"/>
    <w:rsid w:val="005E5430"/>
    <w:rsid w:val="005E6941"/>
    <w:rsid w:val="005E6E89"/>
    <w:rsid w:val="005E6F94"/>
    <w:rsid w:val="005F0AD0"/>
    <w:rsid w:val="005F0C3F"/>
    <w:rsid w:val="005F1301"/>
    <w:rsid w:val="005F180E"/>
    <w:rsid w:val="005F28F6"/>
    <w:rsid w:val="005F28F9"/>
    <w:rsid w:val="005F2FF9"/>
    <w:rsid w:val="005F3BC8"/>
    <w:rsid w:val="005F4020"/>
    <w:rsid w:val="005F4A81"/>
    <w:rsid w:val="005F5509"/>
    <w:rsid w:val="005F580D"/>
    <w:rsid w:val="005F58A7"/>
    <w:rsid w:val="005F7007"/>
    <w:rsid w:val="00600A18"/>
    <w:rsid w:val="0060111E"/>
    <w:rsid w:val="00601A91"/>
    <w:rsid w:val="00601BC5"/>
    <w:rsid w:val="00602063"/>
    <w:rsid w:val="006028E3"/>
    <w:rsid w:val="00602BA3"/>
    <w:rsid w:val="00603E60"/>
    <w:rsid w:val="00604D7A"/>
    <w:rsid w:val="006057D2"/>
    <w:rsid w:val="00605B63"/>
    <w:rsid w:val="00605F9A"/>
    <w:rsid w:val="00606442"/>
    <w:rsid w:val="00606A7B"/>
    <w:rsid w:val="00606EED"/>
    <w:rsid w:val="006072E0"/>
    <w:rsid w:val="00607DDB"/>
    <w:rsid w:val="00610CE5"/>
    <w:rsid w:val="00611405"/>
    <w:rsid w:val="00612312"/>
    <w:rsid w:val="00612A95"/>
    <w:rsid w:val="00612E34"/>
    <w:rsid w:val="00612E3C"/>
    <w:rsid w:val="00613414"/>
    <w:rsid w:val="00613730"/>
    <w:rsid w:val="00613A08"/>
    <w:rsid w:val="00614159"/>
    <w:rsid w:val="006158A3"/>
    <w:rsid w:val="00615ECD"/>
    <w:rsid w:val="00616C5F"/>
    <w:rsid w:val="00616DAC"/>
    <w:rsid w:val="00617725"/>
    <w:rsid w:val="0061799A"/>
    <w:rsid w:val="00617C00"/>
    <w:rsid w:val="00617E7F"/>
    <w:rsid w:val="00621857"/>
    <w:rsid w:val="0062316F"/>
    <w:rsid w:val="0062409B"/>
    <w:rsid w:val="00624274"/>
    <w:rsid w:val="00624574"/>
    <w:rsid w:val="006256B9"/>
    <w:rsid w:val="006258FD"/>
    <w:rsid w:val="00625C04"/>
    <w:rsid w:val="006263BF"/>
    <w:rsid w:val="0062722A"/>
    <w:rsid w:val="0062748A"/>
    <w:rsid w:val="00630546"/>
    <w:rsid w:val="00630A2C"/>
    <w:rsid w:val="006318DA"/>
    <w:rsid w:val="00632180"/>
    <w:rsid w:val="00632697"/>
    <w:rsid w:val="00634A75"/>
    <w:rsid w:val="0063682E"/>
    <w:rsid w:val="00636D93"/>
    <w:rsid w:val="00637020"/>
    <w:rsid w:val="00637C50"/>
    <w:rsid w:val="00640088"/>
    <w:rsid w:val="00640D16"/>
    <w:rsid w:val="00641127"/>
    <w:rsid w:val="00641696"/>
    <w:rsid w:val="0064183E"/>
    <w:rsid w:val="00642672"/>
    <w:rsid w:val="00642DA8"/>
    <w:rsid w:val="00643286"/>
    <w:rsid w:val="006436CD"/>
    <w:rsid w:val="006451C7"/>
    <w:rsid w:val="00645380"/>
    <w:rsid w:val="00645FBB"/>
    <w:rsid w:val="00647F43"/>
    <w:rsid w:val="00650976"/>
    <w:rsid w:val="00650B35"/>
    <w:rsid w:val="00651169"/>
    <w:rsid w:val="00653D69"/>
    <w:rsid w:val="00654177"/>
    <w:rsid w:val="00654A05"/>
    <w:rsid w:val="00655287"/>
    <w:rsid w:val="006552E6"/>
    <w:rsid w:val="00655794"/>
    <w:rsid w:val="00655906"/>
    <w:rsid w:val="0065623D"/>
    <w:rsid w:val="006568D5"/>
    <w:rsid w:val="00656F2F"/>
    <w:rsid w:val="00657830"/>
    <w:rsid w:val="00657C63"/>
    <w:rsid w:val="00660096"/>
    <w:rsid w:val="00661CBC"/>
    <w:rsid w:val="00662B85"/>
    <w:rsid w:val="00663543"/>
    <w:rsid w:val="00663BB2"/>
    <w:rsid w:val="00663EE9"/>
    <w:rsid w:val="00663F93"/>
    <w:rsid w:val="00664148"/>
    <w:rsid w:val="0066470B"/>
    <w:rsid w:val="00664987"/>
    <w:rsid w:val="00664F91"/>
    <w:rsid w:val="00665308"/>
    <w:rsid w:val="006660B8"/>
    <w:rsid w:val="006670B3"/>
    <w:rsid w:val="006670BE"/>
    <w:rsid w:val="00670A76"/>
    <w:rsid w:val="006711AA"/>
    <w:rsid w:val="0067136C"/>
    <w:rsid w:val="0067216D"/>
    <w:rsid w:val="006727D3"/>
    <w:rsid w:val="00672850"/>
    <w:rsid w:val="00672B57"/>
    <w:rsid w:val="00672F9E"/>
    <w:rsid w:val="006737F3"/>
    <w:rsid w:val="00673F1F"/>
    <w:rsid w:val="00674601"/>
    <w:rsid w:val="00674FA0"/>
    <w:rsid w:val="0067525A"/>
    <w:rsid w:val="006754EC"/>
    <w:rsid w:val="00675622"/>
    <w:rsid w:val="00675DEB"/>
    <w:rsid w:val="006761AE"/>
    <w:rsid w:val="0067747D"/>
    <w:rsid w:val="00677D0C"/>
    <w:rsid w:val="00680CC5"/>
    <w:rsid w:val="006818D5"/>
    <w:rsid w:val="00681CA4"/>
    <w:rsid w:val="00681E95"/>
    <w:rsid w:val="00682875"/>
    <w:rsid w:val="0068293C"/>
    <w:rsid w:val="00684CC7"/>
    <w:rsid w:val="006855D5"/>
    <w:rsid w:val="00686559"/>
    <w:rsid w:val="0068655A"/>
    <w:rsid w:val="0068796B"/>
    <w:rsid w:val="00687DB5"/>
    <w:rsid w:val="0069039D"/>
    <w:rsid w:val="006906DB"/>
    <w:rsid w:val="00690C8E"/>
    <w:rsid w:val="00690E1C"/>
    <w:rsid w:val="006910CD"/>
    <w:rsid w:val="00691900"/>
    <w:rsid w:val="006919E8"/>
    <w:rsid w:val="00691A2C"/>
    <w:rsid w:val="00691E6C"/>
    <w:rsid w:val="00692F4B"/>
    <w:rsid w:val="00693425"/>
    <w:rsid w:val="0069342D"/>
    <w:rsid w:val="00693DFB"/>
    <w:rsid w:val="00694B9B"/>
    <w:rsid w:val="00694D41"/>
    <w:rsid w:val="00694FD5"/>
    <w:rsid w:val="0069501D"/>
    <w:rsid w:val="00696034"/>
    <w:rsid w:val="00696129"/>
    <w:rsid w:val="00696564"/>
    <w:rsid w:val="00697CF2"/>
    <w:rsid w:val="006A09DB"/>
    <w:rsid w:val="006A0A74"/>
    <w:rsid w:val="006A0FF1"/>
    <w:rsid w:val="006A12A5"/>
    <w:rsid w:val="006A138F"/>
    <w:rsid w:val="006A14D2"/>
    <w:rsid w:val="006A192D"/>
    <w:rsid w:val="006A2515"/>
    <w:rsid w:val="006A2562"/>
    <w:rsid w:val="006A3711"/>
    <w:rsid w:val="006A3E3A"/>
    <w:rsid w:val="006A40B5"/>
    <w:rsid w:val="006A4B45"/>
    <w:rsid w:val="006A572D"/>
    <w:rsid w:val="006A5E20"/>
    <w:rsid w:val="006A7BE6"/>
    <w:rsid w:val="006B0BDC"/>
    <w:rsid w:val="006B0D94"/>
    <w:rsid w:val="006B16B6"/>
    <w:rsid w:val="006B334A"/>
    <w:rsid w:val="006B38BB"/>
    <w:rsid w:val="006B3A45"/>
    <w:rsid w:val="006B3E17"/>
    <w:rsid w:val="006B485D"/>
    <w:rsid w:val="006B53ED"/>
    <w:rsid w:val="006B6BE1"/>
    <w:rsid w:val="006B7412"/>
    <w:rsid w:val="006B7DDA"/>
    <w:rsid w:val="006B7FBF"/>
    <w:rsid w:val="006C0C45"/>
    <w:rsid w:val="006C10C7"/>
    <w:rsid w:val="006C1A04"/>
    <w:rsid w:val="006C2806"/>
    <w:rsid w:val="006C2B15"/>
    <w:rsid w:val="006C30D7"/>
    <w:rsid w:val="006C334C"/>
    <w:rsid w:val="006C37FC"/>
    <w:rsid w:val="006C4B5D"/>
    <w:rsid w:val="006C4D38"/>
    <w:rsid w:val="006C5F92"/>
    <w:rsid w:val="006C618A"/>
    <w:rsid w:val="006C67A5"/>
    <w:rsid w:val="006C6C10"/>
    <w:rsid w:val="006C708E"/>
    <w:rsid w:val="006D0992"/>
    <w:rsid w:val="006D0B24"/>
    <w:rsid w:val="006D0B9A"/>
    <w:rsid w:val="006D0D06"/>
    <w:rsid w:val="006D11CC"/>
    <w:rsid w:val="006D14E7"/>
    <w:rsid w:val="006D1BB0"/>
    <w:rsid w:val="006D1D40"/>
    <w:rsid w:val="006D1E5E"/>
    <w:rsid w:val="006D2DA8"/>
    <w:rsid w:val="006D2F28"/>
    <w:rsid w:val="006D401B"/>
    <w:rsid w:val="006D4444"/>
    <w:rsid w:val="006D4B7B"/>
    <w:rsid w:val="006D56B1"/>
    <w:rsid w:val="006D5D44"/>
    <w:rsid w:val="006D6493"/>
    <w:rsid w:val="006D6EC7"/>
    <w:rsid w:val="006D73F6"/>
    <w:rsid w:val="006D7B05"/>
    <w:rsid w:val="006D7E45"/>
    <w:rsid w:val="006E0917"/>
    <w:rsid w:val="006E1143"/>
    <w:rsid w:val="006E1786"/>
    <w:rsid w:val="006E1BCD"/>
    <w:rsid w:val="006E22BB"/>
    <w:rsid w:val="006E2732"/>
    <w:rsid w:val="006E304E"/>
    <w:rsid w:val="006E32DB"/>
    <w:rsid w:val="006E3992"/>
    <w:rsid w:val="006E3DAE"/>
    <w:rsid w:val="006E498F"/>
    <w:rsid w:val="006E59CD"/>
    <w:rsid w:val="006E5E86"/>
    <w:rsid w:val="006E626B"/>
    <w:rsid w:val="006F00ED"/>
    <w:rsid w:val="006F026F"/>
    <w:rsid w:val="006F05B6"/>
    <w:rsid w:val="006F0A71"/>
    <w:rsid w:val="006F1731"/>
    <w:rsid w:val="006F1C6B"/>
    <w:rsid w:val="006F2A3B"/>
    <w:rsid w:val="006F2ECE"/>
    <w:rsid w:val="006F3135"/>
    <w:rsid w:val="006F33E8"/>
    <w:rsid w:val="006F3D40"/>
    <w:rsid w:val="006F40C2"/>
    <w:rsid w:val="006F4621"/>
    <w:rsid w:val="006F4D9B"/>
    <w:rsid w:val="006F5125"/>
    <w:rsid w:val="006F531B"/>
    <w:rsid w:val="006F5B25"/>
    <w:rsid w:val="006F6D41"/>
    <w:rsid w:val="006F733D"/>
    <w:rsid w:val="00700765"/>
    <w:rsid w:val="00702959"/>
    <w:rsid w:val="00702B6F"/>
    <w:rsid w:val="00703092"/>
    <w:rsid w:val="007030B4"/>
    <w:rsid w:val="00703B86"/>
    <w:rsid w:val="00704069"/>
    <w:rsid w:val="007043F5"/>
    <w:rsid w:val="00706814"/>
    <w:rsid w:val="00706A2F"/>
    <w:rsid w:val="0070718E"/>
    <w:rsid w:val="00707938"/>
    <w:rsid w:val="00707E52"/>
    <w:rsid w:val="00707E90"/>
    <w:rsid w:val="00710259"/>
    <w:rsid w:val="0071031F"/>
    <w:rsid w:val="00710737"/>
    <w:rsid w:val="00711CB7"/>
    <w:rsid w:val="0071200A"/>
    <w:rsid w:val="0071340B"/>
    <w:rsid w:val="00713860"/>
    <w:rsid w:val="00713C50"/>
    <w:rsid w:val="00713C5E"/>
    <w:rsid w:val="007140BD"/>
    <w:rsid w:val="0071417A"/>
    <w:rsid w:val="0071436D"/>
    <w:rsid w:val="0071444C"/>
    <w:rsid w:val="0071486A"/>
    <w:rsid w:val="0071508D"/>
    <w:rsid w:val="00715281"/>
    <w:rsid w:val="00715BBB"/>
    <w:rsid w:val="00715D26"/>
    <w:rsid w:val="00715E01"/>
    <w:rsid w:val="0071624A"/>
    <w:rsid w:val="00716278"/>
    <w:rsid w:val="007172F4"/>
    <w:rsid w:val="00717375"/>
    <w:rsid w:val="007174BB"/>
    <w:rsid w:val="00717585"/>
    <w:rsid w:val="00717A1F"/>
    <w:rsid w:val="0072025D"/>
    <w:rsid w:val="00720410"/>
    <w:rsid w:val="00723328"/>
    <w:rsid w:val="007237DE"/>
    <w:rsid w:val="0072397D"/>
    <w:rsid w:val="0072502E"/>
    <w:rsid w:val="00727211"/>
    <w:rsid w:val="00730E6B"/>
    <w:rsid w:val="0073137C"/>
    <w:rsid w:val="0073182C"/>
    <w:rsid w:val="007338F3"/>
    <w:rsid w:val="00733C85"/>
    <w:rsid w:val="007340B9"/>
    <w:rsid w:val="0073443A"/>
    <w:rsid w:val="00734B80"/>
    <w:rsid w:val="007353D3"/>
    <w:rsid w:val="007354A4"/>
    <w:rsid w:val="007355B0"/>
    <w:rsid w:val="0073577A"/>
    <w:rsid w:val="0073736F"/>
    <w:rsid w:val="00737F57"/>
    <w:rsid w:val="0074156B"/>
    <w:rsid w:val="00741619"/>
    <w:rsid w:val="00742885"/>
    <w:rsid w:val="007433CA"/>
    <w:rsid w:val="00743500"/>
    <w:rsid w:val="0074421A"/>
    <w:rsid w:val="00744B68"/>
    <w:rsid w:val="00744CA3"/>
    <w:rsid w:val="0074530F"/>
    <w:rsid w:val="007468BF"/>
    <w:rsid w:val="00747092"/>
    <w:rsid w:val="007477FF"/>
    <w:rsid w:val="00750E3A"/>
    <w:rsid w:val="0075202F"/>
    <w:rsid w:val="007526E6"/>
    <w:rsid w:val="0075342C"/>
    <w:rsid w:val="00753565"/>
    <w:rsid w:val="00754C18"/>
    <w:rsid w:val="00754DF9"/>
    <w:rsid w:val="00755114"/>
    <w:rsid w:val="007555E8"/>
    <w:rsid w:val="0075561E"/>
    <w:rsid w:val="00755CC5"/>
    <w:rsid w:val="00757B52"/>
    <w:rsid w:val="007608DD"/>
    <w:rsid w:val="00761F38"/>
    <w:rsid w:val="0076279F"/>
    <w:rsid w:val="00762862"/>
    <w:rsid w:val="0076420C"/>
    <w:rsid w:val="00764428"/>
    <w:rsid w:val="00764D47"/>
    <w:rsid w:val="00765560"/>
    <w:rsid w:val="00766D6B"/>
    <w:rsid w:val="00770325"/>
    <w:rsid w:val="0077033F"/>
    <w:rsid w:val="00771D07"/>
    <w:rsid w:val="00772649"/>
    <w:rsid w:val="00772AC0"/>
    <w:rsid w:val="00772F5D"/>
    <w:rsid w:val="007731F1"/>
    <w:rsid w:val="00773599"/>
    <w:rsid w:val="00773804"/>
    <w:rsid w:val="00773BE3"/>
    <w:rsid w:val="007743DD"/>
    <w:rsid w:val="00774523"/>
    <w:rsid w:val="00774577"/>
    <w:rsid w:val="007746FF"/>
    <w:rsid w:val="00774712"/>
    <w:rsid w:val="00774841"/>
    <w:rsid w:val="00774C58"/>
    <w:rsid w:val="00774E2C"/>
    <w:rsid w:val="0077503C"/>
    <w:rsid w:val="0077518D"/>
    <w:rsid w:val="007753C2"/>
    <w:rsid w:val="00776068"/>
    <w:rsid w:val="007764B0"/>
    <w:rsid w:val="00776E49"/>
    <w:rsid w:val="00777017"/>
    <w:rsid w:val="007773B0"/>
    <w:rsid w:val="00777402"/>
    <w:rsid w:val="00781844"/>
    <w:rsid w:val="007821C4"/>
    <w:rsid w:val="00782586"/>
    <w:rsid w:val="00783065"/>
    <w:rsid w:val="007838B8"/>
    <w:rsid w:val="00783BD3"/>
    <w:rsid w:val="007851E4"/>
    <w:rsid w:val="00785286"/>
    <w:rsid w:val="00785779"/>
    <w:rsid w:val="0078667A"/>
    <w:rsid w:val="00786BC2"/>
    <w:rsid w:val="00786DCF"/>
    <w:rsid w:val="007875AE"/>
    <w:rsid w:val="007876D0"/>
    <w:rsid w:val="00787BAB"/>
    <w:rsid w:val="00787FD8"/>
    <w:rsid w:val="0079055F"/>
    <w:rsid w:val="007908C1"/>
    <w:rsid w:val="00790C25"/>
    <w:rsid w:val="007915BA"/>
    <w:rsid w:val="007917AE"/>
    <w:rsid w:val="00791844"/>
    <w:rsid w:val="007918B3"/>
    <w:rsid w:val="0079250E"/>
    <w:rsid w:val="00792E4C"/>
    <w:rsid w:val="007938B3"/>
    <w:rsid w:val="00793CE9"/>
    <w:rsid w:val="0079557F"/>
    <w:rsid w:val="00796667"/>
    <w:rsid w:val="00797068"/>
    <w:rsid w:val="007979BD"/>
    <w:rsid w:val="007A01A9"/>
    <w:rsid w:val="007A0215"/>
    <w:rsid w:val="007A0A77"/>
    <w:rsid w:val="007A1F38"/>
    <w:rsid w:val="007A3D8E"/>
    <w:rsid w:val="007A48DC"/>
    <w:rsid w:val="007A4BA5"/>
    <w:rsid w:val="007A5C88"/>
    <w:rsid w:val="007A6A2F"/>
    <w:rsid w:val="007A7422"/>
    <w:rsid w:val="007B024E"/>
    <w:rsid w:val="007B21C7"/>
    <w:rsid w:val="007B3275"/>
    <w:rsid w:val="007B3AB1"/>
    <w:rsid w:val="007B3BAF"/>
    <w:rsid w:val="007B3DDC"/>
    <w:rsid w:val="007B43CA"/>
    <w:rsid w:val="007B5C23"/>
    <w:rsid w:val="007B72A6"/>
    <w:rsid w:val="007B741E"/>
    <w:rsid w:val="007B7DDD"/>
    <w:rsid w:val="007C066F"/>
    <w:rsid w:val="007C06D2"/>
    <w:rsid w:val="007C08E0"/>
    <w:rsid w:val="007C0F57"/>
    <w:rsid w:val="007C1CA9"/>
    <w:rsid w:val="007C1EEB"/>
    <w:rsid w:val="007C1FFC"/>
    <w:rsid w:val="007C24BC"/>
    <w:rsid w:val="007C2F4B"/>
    <w:rsid w:val="007C2FE4"/>
    <w:rsid w:val="007C3806"/>
    <w:rsid w:val="007C40B6"/>
    <w:rsid w:val="007C4904"/>
    <w:rsid w:val="007C4F59"/>
    <w:rsid w:val="007C539E"/>
    <w:rsid w:val="007C58B8"/>
    <w:rsid w:val="007C5975"/>
    <w:rsid w:val="007C66BD"/>
    <w:rsid w:val="007C729F"/>
    <w:rsid w:val="007C72AD"/>
    <w:rsid w:val="007D0926"/>
    <w:rsid w:val="007D0B0C"/>
    <w:rsid w:val="007D1A6F"/>
    <w:rsid w:val="007D2489"/>
    <w:rsid w:val="007D2DE0"/>
    <w:rsid w:val="007D3FDF"/>
    <w:rsid w:val="007D446D"/>
    <w:rsid w:val="007D503D"/>
    <w:rsid w:val="007D50B5"/>
    <w:rsid w:val="007D56BF"/>
    <w:rsid w:val="007D59E7"/>
    <w:rsid w:val="007D5C1B"/>
    <w:rsid w:val="007D5F2A"/>
    <w:rsid w:val="007D6134"/>
    <w:rsid w:val="007D666C"/>
    <w:rsid w:val="007D700D"/>
    <w:rsid w:val="007D7C30"/>
    <w:rsid w:val="007E07AC"/>
    <w:rsid w:val="007E1014"/>
    <w:rsid w:val="007E12F8"/>
    <w:rsid w:val="007E14EB"/>
    <w:rsid w:val="007E1673"/>
    <w:rsid w:val="007E1D28"/>
    <w:rsid w:val="007E4564"/>
    <w:rsid w:val="007E490F"/>
    <w:rsid w:val="007E5604"/>
    <w:rsid w:val="007E6533"/>
    <w:rsid w:val="007E6729"/>
    <w:rsid w:val="007E67F9"/>
    <w:rsid w:val="007E7197"/>
    <w:rsid w:val="007E7702"/>
    <w:rsid w:val="007E7BCC"/>
    <w:rsid w:val="007F0021"/>
    <w:rsid w:val="007F1007"/>
    <w:rsid w:val="007F2641"/>
    <w:rsid w:val="007F4EF1"/>
    <w:rsid w:val="007F7C36"/>
    <w:rsid w:val="007F7F45"/>
    <w:rsid w:val="0080001F"/>
    <w:rsid w:val="00800205"/>
    <w:rsid w:val="008002A4"/>
    <w:rsid w:val="008007DD"/>
    <w:rsid w:val="00801958"/>
    <w:rsid w:val="0080218E"/>
    <w:rsid w:val="00802C73"/>
    <w:rsid w:val="0080396F"/>
    <w:rsid w:val="00804177"/>
    <w:rsid w:val="008055AF"/>
    <w:rsid w:val="008057CD"/>
    <w:rsid w:val="008066B8"/>
    <w:rsid w:val="00806796"/>
    <w:rsid w:val="00807497"/>
    <w:rsid w:val="00810167"/>
    <w:rsid w:val="0081046B"/>
    <w:rsid w:val="008104D0"/>
    <w:rsid w:val="00811C57"/>
    <w:rsid w:val="00811CC0"/>
    <w:rsid w:val="0081218E"/>
    <w:rsid w:val="008127D0"/>
    <w:rsid w:val="00812ADF"/>
    <w:rsid w:val="00813A33"/>
    <w:rsid w:val="00814276"/>
    <w:rsid w:val="00814A70"/>
    <w:rsid w:val="008151D6"/>
    <w:rsid w:val="008152E4"/>
    <w:rsid w:val="00816057"/>
    <w:rsid w:val="00816322"/>
    <w:rsid w:val="00816771"/>
    <w:rsid w:val="00816D1D"/>
    <w:rsid w:val="008173E1"/>
    <w:rsid w:val="00817B2F"/>
    <w:rsid w:val="00820803"/>
    <w:rsid w:val="00820EE1"/>
    <w:rsid w:val="008214E5"/>
    <w:rsid w:val="00821527"/>
    <w:rsid w:val="00822162"/>
    <w:rsid w:val="008225CE"/>
    <w:rsid w:val="00822696"/>
    <w:rsid w:val="008226F8"/>
    <w:rsid w:val="00823647"/>
    <w:rsid w:val="00824275"/>
    <w:rsid w:val="0082441B"/>
    <w:rsid w:val="00825408"/>
    <w:rsid w:val="00825A6C"/>
    <w:rsid w:val="00826157"/>
    <w:rsid w:val="0082617E"/>
    <w:rsid w:val="008268BB"/>
    <w:rsid w:val="00826F6D"/>
    <w:rsid w:val="00827097"/>
    <w:rsid w:val="00827AD0"/>
    <w:rsid w:val="00830695"/>
    <w:rsid w:val="008306F3"/>
    <w:rsid w:val="00830E40"/>
    <w:rsid w:val="00830FFF"/>
    <w:rsid w:val="00831172"/>
    <w:rsid w:val="00831B88"/>
    <w:rsid w:val="00832D9A"/>
    <w:rsid w:val="008342D9"/>
    <w:rsid w:val="00834D85"/>
    <w:rsid w:val="00834DD6"/>
    <w:rsid w:val="008350E8"/>
    <w:rsid w:val="008358D7"/>
    <w:rsid w:val="00835C62"/>
    <w:rsid w:val="00835F24"/>
    <w:rsid w:val="008368A1"/>
    <w:rsid w:val="00836C49"/>
    <w:rsid w:val="00836CC4"/>
    <w:rsid w:val="008375E6"/>
    <w:rsid w:val="00837932"/>
    <w:rsid w:val="00837B7F"/>
    <w:rsid w:val="008407E9"/>
    <w:rsid w:val="00840EF7"/>
    <w:rsid w:val="00842A52"/>
    <w:rsid w:val="00842B8F"/>
    <w:rsid w:val="00842C02"/>
    <w:rsid w:val="00843F13"/>
    <w:rsid w:val="0084432F"/>
    <w:rsid w:val="00844537"/>
    <w:rsid w:val="00844C0A"/>
    <w:rsid w:val="00846056"/>
    <w:rsid w:val="0084681F"/>
    <w:rsid w:val="00847426"/>
    <w:rsid w:val="008476D2"/>
    <w:rsid w:val="00847D08"/>
    <w:rsid w:val="00847EC0"/>
    <w:rsid w:val="0085037E"/>
    <w:rsid w:val="008503E3"/>
    <w:rsid w:val="008523E4"/>
    <w:rsid w:val="008526F4"/>
    <w:rsid w:val="00853A73"/>
    <w:rsid w:val="00854205"/>
    <w:rsid w:val="00854506"/>
    <w:rsid w:val="00855FD6"/>
    <w:rsid w:val="00856DDD"/>
    <w:rsid w:val="00856FAC"/>
    <w:rsid w:val="00857751"/>
    <w:rsid w:val="00857D73"/>
    <w:rsid w:val="00860233"/>
    <w:rsid w:val="0086081E"/>
    <w:rsid w:val="008608E3"/>
    <w:rsid w:val="00861F64"/>
    <w:rsid w:val="00862550"/>
    <w:rsid w:val="00863C6F"/>
    <w:rsid w:val="00863E68"/>
    <w:rsid w:val="008647B5"/>
    <w:rsid w:val="00864893"/>
    <w:rsid w:val="008648A7"/>
    <w:rsid w:val="00864A11"/>
    <w:rsid w:val="008664BF"/>
    <w:rsid w:val="00867D64"/>
    <w:rsid w:val="00867D85"/>
    <w:rsid w:val="008701B1"/>
    <w:rsid w:val="00870293"/>
    <w:rsid w:val="008717BC"/>
    <w:rsid w:val="008726D6"/>
    <w:rsid w:val="00872E8F"/>
    <w:rsid w:val="00873031"/>
    <w:rsid w:val="00873339"/>
    <w:rsid w:val="00873E29"/>
    <w:rsid w:val="008749B1"/>
    <w:rsid w:val="00874B42"/>
    <w:rsid w:val="0087567E"/>
    <w:rsid w:val="00875A1E"/>
    <w:rsid w:val="00875DCB"/>
    <w:rsid w:val="00876A65"/>
    <w:rsid w:val="00876FBF"/>
    <w:rsid w:val="0087755A"/>
    <w:rsid w:val="00877CBD"/>
    <w:rsid w:val="00877F6E"/>
    <w:rsid w:val="0088014A"/>
    <w:rsid w:val="00881485"/>
    <w:rsid w:val="00882085"/>
    <w:rsid w:val="008828A9"/>
    <w:rsid w:val="00883188"/>
    <w:rsid w:val="00883D16"/>
    <w:rsid w:val="0088431A"/>
    <w:rsid w:val="00884422"/>
    <w:rsid w:val="00884A0C"/>
    <w:rsid w:val="00886622"/>
    <w:rsid w:val="008869B2"/>
    <w:rsid w:val="00886ACA"/>
    <w:rsid w:val="00886B01"/>
    <w:rsid w:val="0089031E"/>
    <w:rsid w:val="0089066E"/>
    <w:rsid w:val="0089109A"/>
    <w:rsid w:val="00892970"/>
    <w:rsid w:val="0089368E"/>
    <w:rsid w:val="00893D5C"/>
    <w:rsid w:val="008940A4"/>
    <w:rsid w:val="0089460B"/>
    <w:rsid w:val="00894985"/>
    <w:rsid w:val="0089543A"/>
    <w:rsid w:val="008965A5"/>
    <w:rsid w:val="00897727"/>
    <w:rsid w:val="00897D58"/>
    <w:rsid w:val="00897F22"/>
    <w:rsid w:val="008A0B39"/>
    <w:rsid w:val="008A17A3"/>
    <w:rsid w:val="008A1956"/>
    <w:rsid w:val="008A1E85"/>
    <w:rsid w:val="008A2419"/>
    <w:rsid w:val="008A2E46"/>
    <w:rsid w:val="008A2EC3"/>
    <w:rsid w:val="008A41BC"/>
    <w:rsid w:val="008A4595"/>
    <w:rsid w:val="008A4937"/>
    <w:rsid w:val="008A50F1"/>
    <w:rsid w:val="008A564D"/>
    <w:rsid w:val="008A59D9"/>
    <w:rsid w:val="008A5E8C"/>
    <w:rsid w:val="008A6415"/>
    <w:rsid w:val="008A643E"/>
    <w:rsid w:val="008A6819"/>
    <w:rsid w:val="008B007A"/>
    <w:rsid w:val="008B0C61"/>
    <w:rsid w:val="008B0CE6"/>
    <w:rsid w:val="008B132E"/>
    <w:rsid w:val="008B152C"/>
    <w:rsid w:val="008B2EC0"/>
    <w:rsid w:val="008B4C86"/>
    <w:rsid w:val="008B61DD"/>
    <w:rsid w:val="008B6407"/>
    <w:rsid w:val="008B6DCF"/>
    <w:rsid w:val="008C07F5"/>
    <w:rsid w:val="008C0978"/>
    <w:rsid w:val="008C1659"/>
    <w:rsid w:val="008C1EFD"/>
    <w:rsid w:val="008C2E0E"/>
    <w:rsid w:val="008C391F"/>
    <w:rsid w:val="008C45E2"/>
    <w:rsid w:val="008C4B8F"/>
    <w:rsid w:val="008C4D49"/>
    <w:rsid w:val="008C68B6"/>
    <w:rsid w:val="008C72CE"/>
    <w:rsid w:val="008C7442"/>
    <w:rsid w:val="008D0531"/>
    <w:rsid w:val="008D0945"/>
    <w:rsid w:val="008D1409"/>
    <w:rsid w:val="008D15CC"/>
    <w:rsid w:val="008D1729"/>
    <w:rsid w:val="008D1B5C"/>
    <w:rsid w:val="008D2121"/>
    <w:rsid w:val="008D2D17"/>
    <w:rsid w:val="008D3222"/>
    <w:rsid w:val="008D3C82"/>
    <w:rsid w:val="008D447E"/>
    <w:rsid w:val="008D5FDA"/>
    <w:rsid w:val="008D6ACF"/>
    <w:rsid w:val="008D7855"/>
    <w:rsid w:val="008D7A41"/>
    <w:rsid w:val="008D7DB0"/>
    <w:rsid w:val="008E039B"/>
    <w:rsid w:val="008E0BDA"/>
    <w:rsid w:val="008E1363"/>
    <w:rsid w:val="008E1859"/>
    <w:rsid w:val="008E223C"/>
    <w:rsid w:val="008E2C72"/>
    <w:rsid w:val="008E3680"/>
    <w:rsid w:val="008E3EFC"/>
    <w:rsid w:val="008E4EB9"/>
    <w:rsid w:val="008E4F87"/>
    <w:rsid w:val="008E5870"/>
    <w:rsid w:val="008E70B1"/>
    <w:rsid w:val="008E77E4"/>
    <w:rsid w:val="008E7A85"/>
    <w:rsid w:val="008F0213"/>
    <w:rsid w:val="008F07ED"/>
    <w:rsid w:val="008F0F42"/>
    <w:rsid w:val="008F11F8"/>
    <w:rsid w:val="008F1434"/>
    <w:rsid w:val="008F1B09"/>
    <w:rsid w:val="008F2BB9"/>
    <w:rsid w:val="008F322D"/>
    <w:rsid w:val="008F3B01"/>
    <w:rsid w:val="008F3D6A"/>
    <w:rsid w:val="008F3E2B"/>
    <w:rsid w:val="008F54C3"/>
    <w:rsid w:val="008F6A24"/>
    <w:rsid w:val="008F7355"/>
    <w:rsid w:val="0090041A"/>
    <w:rsid w:val="009004E4"/>
    <w:rsid w:val="0090082B"/>
    <w:rsid w:val="00900D3F"/>
    <w:rsid w:val="00900FEC"/>
    <w:rsid w:val="00901F29"/>
    <w:rsid w:val="009023DC"/>
    <w:rsid w:val="009027C5"/>
    <w:rsid w:val="0090303F"/>
    <w:rsid w:val="009033EA"/>
    <w:rsid w:val="00903742"/>
    <w:rsid w:val="00903962"/>
    <w:rsid w:val="00904413"/>
    <w:rsid w:val="00906122"/>
    <w:rsid w:val="009067B7"/>
    <w:rsid w:val="00906E7A"/>
    <w:rsid w:val="00906E7F"/>
    <w:rsid w:val="009070B4"/>
    <w:rsid w:val="0090711C"/>
    <w:rsid w:val="009071C1"/>
    <w:rsid w:val="0090775A"/>
    <w:rsid w:val="00907DFD"/>
    <w:rsid w:val="009102D2"/>
    <w:rsid w:val="0091076B"/>
    <w:rsid w:val="009125A6"/>
    <w:rsid w:val="00912DD6"/>
    <w:rsid w:val="0091380B"/>
    <w:rsid w:val="00913C99"/>
    <w:rsid w:val="0091491B"/>
    <w:rsid w:val="009154BA"/>
    <w:rsid w:val="00915BD6"/>
    <w:rsid w:val="00917726"/>
    <w:rsid w:val="00917D69"/>
    <w:rsid w:val="00920B6D"/>
    <w:rsid w:val="0092164A"/>
    <w:rsid w:val="00922EE2"/>
    <w:rsid w:val="0092313B"/>
    <w:rsid w:val="00923B88"/>
    <w:rsid w:val="0092446E"/>
    <w:rsid w:val="00924F2B"/>
    <w:rsid w:val="00926560"/>
    <w:rsid w:val="00926B15"/>
    <w:rsid w:val="00930291"/>
    <w:rsid w:val="00930937"/>
    <w:rsid w:val="009324A6"/>
    <w:rsid w:val="009333D6"/>
    <w:rsid w:val="00933A42"/>
    <w:rsid w:val="00933B7D"/>
    <w:rsid w:val="00933E6C"/>
    <w:rsid w:val="00934CFC"/>
    <w:rsid w:val="00935A6E"/>
    <w:rsid w:val="00937958"/>
    <w:rsid w:val="0094001D"/>
    <w:rsid w:val="00940529"/>
    <w:rsid w:val="009406E5"/>
    <w:rsid w:val="00941602"/>
    <w:rsid w:val="0094183F"/>
    <w:rsid w:val="00941865"/>
    <w:rsid w:val="00942050"/>
    <w:rsid w:val="00942160"/>
    <w:rsid w:val="0094246F"/>
    <w:rsid w:val="009425FA"/>
    <w:rsid w:val="00942C2F"/>
    <w:rsid w:val="00942C56"/>
    <w:rsid w:val="00943043"/>
    <w:rsid w:val="009430C3"/>
    <w:rsid w:val="009448AE"/>
    <w:rsid w:val="00944CA3"/>
    <w:rsid w:val="00944EE9"/>
    <w:rsid w:val="00944F9E"/>
    <w:rsid w:val="00946921"/>
    <w:rsid w:val="0094717B"/>
    <w:rsid w:val="00947343"/>
    <w:rsid w:val="0094786F"/>
    <w:rsid w:val="00947A5A"/>
    <w:rsid w:val="00947E18"/>
    <w:rsid w:val="00947E33"/>
    <w:rsid w:val="00950B18"/>
    <w:rsid w:val="0095146F"/>
    <w:rsid w:val="0095181D"/>
    <w:rsid w:val="00951899"/>
    <w:rsid w:val="00951F2D"/>
    <w:rsid w:val="00952839"/>
    <w:rsid w:val="0095344C"/>
    <w:rsid w:val="009534C7"/>
    <w:rsid w:val="009538F7"/>
    <w:rsid w:val="00953FBD"/>
    <w:rsid w:val="00954E14"/>
    <w:rsid w:val="00955378"/>
    <w:rsid w:val="009557B2"/>
    <w:rsid w:val="00957944"/>
    <w:rsid w:val="009602C5"/>
    <w:rsid w:val="0096051A"/>
    <w:rsid w:val="0096103A"/>
    <w:rsid w:val="0096212B"/>
    <w:rsid w:val="00962223"/>
    <w:rsid w:val="00962456"/>
    <w:rsid w:val="0096252B"/>
    <w:rsid w:val="00963133"/>
    <w:rsid w:val="00963178"/>
    <w:rsid w:val="009640F3"/>
    <w:rsid w:val="00964278"/>
    <w:rsid w:val="0096432D"/>
    <w:rsid w:val="009644A9"/>
    <w:rsid w:val="009644D9"/>
    <w:rsid w:val="009649C8"/>
    <w:rsid w:val="00964A9F"/>
    <w:rsid w:val="00964FDE"/>
    <w:rsid w:val="00965892"/>
    <w:rsid w:val="00966C3C"/>
    <w:rsid w:val="00966D0D"/>
    <w:rsid w:val="00967732"/>
    <w:rsid w:val="0096783C"/>
    <w:rsid w:val="00970023"/>
    <w:rsid w:val="00970045"/>
    <w:rsid w:val="00970991"/>
    <w:rsid w:val="00970C75"/>
    <w:rsid w:val="00971382"/>
    <w:rsid w:val="009716E8"/>
    <w:rsid w:val="00971836"/>
    <w:rsid w:val="00971B1F"/>
    <w:rsid w:val="009722B3"/>
    <w:rsid w:val="00973E24"/>
    <w:rsid w:val="009747F8"/>
    <w:rsid w:val="00974C21"/>
    <w:rsid w:val="00974D5F"/>
    <w:rsid w:val="00975948"/>
    <w:rsid w:val="009772FD"/>
    <w:rsid w:val="009773E4"/>
    <w:rsid w:val="00977BF3"/>
    <w:rsid w:val="0098029D"/>
    <w:rsid w:val="009803E4"/>
    <w:rsid w:val="00980B0E"/>
    <w:rsid w:val="00981212"/>
    <w:rsid w:val="00981857"/>
    <w:rsid w:val="00982B39"/>
    <w:rsid w:val="00983172"/>
    <w:rsid w:val="009836A3"/>
    <w:rsid w:val="00984C58"/>
    <w:rsid w:val="00985325"/>
    <w:rsid w:val="009855A8"/>
    <w:rsid w:val="00985CBE"/>
    <w:rsid w:val="00985D1A"/>
    <w:rsid w:val="0098614E"/>
    <w:rsid w:val="00987098"/>
    <w:rsid w:val="00987FE1"/>
    <w:rsid w:val="00990A35"/>
    <w:rsid w:val="00990CF8"/>
    <w:rsid w:val="009913F4"/>
    <w:rsid w:val="00991782"/>
    <w:rsid w:val="00991A00"/>
    <w:rsid w:val="00991BDB"/>
    <w:rsid w:val="0099202F"/>
    <w:rsid w:val="00992281"/>
    <w:rsid w:val="009937D6"/>
    <w:rsid w:val="009937F7"/>
    <w:rsid w:val="0099465B"/>
    <w:rsid w:val="009951A1"/>
    <w:rsid w:val="00996977"/>
    <w:rsid w:val="00997076"/>
    <w:rsid w:val="00997A44"/>
    <w:rsid w:val="009A0605"/>
    <w:rsid w:val="009A08E7"/>
    <w:rsid w:val="009A0CDD"/>
    <w:rsid w:val="009A1450"/>
    <w:rsid w:val="009A1550"/>
    <w:rsid w:val="009A15E9"/>
    <w:rsid w:val="009A174C"/>
    <w:rsid w:val="009A18A3"/>
    <w:rsid w:val="009A19B1"/>
    <w:rsid w:val="009A26CF"/>
    <w:rsid w:val="009A3168"/>
    <w:rsid w:val="009A4087"/>
    <w:rsid w:val="009A4621"/>
    <w:rsid w:val="009A4A85"/>
    <w:rsid w:val="009A4BDF"/>
    <w:rsid w:val="009A5CCB"/>
    <w:rsid w:val="009A5D04"/>
    <w:rsid w:val="009A61CA"/>
    <w:rsid w:val="009A6E5F"/>
    <w:rsid w:val="009A7084"/>
    <w:rsid w:val="009B0062"/>
    <w:rsid w:val="009B098E"/>
    <w:rsid w:val="009B0C07"/>
    <w:rsid w:val="009B0C64"/>
    <w:rsid w:val="009B0F67"/>
    <w:rsid w:val="009B105B"/>
    <w:rsid w:val="009B208A"/>
    <w:rsid w:val="009B2756"/>
    <w:rsid w:val="009B3D56"/>
    <w:rsid w:val="009B3F8C"/>
    <w:rsid w:val="009B45AF"/>
    <w:rsid w:val="009B4F48"/>
    <w:rsid w:val="009B533B"/>
    <w:rsid w:val="009B546B"/>
    <w:rsid w:val="009B5E49"/>
    <w:rsid w:val="009B645C"/>
    <w:rsid w:val="009B786B"/>
    <w:rsid w:val="009C1252"/>
    <w:rsid w:val="009C26AA"/>
    <w:rsid w:val="009C3729"/>
    <w:rsid w:val="009C38FD"/>
    <w:rsid w:val="009C3E16"/>
    <w:rsid w:val="009C3EE6"/>
    <w:rsid w:val="009C44D2"/>
    <w:rsid w:val="009C44F8"/>
    <w:rsid w:val="009C44FB"/>
    <w:rsid w:val="009C4593"/>
    <w:rsid w:val="009C6B58"/>
    <w:rsid w:val="009C703C"/>
    <w:rsid w:val="009D0B50"/>
    <w:rsid w:val="009D0C29"/>
    <w:rsid w:val="009D0E39"/>
    <w:rsid w:val="009D1126"/>
    <w:rsid w:val="009D12FE"/>
    <w:rsid w:val="009D1C5D"/>
    <w:rsid w:val="009D206E"/>
    <w:rsid w:val="009D2BF4"/>
    <w:rsid w:val="009D3CAA"/>
    <w:rsid w:val="009D3E2A"/>
    <w:rsid w:val="009D450E"/>
    <w:rsid w:val="009D4606"/>
    <w:rsid w:val="009D4808"/>
    <w:rsid w:val="009D4B02"/>
    <w:rsid w:val="009D507A"/>
    <w:rsid w:val="009D6532"/>
    <w:rsid w:val="009D71FD"/>
    <w:rsid w:val="009E0400"/>
    <w:rsid w:val="009E06F0"/>
    <w:rsid w:val="009E0755"/>
    <w:rsid w:val="009E10AD"/>
    <w:rsid w:val="009E18F3"/>
    <w:rsid w:val="009E2209"/>
    <w:rsid w:val="009E2588"/>
    <w:rsid w:val="009E2915"/>
    <w:rsid w:val="009E2E8E"/>
    <w:rsid w:val="009E32E9"/>
    <w:rsid w:val="009E33AF"/>
    <w:rsid w:val="009E3572"/>
    <w:rsid w:val="009E40E1"/>
    <w:rsid w:val="009E448E"/>
    <w:rsid w:val="009E470B"/>
    <w:rsid w:val="009E47B2"/>
    <w:rsid w:val="009E5F25"/>
    <w:rsid w:val="009E668F"/>
    <w:rsid w:val="009E6FAF"/>
    <w:rsid w:val="009F0302"/>
    <w:rsid w:val="009F0A69"/>
    <w:rsid w:val="009F0EFA"/>
    <w:rsid w:val="009F0FCD"/>
    <w:rsid w:val="009F1494"/>
    <w:rsid w:val="009F2FB9"/>
    <w:rsid w:val="009F49D2"/>
    <w:rsid w:val="009F4E46"/>
    <w:rsid w:val="009F52BA"/>
    <w:rsid w:val="009F5B65"/>
    <w:rsid w:val="009F5F2E"/>
    <w:rsid w:val="009F5FDD"/>
    <w:rsid w:val="009F778C"/>
    <w:rsid w:val="009F7D50"/>
    <w:rsid w:val="00A01432"/>
    <w:rsid w:val="00A0167A"/>
    <w:rsid w:val="00A01980"/>
    <w:rsid w:val="00A02900"/>
    <w:rsid w:val="00A02A38"/>
    <w:rsid w:val="00A02B06"/>
    <w:rsid w:val="00A02EFB"/>
    <w:rsid w:val="00A03297"/>
    <w:rsid w:val="00A048F2"/>
    <w:rsid w:val="00A05356"/>
    <w:rsid w:val="00A06225"/>
    <w:rsid w:val="00A064C8"/>
    <w:rsid w:val="00A066E6"/>
    <w:rsid w:val="00A06CE2"/>
    <w:rsid w:val="00A07167"/>
    <w:rsid w:val="00A0770B"/>
    <w:rsid w:val="00A110D1"/>
    <w:rsid w:val="00A12587"/>
    <w:rsid w:val="00A128E6"/>
    <w:rsid w:val="00A130D1"/>
    <w:rsid w:val="00A144D3"/>
    <w:rsid w:val="00A14DA4"/>
    <w:rsid w:val="00A152B9"/>
    <w:rsid w:val="00A15AA9"/>
    <w:rsid w:val="00A17EA7"/>
    <w:rsid w:val="00A21670"/>
    <w:rsid w:val="00A21D7D"/>
    <w:rsid w:val="00A22AC3"/>
    <w:rsid w:val="00A2351E"/>
    <w:rsid w:val="00A23C7F"/>
    <w:rsid w:val="00A23F3F"/>
    <w:rsid w:val="00A24067"/>
    <w:rsid w:val="00A242CC"/>
    <w:rsid w:val="00A24A4B"/>
    <w:rsid w:val="00A25145"/>
    <w:rsid w:val="00A25F71"/>
    <w:rsid w:val="00A260DB"/>
    <w:rsid w:val="00A26E53"/>
    <w:rsid w:val="00A2744D"/>
    <w:rsid w:val="00A276A3"/>
    <w:rsid w:val="00A27750"/>
    <w:rsid w:val="00A306F6"/>
    <w:rsid w:val="00A30742"/>
    <w:rsid w:val="00A308CB"/>
    <w:rsid w:val="00A30D16"/>
    <w:rsid w:val="00A31576"/>
    <w:rsid w:val="00A31AF8"/>
    <w:rsid w:val="00A32F02"/>
    <w:rsid w:val="00A32FD7"/>
    <w:rsid w:val="00A33B00"/>
    <w:rsid w:val="00A33EB7"/>
    <w:rsid w:val="00A34E6C"/>
    <w:rsid w:val="00A34FD0"/>
    <w:rsid w:val="00A359D1"/>
    <w:rsid w:val="00A35CDA"/>
    <w:rsid w:val="00A361EA"/>
    <w:rsid w:val="00A36398"/>
    <w:rsid w:val="00A36735"/>
    <w:rsid w:val="00A36CC1"/>
    <w:rsid w:val="00A37707"/>
    <w:rsid w:val="00A37C8D"/>
    <w:rsid w:val="00A37EEC"/>
    <w:rsid w:val="00A4020E"/>
    <w:rsid w:val="00A40226"/>
    <w:rsid w:val="00A40493"/>
    <w:rsid w:val="00A408E8"/>
    <w:rsid w:val="00A40FB5"/>
    <w:rsid w:val="00A4172E"/>
    <w:rsid w:val="00A4230B"/>
    <w:rsid w:val="00A42826"/>
    <w:rsid w:val="00A429A8"/>
    <w:rsid w:val="00A429B3"/>
    <w:rsid w:val="00A433F7"/>
    <w:rsid w:val="00A44171"/>
    <w:rsid w:val="00A4450D"/>
    <w:rsid w:val="00A44EC1"/>
    <w:rsid w:val="00A44ECA"/>
    <w:rsid w:val="00A454BC"/>
    <w:rsid w:val="00A46475"/>
    <w:rsid w:val="00A4782E"/>
    <w:rsid w:val="00A5039D"/>
    <w:rsid w:val="00A510E4"/>
    <w:rsid w:val="00A51255"/>
    <w:rsid w:val="00A51435"/>
    <w:rsid w:val="00A5154A"/>
    <w:rsid w:val="00A51E96"/>
    <w:rsid w:val="00A51F8C"/>
    <w:rsid w:val="00A526F7"/>
    <w:rsid w:val="00A5273B"/>
    <w:rsid w:val="00A52E40"/>
    <w:rsid w:val="00A53A9D"/>
    <w:rsid w:val="00A53B32"/>
    <w:rsid w:val="00A53FD4"/>
    <w:rsid w:val="00A5439D"/>
    <w:rsid w:val="00A55223"/>
    <w:rsid w:val="00A55A3E"/>
    <w:rsid w:val="00A55FEE"/>
    <w:rsid w:val="00A56304"/>
    <w:rsid w:val="00A56331"/>
    <w:rsid w:val="00A57422"/>
    <w:rsid w:val="00A60A9B"/>
    <w:rsid w:val="00A6173E"/>
    <w:rsid w:val="00A61F6A"/>
    <w:rsid w:val="00A62C1A"/>
    <w:rsid w:val="00A62C25"/>
    <w:rsid w:val="00A63CA2"/>
    <w:rsid w:val="00A6426D"/>
    <w:rsid w:val="00A6439B"/>
    <w:rsid w:val="00A64F91"/>
    <w:rsid w:val="00A65365"/>
    <w:rsid w:val="00A65D56"/>
    <w:rsid w:val="00A6632C"/>
    <w:rsid w:val="00A66443"/>
    <w:rsid w:val="00A665C1"/>
    <w:rsid w:val="00A671F9"/>
    <w:rsid w:val="00A673A4"/>
    <w:rsid w:val="00A7001A"/>
    <w:rsid w:val="00A70622"/>
    <w:rsid w:val="00A70977"/>
    <w:rsid w:val="00A70A16"/>
    <w:rsid w:val="00A70D58"/>
    <w:rsid w:val="00A73093"/>
    <w:rsid w:val="00A73D1C"/>
    <w:rsid w:val="00A740AE"/>
    <w:rsid w:val="00A744F9"/>
    <w:rsid w:val="00A74C3B"/>
    <w:rsid w:val="00A751D2"/>
    <w:rsid w:val="00A753A1"/>
    <w:rsid w:val="00A77613"/>
    <w:rsid w:val="00A77B87"/>
    <w:rsid w:val="00A77E01"/>
    <w:rsid w:val="00A801AD"/>
    <w:rsid w:val="00A808DB"/>
    <w:rsid w:val="00A81851"/>
    <w:rsid w:val="00A835B0"/>
    <w:rsid w:val="00A8390C"/>
    <w:rsid w:val="00A84253"/>
    <w:rsid w:val="00A85F3A"/>
    <w:rsid w:val="00A86AE0"/>
    <w:rsid w:val="00A86EA4"/>
    <w:rsid w:val="00A870BC"/>
    <w:rsid w:val="00A873FB"/>
    <w:rsid w:val="00A87BFB"/>
    <w:rsid w:val="00A91232"/>
    <w:rsid w:val="00A912B0"/>
    <w:rsid w:val="00A91362"/>
    <w:rsid w:val="00A9151C"/>
    <w:rsid w:val="00A919C6"/>
    <w:rsid w:val="00A91DDB"/>
    <w:rsid w:val="00A928BD"/>
    <w:rsid w:val="00A92D61"/>
    <w:rsid w:val="00A936B6"/>
    <w:rsid w:val="00A93B9C"/>
    <w:rsid w:val="00A9420D"/>
    <w:rsid w:val="00A9429B"/>
    <w:rsid w:val="00A96BE5"/>
    <w:rsid w:val="00A97A0C"/>
    <w:rsid w:val="00A97DE9"/>
    <w:rsid w:val="00AA035C"/>
    <w:rsid w:val="00AA12CD"/>
    <w:rsid w:val="00AA12EB"/>
    <w:rsid w:val="00AA1C12"/>
    <w:rsid w:val="00AA24E9"/>
    <w:rsid w:val="00AA2821"/>
    <w:rsid w:val="00AA3202"/>
    <w:rsid w:val="00AA3DA6"/>
    <w:rsid w:val="00AA4D1C"/>
    <w:rsid w:val="00AA52FD"/>
    <w:rsid w:val="00AA5D40"/>
    <w:rsid w:val="00AA664C"/>
    <w:rsid w:val="00AA7006"/>
    <w:rsid w:val="00AA747C"/>
    <w:rsid w:val="00AA768D"/>
    <w:rsid w:val="00AA7BDC"/>
    <w:rsid w:val="00AB0147"/>
    <w:rsid w:val="00AB0248"/>
    <w:rsid w:val="00AB0D4B"/>
    <w:rsid w:val="00AB3138"/>
    <w:rsid w:val="00AB3EA9"/>
    <w:rsid w:val="00AB4684"/>
    <w:rsid w:val="00AB5287"/>
    <w:rsid w:val="00AB5427"/>
    <w:rsid w:val="00AB5856"/>
    <w:rsid w:val="00AB673A"/>
    <w:rsid w:val="00AB6984"/>
    <w:rsid w:val="00AB6A80"/>
    <w:rsid w:val="00AB7180"/>
    <w:rsid w:val="00AB74C7"/>
    <w:rsid w:val="00AB7BA1"/>
    <w:rsid w:val="00AC032A"/>
    <w:rsid w:val="00AC070C"/>
    <w:rsid w:val="00AC081D"/>
    <w:rsid w:val="00AC0939"/>
    <w:rsid w:val="00AC0C6F"/>
    <w:rsid w:val="00AC1266"/>
    <w:rsid w:val="00AC193C"/>
    <w:rsid w:val="00AC2530"/>
    <w:rsid w:val="00AC30C1"/>
    <w:rsid w:val="00AC3F81"/>
    <w:rsid w:val="00AC458E"/>
    <w:rsid w:val="00AC4DE5"/>
    <w:rsid w:val="00AC5206"/>
    <w:rsid w:val="00AC594D"/>
    <w:rsid w:val="00AC6B25"/>
    <w:rsid w:val="00AC6D66"/>
    <w:rsid w:val="00AC7056"/>
    <w:rsid w:val="00AD095B"/>
    <w:rsid w:val="00AD1FC0"/>
    <w:rsid w:val="00AD2358"/>
    <w:rsid w:val="00AD2B6D"/>
    <w:rsid w:val="00AD3106"/>
    <w:rsid w:val="00AD369E"/>
    <w:rsid w:val="00AD3B18"/>
    <w:rsid w:val="00AD3FCA"/>
    <w:rsid w:val="00AD4144"/>
    <w:rsid w:val="00AD4322"/>
    <w:rsid w:val="00AD631E"/>
    <w:rsid w:val="00AD666F"/>
    <w:rsid w:val="00AD6719"/>
    <w:rsid w:val="00AD6EB6"/>
    <w:rsid w:val="00AD78DB"/>
    <w:rsid w:val="00AD7F9E"/>
    <w:rsid w:val="00AE11A5"/>
    <w:rsid w:val="00AE13E2"/>
    <w:rsid w:val="00AE181A"/>
    <w:rsid w:val="00AE1C4F"/>
    <w:rsid w:val="00AE1C8D"/>
    <w:rsid w:val="00AE206C"/>
    <w:rsid w:val="00AE22D3"/>
    <w:rsid w:val="00AE2B09"/>
    <w:rsid w:val="00AE2DC8"/>
    <w:rsid w:val="00AE5987"/>
    <w:rsid w:val="00AE5A49"/>
    <w:rsid w:val="00AE7498"/>
    <w:rsid w:val="00AE7F5C"/>
    <w:rsid w:val="00AF03E6"/>
    <w:rsid w:val="00AF11D8"/>
    <w:rsid w:val="00AF2569"/>
    <w:rsid w:val="00AF3303"/>
    <w:rsid w:val="00AF3A87"/>
    <w:rsid w:val="00AF3D77"/>
    <w:rsid w:val="00AF45F9"/>
    <w:rsid w:val="00AF53B2"/>
    <w:rsid w:val="00AF54C3"/>
    <w:rsid w:val="00AF5867"/>
    <w:rsid w:val="00AF62DF"/>
    <w:rsid w:val="00AF68CC"/>
    <w:rsid w:val="00AF70D7"/>
    <w:rsid w:val="00B00086"/>
    <w:rsid w:val="00B0055D"/>
    <w:rsid w:val="00B00CD0"/>
    <w:rsid w:val="00B00E7F"/>
    <w:rsid w:val="00B016AB"/>
    <w:rsid w:val="00B01BC7"/>
    <w:rsid w:val="00B01FF4"/>
    <w:rsid w:val="00B02FC0"/>
    <w:rsid w:val="00B0326D"/>
    <w:rsid w:val="00B035FB"/>
    <w:rsid w:val="00B03787"/>
    <w:rsid w:val="00B0480F"/>
    <w:rsid w:val="00B055FA"/>
    <w:rsid w:val="00B05BCB"/>
    <w:rsid w:val="00B06037"/>
    <w:rsid w:val="00B06478"/>
    <w:rsid w:val="00B07533"/>
    <w:rsid w:val="00B07564"/>
    <w:rsid w:val="00B07CFB"/>
    <w:rsid w:val="00B1059E"/>
    <w:rsid w:val="00B10B6F"/>
    <w:rsid w:val="00B119D0"/>
    <w:rsid w:val="00B12148"/>
    <w:rsid w:val="00B12B22"/>
    <w:rsid w:val="00B13AD1"/>
    <w:rsid w:val="00B13D5C"/>
    <w:rsid w:val="00B149BA"/>
    <w:rsid w:val="00B14A36"/>
    <w:rsid w:val="00B16273"/>
    <w:rsid w:val="00B164B4"/>
    <w:rsid w:val="00B16794"/>
    <w:rsid w:val="00B170A5"/>
    <w:rsid w:val="00B1725F"/>
    <w:rsid w:val="00B176C8"/>
    <w:rsid w:val="00B179AF"/>
    <w:rsid w:val="00B17B57"/>
    <w:rsid w:val="00B17EE5"/>
    <w:rsid w:val="00B202B6"/>
    <w:rsid w:val="00B205AA"/>
    <w:rsid w:val="00B2100A"/>
    <w:rsid w:val="00B21A91"/>
    <w:rsid w:val="00B22BCF"/>
    <w:rsid w:val="00B22E84"/>
    <w:rsid w:val="00B233AD"/>
    <w:rsid w:val="00B23E25"/>
    <w:rsid w:val="00B25119"/>
    <w:rsid w:val="00B25F75"/>
    <w:rsid w:val="00B266DB"/>
    <w:rsid w:val="00B26B3F"/>
    <w:rsid w:val="00B26F4D"/>
    <w:rsid w:val="00B2778F"/>
    <w:rsid w:val="00B304A9"/>
    <w:rsid w:val="00B31FDD"/>
    <w:rsid w:val="00B327E2"/>
    <w:rsid w:val="00B32A05"/>
    <w:rsid w:val="00B33635"/>
    <w:rsid w:val="00B3564D"/>
    <w:rsid w:val="00B368FB"/>
    <w:rsid w:val="00B372FB"/>
    <w:rsid w:val="00B37A23"/>
    <w:rsid w:val="00B37CF8"/>
    <w:rsid w:val="00B37DE9"/>
    <w:rsid w:val="00B4115E"/>
    <w:rsid w:val="00B4208E"/>
    <w:rsid w:val="00B421B9"/>
    <w:rsid w:val="00B42305"/>
    <w:rsid w:val="00B42AF4"/>
    <w:rsid w:val="00B432DC"/>
    <w:rsid w:val="00B43AD9"/>
    <w:rsid w:val="00B43E90"/>
    <w:rsid w:val="00B43EFB"/>
    <w:rsid w:val="00B44308"/>
    <w:rsid w:val="00B44B3D"/>
    <w:rsid w:val="00B45722"/>
    <w:rsid w:val="00B460F4"/>
    <w:rsid w:val="00B46196"/>
    <w:rsid w:val="00B467DC"/>
    <w:rsid w:val="00B47A88"/>
    <w:rsid w:val="00B47F51"/>
    <w:rsid w:val="00B51462"/>
    <w:rsid w:val="00B51E09"/>
    <w:rsid w:val="00B52303"/>
    <w:rsid w:val="00B53207"/>
    <w:rsid w:val="00B5392A"/>
    <w:rsid w:val="00B539EF"/>
    <w:rsid w:val="00B54D96"/>
    <w:rsid w:val="00B550A5"/>
    <w:rsid w:val="00B5524C"/>
    <w:rsid w:val="00B55915"/>
    <w:rsid w:val="00B56118"/>
    <w:rsid w:val="00B566E1"/>
    <w:rsid w:val="00B56AFB"/>
    <w:rsid w:val="00B572BE"/>
    <w:rsid w:val="00B602F6"/>
    <w:rsid w:val="00B60ED3"/>
    <w:rsid w:val="00B6126D"/>
    <w:rsid w:val="00B620AA"/>
    <w:rsid w:val="00B62EC1"/>
    <w:rsid w:val="00B63251"/>
    <w:rsid w:val="00B64A96"/>
    <w:rsid w:val="00B65109"/>
    <w:rsid w:val="00B6533B"/>
    <w:rsid w:val="00B65A81"/>
    <w:rsid w:val="00B663D1"/>
    <w:rsid w:val="00B67502"/>
    <w:rsid w:val="00B6773F"/>
    <w:rsid w:val="00B709BF"/>
    <w:rsid w:val="00B70BF2"/>
    <w:rsid w:val="00B70EB3"/>
    <w:rsid w:val="00B724DD"/>
    <w:rsid w:val="00B727DA"/>
    <w:rsid w:val="00B72906"/>
    <w:rsid w:val="00B72A1D"/>
    <w:rsid w:val="00B7415F"/>
    <w:rsid w:val="00B74174"/>
    <w:rsid w:val="00B74418"/>
    <w:rsid w:val="00B74F48"/>
    <w:rsid w:val="00B7525E"/>
    <w:rsid w:val="00B7542A"/>
    <w:rsid w:val="00B75433"/>
    <w:rsid w:val="00B759C2"/>
    <w:rsid w:val="00B75A55"/>
    <w:rsid w:val="00B75F70"/>
    <w:rsid w:val="00B760FB"/>
    <w:rsid w:val="00B763F8"/>
    <w:rsid w:val="00B76765"/>
    <w:rsid w:val="00B767AB"/>
    <w:rsid w:val="00B77459"/>
    <w:rsid w:val="00B77826"/>
    <w:rsid w:val="00B77D03"/>
    <w:rsid w:val="00B801BA"/>
    <w:rsid w:val="00B802D9"/>
    <w:rsid w:val="00B808E2"/>
    <w:rsid w:val="00B80D50"/>
    <w:rsid w:val="00B812D6"/>
    <w:rsid w:val="00B81D38"/>
    <w:rsid w:val="00B82038"/>
    <w:rsid w:val="00B82350"/>
    <w:rsid w:val="00B82FE0"/>
    <w:rsid w:val="00B846E6"/>
    <w:rsid w:val="00B84D5C"/>
    <w:rsid w:val="00B850EB"/>
    <w:rsid w:val="00B856D7"/>
    <w:rsid w:val="00B85AF6"/>
    <w:rsid w:val="00B85F24"/>
    <w:rsid w:val="00B8675A"/>
    <w:rsid w:val="00B87EBF"/>
    <w:rsid w:val="00B911D1"/>
    <w:rsid w:val="00B91C44"/>
    <w:rsid w:val="00B92E46"/>
    <w:rsid w:val="00B9329F"/>
    <w:rsid w:val="00B93901"/>
    <w:rsid w:val="00B941ED"/>
    <w:rsid w:val="00B94FA3"/>
    <w:rsid w:val="00B956ED"/>
    <w:rsid w:val="00B967F5"/>
    <w:rsid w:val="00B97E76"/>
    <w:rsid w:val="00B97F70"/>
    <w:rsid w:val="00BA111F"/>
    <w:rsid w:val="00BA170F"/>
    <w:rsid w:val="00BA1E58"/>
    <w:rsid w:val="00BA285C"/>
    <w:rsid w:val="00BA2DA8"/>
    <w:rsid w:val="00BA347C"/>
    <w:rsid w:val="00BA38C2"/>
    <w:rsid w:val="00BA399C"/>
    <w:rsid w:val="00BA4015"/>
    <w:rsid w:val="00BA41CA"/>
    <w:rsid w:val="00BA4C79"/>
    <w:rsid w:val="00BA4D84"/>
    <w:rsid w:val="00BA560A"/>
    <w:rsid w:val="00BA64EA"/>
    <w:rsid w:val="00BA7B27"/>
    <w:rsid w:val="00BB1205"/>
    <w:rsid w:val="00BB120A"/>
    <w:rsid w:val="00BB24CD"/>
    <w:rsid w:val="00BB298A"/>
    <w:rsid w:val="00BB3469"/>
    <w:rsid w:val="00BB4218"/>
    <w:rsid w:val="00BB43E5"/>
    <w:rsid w:val="00BB5C49"/>
    <w:rsid w:val="00BB6240"/>
    <w:rsid w:val="00BB6285"/>
    <w:rsid w:val="00BB69F5"/>
    <w:rsid w:val="00BB6E48"/>
    <w:rsid w:val="00BB7602"/>
    <w:rsid w:val="00BB7EC3"/>
    <w:rsid w:val="00BC0042"/>
    <w:rsid w:val="00BC04B1"/>
    <w:rsid w:val="00BC07EC"/>
    <w:rsid w:val="00BC176D"/>
    <w:rsid w:val="00BC287F"/>
    <w:rsid w:val="00BC2BC3"/>
    <w:rsid w:val="00BC2CD4"/>
    <w:rsid w:val="00BC3B1C"/>
    <w:rsid w:val="00BC414B"/>
    <w:rsid w:val="00BC4621"/>
    <w:rsid w:val="00BC470E"/>
    <w:rsid w:val="00BC4B9A"/>
    <w:rsid w:val="00BC6779"/>
    <w:rsid w:val="00BC74D0"/>
    <w:rsid w:val="00BD02C3"/>
    <w:rsid w:val="00BD06CE"/>
    <w:rsid w:val="00BD0F58"/>
    <w:rsid w:val="00BD3119"/>
    <w:rsid w:val="00BD4562"/>
    <w:rsid w:val="00BD5100"/>
    <w:rsid w:val="00BD61EC"/>
    <w:rsid w:val="00BD6B2F"/>
    <w:rsid w:val="00BD7352"/>
    <w:rsid w:val="00BD7483"/>
    <w:rsid w:val="00BD784C"/>
    <w:rsid w:val="00BE020A"/>
    <w:rsid w:val="00BE0937"/>
    <w:rsid w:val="00BE0A28"/>
    <w:rsid w:val="00BE13DF"/>
    <w:rsid w:val="00BE1EF0"/>
    <w:rsid w:val="00BE25D7"/>
    <w:rsid w:val="00BE4177"/>
    <w:rsid w:val="00BE427C"/>
    <w:rsid w:val="00BE4F57"/>
    <w:rsid w:val="00BE5619"/>
    <w:rsid w:val="00BE56C8"/>
    <w:rsid w:val="00BE5BE2"/>
    <w:rsid w:val="00BE74FC"/>
    <w:rsid w:val="00BF092C"/>
    <w:rsid w:val="00BF21D1"/>
    <w:rsid w:val="00BF27A0"/>
    <w:rsid w:val="00BF2F25"/>
    <w:rsid w:val="00BF3438"/>
    <w:rsid w:val="00BF3524"/>
    <w:rsid w:val="00BF3BCC"/>
    <w:rsid w:val="00BF40E6"/>
    <w:rsid w:val="00BF4CB6"/>
    <w:rsid w:val="00BF51E1"/>
    <w:rsid w:val="00BF5233"/>
    <w:rsid w:val="00BF5A0A"/>
    <w:rsid w:val="00BF5D23"/>
    <w:rsid w:val="00BF694B"/>
    <w:rsid w:val="00BF6CBD"/>
    <w:rsid w:val="00BF74E1"/>
    <w:rsid w:val="00C008D8"/>
    <w:rsid w:val="00C00DA7"/>
    <w:rsid w:val="00C016CA"/>
    <w:rsid w:val="00C030A4"/>
    <w:rsid w:val="00C034FB"/>
    <w:rsid w:val="00C03612"/>
    <w:rsid w:val="00C048B3"/>
    <w:rsid w:val="00C04CDE"/>
    <w:rsid w:val="00C058F9"/>
    <w:rsid w:val="00C059D5"/>
    <w:rsid w:val="00C064E2"/>
    <w:rsid w:val="00C068A6"/>
    <w:rsid w:val="00C10438"/>
    <w:rsid w:val="00C10B2B"/>
    <w:rsid w:val="00C11686"/>
    <w:rsid w:val="00C1179D"/>
    <w:rsid w:val="00C117B8"/>
    <w:rsid w:val="00C11DEA"/>
    <w:rsid w:val="00C126B1"/>
    <w:rsid w:val="00C12768"/>
    <w:rsid w:val="00C12D70"/>
    <w:rsid w:val="00C13EDE"/>
    <w:rsid w:val="00C16724"/>
    <w:rsid w:val="00C20322"/>
    <w:rsid w:val="00C21990"/>
    <w:rsid w:val="00C21B09"/>
    <w:rsid w:val="00C221AC"/>
    <w:rsid w:val="00C24336"/>
    <w:rsid w:val="00C25D0C"/>
    <w:rsid w:val="00C25EFF"/>
    <w:rsid w:val="00C2645F"/>
    <w:rsid w:val="00C2673A"/>
    <w:rsid w:val="00C275FD"/>
    <w:rsid w:val="00C278CD"/>
    <w:rsid w:val="00C27B58"/>
    <w:rsid w:val="00C27C1C"/>
    <w:rsid w:val="00C3166C"/>
    <w:rsid w:val="00C33186"/>
    <w:rsid w:val="00C33B93"/>
    <w:rsid w:val="00C340AF"/>
    <w:rsid w:val="00C34267"/>
    <w:rsid w:val="00C35996"/>
    <w:rsid w:val="00C367D5"/>
    <w:rsid w:val="00C37C6B"/>
    <w:rsid w:val="00C37F43"/>
    <w:rsid w:val="00C40739"/>
    <w:rsid w:val="00C40E35"/>
    <w:rsid w:val="00C42BCD"/>
    <w:rsid w:val="00C432E7"/>
    <w:rsid w:val="00C438EE"/>
    <w:rsid w:val="00C43B8D"/>
    <w:rsid w:val="00C4485F"/>
    <w:rsid w:val="00C44D19"/>
    <w:rsid w:val="00C44DED"/>
    <w:rsid w:val="00C45D98"/>
    <w:rsid w:val="00C46455"/>
    <w:rsid w:val="00C46C13"/>
    <w:rsid w:val="00C4747E"/>
    <w:rsid w:val="00C475DE"/>
    <w:rsid w:val="00C479D4"/>
    <w:rsid w:val="00C504DC"/>
    <w:rsid w:val="00C5151E"/>
    <w:rsid w:val="00C52256"/>
    <w:rsid w:val="00C530CA"/>
    <w:rsid w:val="00C5342C"/>
    <w:rsid w:val="00C539D4"/>
    <w:rsid w:val="00C53B2B"/>
    <w:rsid w:val="00C53C55"/>
    <w:rsid w:val="00C547F5"/>
    <w:rsid w:val="00C54F3F"/>
    <w:rsid w:val="00C564F1"/>
    <w:rsid w:val="00C56D78"/>
    <w:rsid w:val="00C57413"/>
    <w:rsid w:val="00C57465"/>
    <w:rsid w:val="00C60272"/>
    <w:rsid w:val="00C603D4"/>
    <w:rsid w:val="00C6058F"/>
    <w:rsid w:val="00C616B8"/>
    <w:rsid w:val="00C6184A"/>
    <w:rsid w:val="00C61A44"/>
    <w:rsid w:val="00C623CD"/>
    <w:rsid w:val="00C6256A"/>
    <w:rsid w:val="00C6265D"/>
    <w:rsid w:val="00C63220"/>
    <w:rsid w:val="00C63FDA"/>
    <w:rsid w:val="00C64EBC"/>
    <w:rsid w:val="00C6575B"/>
    <w:rsid w:val="00C659BE"/>
    <w:rsid w:val="00C664D2"/>
    <w:rsid w:val="00C67589"/>
    <w:rsid w:val="00C677E1"/>
    <w:rsid w:val="00C67DFC"/>
    <w:rsid w:val="00C7072F"/>
    <w:rsid w:val="00C70A5E"/>
    <w:rsid w:val="00C70E6E"/>
    <w:rsid w:val="00C710E2"/>
    <w:rsid w:val="00C71C3F"/>
    <w:rsid w:val="00C721EE"/>
    <w:rsid w:val="00C73809"/>
    <w:rsid w:val="00C7409E"/>
    <w:rsid w:val="00C740ED"/>
    <w:rsid w:val="00C74D6D"/>
    <w:rsid w:val="00C76E76"/>
    <w:rsid w:val="00C77291"/>
    <w:rsid w:val="00C77891"/>
    <w:rsid w:val="00C77B74"/>
    <w:rsid w:val="00C800A9"/>
    <w:rsid w:val="00C80A5C"/>
    <w:rsid w:val="00C80C9C"/>
    <w:rsid w:val="00C8196C"/>
    <w:rsid w:val="00C81BB8"/>
    <w:rsid w:val="00C82062"/>
    <w:rsid w:val="00C8284C"/>
    <w:rsid w:val="00C829A9"/>
    <w:rsid w:val="00C8309E"/>
    <w:rsid w:val="00C83690"/>
    <w:rsid w:val="00C836B8"/>
    <w:rsid w:val="00C83711"/>
    <w:rsid w:val="00C83C66"/>
    <w:rsid w:val="00C84401"/>
    <w:rsid w:val="00C84A7A"/>
    <w:rsid w:val="00C85D07"/>
    <w:rsid w:val="00C86066"/>
    <w:rsid w:val="00C86A58"/>
    <w:rsid w:val="00C86ED6"/>
    <w:rsid w:val="00C87B80"/>
    <w:rsid w:val="00C90330"/>
    <w:rsid w:val="00C91449"/>
    <w:rsid w:val="00C91BA5"/>
    <w:rsid w:val="00C92D10"/>
    <w:rsid w:val="00C92F79"/>
    <w:rsid w:val="00C9396D"/>
    <w:rsid w:val="00C93D72"/>
    <w:rsid w:val="00C95200"/>
    <w:rsid w:val="00C96138"/>
    <w:rsid w:val="00C96147"/>
    <w:rsid w:val="00C9677A"/>
    <w:rsid w:val="00C96EC0"/>
    <w:rsid w:val="00CA01EC"/>
    <w:rsid w:val="00CA0375"/>
    <w:rsid w:val="00CA06F9"/>
    <w:rsid w:val="00CA0B7C"/>
    <w:rsid w:val="00CA14BB"/>
    <w:rsid w:val="00CA230C"/>
    <w:rsid w:val="00CA2902"/>
    <w:rsid w:val="00CA2C49"/>
    <w:rsid w:val="00CA3203"/>
    <w:rsid w:val="00CA32C9"/>
    <w:rsid w:val="00CA48D9"/>
    <w:rsid w:val="00CA4DAE"/>
    <w:rsid w:val="00CA4DD6"/>
    <w:rsid w:val="00CA5E6D"/>
    <w:rsid w:val="00CB1193"/>
    <w:rsid w:val="00CB2364"/>
    <w:rsid w:val="00CB238D"/>
    <w:rsid w:val="00CB27E8"/>
    <w:rsid w:val="00CB358A"/>
    <w:rsid w:val="00CB4767"/>
    <w:rsid w:val="00CB493D"/>
    <w:rsid w:val="00CB6A34"/>
    <w:rsid w:val="00CB75CA"/>
    <w:rsid w:val="00CB7E18"/>
    <w:rsid w:val="00CC06C0"/>
    <w:rsid w:val="00CC1F2C"/>
    <w:rsid w:val="00CC2224"/>
    <w:rsid w:val="00CC2702"/>
    <w:rsid w:val="00CC3817"/>
    <w:rsid w:val="00CC3B97"/>
    <w:rsid w:val="00CC40B4"/>
    <w:rsid w:val="00CC4641"/>
    <w:rsid w:val="00CC49A4"/>
    <w:rsid w:val="00CC6D8B"/>
    <w:rsid w:val="00CC7B32"/>
    <w:rsid w:val="00CD23D6"/>
    <w:rsid w:val="00CD2D81"/>
    <w:rsid w:val="00CD4858"/>
    <w:rsid w:val="00CD4A8C"/>
    <w:rsid w:val="00CD57EE"/>
    <w:rsid w:val="00CD6257"/>
    <w:rsid w:val="00CD6867"/>
    <w:rsid w:val="00CD7C0B"/>
    <w:rsid w:val="00CE0E54"/>
    <w:rsid w:val="00CE10C4"/>
    <w:rsid w:val="00CE2343"/>
    <w:rsid w:val="00CE2490"/>
    <w:rsid w:val="00CE27B5"/>
    <w:rsid w:val="00CE2BDF"/>
    <w:rsid w:val="00CE354E"/>
    <w:rsid w:val="00CE38B4"/>
    <w:rsid w:val="00CE435B"/>
    <w:rsid w:val="00CE4EB2"/>
    <w:rsid w:val="00CE4F3E"/>
    <w:rsid w:val="00CE5BCE"/>
    <w:rsid w:val="00CE5FB5"/>
    <w:rsid w:val="00CE60B6"/>
    <w:rsid w:val="00CE6968"/>
    <w:rsid w:val="00CE6D24"/>
    <w:rsid w:val="00CE6DAF"/>
    <w:rsid w:val="00CE7752"/>
    <w:rsid w:val="00CE7DBF"/>
    <w:rsid w:val="00CF00ED"/>
    <w:rsid w:val="00CF1A99"/>
    <w:rsid w:val="00CF203E"/>
    <w:rsid w:val="00CF35DE"/>
    <w:rsid w:val="00CF36E6"/>
    <w:rsid w:val="00CF3A9D"/>
    <w:rsid w:val="00CF410A"/>
    <w:rsid w:val="00CF47B8"/>
    <w:rsid w:val="00CF4E90"/>
    <w:rsid w:val="00CF52E8"/>
    <w:rsid w:val="00CF5374"/>
    <w:rsid w:val="00CF5FDE"/>
    <w:rsid w:val="00CF7472"/>
    <w:rsid w:val="00CF7528"/>
    <w:rsid w:val="00CF7899"/>
    <w:rsid w:val="00CF78CD"/>
    <w:rsid w:val="00CF7FDE"/>
    <w:rsid w:val="00D005DF"/>
    <w:rsid w:val="00D0095D"/>
    <w:rsid w:val="00D011A3"/>
    <w:rsid w:val="00D012AF"/>
    <w:rsid w:val="00D0279F"/>
    <w:rsid w:val="00D0321E"/>
    <w:rsid w:val="00D038FB"/>
    <w:rsid w:val="00D05457"/>
    <w:rsid w:val="00D061BC"/>
    <w:rsid w:val="00D061C7"/>
    <w:rsid w:val="00D061F9"/>
    <w:rsid w:val="00D062CC"/>
    <w:rsid w:val="00D069EB"/>
    <w:rsid w:val="00D06CAE"/>
    <w:rsid w:val="00D07A8A"/>
    <w:rsid w:val="00D10ABD"/>
    <w:rsid w:val="00D10E31"/>
    <w:rsid w:val="00D11199"/>
    <w:rsid w:val="00D1211F"/>
    <w:rsid w:val="00D1455A"/>
    <w:rsid w:val="00D14573"/>
    <w:rsid w:val="00D14A70"/>
    <w:rsid w:val="00D15AE2"/>
    <w:rsid w:val="00D207EA"/>
    <w:rsid w:val="00D20E94"/>
    <w:rsid w:val="00D211FB"/>
    <w:rsid w:val="00D21A67"/>
    <w:rsid w:val="00D22093"/>
    <w:rsid w:val="00D2500D"/>
    <w:rsid w:val="00D2586B"/>
    <w:rsid w:val="00D258B6"/>
    <w:rsid w:val="00D26A8D"/>
    <w:rsid w:val="00D26FF7"/>
    <w:rsid w:val="00D2729A"/>
    <w:rsid w:val="00D30106"/>
    <w:rsid w:val="00D30E96"/>
    <w:rsid w:val="00D31150"/>
    <w:rsid w:val="00D3138B"/>
    <w:rsid w:val="00D316D0"/>
    <w:rsid w:val="00D31FCE"/>
    <w:rsid w:val="00D3280C"/>
    <w:rsid w:val="00D33CEB"/>
    <w:rsid w:val="00D3406A"/>
    <w:rsid w:val="00D34D24"/>
    <w:rsid w:val="00D353D9"/>
    <w:rsid w:val="00D3566E"/>
    <w:rsid w:val="00D361AB"/>
    <w:rsid w:val="00D3631F"/>
    <w:rsid w:val="00D36944"/>
    <w:rsid w:val="00D40664"/>
    <w:rsid w:val="00D40B11"/>
    <w:rsid w:val="00D4123E"/>
    <w:rsid w:val="00D41534"/>
    <w:rsid w:val="00D42751"/>
    <w:rsid w:val="00D42864"/>
    <w:rsid w:val="00D42870"/>
    <w:rsid w:val="00D429EC"/>
    <w:rsid w:val="00D441F1"/>
    <w:rsid w:val="00D446AE"/>
    <w:rsid w:val="00D45273"/>
    <w:rsid w:val="00D454E8"/>
    <w:rsid w:val="00D4572C"/>
    <w:rsid w:val="00D45B3F"/>
    <w:rsid w:val="00D469B2"/>
    <w:rsid w:val="00D47221"/>
    <w:rsid w:val="00D475FC"/>
    <w:rsid w:val="00D47AE4"/>
    <w:rsid w:val="00D517B3"/>
    <w:rsid w:val="00D51C3F"/>
    <w:rsid w:val="00D51D47"/>
    <w:rsid w:val="00D52B24"/>
    <w:rsid w:val="00D52EAA"/>
    <w:rsid w:val="00D52ECF"/>
    <w:rsid w:val="00D530D5"/>
    <w:rsid w:val="00D53F0C"/>
    <w:rsid w:val="00D5411A"/>
    <w:rsid w:val="00D5481F"/>
    <w:rsid w:val="00D54B09"/>
    <w:rsid w:val="00D5567B"/>
    <w:rsid w:val="00D55D5F"/>
    <w:rsid w:val="00D57D20"/>
    <w:rsid w:val="00D606D6"/>
    <w:rsid w:val="00D60F9F"/>
    <w:rsid w:val="00D61109"/>
    <w:rsid w:val="00D6243E"/>
    <w:rsid w:val="00D62A61"/>
    <w:rsid w:val="00D62C20"/>
    <w:rsid w:val="00D62E8B"/>
    <w:rsid w:val="00D63BA1"/>
    <w:rsid w:val="00D6403D"/>
    <w:rsid w:val="00D64961"/>
    <w:rsid w:val="00D65658"/>
    <w:rsid w:val="00D659CE"/>
    <w:rsid w:val="00D672AB"/>
    <w:rsid w:val="00D67EB2"/>
    <w:rsid w:val="00D70349"/>
    <w:rsid w:val="00D707C3"/>
    <w:rsid w:val="00D7131E"/>
    <w:rsid w:val="00D71348"/>
    <w:rsid w:val="00D71D5E"/>
    <w:rsid w:val="00D7287C"/>
    <w:rsid w:val="00D72918"/>
    <w:rsid w:val="00D72B6F"/>
    <w:rsid w:val="00D741EB"/>
    <w:rsid w:val="00D74CEA"/>
    <w:rsid w:val="00D7578F"/>
    <w:rsid w:val="00D7679C"/>
    <w:rsid w:val="00D775B0"/>
    <w:rsid w:val="00D800E8"/>
    <w:rsid w:val="00D805E7"/>
    <w:rsid w:val="00D807D6"/>
    <w:rsid w:val="00D807E0"/>
    <w:rsid w:val="00D80822"/>
    <w:rsid w:val="00D8143A"/>
    <w:rsid w:val="00D8171A"/>
    <w:rsid w:val="00D817A9"/>
    <w:rsid w:val="00D817EF"/>
    <w:rsid w:val="00D820F3"/>
    <w:rsid w:val="00D82A4E"/>
    <w:rsid w:val="00D83605"/>
    <w:rsid w:val="00D83624"/>
    <w:rsid w:val="00D83CD7"/>
    <w:rsid w:val="00D8459B"/>
    <w:rsid w:val="00D84934"/>
    <w:rsid w:val="00D85409"/>
    <w:rsid w:val="00D858D2"/>
    <w:rsid w:val="00D866EB"/>
    <w:rsid w:val="00D86A04"/>
    <w:rsid w:val="00D86C52"/>
    <w:rsid w:val="00D86C8B"/>
    <w:rsid w:val="00D87680"/>
    <w:rsid w:val="00D87D1A"/>
    <w:rsid w:val="00D906DA"/>
    <w:rsid w:val="00D90C87"/>
    <w:rsid w:val="00D91271"/>
    <w:rsid w:val="00D91461"/>
    <w:rsid w:val="00D919F5"/>
    <w:rsid w:val="00D92B2F"/>
    <w:rsid w:val="00D936DF"/>
    <w:rsid w:val="00D945F6"/>
    <w:rsid w:val="00D94F03"/>
    <w:rsid w:val="00D95161"/>
    <w:rsid w:val="00D95AB9"/>
    <w:rsid w:val="00D95C23"/>
    <w:rsid w:val="00D97365"/>
    <w:rsid w:val="00D973F4"/>
    <w:rsid w:val="00DA009D"/>
    <w:rsid w:val="00DA0A82"/>
    <w:rsid w:val="00DA0D14"/>
    <w:rsid w:val="00DA10BF"/>
    <w:rsid w:val="00DA178C"/>
    <w:rsid w:val="00DA1FC9"/>
    <w:rsid w:val="00DA27AE"/>
    <w:rsid w:val="00DA2CB5"/>
    <w:rsid w:val="00DA2D49"/>
    <w:rsid w:val="00DA32AE"/>
    <w:rsid w:val="00DA358F"/>
    <w:rsid w:val="00DA35FE"/>
    <w:rsid w:val="00DA383E"/>
    <w:rsid w:val="00DA4945"/>
    <w:rsid w:val="00DA4BAC"/>
    <w:rsid w:val="00DA5B37"/>
    <w:rsid w:val="00DA722E"/>
    <w:rsid w:val="00DA7864"/>
    <w:rsid w:val="00DA792A"/>
    <w:rsid w:val="00DB0151"/>
    <w:rsid w:val="00DB0160"/>
    <w:rsid w:val="00DB04D7"/>
    <w:rsid w:val="00DB21D2"/>
    <w:rsid w:val="00DB241A"/>
    <w:rsid w:val="00DB2496"/>
    <w:rsid w:val="00DB4078"/>
    <w:rsid w:val="00DB44EC"/>
    <w:rsid w:val="00DB45B9"/>
    <w:rsid w:val="00DB50E1"/>
    <w:rsid w:val="00DB535A"/>
    <w:rsid w:val="00DB582F"/>
    <w:rsid w:val="00DB5877"/>
    <w:rsid w:val="00DB5B4A"/>
    <w:rsid w:val="00DB6347"/>
    <w:rsid w:val="00DB7587"/>
    <w:rsid w:val="00DB77B3"/>
    <w:rsid w:val="00DB7BC8"/>
    <w:rsid w:val="00DC0566"/>
    <w:rsid w:val="00DC05E1"/>
    <w:rsid w:val="00DC0BF8"/>
    <w:rsid w:val="00DC1499"/>
    <w:rsid w:val="00DC16CF"/>
    <w:rsid w:val="00DC2C3E"/>
    <w:rsid w:val="00DC3137"/>
    <w:rsid w:val="00DC3A71"/>
    <w:rsid w:val="00DC47A7"/>
    <w:rsid w:val="00DC4880"/>
    <w:rsid w:val="00DC4DB3"/>
    <w:rsid w:val="00DC581F"/>
    <w:rsid w:val="00DC5E90"/>
    <w:rsid w:val="00DC607D"/>
    <w:rsid w:val="00DC6DDA"/>
    <w:rsid w:val="00DC6EC3"/>
    <w:rsid w:val="00DC70EB"/>
    <w:rsid w:val="00DC72EF"/>
    <w:rsid w:val="00DC732A"/>
    <w:rsid w:val="00DD04D7"/>
    <w:rsid w:val="00DD0BE9"/>
    <w:rsid w:val="00DD10FB"/>
    <w:rsid w:val="00DD26F9"/>
    <w:rsid w:val="00DD2A27"/>
    <w:rsid w:val="00DD350E"/>
    <w:rsid w:val="00DD3B1D"/>
    <w:rsid w:val="00DD42AB"/>
    <w:rsid w:val="00DD4542"/>
    <w:rsid w:val="00DD4841"/>
    <w:rsid w:val="00DD48F8"/>
    <w:rsid w:val="00DD6A16"/>
    <w:rsid w:val="00DD74AD"/>
    <w:rsid w:val="00DD7703"/>
    <w:rsid w:val="00DD7DB6"/>
    <w:rsid w:val="00DE06AF"/>
    <w:rsid w:val="00DE0828"/>
    <w:rsid w:val="00DE1255"/>
    <w:rsid w:val="00DE21F3"/>
    <w:rsid w:val="00DE2829"/>
    <w:rsid w:val="00DE2B3D"/>
    <w:rsid w:val="00DE2E2E"/>
    <w:rsid w:val="00DE3256"/>
    <w:rsid w:val="00DE32AC"/>
    <w:rsid w:val="00DE640E"/>
    <w:rsid w:val="00DE6C5A"/>
    <w:rsid w:val="00DE6D27"/>
    <w:rsid w:val="00DE76EA"/>
    <w:rsid w:val="00DE78CA"/>
    <w:rsid w:val="00DE7ADA"/>
    <w:rsid w:val="00DE7BD5"/>
    <w:rsid w:val="00DF01F8"/>
    <w:rsid w:val="00DF021D"/>
    <w:rsid w:val="00DF0245"/>
    <w:rsid w:val="00DF069F"/>
    <w:rsid w:val="00DF14EE"/>
    <w:rsid w:val="00DF15B0"/>
    <w:rsid w:val="00DF1DAA"/>
    <w:rsid w:val="00DF217D"/>
    <w:rsid w:val="00DF2554"/>
    <w:rsid w:val="00DF26A7"/>
    <w:rsid w:val="00DF3277"/>
    <w:rsid w:val="00DF339D"/>
    <w:rsid w:val="00DF3CCC"/>
    <w:rsid w:val="00DF5C9A"/>
    <w:rsid w:val="00DF603C"/>
    <w:rsid w:val="00DF6516"/>
    <w:rsid w:val="00DF6A31"/>
    <w:rsid w:val="00DF6AE4"/>
    <w:rsid w:val="00DF7407"/>
    <w:rsid w:val="00DF74EA"/>
    <w:rsid w:val="00DF77A1"/>
    <w:rsid w:val="00DF7919"/>
    <w:rsid w:val="00DF7C4B"/>
    <w:rsid w:val="00E00301"/>
    <w:rsid w:val="00E00AEC"/>
    <w:rsid w:val="00E0207E"/>
    <w:rsid w:val="00E02AE6"/>
    <w:rsid w:val="00E03912"/>
    <w:rsid w:val="00E03BF0"/>
    <w:rsid w:val="00E03F4D"/>
    <w:rsid w:val="00E04748"/>
    <w:rsid w:val="00E04CB8"/>
    <w:rsid w:val="00E060AF"/>
    <w:rsid w:val="00E078D9"/>
    <w:rsid w:val="00E10293"/>
    <w:rsid w:val="00E103A0"/>
    <w:rsid w:val="00E1043F"/>
    <w:rsid w:val="00E1157E"/>
    <w:rsid w:val="00E11F44"/>
    <w:rsid w:val="00E12E28"/>
    <w:rsid w:val="00E13E60"/>
    <w:rsid w:val="00E140E4"/>
    <w:rsid w:val="00E143CB"/>
    <w:rsid w:val="00E146D6"/>
    <w:rsid w:val="00E14B3A"/>
    <w:rsid w:val="00E15627"/>
    <w:rsid w:val="00E15889"/>
    <w:rsid w:val="00E1596E"/>
    <w:rsid w:val="00E164B3"/>
    <w:rsid w:val="00E16910"/>
    <w:rsid w:val="00E16C5F"/>
    <w:rsid w:val="00E201A1"/>
    <w:rsid w:val="00E20239"/>
    <w:rsid w:val="00E20243"/>
    <w:rsid w:val="00E20AE5"/>
    <w:rsid w:val="00E20C18"/>
    <w:rsid w:val="00E20CB0"/>
    <w:rsid w:val="00E21164"/>
    <w:rsid w:val="00E211E6"/>
    <w:rsid w:val="00E2145A"/>
    <w:rsid w:val="00E216BA"/>
    <w:rsid w:val="00E22D2E"/>
    <w:rsid w:val="00E23133"/>
    <w:rsid w:val="00E2349E"/>
    <w:rsid w:val="00E239E2"/>
    <w:rsid w:val="00E23A0A"/>
    <w:rsid w:val="00E24868"/>
    <w:rsid w:val="00E24B5C"/>
    <w:rsid w:val="00E24C23"/>
    <w:rsid w:val="00E24E09"/>
    <w:rsid w:val="00E24F0E"/>
    <w:rsid w:val="00E2548D"/>
    <w:rsid w:val="00E25A5B"/>
    <w:rsid w:val="00E26579"/>
    <w:rsid w:val="00E26738"/>
    <w:rsid w:val="00E269A4"/>
    <w:rsid w:val="00E27234"/>
    <w:rsid w:val="00E27A99"/>
    <w:rsid w:val="00E27BB3"/>
    <w:rsid w:val="00E31BD2"/>
    <w:rsid w:val="00E31F5F"/>
    <w:rsid w:val="00E32151"/>
    <w:rsid w:val="00E33E5B"/>
    <w:rsid w:val="00E3495C"/>
    <w:rsid w:val="00E3579F"/>
    <w:rsid w:val="00E36FB3"/>
    <w:rsid w:val="00E40166"/>
    <w:rsid w:val="00E40F96"/>
    <w:rsid w:val="00E424D2"/>
    <w:rsid w:val="00E42BDB"/>
    <w:rsid w:val="00E43997"/>
    <w:rsid w:val="00E4402D"/>
    <w:rsid w:val="00E45F31"/>
    <w:rsid w:val="00E46437"/>
    <w:rsid w:val="00E464EB"/>
    <w:rsid w:val="00E46C3F"/>
    <w:rsid w:val="00E47F24"/>
    <w:rsid w:val="00E506F8"/>
    <w:rsid w:val="00E50A1D"/>
    <w:rsid w:val="00E50F18"/>
    <w:rsid w:val="00E5149A"/>
    <w:rsid w:val="00E524A9"/>
    <w:rsid w:val="00E52FDE"/>
    <w:rsid w:val="00E53F1A"/>
    <w:rsid w:val="00E5493B"/>
    <w:rsid w:val="00E55462"/>
    <w:rsid w:val="00E555C2"/>
    <w:rsid w:val="00E56D68"/>
    <w:rsid w:val="00E5726D"/>
    <w:rsid w:val="00E57D03"/>
    <w:rsid w:val="00E57D8E"/>
    <w:rsid w:val="00E57EEB"/>
    <w:rsid w:val="00E606D6"/>
    <w:rsid w:val="00E62D44"/>
    <w:rsid w:val="00E62D94"/>
    <w:rsid w:val="00E62ECC"/>
    <w:rsid w:val="00E633E3"/>
    <w:rsid w:val="00E6386C"/>
    <w:rsid w:val="00E63A55"/>
    <w:rsid w:val="00E646E1"/>
    <w:rsid w:val="00E64E96"/>
    <w:rsid w:val="00E64F37"/>
    <w:rsid w:val="00E65028"/>
    <w:rsid w:val="00E65091"/>
    <w:rsid w:val="00E65393"/>
    <w:rsid w:val="00E65628"/>
    <w:rsid w:val="00E657CD"/>
    <w:rsid w:val="00E65ACC"/>
    <w:rsid w:val="00E65E54"/>
    <w:rsid w:val="00E660D2"/>
    <w:rsid w:val="00E661C7"/>
    <w:rsid w:val="00E66679"/>
    <w:rsid w:val="00E669EA"/>
    <w:rsid w:val="00E67B05"/>
    <w:rsid w:val="00E708C6"/>
    <w:rsid w:val="00E70D43"/>
    <w:rsid w:val="00E71784"/>
    <w:rsid w:val="00E71BD5"/>
    <w:rsid w:val="00E72B97"/>
    <w:rsid w:val="00E72DD5"/>
    <w:rsid w:val="00E732C4"/>
    <w:rsid w:val="00E73F2A"/>
    <w:rsid w:val="00E74595"/>
    <w:rsid w:val="00E74A78"/>
    <w:rsid w:val="00E74E41"/>
    <w:rsid w:val="00E75151"/>
    <w:rsid w:val="00E7552F"/>
    <w:rsid w:val="00E76506"/>
    <w:rsid w:val="00E7678B"/>
    <w:rsid w:val="00E76EAB"/>
    <w:rsid w:val="00E773B8"/>
    <w:rsid w:val="00E80155"/>
    <w:rsid w:val="00E80308"/>
    <w:rsid w:val="00E80642"/>
    <w:rsid w:val="00E8134B"/>
    <w:rsid w:val="00E81577"/>
    <w:rsid w:val="00E8177E"/>
    <w:rsid w:val="00E81E0D"/>
    <w:rsid w:val="00E81F28"/>
    <w:rsid w:val="00E82089"/>
    <w:rsid w:val="00E848C0"/>
    <w:rsid w:val="00E849BB"/>
    <w:rsid w:val="00E84BB8"/>
    <w:rsid w:val="00E84C2B"/>
    <w:rsid w:val="00E84F40"/>
    <w:rsid w:val="00E86F92"/>
    <w:rsid w:val="00E87553"/>
    <w:rsid w:val="00E876A2"/>
    <w:rsid w:val="00E9022A"/>
    <w:rsid w:val="00E90BCB"/>
    <w:rsid w:val="00E913A0"/>
    <w:rsid w:val="00E91880"/>
    <w:rsid w:val="00E91B96"/>
    <w:rsid w:val="00E92028"/>
    <w:rsid w:val="00E92F2E"/>
    <w:rsid w:val="00E9305A"/>
    <w:rsid w:val="00E935DA"/>
    <w:rsid w:val="00E93BF6"/>
    <w:rsid w:val="00E93D1E"/>
    <w:rsid w:val="00E941A1"/>
    <w:rsid w:val="00E9471E"/>
    <w:rsid w:val="00E9538A"/>
    <w:rsid w:val="00E95A29"/>
    <w:rsid w:val="00E95CE3"/>
    <w:rsid w:val="00E95F9A"/>
    <w:rsid w:val="00E96C51"/>
    <w:rsid w:val="00E96E99"/>
    <w:rsid w:val="00E9763F"/>
    <w:rsid w:val="00E97D75"/>
    <w:rsid w:val="00EA0856"/>
    <w:rsid w:val="00EA1598"/>
    <w:rsid w:val="00EA1B36"/>
    <w:rsid w:val="00EA1DC4"/>
    <w:rsid w:val="00EA21EB"/>
    <w:rsid w:val="00EA252F"/>
    <w:rsid w:val="00EA2825"/>
    <w:rsid w:val="00EA3C33"/>
    <w:rsid w:val="00EA3E63"/>
    <w:rsid w:val="00EA3EF2"/>
    <w:rsid w:val="00EA4D5A"/>
    <w:rsid w:val="00EA5027"/>
    <w:rsid w:val="00EA55A1"/>
    <w:rsid w:val="00EA5F34"/>
    <w:rsid w:val="00EA61CE"/>
    <w:rsid w:val="00EA64C2"/>
    <w:rsid w:val="00EA6518"/>
    <w:rsid w:val="00EA71A2"/>
    <w:rsid w:val="00EA7466"/>
    <w:rsid w:val="00EA7EDE"/>
    <w:rsid w:val="00EB0A07"/>
    <w:rsid w:val="00EB0B63"/>
    <w:rsid w:val="00EB0EB5"/>
    <w:rsid w:val="00EB113E"/>
    <w:rsid w:val="00EB1936"/>
    <w:rsid w:val="00EB3545"/>
    <w:rsid w:val="00EB37BE"/>
    <w:rsid w:val="00EB4147"/>
    <w:rsid w:val="00EB43E7"/>
    <w:rsid w:val="00EB4BAE"/>
    <w:rsid w:val="00EB5088"/>
    <w:rsid w:val="00EB7210"/>
    <w:rsid w:val="00EB75E7"/>
    <w:rsid w:val="00EC0C65"/>
    <w:rsid w:val="00EC21BD"/>
    <w:rsid w:val="00EC2726"/>
    <w:rsid w:val="00EC2B0C"/>
    <w:rsid w:val="00EC4C15"/>
    <w:rsid w:val="00EC5494"/>
    <w:rsid w:val="00EC575E"/>
    <w:rsid w:val="00EC681C"/>
    <w:rsid w:val="00EC68AA"/>
    <w:rsid w:val="00EC72F9"/>
    <w:rsid w:val="00EC73E9"/>
    <w:rsid w:val="00EC7B87"/>
    <w:rsid w:val="00ED1644"/>
    <w:rsid w:val="00ED174E"/>
    <w:rsid w:val="00ED2268"/>
    <w:rsid w:val="00ED2593"/>
    <w:rsid w:val="00ED36BC"/>
    <w:rsid w:val="00ED3709"/>
    <w:rsid w:val="00ED3D92"/>
    <w:rsid w:val="00ED3EC1"/>
    <w:rsid w:val="00ED3FC5"/>
    <w:rsid w:val="00ED432F"/>
    <w:rsid w:val="00ED4800"/>
    <w:rsid w:val="00ED54C3"/>
    <w:rsid w:val="00ED6E34"/>
    <w:rsid w:val="00ED7278"/>
    <w:rsid w:val="00ED7BB7"/>
    <w:rsid w:val="00ED7D55"/>
    <w:rsid w:val="00ED7D9C"/>
    <w:rsid w:val="00ED7FE1"/>
    <w:rsid w:val="00EE00A7"/>
    <w:rsid w:val="00EE173E"/>
    <w:rsid w:val="00EE1E6A"/>
    <w:rsid w:val="00EE26FB"/>
    <w:rsid w:val="00EE2F77"/>
    <w:rsid w:val="00EE3158"/>
    <w:rsid w:val="00EE31A2"/>
    <w:rsid w:val="00EE4329"/>
    <w:rsid w:val="00EE45A9"/>
    <w:rsid w:val="00EE4D22"/>
    <w:rsid w:val="00EE6203"/>
    <w:rsid w:val="00EE6C31"/>
    <w:rsid w:val="00EF0069"/>
    <w:rsid w:val="00EF15C2"/>
    <w:rsid w:val="00EF229C"/>
    <w:rsid w:val="00EF33D7"/>
    <w:rsid w:val="00EF36F6"/>
    <w:rsid w:val="00EF3C52"/>
    <w:rsid w:val="00EF44A0"/>
    <w:rsid w:val="00EF4580"/>
    <w:rsid w:val="00EF4FED"/>
    <w:rsid w:val="00EF5F45"/>
    <w:rsid w:val="00EF6843"/>
    <w:rsid w:val="00EF6941"/>
    <w:rsid w:val="00EF6FB3"/>
    <w:rsid w:val="00EF767D"/>
    <w:rsid w:val="00EF7752"/>
    <w:rsid w:val="00EF7A63"/>
    <w:rsid w:val="00F0068B"/>
    <w:rsid w:val="00F007C6"/>
    <w:rsid w:val="00F00AFD"/>
    <w:rsid w:val="00F0166C"/>
    <w:rsid w:val="00F0172E"/>
    <w:rsid w:val="00F01EE9"/>
    <w:rsid w:val="00F0207D"/>
    <w:rsid w:val="00F02F7A"/>
    <w:rsid w:val="00F03B69"/>
    <w:rsid w:val="00F03F45"/>
    <w:rsid w:val="00F04E9A"/>
    <w:rsid w:val="00F050BD"/>
    <w:rsid w:val="00F05657"/>
    <w:rsid w:val="00F05AB0"/>
    <w:rsid w:val="00F077D0"/>
    <w:rsid w:val="00F10AE1"/>
    <w:rsid w:val="00F12C74"/>
    <w:rsid w:val="00F13214"/>
    <w:rsid w:val="00F13A46"/>
    <w:rsid w:val="00F1559A"/>
    <w:rsid w:val="00F15B22"/>
    <w:rsid w:val="00F16C1A"/>
    <w:rsid w:val="00F17ED6"/>
    <w:rsid w:val="00F20676"/>
    <w:rsid w:val="00F209E2"/>
    <w:rsid w:val="00F21627"/>
    <w:rsid w:val="00F2180F"/>
    <w:rsid w:val="00F2398F"/>
    <w:rsid w:val="00F244AE"/>
    <w:rsid w:val="00F25578"/>
    <w:rsid w:val="00F25707"/>
    <w:rsid w:val="00F25718"/>
    <w:rsid w:val="00F2589F"/>
    <w:rsid w:val="00F258E5"/>
    <w:rsid w:val="00F25B9C"/>
    <w:rsid w:val="00F26232"/>
    <w:rsid w:val="00F26368"/>
    <w:rsid w:val="00F2675A"/>
    <w:rsid w:val="00F26CC6"/>
    <w:rsid w:val="00F26D80"/>
    <w:rsid w:val="00F300BC"/>
    <w:rsid w:val="00F305FA"/>
    <w:rsid w:val="00F30844"/>
    <w:rsid w:val="00F3263C"/>
    <w:rsid w:val="00F3279F"/>
    <w:rsid w:val="00F3334E"/>
    <w:rsid w:val="00F33731"/>
    <w:rsid w:val="00F33D21"/>
    <w:rsid w:val="00F34427"/>
    <w:rsid w:val="00F34619"/>
    <w:rsid w:val="00F35199"/>
    <w:rsid w:val="00F35693"/>
    <w:rsid w:val="00F3573A"/>
    <w:rsid w:val="00F35CD9"/>
    <w:rsid w:val="00F36726"/>
    <w:rsid w:val="00F36B29"/>
    <w:rsid w:val="00F36CCB"/>
    <w:rsid w:val="00F374E5"/>
    <w:rsid w:val="00F37B93"/>
    <w:rsid w:val="00F37BAD"/>
    <w:rsid w:val="00F37ECA"/>
    <w:rsid w:val="00F37EE6"/>
    <w:rsid w:val="00F37FF9"/>
    <w:rsid w:val="00F40A1C"/>
    <w:rsid w:val="00F4195E"/>
    <w:rsid w:val="00F41C7C"/>
    <w:rsid w:val="00F42AEF"/>
    <w:rsid w:val="00F43AF2"/>
    <w:rsid w:val="00F43C46"/>
    <w:rsid w:val="00F45216"/>
    <w:rsid w:val="00F454EB"/>
    <w:rsid w:val="00F459BF"/>
    <w:rsid w:val="00F45C21"/>
    <w:rsid w:val="00F46491"/>
    <w:rsid w:val="00F46BAB"/>
    <w:rsid w:val="00F5007E"/>
    <w:rsid w:val="00F508F6"/>
    <w:rsid w:val="00F50CDC"/>
    <w:rsid w:val="00F50EC4"/>
    <w:rsid w:val="00F514D2"/>
    <w:rsid w:val="00F5210F"/>
    <w:rsid w:val="00F52232"/>
    <w:rsid w:val="00F527B1"/>
    <w:rsid w:val="00F52DC2"/>
    <w:rsid w:val="00F5332A"/>
    <w:rsid w:val="00F53A27"/>
    <w:rsid w:val="00F54739"/>
    <w:rsid w:val="00F54AF9"/>
    <w:rsid w:val="00F550CF"/>
    <w:rsid w:val="00F553D2"/>
    <w:rsid w:val="00F55859"/>
    <w:rsid w:val="00F56A2D"/>
    <w:rsid w:val="00F57A6D"/>
    <w:rsid w:val="00F57B9E"/>
    <w:rsid w:val="00F57BEC"/>
    <w:rsid w:val="00F60023"/>
    <w:rsid w:val="00F6044B"/>
    <w:rsid w:val="00F62F19"/>
    <w:rsid w:val="00F638CC"/>
    <w:rsid w:val="00F64473"/>
    <w:rsid w:val="00F64C9E"/>
    <w:rsid w:val="00F64CC1"/>
    <w:rsid w:val="00F64FC8"/>
    <w:rsid w:val="00F65AA5"/>
    <w:rsid w:val="00F67742"/>
    <w:rsid w:val="00F678BB"/>
    <w:rsid w:val="00F67CB4"/>
    <w:rsid w:val="00F70662"/>
    <w:rsid w:val="00F70707"/>
    <w:rsid w:val="00F708B1"/>
    <w:rsid w:val="00F717E6"/>
    <w:rsid w:val="00F71C28"/>
    <w:rsid w:val="00F72317"/>
    <w:rsid w:val="00F725E5"/>
    <w:rsid w:val="00F72FE4"/>
    <w:rsid w:val="00F73DC1"/>
    <w:rsid w:val="00F742E2"/>
    <w:rsid w:val="00F74ED2"/>
    <w:rsid w:val="00F75504"/>
    <w:rsid w:val="00F75BB8"/>
    <w:rsid w:val="00F76A22"/>
    <w:rsid w:val="00F76BAC"/>
    <w:rsid w:val="00F76BB7"/>
    <w:rsid w:val="00F76C8D"/>
    <w:rsid w:val="00F7700E"/>
    <w:rsid w:val="00F77714"/>
    <w:rsid w:val="00F80475"/>
    <w:rsid w:val="00F80E6E"/>
    <w:rsid w:val="00F81390"/>
    <w:rsid w:val="00F81F7A"/>
    <w:rsid w:val="00F8247A"/>
    <w:rsid w:val="00F82E5C"/>
    <w:rsid w:val="00F82EFD"/>
    <w:rsid w:val="00F83E86"/>
    <w:rsid w:val="00F83F58"/>
    <w:rsid w:val="00F85206"/>
    <w:rsid w:val="00F878E8"/>
    <w:rsid w:val="00F87C7A"/>
    <w:rsid w:val="00F87CEA"/>
    <w:rsid w:val="00F90989"/>
    <w:rsid w:val="00F90F8B"/>
    <w:rsid w:val="00F9155F"/>
    <w:rsid w:val="00F917B5"/>
    <w:rsid w:val="00F91F7E"/>
    <w:rsid w:val="00F91FC3"/>
    <w:rsid w:val="00F9255C"/>
    <w:rsid w:val="00F9265D"/>
    <w:rsid w:val="00F9293C"/>
    <w:rsid w:val="00F944E2"/>
    <w:rsid w:val="00F948FF"/>
    <w:rsid w:val="00F94D1D"/>
    <w:rsid w:val="00F9629A"/>
    <w:rsid w:val="00F96539"/>
    <w:rsid w:val="00F96668"/>
    <w:rsid w:val="00F96841"/>
    <w:rsid w:val="00F970FA"/>
    <w:rsid w:val="00F971E4"/>
    <w:rsid w:val="00F97555"/>
    <w:rsid w:val="00F97EFC"/>
    <w:rsid w:val="00FA0B04"/>
    <w:rsid w:val="00FA0C7C"/>
    <w:rsid w:val="00FA1695"/>
    <w:rsid w:val="00FA19C6"/>
    <w:rsid w:val="00FA1BDD"/>
    <w:rsid w:val="00FA286E"/>
    <w:rsid w:val="00FA29AC"/>
    <w:rsid w:val="00FA305C"/>
    <w:rsid w:val="00FA3CCE"/>
    <w:rsid w:val="00FA3CE6"/>
    <w:rsid w:val="00FA462E"/>
    <w:rsid w:val="00FA4CE9"/>
    <w:rsid w:val="00FA4DD5"/>
    <w:rsid w:val="00FA5883"/>
    <w:rsid w:val="00FA6055"/>
    <w:rsid w:val="00FA6446"/>
    <w:rsid w:val="00FA6789"/>
    <w:rsid w:val="00FA6883"/>
    <w:rsid w:val="00FA6B19"/>
    <w:rsid w:val="00FA6ED7"/>
    <w:rsid w:val="00FA7ADD"/>
    <w:rsid w:val="00FB0B39"/>
    <w:rsid w:val="00FB3006"/>
    <w:rsid w:val="00FB322F"/>
    <w:rsid w:val="00FB3289"/>
    <w:rsid w:val="00FB375E"/>
    <w:rsid w:val="00FB442F"/>
    <w:rsid w:val="00FB4EDB"/>
    <w:rsid w:val="00FB5495"/>
    <w:rsid w:val="00FB6957"/>
    <w:rsid w:val="00FB73EE"/>
    <w:rsid w:val="00FC118C"/>
    <w:rsid w:val="00FC16C8"/>
    <w:rsid w:val="00FC1929"/>
    <w:rsid w:val="00FC2252"/>
    <w:rsid w:val="00FC2AD5"/>
    <w:rsid w:val="00FC397A"/>
    <w:rsid w:val="00FC3F6F"/>
    <w:rsid w:val="00FC4597"/>
    <w:rsid w:val="00FC5B46"/>
    <w:rsid w:val="00FC67E2"/>
    <w:rsid w:val="00FC72A0"/>
    <w:rsid w:val="00FC78D6"/>
    <w:rsid w:val="00FC7A83"/>
    <w:rsid w:val="00FC7E66"/>
    <w:rsid w:val="00FD08BD"/>
    <w:rsid w:val="00FD1290"/>
    <w:rsid w:val="00FD1D4F"/>
    <w:rsid w:val="00FD24BF"/>
    <w:rsid w:val="00FD3730"/>
    <w:rsid w:val="00FD3B6E"/>
    <w:rsid w:val="00FD4140"/>
    <w:rsid w:val="00FD46BD"/>
    <w:rsid w:val="00FD57EB"/>
    <w:rsid w:val="00FD5E1B"/>
    <w:rsid w:val="00FD614C"/>
    <w:rsid w:val="00FD67B9"/>
    <w:rsid w:val="00FD69B3"/>
    <w:rsid w:val="00FD6D8E"/>
    <w:rsid w:val="00FD7499"/>
    <w:rsid w:val="00FD765E"/>
    <w:rsid w:val="00FE015B"/>
    <w:rsid w:val="00FE0663"/>
    <w:rsid w:val="00FE0E94"/>
    <w:rsid w:val="00FE2035"/>
    <w:rsid w:val="00FE369C"/>
    <w:rsid w:val="00FE3C83"/>
    <w:rsid w:val="00FE3CD9"/>
    <w:rsid w:val="00FE4038"/>
    <w:rsid w:val="00FE421D"/>
    <w:rsid w:val="00FE5692"/>
    <w:rsid w:val="00FE6657"/>
    <w:rsid w:val="00FF00BD"/>
    <w:rsid w:val="00FF067C"/>
    <w:rsid w:val="00FF0B13"/>
    <w:rsid w:val="00FF0F84"/>
    <w:rsid w:val="00FF121B"/>
    <w:rsid w:val="00FF1672"/>
    <w:rsid w:val="00FF1D06"/>
    <w:rsid w:val="00FF1ED4"/>
    <w:rsid w:val="00FF22B0"/>
    <w:rsid w:val="00FF27F9"/>
    <w:rsid w:val="00FF2801"/>
    <w:rsid w:val="00FF372D"/>
    <w:rsid w:val="00FF5D2C"/>
    <w:rsid w:val="00FF799B"/>
    <w:rsid w:val="012A7082"/>
    <w:rsid w:val="0143FC8B"/>
    <w:rsid w:val="01472274"/>
    <w:rsid w:val="01BAC867"/>
    <w:rsid w:val="0254441C"/>
    <w:rsid w:val="026B7A81"/>
    <w:rsid w:val="02E816C3"/>
    <w:rsid w:val="032394EB"/>
    <w:rsid w:val="033B2F40"/>
    <w:rsid w:val="0437B5A4"/>
    <w:rsid w:val="04A12F4E"/>
    <w:rsid w:val="04DBE9EA"/>
    <w:rsid w:val="05061F8D"/>
    <w:rsid w:val="05182518"/>
    <w:rsid w:val="051D99F9"/>
    <w:rsid w:val="05B612E3"/>
    <w:rsid w:val="0605216C"/>
    <w:rsid w:val="063EE9F7"/>
    <w:rsid w:val="069F379E"/>
    <w:rsid w:val="076CEE75"/>
    <w:rsid w:val="07792187"/>
    <w:rsid w:val="08185FB9"/>
    <w:rsid w:val="081BCD6D"/>
    <w:rsid w:val="082A09EB"/>
    <w:rsid w:val="089BC592"/>
    <w:rsid w:val="0A0C7AE1"/>
    <w:rsid w:val="0A663D94"/>
    <w:rsid w:val="0B1BF5E7"/>
    <w:rsid w:val="0CF130DF"/>
    <w:rsid w:val="0CFE1DFD"/>
    <w:rsid w:val="0D4FC7CF"/>
    <w:rsid w:val="0DC4E36E"/>
    <w:rsid w:val="0E5E506F"/>
    <w:rsid w:val="0F5CF529"/>
    <w:rsid w:val="0FC31246"/>
    <w:rsid w:val="1023E0F9"/>
    <w:rsid w:val="1060FD24"/>
    <w:rsid w:val="124039A2"/>
    <w:rsid w:val="1272477B"/>
    <w:rsid w:val="12B95C68"/>
    <w:rsid w:val="14F07869"/>
    <w:rsid w:val="15107A79"/>
    <w:rsid w:val="1559BAC6"/>
    <w:rsid w:val="162998A6"/>
    <w:rsid w:val="17FD5F39"/>
    <w:rsid w:val="18657CF4"/>
    <w:rsid w:val="19890FA6"/>
    <w:rsid w:val="19B44400"/>
    <w:rsid w:val="19C0FECF"/>
    <w:rsid w:val="19F2311B"/>
    <w:rsid w:val="19F7AA11"/>
    <w:rsid w:val="1A0D3C6A"/>
    <w:rsid w:val="1A2D1BE7"/>
    <w:rsid w:val="1A8A0C43"/>
    <w:rsid w:val="1B0BFFE7"/>
    <w:rsid w:val="1B4DABE9"/>
    <w:rsid w:val="1C42A67F"/>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950A8C"/>
    <w:rsid w:val="24C0A041"/>
    <w:rsid w:val="24CA5046"/>
    <w:rsid w:val="24F49182"/>
    <w:rsid w:val="26615FE7"/>
    <w:rsid w:val="2678B15D"/>
    <w:rsid w:val="26BCCD2A"/>
    <w:rsid w:val="26F6F44A"/>
    <w:rsid w:val="27394882"/>
    <w:rsid w:val="276E09A5"/>
    <w:rsid w:val="28779527"/>
    <w:rsid w:val="28B27485"/>
    <w:rsid w:val="2929F550"/>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7FBEA26"/>
    <w:rsid w:val="3805C0E7"/>
    <w:rsid w:val="38168071"/>
    <w:rsid w:val="393376D2"/>
    <w:rsid w:val="395463D1"/>
    <w:rsid w:val="395D174C"/>
    <w:rsid w:val="398863F1"/>
    <w:rsid w:val="3A20C143"/>
    <w:rsid w:val="3A4C135D"/>
    <w:rsid w:val="3BA095AD"/>
    <w:rsid w:val="3EDC23CB"/>
    <w:rsid w:val="40771079"/>
    <w:rsid w:val="40930EF5"/>
    <w:rsid w:val="4110CDB4"/>
    <w:rsid w:val="42691D0F"/>
    <w:rsid w:val="4372D6C2"/>
    <w:rsid w:val="443448FB"/>
    <w:rsid w:val="44505BFC"/>
    <w:rsid w:val="450F5A46"/>
    <w:rsid w:val="456C4AA2"/>
    <w:rsid w:val="45AB26B1"/>
    <w:rsid w:val="4641A0D0"/>
    <w:rsid w:val="483DA525"/>
    <w:rsid w:val="4873567A"/>
    <w:rsid w:val="48F582C0"/>
    <w:rsid w:val="495D9BBE"/>
    <w:rsid w:val="49B7B512"/>
    <w:rsid w:val="4AE86C22"/>
    <w:rsid w:val="4BAE0B5E"/>
    <w:rsid w:val="4C8B405E"/>
    <w:rsid w:val="4CA8BA21"/>
    <w:rsid w:val="4D21EA56"/>
    <w:rsid w:val="4DA14906"/>
    <w:rsid w:val="4DD74500"/>
    <w:rsid w:val="4EE3854C"/>
    <w:rsid w:val="4F28A562"/>
    <w:rsid w:val="5057B658"/>
    <w:rsid w:val="50F1C25A"/>
    <w:rsid w:val="50F5AC31"/>
    <w:rsid w:val="517C50E5"/>
    <w:rsid w:val="51A107A9"/>
    <w:rsid w:val="521C1C44"/>
    <w:rsid w:val="52B60460"/>
    <w:rsid w:val="53044900"/>
    <w:rsid w:val="53229BC9"/>
    <w:rsid w:val="53B39A2E"/>
    <w:rsid w:val="54C17BA2"/>
    <w:rsid w:val="553311EF"/>
    <w:rsid w:val="55ACD1A0"/>
    <w:rsid w:val="56AFA43F"/>
    <w:rsid w:val="58963761"/>
    <w:rsid w:val="59185BFB"/>
    <w:rsid w:val="593F501C"/>
    <w:rsid w:val="59815BA2"/>
    <w:rsid w:val="5A05D725"/>
    <w:rsid w:val="5ADD90BE"/>
    <w:rsid w:val="5B1E38D7"/>
    <w:rsid w:val="5B9D8C93"/>
    <w:rsid w:val="5CB076C8"/>
    <w:rsid w:val="5D5832E9"/>
    <w:rsid w:val="5D80A09E"/>
    <w:rsid w:val="5DC1C88E"/>
    <w:rsid w:val="5DF2A876"/>
    <w:rsid w:val="5E12D216"/>
    <w:rsid w:val="5EACEEBD"/>
    <w:rsid w:val="5EBDDC85"/>
    <w:rsid w:val="5F8C18FC"/>
    <w:rsid w:val="600E03FD"/>
    <w:rsid w:val="6238D218"/>
    <w:rsid w:val="628CB478"/>
    <w:rsid w:val="62AD93BA"/>
    <w:rsid w:val="63555756"/>
    <w:rsid w:val="644E444D"/>
    <w:rsid w:val="65573E26"/>
    <w:rsid w:val="65AD35BA"/>
    <w:rsid w:val="65C2D45A"/>
    <w:rsid w:val="663439EB"/>
    <w:rsid w:val="6657D135"/>
    <w:rsid w:val="66D9E62A"/>
    <w:rsid w:val="66E8E023"/>
    <w:rsid w:val="6728F4B3"/>
    <w:rsid w:val="673BE400"/>
    <w:rsid w:val="67B6BAF7"/>
    <w:rsid w:val="6817D78E"/>
    <w:rsid w:val="68E0347C"/>
    <w:rsid w:val="68EEBC34"/>
    <w:rsid w:val="6956685D"/>
    <w:rsid w:val="699B3EBB"/>
    <w:rsid w:val="69A7D5B7"/>
    <w:rsid w:val="6A2AAF49"/>
    <w:rsid w:val="6BAD574D"/>
    <w:rsid w:val="6CA77350"/>
    <w:rsid w:val="6D493694"/>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
    <w:link w:val="ListParagraphChar"/>
    <w:uiPriority w:val="34"/>
    <w:qFormat/>
    <w:rsid w:val="00D86C52"/>
    <w:pPr>
      <w:numPr>
        <w:numId w:val="9"/>
      </w:numPr>
      <w:spacing w:before="120"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6"/>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10"/>
      </w:numPr>
      <w:spacing w:before="120" w:after="120"/>
      <w:ind w:left="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7"/>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styleId="NormalWeb">
    <w:name w:val="Normal (Web)"/>
    <w:basedOn w:val="Normal"/>
    <w:semiHidden/>
    <w:unhideWhenUsed/>
    <w:rsid w:val="00D62E8B"/>
    <w:rPr>
      <w:rFonts w:ascii="Times New Roman" w:hAnsi="Times New Roman"/>
    </w:rPr>
  </w:style>
  <w:style w:type="character" w:styleId="Mention">
    <w:name w:val="Mention"/>
    <w:basedOn w:val="DefaultParagraphFont"/>
    <w:uiPriority w:val="99"/>
    <w:unhideWhenUsed/>
    <w:rsid w:val="000B44BC"/>
    <w:rPr>
      <w:color w:val="2B579A"/>
      <w:shd w:val="clear" w:color="auto" w:fill="E1DFDD"/>
    </w:rPr>
  </w:style>
  <w:style w:type="character" w:customStyle="1" w:styleId="normaltextrun">
    <w:name w:val="normaltextrun"/>
    <w:basedOn w:val="DefaultParagraphFont"/>
    <w:rsid w:val="00CA3203"/>
  </w:style>
  <w:style w:type="paragraph" w:customStyle="1" w:styleId="3-SubsectionHeading">
    <w:name w:val="3-Subsection Heading"/>
    <w:basedOn w:val="Heading2"/>
    <w:next w:val="Normal"/>
    <w:link w:val="3-SubsectionHeadingChar"/>
    <w:qFormat/>
    <w:rsid w:val="00471375"/>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471375"/>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7224">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84032140">
      <w:bodyDiv w:val="1"/>
      <w:marLeft w:val="0"/>
      <w:marRight w:val="0"/>
      <w:marTop w:val="0"/>
      <w:marBottom w:val="0"/>
      <w:divBdr>
        <w:top w:val="none" w:sz="0" w:space="0" w:color="auto"/>
        <w:left w:val="none" w:sz="0" w:space="0" w:color="auto"/>
        <w:bottom w:val="none" w:sz="0" w:space="0" w:color="auto"/>
        <w:right w:val="none" w:sz="0" w:space="0" w:color="auto"/>
      </w:divBdr>
    </w:div>
    <w:div w:id="200022291">
      <w:bodyDiv w:val="1"/>
      <w:marLeft w:val="0"/>
      <w:marRight w:val="0"/>
      <w:marTop w:val="0"/>
      <w:marBottom w:val="0"/>
      <w:divBdr>
        <w:top w:val="none" w:sz="0" w:space="0" w:color="auto"/>
        <w:left w:val="none" w:sz="0" w:space="0" w:color="auto"/>
        <w:bottom w:val="none" w:sz="0" w:space="0" w:color="auto"/>
        <w:right w:val="none" w:sz="0" w:space="0" w:color="auto"/>
      </w:divBdr>
    </w:div>
    <w:div w:id="206452498">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02666523">
      <w:bodyDiv w:val="1"/>
      <w:marLeft w:val="0"/>
      <w:marRight w:val="0"/>
      <w:marTop w:val="0"/>
      <w:marBottom w:val="0"/>
      <w:divBdr>
        <w:top w:val="none" w:sz="0" w:space="0" w:color="auto"/>
        <w:left w:val="none" w:sz="0" w:space="0" w:color="auto"/>
        <w:bottom w:val="none" w:sz="0" w:space="0" w:color="auto"/>
        <w:right w:val="none" w:sz="0" w:space="0" w:color="auto"/>
      </w:divBdr>
    </w:div>
    <w:div w:id="604314454">
      <w:bodyDiv w:val="1"/>
      <w:marLeft w:val="0"/>
      <w:marRight w:val="0"/>
      <w:marTop w:val="0"/>
      <w:marBottom w:val="0"/>
      <w:divBdr>
        <w:top w:val="none" w:sz="0" w:space="0" w:color="auto"/>
        <w:left w:val="none" w:sz="0" w:space="0" w:color="auto"/>
        <w:bottom w:val="none" w:sz="0" w:space="0" w:color="auto"/>
        <w:right w:val="none" w:sz="0" w:space="0" w:color="auto"/>
      </w:divBdr>
    </w:div>
    <w:div w:id="73388967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76293922">
      <w:bodyDiv w:val="1"/>
      <w:marLeft w:val="0"/>
      <w:marRight w:val="0"/>
      <w:marTop w:val="0"/>
      <w:marBottom w:val="0"/>
      <w:divBdr>
        <w:top w:val="none" w:sz="0" w:space="0" w:color="auto"/>
        <w:left w:val="none" w:sz="0" w:space="0" w:color="auto"/>
        <w:bottom w:val="none" w:sz="0" w:space="0" w:color="auto"/>
        <w:right w:val="none" w:sz="0" w:space="0" w:color="auto"/>
      </w:divBdr>
    </w:div>
    <w:div w:id="791829302">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18109038">
      <w:bodyDiv w:val="1"/>
      <w:marLeft w:val="0"/>
      <w:marRight w:val="0"/>
      <w:marTop w:val="0"/>
      <w:marBottom w:val="0"/>
      <w:divBdr>
        <w:top w:val="none" w:sz="0" w:space="0" w:color="auto"/>
        <w:left w:val="none" w:sz="0" w:space="0" w:color="auto"/>
        <w:bottom w:val="none" w:sz="0" w:space="0" w:color="auto"/>
        <w:right w:val="none" w:sz="0" w:space="0" w:color="auto"/>
      </w:divBdr>
    </w:div>
    <w:div w:id="843328194">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24261559">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81751743">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68581037">
      <w:bodyDiv w:val="1"/>
      <w:marLeft w:val="0"/>
      <w:marRight w:val="0"/>
      <w:marTop w:val="0"/>
      <w:marBottom w:val="0"/>
      <w:divBdr>
        <w:top w:val="none" w:sz="0" w:space="0" w:color="auto"/>
        <w:left w:val="none" w:sz="0" w:space="0" w:color="auto"/>
        <w:bottom w:val="none" w:sz="0" w:space="0" w:color="auto"/>
        <w:right w:val="none" w:sz="0" w:space="0" w:color="auto"/>
      </w:divBdr>
    </w:div>
    <w:div w:id="1300455111">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33666356">
      <w:bodyDiv w:val="1"/>
      <w:marLeft w:val="0"/>
      <w:marRight w:val="0"/>
      <w:marTop w:val="0"/>
      <w:marBottom w:val="0"/>
      <w:divBdr>
        <w:top w:val="none" w:sz="0" w:space="0" w:color="auto"/>
        <w:left w:val="none" w:sz="0" w:space="0" w:color="auto"/>
        <w:bottom w:val="none" w:sz="0" w:space="0" w:color="auto"/>
        <w:right w:val="none" w:sz="0" w:space="0" w:color="auto"/>
      </w:divBdr>
    </w:div>
    <w:div w:id="1541090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56614950">
      <w:bodyDiv w:val="1"/>
      <w:marLeft w:val="0"/>
      <w:marRight w:val="0"/>
      <w:marTop w:val="0"/>
      <w:marBottom w:val="0"/>
      <w:divBdr>
        <w:top w:val="none" w:sz="0" w:space="0" w:color="auto"/>
        <w:left w:val="none" w:sz="0" w:space="0" w:color="auto"/>
        <w:bottom w:val="none" w:sz="0" w:space="0" w:color="auto"/>
        <w:right w:val="none" w:sz="0" w:space="0" w:color="auto"/>
      </w:divBdr>
    </w:div>
    <w:div w:id="211821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351BCB92-81B8-4FBB-8A34-719BB6310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795F55-6558-4051-8D2F-AAB1883A964D}">
  <ds:schemaRefs>
    <ds:schemaRef ds:uri="http://schemas.microsoft.com/sharepoint/v3/contenttype/forms"/>
  </ds:schemaRefs>
</ds:datastoreItem>
</file>

<file path=customXml/itemProps4.xml><?xml version="1.0" encoding="utf-8"?>
<ds:datastoreItem xmlns:ds="http://schemas.openxmlformats.org/officeDocument/2006/customXml" ds:itemID="{2FA7A9BF-24B7-460F-A609-88A611C10559}">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5099</Words>
  <Characters>30085</Characters>
  <Application>Microsoft Office Word</Application>
  <DocSecurity>0</DocSecurity>
  <Lines>1114</Lines>
  <Paragraphs>525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2025-10-24T04:28:00Z</dcterms:created>
  <dcterms:modified xsi:type="dcterms:W3CDTF">2025-10-24T04:36:00Z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y fmtid="{D5CDD505-2E9C-101B-9397-08002B2CF9AE}" pid="3" name="MediaServiceImageTags">
    <vt:lpwstr/>
  </property>
  <property fmtid="{D5CDD505-2E9C-101B-9397-08002B2CF9AE}" pid="4" name="ClassificationContentMarkingHeaderShapeIds">
    <vt:lpwstr>5fd1e0bd,7d511b74,2038bcaa</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1de6b164,18d79bd7,6ad48ecb</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2025-09-12T09:26:18Z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26d7ecca-3ff5-4a10-8979-b4198e4e0d6e</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